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206262FC" w14:textId="6174AE6A" w:rsidR="00596BEB" w:rsidRDefault="00596BEB" w:rsidP="003F188C"/>
    <w:p w14:paraId="54541231" w14:textId="77777777" w:rsidR="00596BEB" w:rsidRDefault="00596BEB" w:rsidP="003F188C"/>
    <w:p w14:paraId="34A151C7" w14:textId="33DEDBF2" w:rsidR="00596BEB" w:rsidRPr="009A44BB" w:rsidRDefault="002A5C39" w:rsidP="00596BEB">
      <w:pPr>
        <w:autoSpaceDE w:val="0"/>
        <w:autoSpaceDN w:val="0"/>
        <w:adjustRightInd w:val="0"/>
        <w:spacing w:after="0" w:line="240" w:lineRule="auto"/>
        <w:jc w:val="center"/>
        <w:rPr>
          <w:sz w:val="28"/>
          <w:szCs w:val="24"/>
        </w:rPr>
      </w:pPr>
      <w:r w:rsidRPr="009A44BB">
        <w:rPr>
          <w:sz w:val="28"/>
          <w:szCs w:val="24"/>
        </w:rPr>
        <w:t xml:space="preserve">DOES EDUCATION AFFECT HEALTH? </w:t>
      </w:r>
    </w:p>
    <w:p w14:paraId="110A0CE4" w14:textId="55A57F36" w:rsidR="00596BEB" w:rsidRPr="009A44BB" w:rsidRDefault="002A5C39" w:rsidP="00596BEB">
      <w:pPr>
        <w:autoSpaceDE w:val="0"/>
        <w:autoSpaceDN w:val="0"/>
        <w:adjustRightInd w:val="0"/>
        <w:spacing w:after="0" w:line="240" w:lineRule="auto"/>
        <w:jc w:val="center"/>
        <w:rPr>
          <w:rFonts w:cs="Times New Roman"/>
          <w:sz w:val="12"/>
          <w:szCs w:val="12"/>
        </w:rPr>
      </w:pPr>
      <w:r w:rsidRPr="009A44BB">
        <w:rPr>
          <w:sz w:val="28"/>
          <w:szCs w:val="24"/>
        </w:rPr>
        <w:t>EVIDENCE FROM CHINA COMPULSORY SCHOOLING LAW</w:t>
      </w:r>
    </w:p>
    <w:p w14:paraId="499D5008" w14:textId="77777777" w:rsidR="00596BEB" w:rsidRDefault="00596BEB" w:rsidP="00596BEB">
      <w:pPr>
        <w:autoSpaceDE w:val="0"/>
        <w:autoSpaceDN w:val="0"/>
        <w:adjustRightInd w:val="0"/>
        <w:spacing w:after="0" w:line="240" w:lineRule="auto"/>
        <w:jc w:val="center"/>
        <w:rPr>
          <w:rFonts w:cs="Times New Roman"/>
          <w:sz w:val="6"/>
          <w:szCs w:val="6"/>
        </w:rPr>
      </w:pPr>
    </w:p>
    <w:p w14:paraId="33142E81" w14:textId="77777777" w:rsidR="00596BEB" w:rsidRDefault="00596BEB" w:rsidP="00596BEB">
      <w:pPr>
        <w:autoSpaceDE w:val="0"/>
        <w:autoSpaceDN w:val="0"/>
        <w:adjustRightInd w:val="0"/>
        <w:spacing w:after="0" w:line="240" w:lineRule="auto"/>
        <w:jc w:val="center"/>
        <w:rPr>
          <w:rFonts w:cs="Times New Roman"/>
          <w:sz w:val="6"/>
          <w:szCs w:val="6"/>
        </w:rPr>
      </w:pPr>
    </w:p>
    <w:p w14:paraId="2848DE69" w14:textId="24994307" w:rsidR="00596BEB" w:rsidRDefault="00596BEB" w:rsidP="00596BEB">
      <w:pPr>
        <w:autoSpaceDE w:val="0"/>
        <w:autoSpaceDN w:val="0"/>
        <w:adjustRightInd w:val="0"/>
        <w:spacing w:after="0" w:line="240" w:lineRule="auto"/>
        <w:jc w:val="center"/>
        <w:rPr>
          <w:rFonts w:cs="Times New Roman"/>
          <w:sz w:val="6"/>
          <w:szCs w:val="6"/>
        </w:rPr>
      </w:pPr>
    </w:p>
    <w:p w14:paraId="26AD313F" w14:textId="5D46FF39" w:rsidR="009A44BB" w:rsidRDefault="009A44BB" w:rsidP="00596BEB">
      <w:pPr>
        <w:autoSpaceDE w:val="0"/>
        <w:autoSpaceDN w:val="0"/>
        <w:adjustRightInd w:val="0"/>
        <w:spacing w:after="0" w:line="240" w:lineRule="auto"/>
        <w:jc w:val="center"/>
        <w:rPr>
          <w:rFonts w:cs="Times New Roman"/>
          <w:sz w:val="6"/>
          <w:szCs w:val="6"/>
        </w:rPr>
      </w:pPr>
    </w:p>
    <w:p w14:paraId="07BA1689" w14:textId="77777777" w:rsidR="009A44BB" w:rsidRDefault="009A44BB" w:rsidP="00596BEB">
      <w:pPr>
        <w:autoSpaceDE w:val="0"/>
        <w:autoSpaceDN w:val="0"/>
        <w:adjustRightInd w:val="0"/>
        <w:spacing w:after="0" w:line="240" w:lineRule="auto"/>
        <w:jc w:val="center"/>
        <w:rPr>
          <w:rFonts w:cs="Times New Roman"/>
          <w:sz w:val="6"/>
          <w:szCs w:val="6"/>
        </w:rPr>
      </w:pPr>
    </w:p>
    <w:p w14:paraId="0E8929EE" w14:textId="77777777" w:rsidR="00596BEB" w:rsidRDefault="00596BEB" w:rsidP="00596BEB">
      <w:pPr>
        <w:autoSpaceDE w:val="0"/>
        <w:autoSpaceDN w:val="0"/>
        <w:adjustRightInd w:val="0"/>
        <w:spacing w:after="0" w:line="240" w:lineRule="auto"/>
        <w:jc w:val="center"/>
        <w:rPr>
          <w:rFonts w:cs="Times New Roman"/>
          <w:sz w:val="6"/>
          <w:szCs w:val="6"/>
        </w:rPr>
      </w:pPr>
    </w:p>
    <w:p w14:paraId="3F1A4363" w14:textId="5C55473D" w:rsidR="00596BEB" w:rsidRDefault="00596BEB" w:rsidP="00596BEB">
      <w:pPr>
        <w:autoSpaceDE w:val="0"/>
        <w:autoSpaceDN w:val="0"/>
        <w:adjustRightInd w:val="0"/>
        <w:spacing w:after="0" w:line="240" w:lineRule="auto"/>
        <w:jc w:val="center"/>
        <w:rPr>
          <w:rFonts w:cs="Times New Roman"/>
          <w:sz w:val="26"/>
          <w:szCs w:val="26"/>
        </w:rPr>
      </w:pPr>
      <w:r>
        <w:rPr>
          <w:rFonts w:cs="Times New Roman"/>
          <w:szCs w:val="24"/>
        </w:rPr>
        <w:t xml:space="preserve">by </w:t>
      </w:r>
      <w:proofErr w:type="spellStart"/>
      <w:r>
        <w:rPr>
          <w:rFonts w:cs="Times New Roman"/>
          <w:sz w:val="26"/>
          <w:szCs w:val="26"/>
        </w:rPr>
        <w:t>Junfeng</w:t>
      </w:r>
      <w:proofErr w:type="spellEnd"/>
      <w:r>
        <w:rPr>
          <w:rFonts w:cs="Times New Roman"/>
          <w:sz w:val="26"/>
          <w:szCs w:val="26"/>
        </w:rPr>
        <w:t xml:space="preserve"> Du</w:t>
      </w:r>
    </w:p>
    <w:p w14:paraId="6D980215" w14:textId="77777777" w:rsidR="00596BEB" w:rsidRDefault="00596BEB" w:rsidP="00596BEB">
      <w:pPr>
        <w:autoSpaceDE w:val="0"/>
        <w:autoSpaceDN w:val="0"/>
        <w:adjustRightInd w:val="0"/>
        <w:spacing w:after="0" w:line="240" w:lineRule="auto"/>
        <w:jc w:val="center"/>
        <w:rPr>
          <w:rFonts w:cs="Times New Roman"/>
          <w:sz w:val="26"/>
          <w:szCs w:val="26"/>
        </w:rPr>
      </w:pPr>
    </w:p>
    <w:p w14:paraId="7B94C6A7" w14:textId="50763C69" w:rsidR="00596BEB" w:rsidRDefault="00596BEB" w:rsidP="00596BEB">
      <w:pPr>
        <w:autoSpaceDE w:val="0"/>
        <w:autoSpaceDN w:val="0"/>
        <w:adjustRightInd w:val="0"/>
        <w:spacing w:after="0" w:line="240" w:lineRule="auto"/>
        <w:jc w:val="center"/>
        <w:rPr>
          <w:rFonts w:cs="Times New Roman"/>
          <w:szCs w:val="24"/>
        </w:rPr>
      </w:pPr>
      <w:r>
        <w:rPr>
          <w:rFonts w:cs="Times New Roman"/>
          <w:szCs w:val="24"/>
        </w:rPr>
        <w:t>(7269252)</w:t>
      </w:r>
    </w:p>
    <w:p w14:paraId="29802F84" w14:textId="384ABB0B" w:rsidR="00596BEB" w:rsidRDefault="00596BEB" w:rsidP="003F188C"/>
    <w:p w14:paraId="25F65549" w14:textId="7632A583" w:rsidR="00596BEB" w:rsidRDefault="00596BEB" w:rsidP="003F188C"/>
    <w:p w14:paraId="1004842F" w14:textId="77777777" w:rsidR="00596BEB" w:rsidRDefault="00596BEB" w:rsidP="003F188C"/>
    <w:p w14:paraId="33EDA8CD" w14:textId="77777777" w:rsidR="00596BEB" w:rsidRDefault="00596BEB" w:rsidP="00596BEB">
      <w:pPr>
        <w:autoSpaceDE w:val="0"/>
        <w:autoSpaceDN w:val="0"/>
        <w:adjustRightInd w:val="0"/>
        <w:spacing w:after="0" w:line="240" w:lineRule="auto"/>
        <w:jc w:val="center"/>
        <w:rPr>
          <w:rFonts w:cs="Times New Roman"/>
          <w:szCs w:val="24"/>
        </w:rPr>
      </w:pPr>
      <w:r>
        <w:rPr>
          <w:rFonts w:cs="Times New Roman"/>
          <w:szCs w:val="24"/>
        </w:rPr>
        <w:t>Major Paper presented to the</w:t>
      </w:r>
    </w:p>
    <w:p w14:paraId="3F71A0E8" w14:textId="77777777" w:rsidR="00596BEB" w:rsidRDefault="00596BEB" w:rsidP="00596BEB">
      <w:pPr>
        <w:autoSpaceDE w:val="0"/>
        <w:autoSpaceDN w:val="0"/>
        <w:adjustRightInd w:val="0"/>
        <w:spacing w:after="0" w:line="240" w:lineRule="auto"/>
        <w:jc w:val="center"/>
        <w:rPr>
          <w:rFonts w:cs="Times New Roman"/>
          <w:szCs w:val="24"/>
        </w:rPr>
      </w:pPr>
      <w:r>
        <w:rPr>
          <w:rFonts w:cs="Times New Roman"/>
          <w:szCs w:val="24"/>
        </w:rPr>
        <w:t>Department of Economics of the University of Ottawa</w:t>
      </w:r>
    </w:p>
    <w:p w14:paraId="0536B55C" w14:textId="77777777" w:rsidR="00596BEB" w:rsidRDefault="00596BEB" w:rsidP="00596BEB">
      <w:pPr>
        <w:autoSpaceDE w:val="0"/>
        <w:autoSpaceDN w:val="0"/>
        <w:adjustRightInd w:val="0"/>
        <w:spacing w:after="0" w:line="240" w:lineRule="auto"/>
        <w:jc w:val="center"/>
        <w:rPr>
          <w:rFonts w:cs="Times New Roman"/>
          <w:szCs w:val="24"/>
        </w:rPr>
      </w:pPr>
      <w:r>
        <w:rPr>
          <w:rFonts w:cs="Times New Roman"/>
          <w:szCs w:val="24"/>
        </w:rPr>
        <w:t>in partial fulfillment of the requirements of the M.A. Degree</w:t>
      </w:r>
    </w:p>
    <w:p w14:paraId="1ED82C11" w14:textId="768DDC30" w:rsidR="00596BEB" w:rsidRDefault="00596BEB" w:rsidP="00596BEB">
      <w:pPr>
        <w:autoSpaceDE w:val="0"/>
        <w:autoSpaceDN w:val="0"/>
        <w:adjustRightInd w:val="0"/>
        <w:spacing w:after="0" w:line="240" w:lineRule="auto"/>
        <w:jc w:val="center"/>
        <w:rPr>
          <w:rFonts w:cs="Times New Roman"/>
          <w:szCs w:val="24"/>
        </w:rPr>
      </w:pPr>
      <w:r>
        <w:rPr>
          <w:rFonts w:cs="Times New Roman"/>
          <w:szCs w:val="24"/>
        </w:rPr>
        <w:t xml:space="preserve">Supervisor: </w:t>
      </w:r>
      <w:r w:rsidRPr="00596BEB">
        <w:rPr>
          <w:rFonts w:cs="Times New Roman"/>
          <w:szCs w:val="24"/>
        </w:rPr>
        <w:t xml:space="preserve">Myra A. </w:t>
      </w:r>
      <w:proofErr w:type="spellStart"/>
      <w:r w:rsidRPr="00596BEB">
        <w:rPr>
          <w:rFonts w:cs="Times New Roman"/>
          <w:szCs w:val="24"/>
        </w:rPr>
        <w:t>Yazbeck</w:t>
      </w:r>
      <w:proofErr w:type="spellEnd"/>
    </w:p>
    <w:p w14:paraId="130AD20C" w14:textId="77777777" w:rsidR="00596BEB" w:rsidRDefault="00596BEB" w:rsidP="003F188C"/>
    <w:p w14:paraId="3EC00F27" w14:textId="77777777" w:rsidR="00596BEB" w:rsidRDefault="00596BEB" w:rsidP="00596BEB">
      <w:pPr>
        <w:autoSpaceDE w:val="0"/>
        <w:autoSpaceDN w:val="0"/>
        <w:adjustRightInd w:val="0"/>
        <w:spacing w:after="0" w:line="240" w:lineRule="auto"/>
        <w:jc w:val="center"/>
        <w:rPr>
          <w:rFonts w:cs="Times New Roman"/>
          <w:szCs w:val="24"/>
        </w:rPr>
      </w:pPr>
      <w:r>
        <w:rPr>
          <w:rFonts w:cs="Times New Roman"/>
          <w:szCs w:val="24"/>
        </w:rPr>
        <w:t>ECO 6999</w:t>
      </w:r>
    </w:p>
    <w:p w14:paraId="69121652" w14:textId="77777777" w:rsidR="00596BEB" w:rsidRDefault="00596BEB" w:rsidP="00596BEB">
      <w:pPr>
        <w:autoSpaceDE w:val="0"/>
        <w:autoSpaceDN w:val="0"/>
        <w:adjustRightInd w:val="0"/>
        <w:spacing w:after="0" w:line="240" w:lineRule="auto"/>
        <w:jc w:val="center"/>
        <w:rPr>
          <w:rFonts w:cs="Times New Roman"/>
          <w:szCs w:val="24"/>
        </w:rPr>
      </w:pPr>
    </w:p>
    <w:p w14:paraId="75EF28BE" w14:textId="77777777" w:rsidR="00596BEB" w:rsidRDefault="00596BEB" w:rsidP="00596BEB">
      <w:pPr>
        <w:autoSpaceDE w:val="0"/>
        <w:autoSpaceDN w:val="0"/>
        <w:adjustRightInd w:val="0"/>
        <w:spacing w:after="0" w:line="240" w:lineRule="auto"/>
        <w:jc w:val="center"/>
        <w:rPr>
          <w:rFonts w:cs="Times New Roman"/>
          <w:szCs w:val="24"/>
        </w:rPr>
      </w:pPr>
    </w:p>
    <w:p w14:paraId="72FB02DF" w14:textId="77777777" w:rsidR="00596BEB" w:rsidRDefault="00596BEB" w:rsidP="00596BEB">
      <w:pPr>
        <w:autoSpaceDE w:val="0"/>
        <w:autoSpaceDN w:val="0"/>
        <w:adjustRightInd w:val="0"/>
        <w:spacing w:after="0" w:line="240" w:lineRule="auto"/>
        <w:jc w:val="center"/>
        <w:rPr>
          <w:rFonts w:cs="Times New Roman"/>
          <w:szCs w:val="24"/>
        </w:rPr>
      </w:pPr>
    </w:p>
    <w:p w14:paraId="22AA1CF9" w14:textId="77777777" w:rsidR="00596BEB" w:rsidRDefault="00596BEB" w:rsidP="00596BEB">
      <w:pPr>
        <w:autoSpaceDE w:val="0"/>
        <w:autoSpaceDN w:val="0"/>
        <w:adjustRightInd w:val="0"/>
        <w:spacing w:after="0" w:line="240" w:lineRule="auto"/>
        <w:jc w:val="center"/>
        <w:rPr>
          <w:rFonts w:cs="Times New Roman"/>
          <w:szCs w:val="24"/>
        </w:rPr>
      </w:pPr>
    </w:p>
    <w:p w14:paraId="73264EF3" w14:textId="77777777" w:rsidR="00596BEB" w:rsidRDefault="00596BEB" w:rsidP="00596BEB">
      <w:pPr>
        <w:autoSpaceDE w:val="0"/>
        <w:autoSpaceDN w:val="0"/>
        <w:adjustRightInd w:val="0"/>
        <w:spacing w:after="0" w:line="240" w:lineRule="auto"/>
        <w:jc w:val="center"/>
        <w:rPr>
          <w:rFonts w:cs="Times New Roman"/>
          <w:szCs w:val="24"/>
        </w:rPr>
      </w:pPr>
    </w:p>
    <w:p w14:paraId="1FAFBFF5" w14:textId="77777777" w:rsidR="00596BEB" w:rsidRDefault="00596BEB" w:rsidP="00596BEB">
      <w:pPr>
        <w:autoSpaceDE w:val="0"/>
        <w:autoSpaceDN w:val="0"/>
        <w:adjustRightInd w:val="0"/>
        <w:spacing w:after="0" w:line="240" w:lineRule="auto"/>
        <w:jc w:val="center"/>
        <w:rPr>
          <w:rFonts w:cs="Times New Roman"/>
          <w:szCs w:val="24"/>
        </w:rPr>
      </w:pPr>
    </w:p>
    <w:p w14:paraId="3463E143" w14:textId="77777777" w:rsidR="00596BEB" w:rsidRDefault="00596BEB" w:rsidP="00596BEB">
      <w:pPr>
        <w:autoSpaceDE w:val="0"/>
        <w:autoSpaceDN w:val="0"/>
        <w:adjustRightInd w:val="0"/>
        <w:spacing w:after="0" w:line="240" w:lineRule="auto"/>
        <w:jc w:val="center"/>
        <w:rPr>
          <w:rFonts w:cs="Times New Roman"/>
          <w:szCs w:val="24"/>
        </w:rPr>
      </w:pPr>
    </w:p>
    <w:p w14:paraId="76C59736" w14:textId="77777777" w:rsidR="00596BEB" w:rsidRDefault="00596BEB" w:rsidP="00596BEB">
      <w:pPr>
        <w:autoSpaceDE w:val="0"/>
        <w:autoSpaceDN w:val="0"/>
        <w:adjustRightInd w:val="0"/>
        <w:spacing w:after="0" w:line="240" w:lineRule="auto"/>
        <w:jc w:val="center"/>
        <w:rPr>
          <w:rFonts w:cs="Times New Roman"/>
          <w:szCs w:val="24"/>
        </w:rPr>
      </w:pPr>
    </w:p>
    <w:p w14:paraId="1546E496" w14:textId="77777777" w:rsidR="00596BEB" w:rsidRDefault="00596BEB" w:rsidP="00596BEB">
      <w:pPr>
        <w:autoSpaceDE w:val="0"/>
        <w:autoSpaceDN w:val="0"/>
        <w:adjustRightInd w:val="0"/>
        <w:spacing w:after="0" w:line="240" w:lineRule="auto"/>
        <w:jc w:val="center"/>
        <w:rPr>
          <w:rFonts w:cs="Times New Roman"/>
          <w:szCs w:val="24"/>
        </w:rPr>
      </w:pPr>
    </w:p>
    <w:p w14:paraId="5BBC0C9B" w14:textId="77777777" w:rsidR="00596BEB" w:rsidRDefault="00596BEB" w:rsidP="00596BEB">
      <w:pPr>
        <w:autoSpaceDE w:val="0"/>
        <w:autoSpaceDN w:val="0"/>
        <w:adjustRightInd w:val="0"/>
        <w:spacing w:after="0" w:line="240" w:lineRule="auto"/>
        <w:jc w:val="center"/>
        <w:rPr>
          <w:rFonts w:cs="Times New Roman"/>
          <w:szCs w:val="24"/>
        </w:rPr>
      </w:pPr>
    </w:p>
    <w:p w14:paraId="583C8666" w14:textId="77777777" w:rsidR="00596BEB" w:rsidRDefault="00596BEB" w:rsidP="00596BEB">
      <w:pPr>
        <w:autoSpaceDE w:val="0"/>
        <w:autoSpaceDN w:val="0"/>
        <w:adjustRightInd w:val="0"/>
        <w:spacing w:after="0" w:line="240" w:lineRule="auto"/>
        <w:jc w:val="center"/>
        <w:rPr>
          <w:rFonts w:cs="Times New Roman"/>
          <w:szCs w:val="24"/>
        </w:rPr>
      </w:pPr>
    </w:p>
    <w:p w14:paraId="24FCED12" w14:textId="77777777" w:rsidR="00596BEB" w:rsidRDefault="00596BEB" w:rsidP="00596BEB">
      <w:pPr>
        <w:autoSpaceDE w:val="0"/>
        <w:autoSpaceDN w:val="0"/>
        <w:adjustRightInd w:val="0"/>
        <w:spacing w:after="0" w:line="240" w:lineRule="auto"/>
        <w:jc w:val="center"/>
        <w:rPr>
          <w:rFonts w:cs="Times New Roman"/>
          <w:szCs w:val="24"/>
        </w:rPr>
      </w:pPr>
    </w:p>
    <w:p w14:paraId="161F823D" w14:textId="77777777" w:rsidR="00596BEB" w:rsidRDefault="00596BEB" w:rsidP="00596BEB">
      <w:pPr>
        <w:autoSpaceDE w:val="0"/>
        <w:autoSpaceDN w:val="0"/>
        <w:adjustRightInd w:val="0"/>
        <w:spacing w:after="0" w:line="240" w:lineRule="auto"/>
        <w:jc w:val="center"/>
        <w:rPr>
          <w:rFonts w:cs="Times New Roman"/>
          <w:szCs w:val="24"/>
        </w:rPr>
      </w:pPr>
    </w:p>
    <w:p w14:paraId="51D42890" w14:textId="77777777" w:rsidR="00596BEB" w:rsidRDefault="00596BEB" w:rsidP="00596BEB">
      <w:pPr>
        <w:autoSpaceDE w:val="0"/>
        <w:autoSpaceDN w:val="0"/>
        <w:adjustRightInd w:val="0"/>
        <w:spacing w:after="0" w:line="240" w:lineRule="auto"/>
        <w:jc w:val="center"/>
        <w:rPr>
          <w:rFonts w:cs="Times New Roman"/>
          <w:szCs w:val="24"/>
        </w:rPr>
      </w:pPr>
      <w:r>
        <w:rPr>
          <w:rFonts w:cs="Times New Roman"/>
          <w:szCs w:val="24"/>
        </w:rPr>
        <w:t>Ottawa, Ontario</w:t>
      </w:r>
    </w:p>
    <w:p w14:paraId="0BBE3362" w14:textId="71C70370" w:rsidR="00596BEB" w:rsidRPr="004506CE" w:rsidRDefault="00596BEB" w:rsidP="004506CE">
      <w:pPr>
        <w:jc w:val="center"/>
        <w:rPr>
          <w:rFonts w:cs="Times New Roman"/>
          <w:szCs w:val="24"/>
        </w:rPr>
        <w:sectPr w:rsidR="00596BEB" w:rsidRPr="004506CE" w:rsidSect="00596BEB">
          <w:headerReference w:type="default" r:id="rId8"/>
          <w:headerReference w:type="first" r:id="rId9"/>
          <w:pgSz w:w="12240" w:h="15840"/>
          <w:pgMar w:top="1440" w:right="1440" w:bottom="1440" w:left="1440" w:header="709" w:footer="709" w:gutter="0"/>
          <w:cols w:space="708"/>
          <w:titlePg/>
          <w:docGrid w:linePitch="360"/>
        </w:sectPr>
      </w:pPr>
      <w:r>
        <w:rPr>
          <w:rFonts w:cs="Times New Roman"/>
          <w:szCs w:val="24"/>
        </w:rPr>
        <w:t>April 2020</w:t>
      </w:r>
    </w:p>
    <w:p w14:paraId="40C3351D" w14:textId="67CBAD24" w:rsidR="00596BEB" w:rsidRDefault="00596BEB" w:rsidP="003F188C">
      <w:pPr>
        <w:sectPr w:rsidR="00596BEB" w:rsidSect="00596BEB">
          <w:type w:val="continuous"/>
          <w:pgSz w:w="12240" w:h="15840"/>
          <w:pgMar w:top="1440" w:right="1440" w:bottom="1440" w:left="1440" w:header="709" w:footer="709" w:gutter="0"/>
          <w:cols w:space="708"/>
          <w:titlePg/>
          <w:docGrid w:linePitch="360"/>
        </w:sectPr>
      </w:pPr>
    </w:p>
    <w:p w14:paraId="2E22EEB0" w14:textId="77777777" w:rsidR="00596BEB" w:rsidRPr="00596BEB" w:rsidRDefault="00596BEB" w:rsidP="003F188C">
      <w:pPr>
        <w:rPr>
          <w:rFonts w:cs="Times New Roman"/>
        </w:rPr>
      </w:pPr>
    </w:p>
    <w:sdt>
      <w:sdtPr>
        <w:rPr>
          <w:rFonts w:ascii="Times New Roman" w:eastAsiaTheme="minorEastAsia" w:hAnsi="Times New Roman" w:cstheme="minorBidi"/>
          <w:color w:val="auto"/>
          <w:sz w:val="24"/>
          <w:szCs w:val="22"/>
          <w:lang w:val="en-CA" w:eastAsia="zh-CN"/>
        </w:rPr>
        <w:id w:val="-717051500"/>
        <w:docPartObj>
          <w:docPartGallery w:val="Table of Contents"/>
          <w:docPartUnique/>
        </w:docPartObj>
      </w:sdtPr>
      <w:sdtEndPr>
        <w:rPr>
          <w:b/>
          <w:bCs/>
          <w:noProof/>
        </w:rPr>
      </w:sdtEndPr>
      <w:sdtContent>
        <w:p w14:paraId="155052C4" w14:textId="4F4A11F8" w:rsidR="004506CE" w:rsidRDefault="004506CE">
          <w:pPr>
            <w:pStyle w:val="TOCHeading"/>
          </w:pPr>
          <w:r>
            <w:t>Table of Contents</w:t>
          </w:r>
        </w:p>
        <w:p w14:paraId="20CE1834" w14:textId="0E39AE91" w:rsidR="00C10985" w:rsidRDefault="004506CE">
          <w:pPr>
            <w:pStyle w:val="TOC1"/>
            <w:tabs>
              <w:tab w:val="right" w:leader="dot" w:pos="9350"/>
            </w:tabs>
            <w:rPr>
              <w:rFonts w:asciiTheme="minorHAnsi" w:hAnsiTheme="minorHAnsi"/>
              <w:noProof/>
              <w:sz w:val="22"/>
            </w:rPr>
          </w:pPr>
          <w:r>
            <w:fldChar w:fldCharType="begin"/>
          </w:r>
          <w:r>
            <w:instrText xml:space="preserve"> TOC \o "1-3" \h \z \u </w:instrText>
          </w:r>
          <w:r>
            <w:fldChar w:fldCharType="separate"/>
          </w:r>
          <w:hyperlink w:anchor="_Toc41312359" w:history="1">
            <w:r w:rsidR="00C10985" w:rsidRPr="00B00637">
              <w:rPr>
                <w:rStyle w:val="Hyperlink"/>
                <w:rFonts w:cs="Times New Roman"/>
                <w:b/>
                <w:bCs/>
                <w:noProof/>
              </w:rPr>
              <w:t>Abstract</w:t>
            </w:r>
            <w:r w:rsidR="00C10985">
              <w:rPr>
                <w:noProof/>
                <w:webHidden/>
              </w:rPr>
              <w:tab/>
            </w:r>
            <w:r w:rsidR="00C10985">
              <w:rPr>
                <w:noProof/>
                <w:webHidden/>
              </w:rPr>
              <w:fldChar w:fldCharType="begin"/>
            </w:r>
            <w:r w:rsidR="00C10985">
              <w:rPr>
                <w:noProof/>
                <w:webHidden/>
              </w:rPr>
              <w:instrText xml:space="preserve"> PAGEREF _Toc41312359 \h </w:instrText>
            </w:r>
            <w:r w:rsidR="00C10985">
              <w:rPr>
                <w:noProof/>
                <w:webHidden/>
              </w:rPr>
            </w:r>
            <w:r w:rsidR="00C10985">
              <w:rPr>
                <w:noProof/>
                <w:webHidden/>
              </w:rPr>
              <w:fldChar w:fldCharType="separate"/>
            </w:r>
            <w:r w:rsidR="0021330F">
              <w:rPr>
                <w:noProof/>
                <w:webHidden/>
              </w:rPr>
              <w:t>2</w:t>
            </w:r>
            <w:r w:rsidR="00C10985">
              <w:rPr>
                <w:noProof/>
                <w:webHidden/>
              </w:rPr>
              <w:fldChar w:fldCharType="end"/>
            </w:r>
          </w:hyperlink>
        </w:p>
        <w:p w14:paraId="1D8349C6" w14:textId="1B2FBF62" w:rsidR="00C10985" w:rsidRDefault="00C10985">
          <w:pPr>
            <w:pStyle w:val="TOC1"/>
            <w:tabs>
              <w:tab w:val="right" w:leader="dot" w:pos="9350"/>
            </w:tabs>
            <w:rPr>
              <w:rFonts w:asciiTheme="minorHAnsi" w:hAnsiTheme="minorHAnsi"/>
              <w:noProof/>
              <w:sz w:val="22"/>
            </w:rPr>
          </w:pPr>
          <w:hyperlink w:anchor="_Toc41312360" w:history="1">
            <w:r w:rsidRPr="00B00637">
              <w:rPr>
                <w:rStyle w:val="Hyperlink"/>
                <w:b/>
                <w:bCs/>
                <w:noProof/>
              </w:rPr>
              <w:t>1. Introduction</w:t>
            </w:r>
            <w:r>
              <w:rPr>
                <w:noProof/>
                <w:webHidden/>
              </w:rPr>
              <w:tab/>
            </w:r>
            <w:r>
              <w:rPr>
                <w:noProof/>
                <w:webHidden/>
              </w:rPr>
              <w:fldChar w:fldCharType="begin"/>
            </w:r>
            <w:r>
              <w:rPr>
                <w:noProof/>
                <w:webHidden/>
              </w:rPr>
              <w:instrText xml:space="preserve"> PAGEREF _Toc41312360 \h </w:instrText>
            </w:r>
            <w:r>
              <w:rPr>
                <w:noProof/>
                <w:webHidden/>
              </w:rPr>
            </w:r>
            <w:r>
              <w:rPr>
                <w:noProof/>
                <w:webHidden/>
              </w:rPr>
              <w:fldChar w:fldCharType="separate"/>
            </w:r>
            <w:r w:rsidR="0021330F">
              <w:rPr>
                <w:noProof/>
                <w:webHidden/>
              </w:rPr>
              <w:t>3</w:t>
            </w:r>
            <w:r>
              <w:rPr>
                <w:noProof/>
                <w:webHidden/>
              </w:rPr>
              <w:fldChar w:fldCharType="end"/>
            </w:r>
          </w:hyperlink>
        </w:p>
        <w:p w14:paraId="50B20453" w14:textId="1FB5ED9C" w:rsidR="00C10985" w:rsidRDefault="00C10985">
          <w:pPr>
            <w:pStyle w:val="TOC1"/>
            <w:tabs>
              <w:tab w:val="right" w:leader="dot" w:pos="9350"/>
            </w:tabs>
            <w:rPr>
              <w:rFonts w:asciiTheme="minorHAnsi" w:hAnsiTheme="minorHAnsi"/>
              <w:noProof/>
              <w:sz w:val="22"/>
            </w:rPr>
          </w:pPr>
          <w:hyperlink w:anchor="_Toc41312361" w:history="1">
            <w:r w:rsidRPr="00B00637">
              <w:rPr>
                <w:rStyle w:val="Hyperlink"/>
                <w:b/>
                <w:bCs/>
                <w:noProof/>
              </w:rPr>
              <w:t>2. Literature Review</w:t>
            </w:r>
            <w:r>
              <w:rPr>
                <w:noProof/>
                <w:webHidden/>
              </w:rPr>
              <w:tab/>
            </w:r>
            <w:r>
              <w:rPr>
                <w:noProof/>
                <w:webHidden/>
              </w:rPr>
              <w:fldChar w:fldCharType="begin"/>
            </w:r>
            <w:r>
              <w:rPr>
                <w:noProof/>
                <w:webHidden/>
              </w:rPr>
              <w:instrText xml:space="preserve"> PAGEREF _Toc41312361 \h </w:instrText>
            </w:r>
            <w:r>
              <w:rPr>
                <w:noProof/>
                <w:webHidden/>
              </w:rPr>
            </w:r>
            <w:r>
              <w:rPr>
                <w:noProof/>
                <w:webHidden/>
              </w:rPr>
              <w:fldChar w:fldCharType="separate"/>
            </w:r>
            <w:r w:rsidR="0021330F">
              <w:rPr>
                <w:noProof/>
                <w:webHidden/>
              </w:rPr>
              <w:t>5</w:t>
            </w:r>
            <w:r>
              <w:rPr>
                <w:noProof/>
                <w:webHidden/>
              </w:rPr>
              <w:fldChar w:fldCharType="end"/>
            </w:r>
          </w:hyperlink>
        </w:p>
        <w:p w14:paraId="585CC45C" w14:textId="5E5FB529" w:rsidR="00C10985" w:rsidRDefault="00C10985">
          <w:pPr>
            <w:pStyle w:val="TOC1"/>
            <w:tabs>
              <w:tab w:val="right" w:leader="dot" w:pos="9350"/>
            </w:tabs>
            <w:rPr>
              <w:rFonts w:asciiTheme="minorHAnsi" w:hAnsiTheme="minorHAnsi"/>
              <w:noProof/>
              <w:sz w:val="22"/>
            </w:rPr>
          </w:pPr>
          <w:hyperlink w:anchor="_Toc41312362" w:history="1">
            <w:r w:rsidRPr="00B00637">
              <w:rPr>
                <w:rStyle w:val="Hyperlink"/>
                <w:b/>
                <w:bCs/>
                <w:noProof/>
              </w:rPr>
              <w:t>3. Dataset and variables</w:t>
            </w:r>
            <w:r>
              <w:rPr>
                <w:noProof/>
                <w:webHidden/>
              </w:rPr>
              <w:tab/>
            </w:r>
            <w:r>
              <w:rPr>
                <w:noProof/>
                <w:webHidden/>
              </w:rPr>
              <w:fldChar w:fldCharType="begin"/>
            </w:r>
            <w:r>
              <w:rPr>
                <w:noProof/>
                <w:webHidden/>
              </w:rPr>
              <w:instrText xml:space="preserve"> PAGEREF _Toc41312362 \h </w:instrText>
            </w:r>
            <w:r>
              <w:rPr>
                <w:noProof/>
                <w:webHidden/>
              </w:rPr>
            </w:r>
            <w:r>
              <w:rPr>
                <w:noProof/>
                <w:webHidden/>
              </w:rPr>
              <w:fldChar w:fldCharType="separate"/>
            </w:r>
            <w:r w:rsidR="0021330F">
              <w:rPr>
                <w:noProof/>
                <w:webHidden/>
              </w:rPr>
              <w:t>10</w:t>
            </w:r>
            <w:r>
              <w:rPr>
                <w:noProof/>
                <w:webHidden/>
              </w:rPr>
              <w:fldChar w:fldCharType="end"/>
            </w:r>
          </w:hyperlink>
        </w:p>
        <w:p w14:paraId="79E5DFF3" w14:textId="11720AFD" w:rsidR="00C10985" w:rsidRDefault="00C10985">
          <w:pPr>
            <w:pStyle w:val="TOC2"/>
            <w:tabs>
              <w:tab w:val="right" w:leader="dot" w:pos="9350"/>
            </w:tabs>
            <w:rPr>
              <w:rFonts w:asciiTheme="minorHAnsi" w:hAnsiTheme="minorHAnsi"/>
              <w:noProof/>
              <w:sz w:val="22"/>
            </w:rPr>
          </w:pPr>
          <w:hyperlink w:anchor="_Toc41312363" w:history="1">
            <w:r w:rsidRPr="00B00637">
              <w:rPr>
                <w:rStyle w:val="Hyperlink"/>
                <w:noProof/>
                <w:lang w:val="en-US"/>
              </w:rPr>
              <w:t>3.1 CHNS data</w:t>
            </w:r>
            <w:r>
              <w:rPr>
                <w:noProof/>
                <w:webHidden/>
              </w:rPr>
              <w:tab/>
            </w:r>
            <w:r>
              <w:rPr>
                <w:noProof/>
                <w:webHidden/>
              </w:rPr>
              <w:fldChar w:fldCharType="begin"/>
            </w:r>
            <w:r>
              <w:rPr>
                <w:noProof/>
                <w:webHidden/>
              </w:rPr>
              <w:instrText xml:space="preserve"> PAGEREF _Toc41312363 \h </w:instrText>
            </w:r>
            <w:r>
              <w:rPr>
                <w:noProof/>
                <w:webHidden/>
              </w:rPr>
            </w:r>
            <w:r>
              <w:rPr>
                <w:noProof/>
                <w:webHidden/>
              </w:rPr>
              <w:fldChar w:fldCharType="separate"/>
            </w:r>
            <w:r w:rsidR="0021330F">
              <w:rPr>
                <w:noProof/>
                <w:webHidden/>
              </w:rPr>
              <w:t>10</w:t>
            </w:r>
            <w:r>
              <w:rPr>
                <w:noProof/>
                <w:webHidden/>
              </w:rPr>
              <w:fldChar w:fldCharType="end"/>
            </w:r>
          </w:hyperlink>
        </w:p>
        <w:p w14:paraId="02CD6804" w14:textId="58261CBE" w:rsidR="00C10985" w:rsidRDefault="00C10985">
          <w:pPr>
            <w:pStyle w:val="TOC2"/>
            <w:tabs>
              <w:tab w:val="right" w:leader="dot" w:pos="9350"/>
            </w:tabs>
            <w:rPr>
              <w:rFonts w:asciiTheme="minorHAnsi" w:hAnsiTheme="minorHAnsi"/>
              <w:noProof/>
              <w:sz w:val="22"/>
            </w:rPr>
          </w:pPr>
          <w:hyperlink w:anchor="_Toc41312364" w:history="1">
            <w:r w:rsidRPr="00B00637">
              <w:rPr>
                <w:rStyle w:val="Hyperlink"/>
                <w:noProof/>
              </w:rPr>
              <w:t>3.2 Dependent Variables (Health outcomes of interest)</w:t>
            </w:r>
            <w:r>
              <w:rPr>
                <w:noProof/>
                <w:webHidden/>
              </w:rPr>
              <w:tab/>
            </w:r>
            <w:r>
              <w:rPr>
                <w:noProof/>
                <w:webHidden/>
              </w:rPr>
              <w:fldChar w:fldCharType="begin"/>
            </w:r>
            <w:r>
              <w:rPr>
                <w:noProof/>
                <w:webHidden/>
              </w:rPr>
              <w:instrText xml:space="preserve"> PAGEREF _Toc41312364 \h </w:instrText>
            </w:r>
            <w:r>
              <w:rPr>
                <w:noProof/>
                <w:webHidden/>
              </w:rPr>
            </w:r>
            <w:r>
              <w:rPr>
                <w:noProof/>
                <w:webHidden/>
              </w:rPr>
              <w:fldChar w:fldCharType="separate"/>
            </w:r>
            <w:r w:rsidR="0021330F">
              <w:rPr>
                <w:noProof/>
                <w:webHidden/>
              </w:rPr>
              <w:t>11</w:t>
            </w:r>
            <w:r>
              <w:rPr>
                <w:noProof/>
                <w:webHidden/>
              </w:rPr>
              <w:fldChar w:fldCharType="end"/>
            </w:r>
          </w:hyperlink>
        </w:p>
        <w:p w14:paraId="1D1C02F3" w14:textId="581CF425" w:rsidR="00C10985" w:rsidRDefault="00C10985">
          <w:pPr>
            <w:pStyle w:val="TOC2"/>
            <w:tabs>
              <w:tab w:val="right" w:leader="dot" w:pos="9350"/>
            </w:tabs>
            <w:rPr>
              <w:rFonts w:asciiTheme="minorHAnsi" w:hAnsiTheme="minorHAnsi"/>
              <w:noProof/>
              <w:sz w:val="22"/>
            </w:rPr>
          </w:pPr>
          <w:hyperlink w:anchor="_Toc41312365" w:history="1">
            <w:r w:rsidRPr="00B00637">
              <w:rPr>
                <w:rStyle w:val="Hyperlink"/>
                <w:noProof/>
              </w:rPr>
              <w:t>3.3 Independent Variables</w:t>
            </w:r>
            <w:r>
              <w:rPr>
                <w:noProof/>
                <w:webHidden/>
              </w:rPr>
              <w:tab/>
            </w:r>
            <w:r>
              <w:rPr>
                <w:noProof/>
                <w:webHidden/>
              </w:rPr>
              <w:fldChar w:fldCharType="begin"/>
            </w:r>
            <w:r>
              <w:rPr>
                <w:noProof/>
                <w:webHidden/>
              </w:rPr>
              <w:instrText xml:space="preserve"> PAGEREF _Toc41312365 \h </w:instrText>
            </w:r>
            <w:r>
              <w:rPr>
                <w:noProof/>
                <w:webHidden/>
              </w:rPr>
            </w:r>
            <w:r>
              <w:rPr>
                <w:noProof/>
                <w:webHidden/>
              </w:rPr>
              <w:fldChar w:fldCharType="separate"/>
            </w:r>
            <w:r w:rsidR="0021330F">
              <w:rPr>
                <w:noProof/>
                <w:webHidden/>
              </w:rPr>
              <w:t>16</w:t>
            </w:r>
            <w:r>
              <w:rPr>
                <w:noProof/>
                <w:webHidden/>
              </w:rPr>
              <w:fldChar w:fldCharType="end"/>
            </w:r>
          </w:hyperlink>
        </w:p>
        <w:p w14:paraId="56A9DF2C" w14:textId="496CC0C1" w:rsidR="00C10985" w:rsidRDefault="00C10985">
          <w:pPr>
            <w:pStyle w:val="TOC1"/>
            <w:tabs>
              <w:tab w:val="right" w:leader="dot" w:pos="9350"/>
            </w:tabs>
            <w:rPr>
              <w:rFonts w:asciiTheme="minorHAnsi" w:hAnsiTheme="minorHAnsi"/>
              <w:noProof/>
              <w:sz w:val="22"/>
            </w:rPr>
          </w:pPr>
          <w:hyperlink w:anchor="_Toc41312366" w:history="1">
            <w:r w:rsidRPr="00B00637">
              <w:rPr>
                <w:rStyle w:val="Hyperlink"/>
                <w:b/>
                <w:bCs/>
                <w:noProof/>
              </w:rPr>
              <w:t>4. Empirical Framework</w:t>
            </w:r>
            <w:r>
              <w:rPr>
                <w:noProof/>
                <w:webHidden/>
              </w:rPr>
              <w:tab/>
            </w:r>
            <w:r>
              <w:rPr>
                <w:noProof/>
                <w:webHidden/>
              </w:rPr>
              <w:fldChar w:fldCharType="begin"/>
            </w:r>
            <w:r>
              <w:rPr>
                <w:noProof/>
                <w:webHidden/>
              </w:rPr>
              <w:instrText xml:space="preserve"> PAGEREF _Toc41312366 \h </w:instrText>
            </w:r>
            <w:r>
              <w:rPr>
                <w:noProof/>
                <w:webHidden/>
              </w:rPr>
            </w:r>
            <w:r>
              <w:rPr>
                <w:noProof/>
                <w:webHidden/>
              </w:rPr>
              <w:fldChar w:fldCharType="separate"/>
            </w:r>
            <w:r w:rsidR="0021330F">
              <w:rPr>
                <w:noProof/>
                <w:webHidden/>
              </w:rPr>
              <w:t>17</w:t>
            </w:r>
            <w:r>
              <w:rPr>
                <w:noProof/>
                <w:webHidden/>
              </w:rPr>
              <w:fldChar w:fldCharType="end"/>
            </w:r>
          </w:hyperlink>
        </w:p>
        <w:p w14:paraId="4DE382FC" w14:textId="5EBE5C4A" w:rsidR="00C10985" w:rsidRDefault="00C10985">
          <w:pPr>
            <w:pStyle w:val="TOC2"/>
            <w:tabs>
              <w:tab w:val="right" w:leader="dot" w:pos="9350"/>
            </w:tabs>
            <w:rPr>
              <w:rFonts w:asciiTheme="minorHAnsi" w:hAnsiTheme="minorHAnsi"/>
              <w:noProof/>
              <w:sz w:val="22"/>
            </w:rPr>
          </w:pPr>
          <w:hyperlink w:anchor="_Toc41312367" w:history="1">
            <w:r w:rsidRPr="00B00637">
              <w:rPr>
                <w:rStyle w:val="Hyperlink"/>
                <w:noProof/>
              </w:rPr>
              <w:t>4.1 Compulsory Schooling Laws</w:t>
            </w:r>
            <w:r>
              <w:rPr>
                <w:noProof/>
                <w:webHidden/>
              </w:rPr>
              <w:tab/>
            </w:r>
            <w:r>
              <w:rPr>
                <w:noProof/>
                <w:webHidden/>
              </w:rPr>
              <w:fldChar w:fldCharType="begin"/>
            </w:r>
            <w:r>
              <w:rPr>
                <w:noProof/>
                <w:webHidden/>
              </w:rPr>
              <w:instrText xml:space="preserve"> PAGEREF _Toc41312367 \h </w:instrText>
            </w:r>
            <w:r>
              <w:rPr>
                <w:noProof/>
                <w:webHidden/>
              </w:rPr>
            </w:r>
            <w:r>
              <w:rPr>
                <w:noProof/>
                <w:webHidden/>
              </w:rPr>
              <w:fldChar w:fldCharType="separate"/>
            </w:r>
            <w:r w:rsidR="0021330F">
              <w:rPr>
                <w:noProof/>
                <w:webHidden/>
              </w:rPr>
              <w:t>17</w:t>
            </w:r>
            <w:r>
              <w:rPr>
                <w:noProof/>
                <w:webHidden/>
              </w:rPr>
              <w:fldChar w:fldCharType="end"/>
            </w:r>
          </w:hyperlink>
        </w:p>
        <w:p w14:paraId="2C24DBE2" w14:textId="16D93D76" w:rsidR="00C10985" w:rsidRDefault="00C10985">
          <w:pPr>
            <w:pStyle w:val="TOC2"/>
            <w:tabs>
              <w:tab w:val="right" w:leader="dot" w:pos="9350"/>
            </w:tabs>
            <w:rPr>
              <w:rFonts w:asciiTheme="minorHAnsi" w:hAnsiTheme="minorHAnsi"/>
              <w:noProof/>
              <w:sz w:val="22"/>
            </w:rPr>
          </w:pPr>
          <w:hyperlink w:anchor="_Toc41312368" w:history="1">
            <w:r w:rsidRPr="00B00637">
              <w:rPr>
                <w:rStyle w:val="Hyperlink"/>
                <w:noProof/>
              </w:rPr>
              <w:t>4.2 Baseline model</w:t>
            </w:r>
            <w:r>
              <w:rPr>
                <w:noProof/>
                <w:webHidden/>
              </w:rPr>
              <w:tab/>
            </w:r>
            <w:r>
              <w:rPr>
                <w:noProof/>
                <w:webHidden/>
              </w:rPr>
              <w:fldChar w:fldCharType="begin"/>
            </w:r>
            <w:r>
              <w:rPr>
                <w:noProof/>
                <w:webHidden/>
              </w:rPr>
              <w:instrText xml:space="preserve"> PAGEREF _Toc41312368 \h </w:instrText>
            </w:r>
            <w:r>
              <w:rPr>
                <w:noProof/>
                <w:webHidden/>
              </w:rPr>
            </w:r>
            <w:r>
              <w:rPr>
                <w:noProof/>
                <w:webHidden/>
              </w:rPr>
              <w:fldChar w:fldCharType="separate"/>
            </w:r>
            <w:r w:rsidR="0021330F">
              <w:rPr>
                <w:noProof/>
                <w:webHidden/>
              </w:rPr>
              <w:t>18</w:t>
            </w:r>
            <w:r>
              <w:rPr>
                <w:noProof/>
                <w:webHidden/>
              </w:rPr>
              <w:fldChar w:fldCharType="end"/>
            </w:r>
          </w:hyperlink>
        </w:p>
        <w:p w14:paraId="1D143AE1" w14:textId="4EF8AD3E" w:rsidR="00C10985" w:rsidRDefault="00C10985">
          <w:pPr>
            <w:pStyle w:val="TOC2"/>
            <w:tabs>
              <w:tab w:val="right" w:leader="dot" w:pos="9350"/>
            </w:tabs>
            <w:rPr>
              <w:rFonts w:asciiTheme="minorHAnsi" w:hAnsiTheme="minorHAnsi"/>
              <w:noProof/>
              <w:sz w:val="22"/>
            </w:rPr>
          </w:pPr>
          <w:hyperlink w:anchor="_Toc41312369" w:history="1">
            <w:r w:rsidRPr="00B00637">
              <w:rPr>
                <w:rStyle w:val="Hyperlink"/>
                <w:noProof/>
              </w:rPr>
              <w:t>4.3 Instrumental variable approach</w:t>
            </w:r>
            <w:r>
              <w:rPr>
                <w:noProof/>
                <w:webHidden/>
              </w:rPr>
              <w:tab/>
            </w:r>
            <w:r>
              <w:rPr>
                <w:noProof/>
                <w:webHidden/>
              </w:rPr>
              <w:fldChar w:fldCharType="begin"/>
            </w:r>
            <w:r>
              <w:rPr>
                <w:noProof/>
                <w:webHidden/>
              </w:rPr>
              <w:instrText xml:space="preserve"> PAGEREF _Toc41312369 \h </w:instrText>
            </w:r>
            <w:r>
              <w:rPr>
                <w:noProof/>
                <w:webHidden/>
              </w:rPr>
            </w:r>
            <w:r>
              <w:rPr>
                <w:noProof/>
                <w:webHidden/>
              </w:rPr>
              <w:fldChar w:fldCharType="separate"/>
            </w:r>
            <w:r w:rsidR="0021330F">
              <w:rPr>
                <w:noProof/>
                <w:webHidden/>
              </w:rPr>
              <w:t>20</w:t>
            </w:r>
            <w:r>
              <w:rPr>
                <w:noProof/>
                <w:webHidden/>
              </w:rPr>
              <w:fldChar w:fldCharType="end"/>
            </w:r>
          </w:hyperlink>
        </w:p>
        <w:p w14:paraId="2C23920C" w14:textId="66BEB2BB" w:rsidR="00C10985" w:rsidRDefault="00C10985">
          <w:pPr>
            <w:pStyle w:val="TOC1"/>
            <w:tabs>
              <w:tab w:val="right" w:leader="dot" w:pos="9350"/>
            </w:tabs>
            <w:rPr>
              <w:rFonts w:asciiTheme="minorHAnsi" w:hAnsiTheme="minorHAnsi"/>
              <w:noProof/>
              <w:sz w:val="22"/>
            </w:rPr>
          </w:pPr>
          <w:hyperlink w:anchor="_Toc41312370" w:history="1">
            <w:r w:rsidRPr="00B00637">
              <w:rPr>
                <w:rStyle w:val="Hyperlink"/>
                <w:b/>
                <w:bCs/>
                <w:noProof/>
              </w:rPr>
              <w:t>5. Empirical Results</w:t>
            </w:r>
            <w:r>
              <w:rPr>
                <w:noProof/>
                <w:webHidden/>
              </w:rPr>
              <w:tab/>
            </w:r>
            <w:r>
              <w:rPr>
                <w:noProof/>
                <w:webHidden/>
              </w:rPr>
              <w:fldChar w:fldCharType="begin"/>
            </w:r>
            <w:r>
              <w:rPr>
                <w:noProof/>
                <w:webHidden/>
              </w:rPr>
              <w:instrText xml:space="preserve"> PAGEREF _Toc41312370 \h </w:instrText>
            </w:r>
            <w:r>
              <w:rPr>
                <w:noProof/>
                <w:webHidden/>
              </w:rPr>
            </w:r>
            <w:r>
              <w:rPr>
                <w:noProof/>
                <w:webHidden/>
              </w:rPr>
              <w:fldChar w:fldCharType="separate"/>
            </w:r>
            <w:r w:rsidR="0021330F">
              <w:rPr>
                <w:noProof/>
                <w:webHidden/>
              </w:rPr>
              <w:t>23</w:t>
            </w:r>
            <w:r>
              <w:rPr>
                <w:noProof/>
                <w:webHidden/>
              </w:rPr>
              <w:fldChar w:fldCharType="end"/>
            </w:r>
          </w:hyperlink>
        </w:p>
        <w:p w14:paraId="6BA694B3" w14:textId="5237C970" w:rsidR="00C10985" w:rsidRDefault="00C10985">
          <w:pPr>
            <w:pStyle w:val="TOC2"/>
            <w:tabs>
              <w:tab w:val="right" w:leader="dot" w:pos="9350"/>
            </w:tabs>
            <w:rPr>
              <w:rFonts w:asciiTheme="minorHAnsi" w:hAnsiTheme="minorHAnsi"/>
              <w:noProof/>
              <w:sz w:val="22"/>
            </w:rPr>
          </w:pPr>
          <w:hyperlink w:anchor="_Toc41312371" w:history="1">
            <w:r w:rsidRPr="00B00637">
              <w:rPr>
                <w:rStyle w:val="Hyperlink"/>
                <w:noProof/>
              </w:rPr>
              <w:t>5.1 First-stage: Impact of CSL on education</w:t>
            </w:r>
            <w:r>
              <w:rPr>
                <w:noProof/>
                <w:webHidden/>
              </w:rPr>
              <w:tab/>
            </w:r>
            <w:r>
              <w:rPr>
                <w:noProof/>
                <w:webHidden/>
              </w:rPr>
              <w:fldChar w:fldCharType="begin"/>
            </w:r>
            <w:r>
              <w:rPr>
                <w:noProof/>
                <w:webHidden/>
              </w:rPr>
              <w:instrText xml:space="preserve"> PAGEREF _Toc41312371 \h </w:instrText>
            </w:r>
            <w:r>
              <w:rPr>
                <w:noProof/>
                <w:webHidden/>
              </w:rPr>
            </w:r>
            <w:r>
              <w:rPr>
                <w:noProof/>
                <w:webHidden/>
              </w:rPr>
              <w:fldChar w:fldCharType="separate"/>
            </w:r>
            <w:r w:rsidR="0021330F">
              <w:rPr>
                <w:noProof/>
                <w:webHidden/>
              </w:rPr>
              <w:t>23</w:t>
            </w:r>
            <w:r>
              <w:rPr>
                <w:noProof/>
                <w:webHidden/>
              </w:rPr>
              <w:fldChar w:fldCharType="end"/>
            </w:r>
          </w:hyperlink>
        </w:p>
        <w:p w14:paraId="70A375A9" w14:textId="120E1618" w:rsidR="00C10985" w:rsidRDefault="00C10985">
          <w:pPr>
            <w:pStyle w:val="TOC2"/>
            <w:tabs>
              <w:tab w:val="right" w:leader="dot" w:pos="9350"/>
            </w:tabs>
            <w:rPr>
              <w:rFonts w:asciiTheme="minorHAnsi" w:hAnsiTheme="minorHAnsi"/>
              <w:noProof/>
              <w:sz w:val="22"/>
            </w:rPr>
          </w:pPr>
          <w:hyperlink w:anchor="_Toc41312372" w:history="1">
            <w:r w:rsidRPr="00B00637">
              <w:rPr>
                <w:rStyle w:val="Hyperlink"/>
                <w:noProof/>
              </w:rPr>
              <w:t>5.2 Impact of education on health variables</w:t>
            </w:r>
            <w:r>
              <w:rPr>
                <w:noProof/>
                <w:webHidden/>
              </w:rPr>
              <w:tab/>
            </w:r>
            <w:r>
              <w:rPr>
                <w:noProof/>
                <w:webHidden/>
              </w:rPr>
              <w:fldChar w:fldCharType="begin"/>
            </w:r>
            <w:r>
              <w:rPr>
                <w:noProof/>
                <w:webHidden/>
              </w:rPr>
              <w:instrText xml:space="preserve"> PAGEREF _Toc41312372 \h </w:instrText>
            </w:r>
            <w:r>
              <w:rPr>
                <w:noProof/>
                <w:webHidden/>
              </w:rPr>
            </w:r>
            <w:r>
              <w:rPr>
                <w:noProof/>
                <w:webHidden/>
              </w:rPr>
              <w:fldChar w:fldCharType="separate"/>
            </w:r>
            <w:r w:rsidR="0021330F">
              <w:rPr>
                <w:noProof/>
                <w:webHidden/>
              </w:rPr>
              <w:t>26</w:t>
            </w:r>
            <w:r>
              <w:rPr>
                <w:noProof/>
                <w:webHidden/>
              </w:rPr>
              <w:fldChar w:fldCharType="end"/>
            </w:r>
          </w:hyperlink>
        </w:p>
        <w:p w14:paraId="49E5BE1E" w14:textId="58EB6DF4" w:rsidR="00C10985" w:rsidRDefault="00C10985">
          <w:pPr>
            <w:pStyle w:val="TOC3"/>
            <w:tabs>
              <w:tab w:val="right" w:leader="dot" w:pos="9350"/>
            </w:tabs>
            <w:rPr>
              <w:rFonts w:asciiTheme="minorHAnsi" w:hAnsiTheme="minorHAnsi"/>
              <w:noProof/>
              <w:sz w:val="22"/>
            </w:rPr>
          </w:pPr>
          <w:hyperlink w:anchor="_Toc41312373" w:history="1">
            <w:r w:rsidRPr="00B00637">
              <w:rPr>
                <w:rStyle w:val="Hyperlink"/>
                <w:noProof/>
              </w:rPr>
              <w:t>5.2.1 Effect of education on health status</w:t>
            </w:r>
            <w:r>
              <w:rPr>
                <w:noProof/>
                <w:webHidden/>
              </w:rPr>
              <w:tab/>
            </w:r>
            <w:r>
              <w:rPr>
                <w:noProof/>
                <w:webHidden/>
              </w:rPr>
              <w:fldChar w:fldCharType="begin"/>
            </w:r>
            <w:r>
              <w:rPr>
                <w:noProof/>
                <w:webHidden/>
              </w:rPr>
              <w:instrText xml:space="preserve"> PAGEREF _Toc41312373 \h </w:instrText>
            </w:r>
            <w:r>
              <w:rPr>
                <w:noProof/>
                <w:webHidden/>
              </w:rPr>
            </w:r>
            <w:r>
              <w:rPr>
                <w:noProof/>
                <w:webHidden/>
              </w:rPr>
              <w:fldChar w:fldCharType="separate"/>
            </w:r>
            <w:r w:rsidR="0021330F">
              <w:rPr>
                <w:noProof/>
                <w:webHidden/>
              </w:rPr>
              <w:t>26</w:t>
            </w:r>
            <w:r>
              <w:rPr>
                <w:noProof/>
                <w:webHidden/>
              </w:rPr>
              <w:fldChar w:fldCharType="end"/>
            </w:r>
          </w:hyperlink>
        </w:p>
        <w:p w14:paraId="0DBB6A21" w14:textId="498724A9" w:rsidR="00C10985" w:rsidRDefault="00C10985">
          <w:pPr>
            <w:pStyle w:val="TOC3"/>
            <w:tabs>
              <w:tab w:val="right" w:leader="dot" w:pos="9350"/>
            </w:tabs>
            <w:rPr>
              <w:rFonts w:asciiTheme="minorHAnsi" w:hAnsiTheme="minorHAnsi"/>
              <w:noProof/>
              <w:sz w:val="22"/>
            </w:rPr>
          </w:pPr>
          <w:hyperlink w:anchor="_Toc41312374" w:history="1">
            <w:r w:rsidRPr="00B00637">
              <w:rPr>
                <w:rStyle w:val="Hyperlink"/>
                <w:noProof/>
              </w:rPr>
              <w:t>5.2.2 Effect of education on BMI-related variables</w:t>
            </w:r>
            <w:r>
              <w:rPr>
                <w:noProof/>
                <w:webHidden/>
              </w:rPr>
              <w:tab/>
            </w:r>
            <w:r>
              <w:rPr>
                <w:noProof/>
                <w:webHidden/>
              </w:rPr>
              <w:fldChar w:fldCharType="begin"/>
            </w:r>
            <w:r>
              <w:rPr>
                <w:noProof/>
                <w:webHidden/>
              </w:rPr>
              <w:instrText xml:space="preserve"> PAGEREF _Toc41312374 \h </w:instrText>
            </w:r>
            <w:r>
              <w:rPr>
                <w:noProof/>
                <w:webHidden/>
              </w:rPr>
            </w:r>
            <w:r>
              <w:rPr>
                <w:noProof/>
                <w:webHidden/>
              </w:rPr>
              <w:fldChar w:fldCharType="separate"/>
            </w:r>
            <w:r w:rsidR="0021330F">
              <w:rPr>
                <w:noProof/>
                <w:webHidden/>
              </w:rPr>
              <w:t>28</w:t>
            </w:r>
            <w:r>
              <w:rPr>
                <w:noProof/>
                <w:webHidden/>
              </w:rPr>
              <w:fldChar w:fldCharType="end"/>
            </w:r>
          </w:hyperlink>
        </w:p>
        <w:p w14:paraId="69E336AC" w14:textId="7E9F347C" w:rsidR="00C10985" w:rsidRDefault="00C10985">
          <w:pPr>
            <w:pStyle w:val="TOC3"/>
            <w:tabs>
              <w:tab w:val="right" w:leader="dot" w:pos="9350"/>
            </w:tabs>
            <w:rPr>
              <w:rFonts w:asciiTheme="minorHAnsi" w:hAnsiTheme="minorHAnsi"/>
              <w:noProof/>
              <w:sz w:val="22"/>
            </w:rPr>
          </w:pPr>
          <w:hyperlink w:anchor="_Toc41312375" w:history="1">
            <w:r w:rsidRPr="00B00637">
              <w:rPr>
                <w:rStyle w:val="Hyperlink"/>
                <w:noProof/>
              </w:rPr>
              <w:t>5.2.3 Effect of education on smoking</w:t>
            </w:r>
            <w:r>
              <w:rPr>
                <w:noProof/>
                <w:webHidden/>
              </w:rPr>
              <w:tab/>
            </w:r>
            <w:r>
              <w:rPr>
                <w:noProof/>
                <w:webHidden/>
              </w:rPr>
              <w:fldChar w:fldCharType="begin"/>
            </w:r>
            <w:r>
              <w:rPr>
                <w:noProof/>
                <w:webHidden/>
              </w:rPr>
              <w:instrText xml:space="preserve"> PAGEREF _Toc41312375 \h </w:instrText>
            </w:r>
            <w:r>
              <w:rPr>
                <w:noProof/>
                <w:webHidden/>
              </w:rPr>
            </w:r>
            <w:r>
              <w:rPr>
                <w:noProof/>
                <w:webHidden/>
              </w:rPr>
              <w:fldChar w:fldCharType="separate"/>
            </w:r>
            <w:r w:rsidR="0021330F">
              <w:rPr>
                <w:noProof/>
                <w:webHidden/>
              </w:rPr>
              <w:t>31</w:t>
            </w:r>
            <w:r>
              <w:rPr>
                <w:noProof/>
                <w:webHidden/>
              </w:rPr>
              <w:fldChar w:fldCharType="end"/>
            </w:r>
          </w:hyperlink>
        </w:p>
        <w:p w14:paraId="4CB557A6" w14:textId="640BF546" w:rsidR="00C10985" w:rsidRDefault="00C10985">
          <w:pPr>
            <w:pStyle w:val="TOC3"/>
            <w:tabs>
              <w:tab w:val="right" w:leader="dot" w:pos="9350"/>
            </w:tabs>
            <w:rPr>
              <w:rFonts w:asciiTheme="minorHAnsi" w:hAnsiTheme="minorHAnsi"/>
              <w:noProof/>
              <w:sz w:val="22"/>
            </w:rPr>
          </w:pPr>
          <w:hyperlink w:anchor="_Toc41312376" w:history="1">
            <w:r w:rsidRPr="00B00637">
              <w:rPr>
                <w:rStyle w:val="Hyperlink"/>
                <w:noProof/>
              </w:rPr>
              <w:t>5.2.4 Effect of education on physical activity</w:t>
            </w:r>
            <w:r>
              <w:rPr>
                <w:noProof/>
                <w:webHidden/>
              </w:rPr>
              <w:tab/>
            </w:r>
            <w:r>
              <w:rPr>
                <w:noProof/>
                <w:webHidden/>
              </w:rPr>
              <w:fldChar w:fldCharType="begin"/>
            </w:r>
            <w:r>
              <w:rPr>
                <w:noProof/>
                <w:webHidden/>
              </w:rPr>
              <w:instrText xml:space="preserve"> PAGEREF _Toc41312376 \h </w:instrText>
            </w:r>
            <w:r>
              <w:rPr>
                <w:noProof/>
                <w:webHidden/>
              </w:rPr>
            </w:r>
            <w:r>
              <w:rPr>
                <w:noProof/>
                <w:webHidden/>
              </w:rPr>
              <w:fldChar w:fldCharType="separate"/>
            </w:r>
            <w:r w:rsidR="0021330F">
              <w:rPr>
                <w:noProof/>
                <w:webHidden/>
              </w:rPr>
              <w:t>33</w:t>
            </w:r>
            <w:r>
              <w:rPr>
                <w:noProof/>
                <w:webHidden/>
              </w:rPr>
              <w:fldChar w:fldCharType="end"/>
            </w:r>
          </w:hyperlink>
        </w:p>
        <w:p w14:paraId="63F05C1C" w14:textId="18A89F3F" w:rsidR="00C10985" w:rsidRDefault="00C10985">
          <w:pPr>
            <w:pStyle w:val="TOC2"/>
            <w:tabs>
              <w:tab w:val="right" w:leader="dot" w:pos="9350"/>
            </w:tabs>
            <w:rPr>
              <w:rFonts w:asciiTheme="minorHAnsi" w:hAnsiTheme="minorHAnsi"/>
              <w:noProof/>
              <w:sz w:val="22"/>
            </w:rPr>
          </w:pPr>
          <w:hyperlink w:anchor="_Toc41312377" w:history="1">
            <w:r w:rsidRPr="00B00637">
              <w:rPr>
                <w:rStyle w:val="Hyperlink"/>
                <w:noProof/>
              </w:rPr>
              <w:t>5.3 Robustness Check</w:t>
            </w:r>
            <w:r>
              <w:rPr>
                <w:noProof/>
                <w:webHidden/>
              </w:rPr>
              <w:tab/>
            </w:r>
            <w:r>
              <w:rPr>
                <w:noProof/>
                <w:webHidden/>
              </w:rPr>
              <w:fldChar w:fldCharType="begin"/>
            </w:r>
            <w:r>
              <w:rPr>
                <w:noProof/>
                <w:webHidden/>
              </w:rPr>
              <w:instrText xml:space="preserve"> PAGEREF _Toc41312377 \h </w:instrText>
            </w:r>
            <w:r>
              <w:rPr>
                <w:noProof/>
                <w:webHidden/>
              </w:rPr>
            </w:r>
            <w:r>
              <w:rPr>
                <w:noProof/>
                <w:webHidden/>
              </w:rPr>
              <w:fldChar w:fldCharType="separate"/>
            </w:r>
            <w:r w:rsidR="0021330F">
              <w:rPr>
                <w:noProof/>
                <w:webHidden/>
              </w:rPr>
              <w:t>34</w:t>
            </w:r>
            <w:r>
              <w:rPr>
                <w:noProof/>
                <w:webHidden/>
              </w:rPr>
              <w:fldChar w:fldCharType="end"/>
            </w:r>
          </w:hyperlink>
        </w:p>
        <w:p w14:paraId="170A9217" w14:textId="373A0177" w:rsidR="00C10985" w:rsidRDefault="00C10985">
          <w:pPr>
            <w:pStyle w:val="TOC3"/>
            <w:tabs>
              <w:tab w:val="right" w:leader="dot" w:pos="9350"/>
            </w:tabs>
            <w:rPr>
              <w:rFonts w:asciiTheme="minorHAnsi" w:hAnsiTheme="minorHAnsi"/>
              <w:noProof/>
              <w:sz w:val="22"/>
            </w:rPr>
          </w:pPr>
          <w:hyperlink w:anchor="_Toc41312378" w:history="1">
            <w:r w:rsidRPr="00B00637">
              <w:rPr>
                <w:rStyle w:val="Hyperlink"/>
                <w:noProof/>
              </w:rPr>
              <w:t>5.3.1 Robustness of excluding high income</w:t>
            </w:r>
            <w:r>
              <w:rPr>
                <w:noProof/>
                <w:webHidden/>
              </w:rPr>
              <w:tab/>
            </w:r>
            <w:r>
              <w:rPr>
                <w:noProof/>
                <w:webHidden/>
              </w:rPr>
              <w:fldChar w:fldCharType="begin"/>
            </w:r>
            <w:r>
              <w:rPr>
                <w:noProof/>
                <w:webHidden/>
              </w:rPr>
              <w:instrText xml:space="preserve"> PAGEREF _Toc41312378 \h </w:instrText>
            </w:r>
            <w:r>
              <w:rPr>
                <w:noProof/>
                <w:webHidden/>
              </w:rPr>
            </w:r>
            <w:r>
              <w:rPr>
                <w:noProof/>
                <w:webHidden/>
              </w:rPr>
              <w:fldChar w:fldCharType="separate"/>
            </w:r>
            <w:r w:rsidR="0021330F">
              <w:rPr>
                <w:noProof/>
                <w:webHidden/>
              </w:rPr>
              <w:t>34</w:t>
            </w:r>
            <w:r>
              <w:rPr>
                <w:noProof/>
                <w:webHidden/>
              </w:rPr>
              <w:fldChar w:fldCharType="end"/>
            </w:r>
          </w:hyperlink>
        </w:p>
        <w:p w14:paraId="0B932FC3" w14:textId="70A509A6" w:rsidR="00C10985" w:rsidRDefault="00C10985">
          <w:pPr>
            <w:pStyle w:val="TOC1"/>
            <w:tabs>
              <w:tab w:val="right" w:leader="dot" w:pos="9350"/>
            </w:tabs>
            <w:rPr>
              <w:rFonts w:asciiTheme="minorHAnsi" w:hAnsiTheme="minorHAnsi"/>
              <w:noProof/>
              <w:sz w:val="22"/>
            </w:rPr>
          </w:pPr>
          <w:hyperlink w:anchor="_Toc41312379" w:history="1">
            <w:r w:rsidRPr="00B00637">
              <w:rPr>
                <w:rStyle w:val="Hyperlink"/>
                <w:b/>
                <w:bCs/>
                <w:noProof/>
              </w:rPr>
              <w:t>6. Conclusion</w:t>
            </w:r>
            <w:r>
              <w:rPr>
                <w:noProof/>
                <w:webHidden/>
              </w:rPr>
              <w:tab/>
            </w:r>
            <w:r>
              <w:rPr>
                <w:noProof/>
                <w:webHidden/>
              </w:rPr>
              <w:fldChar w:fldCharType="begin"/>
            </w:r>
            <w:r>
              <w:rPr>
                <w:noProof/>
                <w:webHidden/>
              </w:rPr>
              <w:instrText xml:space="preserve"> PAGEREF _Toc41312379 \h </w:instrText>
            </w:r>
            <w:r>
              <w:rPr>
                <w:noProof/>
                <w:webHidden/>
              </w:rPr>
            </w:r>
            <w:r>
              <w:rPr>
                <w:noProof/>
                <w:webHidden/>
              </w:rPr>
              <w:fldChar w:fldCharType="separate"/>
            </w:r>
            <w:r w:rsidR="0021330F">
              <w:rPr>
                <w:noProof/>
                <w:webHidden/>
              </w:rPr>
              <w:t>37</w:t>
            </w:r>
            <w:r>
              <w:rPr>
                <w:noProof/>
                <w:webHidden/>
              </w:rPr>
              <w:fldChar w:fldCharType="end"/>
            </w:r>
          </w:hyperlink>
        </w:p>
        <w:p w14:paraId="289BF02F" w14:textId="1661A927" w:rsidR="00C10985" w:rsidRDefault="00C10985">
          <w:pPr>
            <w:pStyle w:val="TOC1"/>
            <w:tabs>
              <w:tab w:val="right" w:leader="dot" w:pos="9350"/>
            </w:tabs>
            <w:rPr>
              <w:rFonts w:asciiTheme="minorHAnsi" w:hAnsiTheme="minorHAnsi"/>
              <w:noProof/>
              <w:sz w:val="22"/>
            </w:rPr>
          </w:pPr>
          <w:hyperlink w:anchor="_Toc41312380" w:history="1">
            <w:r w:rsidRPr="00B00637">
              <w:rPr>
                <w:rStyle w:val="Hyperlink"/>
                <w:noProof/>
              </w:rPr>
              <w:t>Appendix</w:t>
            </w:r>
            <w:r>
              <w:rPr>
                <w:noProof/>
                <w:webHidden/>
              </w:rPr>
              <w:tab/>
            </w:r>
            <w:r>
              <w:rPr>
                <w:noProof/>
                <w:webHidden/>
              </w:rPr>
              <w:fldChar w:fldCharType="begin"/>
            </w:r>
            <w:r>
              <w:rPr>
                <w:noProof/>
                <w:webHidden/>
              </w:rPr>
              <w:instrText xml:space="preserve"> PAGEREF _Toc41312380 \h </w:instrText>
            </w:r>
            <w:r>
              <w:rPr>
                <w:noProof/>
                <w:webHidden/>
              </w:rPr>
            </w:r>
            <w:r>
              <w:rPr>
                <w:noProof/>
                <w:webHidden/>
              </w:rPr>
              <w:fldChar w:fldCharType="separate"/>
            </w:r>
            <w:r w:rsidR="0021330F">
              <w:rPr>
                <w:noProof/>
                <w:webHidden/>
              </w:rPr>
              <w:t>38</w:t>
            </w:r>
            <w:r>
              <w:rPr>
                <w:noProof/>
                <w:webHidden/>
              </w:rPr>
              <w:fldChar w:fldCharType="end"/>
            </w:r>
          </w:hyperlink>
        </w:p>
        <w:p w14:paraId="0159F23A" w14:textId="76E2457F" w:rsidR="00C10985" w:rsidRDefault="00C10985">
          <w:pPr>
            <w:pStyle w:val="TOC1"/>
            <w:tabs>
              <w:tab w:val="right" w:leader="dot" w:pos="9350"/>
            </w:tabs>
            <w:rPr>
              <w:rFonts w:asciiTheme="minorHAnsi" w:hAnsiTheme="minorHAnsi"/>
              <w:noProof/>
              <w:sz w:val="22"/>
            </w:rPr>
          </w:pPr>
          <w:hyperlink w:anchor="_Toc41312381" w:history="1">
            <w:r w:rsidRPr="00B00637">
              <w:rPr>
                <w:rStyle w:val="Hyperlink"/>
                <w:rFonts w:cs="Times New Roman"/>
                <w:noProof/>
                <w:lang w:val="en-US"/>
              </w:rPr>
              <w:t>Reference</w:t>
            </w:r>
            <w:r>
              <w:rPr>
                <w:noProof/>
                <w:webHidden/>
              </w:rPr>
              <w:tab/>
            </w:r>
            <w:r>
              <w:rPr>
                <w:noProof/>
                <w:webHidden/>
              </w:rPr>
              <w:fldChar w:fldCharType="begin"/>
            </w:r>
            <w:r>
              <w:rPr>
                <w:noProof/>
                <w:webHidden/>
              </w:rPr>
              <w:instrText xml:space="preserve"> PAGEREF _Toc41312381 \h </w:instrText>
            </w:r>
            <w:r>
              <w:rPr>
                <w:noProof/>
                <w:webHidden/>
              </w:rPr>
            </w:r>
            <w:r>
              <w:rPr>
                <w:noProof/>
                <w:webHidden/>
              </w:rPr>
              <w:fldChar w:fldCharType="separate"/>
            </w:r>
            <w:r w:rsidR="0021330F">
              <w:rPr>
                <w:noProof/>
                <w:webHidden/>
              </w:rPr>
              <w:t>39</w:t>
            </w:r>
            <w:r>
              <w:rPr>
                <w:noProof/>
                <w:webHidden/>
              </w:rPr>
              <w:fldChar w:fldCharType="end"/>
            </w:r>
          </w:hyperlink>
        </w:p>
        <w:p w14:paraId="4583E9A4" w14:textId="72AE428E" w:rsidR="004506CE" w:rsidRDefault="004506CE">
          <w:r>
            <w:rPr>
              <w:b/>
              <w:bCs/>
              <w:noProof/>
            </w:rPr>
            <w:fldChar w:fldCharType="end"/>
          </w:r>
        </w:p>
      </w:sdtContent>
    </w:sdt>
    <w:p w14:paraId="35CDF24B" w14:textId="77777777" w:rsidR="006B4002" w:rsidRDefault="006B4002"/>
    <w:p w14:paraId="737283F8" w14:textId="0B3DA8DF" w:rsidR="002A5C39" w:rsidRDefault="002A5C39"/>
    <w:p w14:paraId="57843C84" w14:textId="0A31BB1A" w:rsidR="002A5C39" w:rsidRDefault="002A5C39"/>
    <w:p w14:paraId="30E394A9" w14:textId="550085AE" w:rsidR="00D36878" w:rsidRDefault="00D36878"/>
    <w:p w14:paraId="10153F41" w14:textId="77777777" w:rsidR="00D36878" w:rsidRDefault="00D36878"/>
    <w:p w14:paraId="0445741B" w14:textId="7ADBD6F8" w:rsidR="00596BEB" w:rsidRDefault="00596BEB">
      <w:pPr>
        <w:rPr>
          <w:rFonts w:asciiTheme="majorHAnsi" w:eastAsiaTheme="majorEastAsia" w:hAnsiTheme="majorHAnsi" w:cstheme="majorBidi"/>
          <w:color w:val="2F5496" w:themeColor="accent1" w:themeShade="BF"/>
          <w:sz w:val="32"/>
          <w:szCs w:val="32"/>
        </w:rPr>
      </w:pPr>
    </w:p>
    <w:p w14:paraId="6F37873F" w14:textId="77777777" w:rsidR="002A5C39" w:rsidRDefault="002A5C39" w:rsidP="002A5C39">
      <w:pPr>
        <w:jc w:val="center"/>
      </w:pPr>
    </w:p>
    <w:p w14:paraId="4F3347B1" w14:textId="77777777" w:rsidR="002A5C39" w:rsidRDefault="002A5C39" w:rsidP="002A5C39">
      <w:pPr>
        <w:jc w:val="center"/>
      </w:pPr>
    </w:p>
    <w:p w14:paraId="76420DF7" w14:textId="1EDEA414" w:rsidR="002A5C39" w:rsidRPr="002A5C39" w:rsidRDefault="002A5C39" w:rsidP="002A5C39">
      <w:pPr>
        <w:pStyle w:val="Heading1"/>
        <w:jc w:val="center"/>
        <w:rPr>
          <w:rFonts w:ascii="Times New Roman" w:hAnsi="Times New Roman" w:cs="Times New Roman"/>
          <w:b/>
          <w:bCs/>
        </w:rPr>
      </w:pPr>
      <w:bookmarkStart w:id="0" w:name="_Toc41312359"/>
      <w:r w:rsidRPr="002A5C39">
        <w:rPr>
          <w:rFonts w:ascii="Times New Roman" w:hAnsi="Times New Roman" w:cs="Times New Roman"/>
          <w:b/>
          <w:bCs/>
          <w:color w:val="auto"/>
        </w:rPr>
        <w:t>Abstract</w:t>
      </w:r>
      <w:bookmarkEnd w:id="0"/>
    </w:p>
    <w:p w14:paraId="6524C39D" w14:textId="77777777" w:rsidR="002A5C39" w:rsidRDefault="002A5C39" w:rsidP="003118B2"/>
    <w:p w14:paraId="2EAD1538" w14:textId="48BCC5C9" w:rsidR="004A6FA2" w:rsidRDefault="003F2C26" w:rsidP="003F2C26">
      <w:pPr>
        <w:spacing w:line="360" w:lineRule="auto"/>
        <w:ind w:firstLine="567"/>
        <w:jc w:val="both"/>
      </w:pPr>
      <w:r w:rsidRPr="003F2C26">
        <w:t xml:space="preserve">This paper uses data from the China Health and Nutrition Survey (CHNS) to study the impact of education on health among the labor force population. According to OLS results, education has a positive correlation with health and physical activity, while it is negatively correlated with overweightness and smoking. In addition, this paper uses the external changes in the compulsory education law (CSL) as instruments to study the causality of education on health. The 2SLS results indicate that one extra year of education increases 0.8 percentage points the possibility of reporting excellent or good health and the likelihood of doing physical activity by 1.7 percentage points. Education has no significant effect on overall </w:t>
      </w:r>
      <w:r w:rsidR="00592EC1" w:rsidRPr="007E0CC1">
        <w:t>the Body Mass Index (BMI)</w:t>
      </w:r>
      <w:r w:rsidR="009E6204" w:rsidRPr="007E0CC1">
        <w:t>-related</w:t>
      </w:r>
      <w:r w:rsidRPr="003F2C26">
        <w:t xml:space="preserve"> variables and smoking status. Further analysis also shows that education has a greater impact on women. Moreover, CSL can significantly improve national health and reduce the educational gap between rural and urban areas.</w:t>
      </w:r>
    </w:p>
    <w:p w14:paraId="4C7BA699" w14:textId="718EC587" w:rsidR="004A6FA2" w:rsidRPr="003118B2" w:rsidRDefault="004A6FA2" w:rsidP="003118B2">
      <w:pPr>
        <w:spacing w:line="360" w:lineRule="auto"/>
        <w:jc w:val="both"/>
      </w:pPr>
    </w:p>
    <w:p w14:paraId="6F7A60E3" w14:textId="77777777" w:rsidR="004A6FA2" w:rsidRDefault="004A6FA2">
      <w:pPr>
        <w:rPr>
          <w:rFonts w:asciiTheme="majorHAnsi" w:eastAsiaTheme="majorEastAsia" w:hAnsiTheme="majorHAnsi" w:cstheme="majorBidi"/>
          <w:b/>
          <w:bCs/>
          <w:color w:val="2F5496" w:themeColor="accent1" w:themeShade="BF"/>
          <w:sz w:val="32"/>
          <w:szCs w:val="32"/>
        </w:rPr>
      </w:pPr>
      <w:r>
        <w:rPr>
          <w:b/>
          <w:bCs/>
        </w:rPr>
        <w:br w:type="page"/>
      </w:r>
    </w:p>
    <w:p w14:paraId="5C49A812" w14:textId="0D3CC5BB" w:rsidR="00CB3781" w:rsidRPr="002A5C39" w:rsidRDefault="00937AA6" w:rsidP="00596BEB">
      <w:pPr>
        <w:pStyle w:val="Heading1"/>
        <w:tabs>
          <w:tab w:val="left" w:pos="8292"/>
        </w:tabs>
        <w:spacing w:line="360" w:lineRule="auto"/>
        <w:rPr>
          <w:b/>
          <w:bCs/>
        </w:rPr>
      </w:pPr>
      <w:bookmarkStart w:id="1" w:name="_Toc41312360"/>
      <w:r w:rsidRPr="002A5C39">
        <w:rPr>
          <w:b/>
          <w:bCs/>
        </w:rPr>
        <w:lastRenderedPageBreak/>
        <w:t xml:space="preserve">1. </w:t>
      </w:r>
      <w:r w:rsidRPr="002A5C39">
        <w:rPr>
          <w:rFonts w:hint="eastAsia"/>
          <w:b/>
          <w:bCs/>
        </w:rPr>
        <w:t>Introduction</w:t>
      </w:r>
      <w:bookmarkEnd w:id="1"/>
      <w:r w:rsidR="00596BEB" w:rsidRPr="002A5C39">
        <w:rPr>
          <w:b/>
          <w:bCs/>
        </w:rPr>
        <w:tab/>
      </w:r>
    </w:p>
    <w:p w14:paraId="04BEDDE5" w14:textId="4FA8CF55" w:rsidR="00140CC8" w:rsidRPr="00CB3781" w:rsidRDefault="00741ADF" w:rsidP="00A6105F">
      <w:pPr>
        <w:spacing w:line="360" w:lineRule="auto"/>
        <w:ind w:firstLine="567"/>
        <w:jc w:val="both"/>
      </w:pPr>
      <w:r>
        <w:t>T</w:t>
      </w:r>
      <w:r w:rsidR="00E629FD">
        <w:t xml:space="preserve">here is a </w:t>
      </w:r>
      <w:r w:rsidR="00E629FD">
        <w:rPr>
          <w:rFonts w:hint="eastAsia"/>
        </w:rPr>
        <w:t>solid</w:t>
      </w:r>
      <w:r w:rsidR="00E629FD">
        <w:t xml:space="preserve"> statistical relationship between health and socioeconomic status that has been </w:t>
      </w:r>
      <w:r w:rsidR="00E629FD" w:rsidRPr="00014C74">
        <w:t xml:space="preserve">persistent </w:t>
      </w:r>
      <w:r w:rsidR="00E629FD">
        <w:t>for at least a hundred years (</w:t>
      </w:r>
      <w:proofErr w:type="spellStart"/>
      <w:r w:rsidR="00E629FD">
        <w:t>Gathmann</w:t>
      </w:r>
      <w:proofErr w:type="spellEnd"/>
      <w:r w:rsidR="00E629FD">
        <w:t xml:space="preserve"> et al.</w:t>
      </w:r>
      <w:r w:rsidR="00E629FD">
        <w:rPr>
          <w:rFonts w:hint="eastAsia"/>
        </w:rPr>
        <w:t>,</w:t>
      </w:r>
      <w:r w:rsidR="00E629FD">
        <w:t xml:space="preserve"> 2015). </w:t>
      </w:r>
      <w:r w:rsidR="00B847D8" w:rsidRPr="00CB3781">
        <w:t>H</w:t>
      </w:r>
      <w:r w:rsidR="00E70F6D" w:rsidRPr="00CB3781">
        <w:t>ealth</w:t>
      </w:r>
      <w:r w:rsidR="00E629FD">
        <w:t xml:space="preserve"> condition</w:t>
      </w:r>
      <w:r w:rsidR="00E70F6D" w:rsidRPr="00CB3781">
        <w:t xml:space="preserve"> is </w:t>
      </w:r>
      <w:r w:rsidR="00E629FD">
        <w:t xml:space="preserve">getting more and more </w:t>
      </w:r>
      <w:r w:rsidR="00E629FD">
        <w:rPr>
          <w:rFonts w:hint="eastAsia"/>
        </w:rPr>
        <w:t>close</w:t>
      </w:r>
      <w:r w:rsidR="00E629FD">
        <w:t xml:space="preserve"> </w:t>
      </w:r>
      <w:r w:rsidR="00E70F6D" w:rsidRPr="00CB3781">
        <w:t xml:space="preserve">to </w:t>
      </w:r>
      <w:r w:rsidR="00CE4E31">
        <w:t>the economy</w:t>
      </w:r>
      <w:r w:rsidR="00E70F6D" w:rsidRPr="00CB3781">
        <w:t xml:space="preserve"> </w:t>
      </w:r>
      <w:r w:rsidR="00E629FD">
        <w:rPr>
          <w:rFonts w:hint="eastAsia"/>
        </w:rPr>
        <w:t>nowaday</w:t>
      </w:r>
      <w:r w:rsidR="00EE00B9">
        <w:rPr>
          <w:rFonts w:hint="eastAsia"/>
        </w:rPr>
        <w:t>s</w:t>
      </w:r>
      <w:r w:rsidR="00E629FD">
        <w:t>.</w:t>
      </w:r>
      <w:r w:rsidR="00962552" w:rsidRPr="00CB3781">
        <w:t xml:space="preserve"> </w:t>
      </w:r>
      <w:r w:rsidR="00E629FD">
        <w:t>For example,</w:t>
      </w:r>
      <w:r w:rsidR="00962552" w:rsidRPr="00CB3781">
        <w:t xml:space="preserve"> </w:t>
      </w:r>
      <w:r w:rsidR="00DE72A1">
        <w:t xml:space="preserve">the </w:t>
      </w:r>
      <w:r w:rsidR="000A0007">
        <w:t>economy</w:t>
      </w:r>
      <w:r w:rsidR="00EE00B9" w:rsidRPr="00CB3781">
        <w:t xml:space="preserve"> </w:t>
      </w:r>
      <w:r w:rsidR="00EE00B9">
        <w:t xml:space="preserve">can be </w:t>
      </w:r>
      <w:r w:rsidR="00EE00B9" w:rsidRPr="00CB3781">
        <w:t xml:space="preserve">stagnated by </w:t>
      </w:r>
      <w:r w:rsidR="00CE4E31">
        <w:t xml:space="preserve">a </w:t>
      </w:r>
      <w:r w:rsidR="00DE72A1" w:rsidRPr="00DE72A1">
        <w:t>disease</w:t>
      </w:r>
      <w:r w:rsidR="00DE72A1">
        <w:t xml:space="preserve"> </w:t>
      </w:r>
      <w:r w:rsidR="00CE4E31">
        <w:t>that</w:t>
      </w:r>
      <w:r w:rsidR="00EE00B9">
        <w:t xml:space="preserve"> </w:t>
      </w:r>
      <w:r w:rsidR="00E629FD" w:rsidRPr="00CB3781">
        <w:t xml:space="preserve">has a huge impact on </w:t>
      </w:r>
      <w:r w:rsidR="000A0007" w:rsidRPr="000A0007">
        <w:t>livelihood</w:t>
      </w:r>
      <w:r w:rsidR="00DE72A1">
        <w:rPr>
          <w:rFonts w:hint="eastAsia"/>
        </w:rPr>
        <w:t>.</w:t>
      </w:r>
      <w:r w:rsidR="00DE72A1">
        <w:t xml:space="preserve"> </w:t>
      </w:r>
      <w:r w:rsidR="00DE72A1" w:rsidRPr="00DE72A1">
        <w:t>As corporate revenues decline, unemployment has risen sharply with far-reaching incalculable consequences</w:t>
      </w:r>
      <w:r w:rsidR="00DE72A1">
        <w:t xml:space="preserve"> </w:t>
      </w:r>
      <w:r w:rsidR="00DE72A1" w:rsidRPr="00CB3781">
        <w:t>(</w:t>
      </w:r>
      <w:r w:rsidR="00CE4E31" w:rsidRPr="002E698B">
        <w:rPr>
          <w:rFonts w:cs="Times New Roman"/>
          <w:szCs w:val="24"/>
          <w:shd w:val="clear" w:color="auto" w:fill="FFFFFF"/>
        </w:rPr>
        <w:t>CBC</w:t>
      </w:r>
      <w:r w:rsidR="00DE72A1" w:rsidRPr="00CB3781">
        <w:t>, 2020)</w:t>
      </w:r>
      <w:r w:rsidR="00DE72A1" w:rsidRPr="00DE72A1">
        <w:t>.</w:t>
      </w:r>
      <w:r w:rsidR="00DE72A1">
        <w:t xml:space="preserve"> </w:t>
      </w:r>
      <w:r w:rsidR="004F082E" w:rsidRPr="00CB3781">
        <w:t>Accordingly</w:t>
      </w:r>
      <w:r w:rsidR="00E70F6D" w:rsidRPr="00CB3781">
        <w:t xml:space="preserve">, people who have a high level of education may </w:t>
      </w:r>
      <w:r w:rsidR="000A0007">
        <w:t>pay more attention to</w:t>
      </w:r>
      <w:r w:rsidR="00E70F6D" w:rsidRPr="00CB3781">
        <w:t xml:space="preserve"> </w:t>
      </w:r>
      <w:r w:rsidR="000A0007">
        <w:t>their health</w:t>
      </w:r>
      <w:r w:rsidR="001B081E">
        <w:t>-related behaviors</w:t>
      </w:r>
      <w:r w:rsidR="000A0007">
        <w:t xml:space="preserve"> like </w:t>
      </w:r>
      <w:r w:rsidR="00E70F6D" w:rsidRPr="00CB3781">
        <w:t>wash</w:t>
      </w:r>
      <w:r w:rsidR="000A0007">
        <w:t>ing</w:t>
      </w:r>
      <w:r w:rsidR="00E70F6D" w:rsidRPr="00CB3781">
        <w:t xml:space="preserve"> hands frequently because they know the significance of sanitation </w:t>
      </w:r>
      <w:r w:rsidR="004F082E" w:rsidRPr="00CB3781">
        <w:t>(</w:t>
      </w:r>
      <w:proofErr w:type="spellStart"/>
      <w:r w:rsidR="002E698B" w:rsidRPr="002E698B">
        <w:t>Adukia</w:t>
      </w:r>
      <w:proofErr w:type="spellEnd"/>
      <w:r w:rsidR="002E698B" w:rsidRPr="002E698B">
        <w:t>, 2017</w:t>
      </w:r>
      <w:r w:rsidR="004F082E" w:rsidRPr="00CB3781">
        <w:t>)</w:t>
      </w:r>
      <w:r w:rsidR="002E698B">
        <w:t>.</w:t>
      </w:r>
      <w:r w:rsidR="00374CD5">
        <w:t xml:space="preserve"> </w:t>
      </w:r>
    </w:p>
    <w:p w14:paraId="1AFAC887" w14:textId="0F5F595C" w:rsidR="000F0458" w:rsidRPr="000A0007" w:rsidRDefault="00E629FD" w:rsidP="00A6105F">
      <w:pPr>
        <w:spacing w:line="360" w:lineRule="auto"/>
        <w:ind w:firstLine="567"/>
        <w:jc w:val="both"/>
        <w:rPr>
          <w:shd w:val="pct15" w:color="auto" w:fill="FFFFFF"/>
        </w:rPr>
      </w:pPr>
      <w:r>
        <w:t xml:space="preserve">Education has been proved to be one of the most </w:t>
      </w:r>
      <w:r w:rsidR="009F2F41">
        <w:rPr>
          <w:rFonts w:hint="eastAsia"/>
        </w:rPr>
        <w:t>crucial</w:t>
      </w:r>
      <w:r w:rsidR="009F2F41">
        <w:t xml:space="preserve"> factors</w:t>
      </w:r>
      <w:r>
        <w:t xml:space="preserve"> </w:t>
      </w:r>
      <w:r w:rsidR="009F2F41">
        <w:t>influencing</w:t>
      </w:r>
      <w:r>
        <w:t xml:space="preserve"> future generation health (Grossman, </w:t>
      </w:r>
      <w:r w:rsidR="00162F93" w:rsidRPr="00C12D38">
        <w:rPr>
          <w:rFonts w:cs="Times New Roman"/>
          <w:szCs w:val="24"/>
          <w:shd w:val="clear" w:color="auto" w:fill="FFFFFF"/>
        </w:rPr>
        <w:t>2008</w:t>
      </w:r>
      <w:r>
        <w:t xml:space="preserve">). </w:t>
      </w:r>
      <w:r w:rsidRPr="007905EA">
        <w:t xml:space="preserve">This connection exists in many countries with </w:t>
      </w:r>
      <w:r>
        <w:t>different</w:t>
      </w:r>
      <w:r w:rsidRPr="007905EA">
        <w:t xml:space="preserve"> levels </w:t>
      </w:r>
      <w:r>
        <w:t xml:space="preserve">of </w:t>
      </w:r>
      <w:r w:rsidRPr="007905EA">
        <w:t xml:space="preserve">education and health </w:t>
      </w:r>
      <w:r>
        <w:rPr>
          <w:rFonts w:hint="eastAsia"/>
        </w:rPr>
        <w:t>measures</w:t>
      </w:r>
      <w:r>
        <w:t xml:space="preserve"> (Cutler &amp; </w:t>
      </w:r>
      <w:proofErr w:type="spellStart"/>
      <w:r>
        <w:t>lleras-muney</w:t>
      </w:r>
      <w:proofErr w:type="spellEnd"/>
      <w:r>
        <w:t xml:space="preserve">, 2008). </w:t>
      </w:r>
      <w:r w:rsidR="000F0458" w:rsidRPr="00F871E3">
        <w:t>Grossman's</w:t>
      </w:r>
      <w:r w:rsidR="000F0458">
        <w:t xml:space="preserve"> (1972) </w:t>
      </w:r>
      <w:r w:rsidR="000F0458" w:rsidRPr="00F871E3">
        <w:t>model has laid a theoretical foundation for most of the current empirical work.</w:t>
      </w:r>
      <w:r w:rsidR="000F0458">
        <w:t xml:space="preserve"> </w:t>
      </w:r>
      <w:r w:rsidR="000F0458" w:rsidRPr="00F871E3">
        <w:t>Inspired by the classic human capital model, Grossman believes that health is both an investment and a consumer product.</w:t>
      </w:r>
      <w:r w:rsidR="000F0458">
        <w:t xml:space="preserve"> </w:t>
      </w:r>
      <w:r w:rsidR="000F0458" w:rsidRPr="00F871E3">
        <w:t>In his model, he directly addresses the need for health as persistent capital stock.</w:t>
      </w:r>
      <w:r w:rsidR="000F0458">
        <w:t xml:space="preserve"> </w:t>
      </w:r>
      <w:r w:rsidR="000F0458" w:rsidRPr="00F871E3">
        <w:t xml:space="preserve">He believes that an individual's education level can improve the </w:t>
      </w:r>
      <w:r w:rsidR="00C94EB2" w:rsidRPr="00C94EB2">
        <w:t>market employment and productive capacity of commodity production</w:t>
      </w:r>
      <w:r w:rsidR="000F0458" w:rsidRPr="00F871E3">
        <w:t>.</w:t>
      </w:r>
      <w:r w:rsidR="000F0458">
        <w:t xml:space="preserve"> </w:t>
      </w:r>
      <w:r w:rsidR="000F0458" w:rsidRPr="00F871E3">
        <w:t xml:space="preserve">Thus, well-educated people can achieve better health at </w:t>
      </w:r>
      <w:r w:rsidR="007F5B7B">
        <w:rPr>
          <w:rFonts w:hint="eastAsia"/>
        </w:rPr>
        <w:t>a</w:t>
      </w:r>
      <w:r w:rsidR="007F5B7B">
        <w:t xml:space="preserve"> </w:t>
      </w:r>
      <w:r w:rsidR="000F0458" w:rsidRPr="00F871E3">
        <w:t>lower cost</w:t>
      </w:r>
      <w:r w:rsidR="000F0458">
        <w:t xml:space="preserve"> </w:t>
      </w:r>
      <w:r w:rsidR="000F0458" w:rsidRPr="00F871E3">
        <w:t xml:space="preserve">because education makes the individual's healthy production process more efficient </w:t>
      </w:r>
      <w:r w:rsidR="000F0458">
        <w:rPr>
          <w:rFonts w:hint="eastAsia"/>
        </w:rPr>
        <w:t>(</w:t>
      </w:r>
      <w:r w:rsidR="000F0458" w:rsidRPr="002C34E6">
        <w:rPr>
          <w:rFonts w:cs="Times New Roman"/>
          <w:szCs w:val="24"/>
          <w:shd w:val="clear" w:color="auto" w:fill="FFFFFF"/>
        </w:rPr>
        <w:t>Grossman</w:t>
      </w:r>
      <w:r w:rsidR="000F0458">
        <w:rPr>
          <w:rFonts w:cs="Times New Roman" w:hint="eastAsia"/>
          <w:szCs w:val="24"/>
          <w:shd w:val="clear" w:color="auto" w:fill="FFFFFF"/>
        </w:rPr>
        <w:t>,</w:t>
      </w:r>
      <w:r w:rsidR="000F0458">
        <w:rPr>
          <w:rFonts w:cs="Times New Roman"/>
          <w:szCs w:val="24"/>
          <w:shd w:val="clear" w:color="auto" w:fill="FFFFFF"/>
        </w:rPr>
        <w:t xml:space="preserve"> 2000)</w:t>
      </w:r>
      <w:r w:rsidR="000F0458" w:rsidRPr="00F871E3">
        <w:t>.</w:t>
      </w:r>
      <w:r w:rsidR="000F0458">
        <w:t xml:space="preserve"> </w:t>
      </w:r>
    </w:p>
    <w:p w14:paraId="5B232708" w14:textId="458C642A" w:rsidR="006F24D3" w:rsidRPr="002317F3" w:rsidRDefault="00D532CC" w:rsidP="002317F3">
      <w:pPr>
        <w:spacing w:line="360" w:lineRule="auto"/>
        <w:ind w:firstLine="567"/>
        <w:jc w:val="both"/>
        <w:rPr>
          <w:rFonts w:cs="Times New Roman"/>
          <w:szCs w:val="24"/>
          <w:lang w:val="en-US"/>
        </w:rPr>
      </w:pPr>
      <w:r w:rsidRPr="003A3818">
        <w:t xml:space="preserve">According to previous literature, some papers can prove that education has a causal effect on mortality, but some do not </w:t>
      </w:r>
      <w:r w:rsidRPr="003A3818">
        <w:rPr>
          <w:rFonts w:hint="eastAsia"/>
        </w:rPr>
        <w:t>in</w:t>
      </w:r>
      <w:r w:rsidRPr="003A3818">
        <w:t xml:space="preserve"> different countries (</w:t>
      </w:r>
      <w:proofErr w:type="spellStart"/>
      <w:r w:rsidRPr="003A3818">
        <w:t>Albouy</w:t>
      </w:r>
      <w:proofErr w:type="spellEnd"/>
      <w:r w:rsidRPr="003A3818">
        <w:t xml:space="preserve"> &amp; </w:t>
      </w:r>
      <w:proofErr w:type="spellStart"/>
      <w:r w:rsidRPr="003A3818">
        <w:t>Lequienb</w:t>
      </w:r>
      <w:proofErr w:type="spellEnd"/>
      <w:r w:rsidRPr="003A3818">
        <w:t xml:space="preserve">, 2009). Similarly, </w:t>
      </w:r>
      <w:r w:rsidR="00592EC1" w:rsidRPr="007E0CC1">
        <w:t>Body Mass Index</w:t>
      </w:r>
      <w:r w:rsidR="009E6204" w:rsidRPr="007E0CC1">
        <w:t xml:space="preserve"> (BMI)</w:t>
      </w:r>
      <w:r w:rsidR="00592EC1" w:rsidRPr="007E0CC1">
        <w:t xml:space="preserve"> </w:t>
      </w:r>
      <w:r w:rsidRPr="007E0CC1">
        <w:t>and</w:t>
      </w:r>
      <w:r w:rsidRPr="003A3818">
        <w:t xml:space="preserve"> smoking have the same controversy (Park &amp; Kang, 2008; </w:t>
      </w:r>
      <w:proofErr w:type="spellStart"/>
      <w:r w:rsidRPr="003A3818">
        <w:t>Jürges</w:t>
      </w:r>
      <w:proofErr w:type="spellEnd"/>
      <w:r w:rsidRPr="003A3818">
        <w:t xml:space="preserve"> et al., 2011). There is no consensus in the </w:t>
      </w:r>
      <w:r w:rsidR="009F2F41">
        <w:t>effect</w:t>
      </w:r>
      <w:r w:rsidRPr="003A3818">
        <w:t xml:space="preserve"> of education on health-related behaviors in literature. </w:t>
      </w:r>
      <w:r w:rsidRPr="00B24E98">
        <w:t xml:space="preserve">This paper contributes to the literature on identifying the causal </w:t>
      </w:r>
      <w:r w:rsidR="009F2F41">
        <w:t>link</w:t>
      </w:r>
      <w:r w:rsidRPr="00B24E98">
        <w:t xml:space="preserve"> between education and health-related behavior</w:t>
      </w:r>
      <w:r>
        <w:t>s</w:t>
      </w:r>
      <w:r w:rsidRPr="00B24E98">
        <w:t>.</w:t>
      </w:r>
      <w:r>
        <w:t xml:space="preserve"> </w:t>
      </w:r>
      <w:r>
        <w:rPr>
          <w:lang w:val="en-US"/>
        </w:rPr>
        <w:t xml:space="preserve">As this paper focus on </w:t>
      </w:r>
      <w:r>
        <w:rPr>
          <w:rFonts w:hint="eastAsia"/>
          <w:lang w:val="en-US"/>
        </w:rPr>
        <w:t>China</w:t>
      </w:r>
      <w:r w:rsidR="00731498">
        <w:rPr>
          <w:lang w:val="en-US"/>
        </w:rPr>
        <w:t xml:space="preserve"> which </w:t>
      </w:r>
      <w:r w:rsidRPr="006F24D3">
        <w:rPr>
          <w:rFonts w:cs="Times New Roman"/>
          <w:szCs w:val="24"/>
          <w:lang w:val="en-US"/>
        </w:rPr>
        <w:t>is one of the largest developing countries and has the largest population in the world</w:t>
      </w:r>
      <w:r w:rsidR="00731498">
        <w:rPr>
          <w:lang w:val="en-US"/>
        </w:rPr>
        <w:t>,</w:t>
      </w:r>
      <w:r w:rsidRPr="006F24D3">
        <w:rPr>
          <w:rFonts w:cs="Times New Roman"/>
          <w:szCs w:val="24"/>
          <w:lang w:val="en-US"/>
        </w:rPr>
        <w:t xml:space="preserve"> </w:t>
      </w:r>
      <w:r w:rsidR="00731498">
        <w:rPr>
          <w:rFonts w:cs="Times New Roman"/>
          <w:szCs w:val="24"/>
          <w:lang w:val="en-US"/>
        </w:rPr>
        <w:t>t</w:t>
      </w:r>
      <w:r>
        <w:rPr>
          <w:rFonts w:cs="Times New Roman"/>
          <w:szCs w:val="24"/>
          <w:lang w:val="en-US"/>
        </w:rPr>
        <w:t xml:space="preserve">his paper </w:t>
      </w:r>
      <w:r w:rsidRPr="006F24D3">
        <w:rPr>
          <w:rFonts w:cs="Times New Roman"/>
          <w:szCs w:val="24"/>
          <w:lang w:val="en-US"/>
        </w:rPr>
        <w:t>can provide sufficient</w:t>
      </w:r>
      <w:r>
        <w:rPr>
          <w:rFonts w:cs="Times New Roman"/>
          <w:szCs w:val="24"/>
          <w:lang w:val="en-US"/>
        </w:rPr>
        <w:t xml:space="preserve"> observations and </w:t>
      </w:r>
      <w:r>
        <w:rPr>
          <w:rFonts w:cs="Times New Roman" w:hint="eastAsia"/>
          <w:szCs w:val="24"/>
          <w:lang w:val="en-US"/>
        </w:rPr>
        <w:t>evidence</w:t>
      </w:r>
      <w:r>
        <w:rPr>
          <w:rFonts w:cs="Times New Roman"/>
          <w:szCs w:val="24"/>
          <w:lang w:val="en-US"/>
        </w:rPr>
        <w:t xml:space="preserve"> </w:t>
      </w:r>
      <w:r w:rsidRPr="006F24D3">
        <w:rPr>
          <w:rFonts w:cs="Times New Roman"/>
          <w:szCs w:val="24"/>
          <w:lang w:val="en-US"/>
        </w:rPr>
        <w:t xml:space="preserve">for </w:t>
      </w:r>
      <w:r>
        <w:rPr>
          <w:rFonts w:cs="Times New Roman" w:hint="eastAsia"/>
          <w:szCs w:val="24"/>
          <w:lang w:val="en-US"/>
        </w:rPr>
        <w:t>academic</w:t>
      </w:r>
      <w:r>
        <w:rPr>
          <w:rFonts w:cs="Times New Roman"/>
          <w:szCs w:val="24"/>
          <w:lang w:val="en-US"/>
        </w:rPr>
        <w:t xml:space="preserve"> </w:t>
      </w:r>
      <w:r>
        <w:rPr>
          <w:rFonts w:cs="Times New Roman" w:hint="eastAsia"/>
          <w:szCs w:val="24"/>
          <w:lang w:val="en-US"/>
        </w:rPr>
        <w:t>research</w:t>
      </w:r>
      <w:r>
        <w:rPr>
          <w:rFonts w:cs="Times New Roman"/>
          <w:szCs w:val="24"/>
          <w:lang w:val="en-US"/>
        </w:rPr>
        <w:t xml:space="preserve">. </w:t>
      </w:r>
      <w:r w:rsidRPr="006D7327">
        <w:rPr>
          <w:lang w:val="en-US"/>
        </w:rPr>
        <w:t xml:space="preserve">If education's impact on health is large enough, education policy will be a powerful tool for improving national health </w:t>
      </w:r>
      <w:r>
        <w:rPr>
          <w:lang w:val="en-US"/>
        </w:rPr>
        <w:t xml:space="preserve">and reducing medical care </w:t>
      </w:r>
      <w:r w:rsidRPr="002317F3">
        <w:rPr>
          <w:lang w:val="en-US"/>
        </w:rPr>
        <w:t>expenditure</w:t>
      </w:r>
      <w:r>
        <w:rPr>
          <w:lang w:val="en-US"/>
        </w:rPr>
        <w:t xml:space="preserve"> </w:t>
      </w:r>
      <w:r w:rsidRPr="006D7327">
        <w:rPr>
          <w:lang w:val="en-US"/>
        </w:rPr>
        <w:t>(Clark &amp; Royer 2013).</w:t>
      </w:r>
      <w:r>
        <w:rPr>
          <w:lang w:val="en-US"/>
        </w:rPr>
        <w:t xml:space="preserve"> </w:t>
      </w:r>
      <w:r>
        <w:rPr>
          <w:rFonts w:cs="Times New Roman"/>
          <w:szCs w:val="24"/>
          <w:lang w:val="en-US"/>
        </w:rPr>
        <w:t>T</w:t>
      </w:r>
      <w:r w:rsidRPr="00C263AE">
        <w:rPr>
          <w:lang w:val="en-US"/>
        </w:rPr>
        <w:t>his is essential to determine how much education affects health</w:t>
      </w:r>
      <w:r>
        <w:rPr>
          <w:lang w:val="en-US"/>
        </w:rPr>
        <w:t xml:space="preserve">. </w:t>
      </w:r>
      <w:r w:rsidRPr="00680207">
        <w:rPr>
          <w:rFonts w:cs="Times New Roman"/>
          <w:szCs w:val="24"/>
          <w:lang w:val="en-US"/>
        </w:rPr>
        <w:t xml:space="preserve">Therefore, the paper aims to discuss the impact of </w:t>
      </w:r>
      <w:r>
        <w:rPr>
          <w:rFonts w:cs="Times New Roman"/>
          <w:szCs w:val="24"/>
          <w:lang w:val="en-US"/>
        </w:rPr>
        <w:t xml:space="preserve">education </w:t>
      </w:r>
      <w:r w:rsidRPr="00680207">
        <w:rPr>
          <w:rFonts w:cs="Times New Roman"/>
          <w:szCs w:val="24"/>
          <w:lang w:val="en-US"/>
        </w:rPr>
        <w:t xml:space="preserve">on </w:t>
      </w:r>
      <w:r>
        <w:rPr>
          <w:rFonts w:cs="Times New Roman" w:hint="eastAsia"/>
          <w:szCs w:val="24"/>
          <w:lang w:val="en-US"/>
        </w:rPr>
        <w:t>health</w:t>
      </w:r>
      <w:r>
        <w:rPr>
          <w:rFonts w:cs="Times New Roman"/>
          <w:szCs w:val="24"/>
          <w:lang w:val="en-US"/>
        </w:rPr>
        <w:t xml:space="preserve">-related </w:t>
      </w:r>
      <w:r w:rsidR="00731498">
        <w:rPr>
          <w:color w:val="000000"/>
          <w:lang w:val="en-US"/>
        </w:rPr>
        <w:t>variables</w:t>
      </w:r>
      <w:r w:rsidR="00731498">
        <w:rPr>
          <w:rFonts w:cs="Times New Roman"/>
          <w:szCs w:val="24"/>
          <w:lang w:val="en-US"/>
        </w:rPr>
        <w:t>.</w:t>
      </w:r>
    </w:p>
    <w:p w14:paraId="2B705D29" w14:textId="30A3584E" w:rsidR="00937AA6" w:rsidRPr="004E70DA" w:rsidRDefault="00937AA6" w:rsidP="00A6105F">
      <w:pPr>
        <w:spacing w:line="360" w:lineRule="auto"/>
        <w:ind w:firstLine="567"/>
        <w:jc w:val="both"/>
        <w:rPr>
          <w:rFonts w:cs="Times New Roman"/>
          <w:szCs w:val="24"/>
          <w:shd w:val="pct15" w:color="auto" w:fill="FFFFFF"/>
          <w:lang w:val="en-US"/>
        </w:rPr>
      </w:pPr>
      <w:r w:rsidRPr="00A90F5F">
        <w:lastRenderedPageBreak/>
        <w:t xml:space="preserve">Theoretically, the </w:t>
      </w:r>
      <w:r>
        <w:rPr>
          <w:rFonts w:hint="eastAsia"/>
        </w:rPr>
        <w:t>causal</w:t>
      </w:r>
      <w:r>
        <w:t xml:space="preserve"> </w:t>
      </w:r>
      <w:r w:rsidRPr="00A90F5F">
        <w:t>relationship of education is an important key parameter in many economic models</w:t>
      </w:r>
      <w:r w:rsidR="00C273E5">
        <w:t xml:space="preserve"> including the health capital model</w:t>
      </w:r>
      <w:r w:rsidRPr="00A90F5F">
        <w:t>, which helps to understand the effectiveness and importance of these effects</w:t>
      </w:r>
      <w:r>
        <w:t xml:space="preserve">. </w:t>
      </w:r>
      <w:r w:rsidR="00C273E5">
        <w:t xml:space="preserve">However, </w:t>
      </w:r>
      <w:r w:rsidR="00C273E5" w:rsidRPr="00C273E5">
        <w:t xml:space="preserve">Using the ordinary least squares model can only </w:t>
      </w:r>
      <w:r w:rsidR="00C273E5">
        <w:rPr>
          <w:rFonts w:hint="eastAsia"/>
        </w:rPr>
        <w:t>observe</w:t>
      </w:r>
      <w:r w:rsidR="00C273E5">
        <w:t xml:space="preserve"> </w:t>
      </w:r>
      <w:r w:rsidR="00C273E5" w:rsidRPr="00C273E5">
        <w:t>the correlation between education and health, it lacks background information to trace out the causal relationship between them.</w:t>
      </w:r>
      <w:r w:rsidR="00C273E5">
        <w:t xml:space="preserve"> </w:t>
      </w:r>
      <w:r w:rsidR="009C2830">
        <w:t xml:space="preserve">The </w:t>
      </w:r>
      <w:r w:rsidR="000B71DE" w:rsidRPr="000B71DE">
        <w:t xml:space="preserve">exogenous variation </w:t>
      </w:r>
      <w:r w:rsidR="009C2830">
        <w:t xml:space="preserve">is the main interest of </w:t>
      </w:r>
      <w:r w:rsidR="000B71DE">
        <w:t>studying the causal effect</w:t>
      </w:r>
      <w:r w:rsidR="009C2830">
        <w:t xml:space="preserve">, and it is crucial to </w:t>
      </w:r>
      <w:r w:rsidR="000B71DE">
        <w:t>construct the</w:t>
      </w:r>
      <w:r w:rsidR="009C2830">
        <w:t xml:space="preserve"> </w:t>
      </w:r>
      <w:r w:rsidR="00C273E5">
        <w:t xml:space="preserve">two-second linear </w:t>
      </w:r>
      <w:r w:rsidR="00C273E5" w:rsidRPr="00C273E5">
        <w:t xml:space="preserve">squares </w:t>
      </w:r>
      <w:r w:rsidR="009C2830">
        <w:t xml:space="preserve">model. </w:t>
      </w:r>
      <w:r w:rsidR="00413754">
        <w:t>The paper</w:t>
      </w:r>
      <w:r w:rsidRPr="00A90F5F">
        <w:t xml:space="preserve"> will use the </w:t>
      </w:r>
      <w:r w:rsidR="006F24D3">
        <w:rPr>
          <w:rFonts w:hint="eastAsia"/>
        </w:rPr>
        <w:t>compulsory</w:t>
      </w:r>
      <w:r w:rsidR="006F24D3">
        <w:t xml:space="preserve"> </w:t>
      </w:r>
      <w:r w:rsidR="00C273E5">
        <w:t xml:space="preserve">schooling law </w:t>
      </w:r>
      <w:r w:rsidR="00413754">
        <w:t xml:space="preserve">as an </w:t>
      </w:r>
      <w:r>
        <w:t>instrumental variable</w:t>
      </w:r>
      <w:r w:rsidRPr="00A90F5F">
        <w:t xml:space="preserve"> to </w:t>
      </w:r>
      <w:r w:rsidRPr="00862646">
        <w:t xml:space="preserve">evaluate </w:t>
      </w:r>
      <w:r w:rsidRPr="00A90F5F">
        <w:t xml:space="preserve">the </w:t>
      </w:r>
      <w:r w:rsidR="009F2F41">
        <w:t>impact</w:t>
      </w:r>
      <w:r w:rsidR="00C273E5">
        <w:t xml:space="preserve"> of education on </w:t>
      </w:r>
      <w:r w:rsidRPr="00A90F5F">
        <w:t>health</w:t>
      </w:r>
      <w:r w:rsidR="000B71DE">
        <w:t>-related</w:t>
      </w:r>
      <w:r w:rsidRPr="00A90F5F">
        <w:t xml:space="preserve"> </w:t>
      </w:r>
      <w:r w:rsidR="000B71DE" w:rsidRPr="00413754">
        <w:t>outcomes</w:t>
      </w:r>
      <w:r w:rsidRPr="00A90F5F">
        <w:t>.</w:t>
      </w:r>
      <w:r w:rsidR="00F42B1F">
        <w:t xml:space="preserve"> </w:t>
      </w:r>
      <w:r w:rsidR="00413754">
        <w:tab/>
      </w:r>
    </w:p>
    <w:p w14:paraId="383D3626" w14:textId="7E30E978" w:rsidR="00C273E5" w:rsidRPr="00CB7488" w:rsidRDefault="00DE7003" w:rsidP="00CB7488">
      <w:pPr>
        <w:spacing w:line="360" w:lineRule="auto"/>
        <w:ind w:firstLine="567"/>
        <w:jc w:val="both"/>
      </w:pPr>
      <w:r w:rsidRPr="00DE7003">
        <w:t xml:space="preserve">This paper uses the China Health and Nutrition Survey dataset to study the effect of education on health-related </w:t>
      </w:r>
      <w:r w:rsidR="00731498">
        <w:t>variables</w:t>
      </w:r>
      <w:r w:rsidRPr="00DE7003">
        <w:t>. This article compares the</w:t>
      </w:r>
      <w:r w:rsidR="00731498">
        <w:t xml:space="preserve"> </w:t>
      </w:r>
      <w:r w:rsidRPr="00DE7003">
        <w:t>estimates of OLS</w:t>
      </w:r>
      <w:r w:rsidR="00731498">
        <w:t xml:space="preserve"> </w:t>
      </w:r>
      <w:r w:rsidRPr="00DE7003">
        <w:t xml:space="preserve">and 2SLS methods. Under the control of age, gender, marital status, </w:t>
      </w:r>
      <w:r w:rsidR="00C42A69">
        <w:t xml:space="preserve">urban/rural area, </w:t>
      </w:r>
      <w:r w:rsidRPr="00DE7003">
        <w:t>and income</w:t>
      </w:r>
      <w:r w:rsidR="00AE1775" w:rsidRPr="007E0CC1">
        <w:t>: this paper indicates that</w:t>
      </w:r>
      <w:r w:rsidR="00FF4D0F">
        <w:t xml:space="preserve"> </w:t>
      </w:r>
      <w:r w:rsidRPr="003E657E">
        <w:t>people with high education generally have better health self-assessment</w:t>
      </w:r>
      <w:r w:rsidR="003E657E">
        <w:t xml:space="preserve"> and </w:t>
      </w:r>
      <w:r w:rsidR="003E657E" w:rsidRPr="003E657E">
        <w:t>habit</w:t>
      </w:r>
      <w:r w:rsidR="003E657E">
        <w:t xml:space="preserve"> </w:t>
      </w:r>
      <w:r w:rsidR="003E657E">
        <w:rPr>
          <w:rFonts w:hint="eastAsia"/>
        </w:rPr>
        <w:t>of</w:t>
      </w:r>
      <w:r w:rsidR="003E657E">
        <w:t xml:space="preserve"> physical activity</w:t>
      </w:r>
      <w:r w:rsidRPr="003E657E">
        <w:t xml:space="preserve">, </w:t>
      </w:r>
      <w:r w:rsidR="003E657E">
        <w:t>but</w:t>
      </w:r>
      <w:r w:rsidR="003E657E">
        <w:rPr>
          <w:rFonts w:hint="eastAsia"/>
        </w:rPr>
        <w:t xml:space="preserve"> </w:t>
      </w:r>
      <w:r w:rsidR="003E657E" w:rsidRPr="003E657E">
        <w:t xml:space="preserve">these </w:t>
      </w:r>
      <w:r w:rsidR="003E657E">
        <w:t xml:space="preserve">overall </w:t>
      </w:r>
      <w:r w:rsidR="003E657E" w:rsidRPr="003E657E">
        <w:t>factors are driven by women</w:t>
      </w:r>
      <w:r w:rsidR="00FF4D0F">
        <w:t xml:space="preserve"> </w:t>
      </w:r>
      <w:r w:rsidR="00FF4D0F" w:rsidRPr="007E0CC1">
        <w:t>and urban respectively</w:t>
      </w:r>
      <w:r w:rsidR="003E657E">
        <w:t>. In addition,</w:t>
      </w:r>
      <w:r w:rsidR="0029098C" w:rsidRPr="0029098C">
        <w:t xml:space="preserve"> </w:t>
      </w:r>
      <w:r w:rsidR="0029098C">
        <w:rPr>
          <w:rFonts w:hint="eastAsia"/>
        </w:rPr>
        <w:t>w</w:t>
      </w:r>
      <w:r w:rsidR="0029098C" w:rsidRPr="0029098C">
        <w:t xml:space="preserve">ith the improvement of </w:t>
      </w:r>
      <w:r w:rsidR="006B4002">
        <w:t xml:space="preserve">the </w:t>
      </w:r>
      <w:r w:rsidR="0029098C" w:rsidRPr="0029098C">
        <w:t xml:space="preserve">level </w:t>
      </w:r>
      <w:r w:rsidR="0029098C">
        <w:t xml:space="preserve">of </w:t>
      </w:r>
      <w:r w:rsidR="0029098C" w:rsidRPr="0029098C">
        <w:t xml:space="preserve">education, the </w:t>
      </w:r>
      <w:r w:rsidR="006B4002">
        <w:t xml:space="preserve">probability of </w:t>
      </w:r>
      <w:r w:rsidR="0029098C" w:rsidRPr="0029098C">
        <w:t xml:space="preserve">smoking will </w:t>
      </w:r>
      <w:r w:rsidR="006B4002">
        <w:t>decrease in rural areas</w:t>
      </w:r>
      <w:r w:rsidR="0029098C" w:rsidRPr="0029098C">
        <w:t>, and cigarette consumption will</w:t>
      </w:r>
      <w:r w:rsidR="006B4002">
        <w:t xml:space="preserve"> </w:t>
      </w:r>
      <w:r w:rsidR="006B4002">
        <w:rPr>
          <w:rFonts w:hint="eastAsia"/>
        </w:rPr>
        <w:t>fall</w:t>
      </w:r>
      <w:r w:rsidR="0029098C" w:rsidRPr="0029098C">
        <w:t xml:space="preserve"> </w:t>
      </w:r>
      <w:r w:rsidR="006B4002">
        <w:t xml:space="preserve">in urban areas. </w:t>
      </w:r>
    </w:p>
    <w:p w14:paraId="5E2BB588" w14:textId="798D6F18" w:rsidR="000D00D8" w:rsidRPr="002317F3" w:rsidRDefault="00F42B1F" w:rsidP="002317F3">
      <w:pPr>
        <w:spacing w:line="360" w:lineRule="auto"/>
        <w:ind w:firstLine="567"/>
        <w:jc w:val="both"/>
        <w:rPr>
          <w:rFonts w:cs="Times New Roman"/>
          <w:szCs w:val="24"/>
          <w:lang w:val="en-US"/>
        </w:rPr>
      </w:pPr>
      <w:r w:rsidRPr="00F42B1F">
        <w:rPr>
          <w:rFonts w:cs="Times New Roman"/>
          <w:szCs w:val="24"/>
          <w:lang w:val="en-US"/>
        </w:rPr>
        <w:t>The</w:t>
      </w:r>
      <w:r>
        <w:rPr>
          <w:rFonts w:cs="Times New Roman"/>
          <w:szCs w:val="24"/>
          <w:lang w:val="en-US"/>
        </w:rPr>
        <w:t xml:space="preserve"> paper is organized as follows. Section 2 </w:t>
      </w:r>
      <w:r w:rsidR="009F2F41">
        <w:rPr>
          <w:rFonts w:cs="Times New Roman"/>
          <w:szCs w:val="24"/>
          <w:lang w:val="en-US"/>
        </w:rPr>
        <w:t>discusses</w:t>
      </w:r>
      <w:r w:rsidR="00C94EB2">
        <w:rPr>
          <w:rFonts w:cs="Times New Roman"/>
          <w:szCs w:val="24"/>
          <w:lang w:val="en-US"/>
        </w:rPr>
        <w:t xml:space="preserve"> the literature review about how health is relative to economics and the impact of education on health. Section 3 outlines the data and variables. Section 4 </w:t>
      </w:r>
      <w:r w:rsidR="009F2F41">
        <w:rPr>
          <w:rFonts w:cs="Times New Roman"/>
          <w:szCs w:val="24"/>
          <w:lang w:val="en-US"/>
        </w:rPr>
        <w:t>demonstrates</w:t>
      </w:r>
      <w:r w:rsidR="00C94EB2">
        <w:rPr>
          <w:rFonts w:cs="Times New Roman"/>
          <w:szCs w:val="24"/>
          <w:lang w:val="en-US"/>
        </w:rPr>
        <w:t xml:space="preserve"> the empirical </w:t>
      </w:r>
      <w:r w:rsidR="00CB7488">
        <w:rPr>
          <w:rFonts w:cs="Times New Roman"/>
          <w:szCs w:val="24"/>
          <w:lang w:val="en-US"/>
        </w:rPr>
        <w:t>framework</w:t>
      </w:r>
      <w:r w:rsidR="00C94EB2">
        <w:rPr>
          <w:rFonts w:cs="Times New Roman"/>
          <w:szCs w:val="24"/>
          <w:lang w:val="en-US"/>
        </w:rPr>
        <w:t xml:space="preserve">. Section 5 </w:t>
      </w:r>
      <w:r w:rsidR="009F2F41">
        <w:rPr>
          <w:rFonts w:cs="Times New Roman"/>
          <w:szCs w:val="24"/>
          <w:lang w:val="en-US"/>
        </w:rPr>
        <w:t>shows</w:t>
      </w:r>
      <w:r w:rsidR="00C94EB2">
        <w:rPr>
          <w:rFonts w:cs="Times New Roman"/>
          <w:szCs w:val="24"/>
          <w:lang w:val="en-US"/>
        </w:rPr>
        <w:t xml:space="preserve"> the first-stage results for education and the instrument variable. Section 6 </w:t>
      </w:r>
      <w:r w:rsidR="009F2F41">
        <w:rPr>
          <w:rFonts w:cs="Times New Roman"/>
          <w:szCs w:val="24"/>
          <w:lang w:val="en-US"/>
        </w:rPr>
        <w:t>indicates</w:t>
      </w:r>
      <w:r w:rsidR="00DB3669">
        <w:rPr>
          <w:rFonts w:cs="Times New Roman"/>
          <w:szCs w:val="24"/>
          <w:lang w:val="en-US"/>
        </w:rPr>
        <w:t xml:space="preserve"> the main results for education and health-related variables. Se</w:t>
      </w:r>
      <w:r w:rsidR="004E70DA">
        <w:rPr>
          <w:rFonts w:cs="Times New Roman"/>
          <w:szCs w:val="24"/>
          <w:lang w:val="en-US"/>
        </w:rPr>
        <w:t xml:space="preserve">ction 7 </w:t>
      </w:r>
      <w:r w:rsidR="009F2F41">
        <w:rPr>
          <w:rFonts w:cs="Times New Roman"/>
          <w:szCs w:val="24"/>
          <w:lang w:val="en-US"/>
        </w:rPr>
        <w:t>provides</w:t>
      </w:r>
      <w:r w:rsidR="004E70DA">
        <w:rPr>
          <w:rFonts w:cs="Times New Roman"/>
          <w:szCs w:val="24"/>
          <w:lang w:val="en-US"/>
        </w:rPr>
        <w:t xml:space="preserve"> the robustness of the results. Section 8 conclude</w:t>
      </w:r>
      <w:r w:rsidR="0070293E">
        <w:rPr>
          <w:rFonts w:cs="Times New Roman"/>
          <w:szCs w:val="24"/>
          <w:lang w:val="en-US"/>
        </w:rPr>
        <w:t>s</w:t>
      </w:r>
      <w:r w:rsidR="004E70DA">
        <w:rPr>
          <w:rFonts w:cs="Times New Roman"/>
          <w:szCs w:val="24"/>
          <w:lang w:val="en-US"/>
        </w:rPr>
        <w:t xml:space="preserve"> the findings of the paper.</w:t>
      </w:r>
    </w:p>
    <w:p w14:paraId="384A01C4" w14:textId="77777777" w:rsidR="008D126D" w:rsidRDefault="008D126D">
      <w:pPr>
        <w:rPr>
          <w:rFonts w:asciiTheme="majorHAnsi" w:eastAsiaTheme="majorEastAsia" w:hAnsiTheme="majorHAnsi" w:cstheme="majorBidi"/>
          <w:b/>
          <w:bCs/>
          <w:color w:val="2F5496" w:themeColor="accent1" w:themeShade="BF"/>
          <w:sz w:val="32"/>
          <w:szCs w:val="32"/>
        </w:rPr>
      </w:pPr>
      <w:r>
        <w:rPr>
          <w:b/>
          <w:bCs/>
        </w:rPr>
        <w:br w:type="page"/>
      </w:r>
    </w:p>
    <w:p w14:paraId="1F4270D8" w14:textId="1D3FEBE9" w:rsidR="00937AA6" w:rsidRPr="002A5C39" w:rsidRDefault="00937AA6" w:rsidP="007E020E">
      <w:pPr>
        <w:pStyle w:val="Heading1"/>
        <w:spacing w:line="360" w:lineRule="auto"/>
        <w:rPr>
          <w:b/>
          <w:bCs/>
        </w:rPr>
      </w:pPr>
      <w:bookmarkStart w:id="2" w:name="_Toc41312361"/>
      <w:r w:rsidRPr="002A5C39">
        <w:rPr>
          <w:b/>
          <w:bCs/>
        </w:rPr>
        <w:lastRenderedPageBreak/>
        <w:t xml:space="preserve">2. </w:t>
      </w:r>
      <w:r w:rsidRPr="002A5C39">
        <w:rPr>
          <w:rFonts w:hint="eastAsia"/>
          <w:b/>
          <w:bCs/>
        </w:rPr>
        <w:t>Literature</w:t>
      </w:r>
      <w:r w:rsidRPr="002A5C39">
        <w:rPr>
          <w:b/>
          <w:bCs/>
        </w:rPr>
        <w:t xml:space="preserve"> </w:t>
      </w:r>
      <w:r w:rsidRPr="002A5C39">
        <w:rPr>
          <w:rFonts w:hint="eastAsia"/>
          <w:b/>
          <w:bCs/>
        </w:rPr>
        <w:t>Review</w:t>
      </w:r>
      <w:bookmarkEnd w:id="2"/>
      <w:r w:rsidR="001D5D6E" w:rsidRPr="002A5C39">
        <w:rPr>
          <w:b/>
          <w:bCs/>
        </w:rPr>
        <w:t xml:space="preserve"> </w:t>
      </w:r>
    </w:p>
    <w:p w14:paraId="6F5C6A16" w14:textId="77777777" w:rsidR="00F1223E" w:rsidRDefault="00F1223E" w:rsidP="00A6105F">
      <w:pPr>
        <w:spacing w:line="360" w:lineRule="auto"/>
        <w:ind w:firstLine="567"/>
        <w:jc w:val="both"/>
      </w:pPr>
      <w:r w:rsidRPr="00F1223E">
        <w:t>It is well documented that there is a positive correlation between higher education levels and health (Grossman, 2006). The people with high education have more health knowledge and information, enabling them to make better choices. There is a positive link between health and education because well-educated people can improve the efficiency of individual health production, that is, education improves the marginal productivity of production inputs (Grossman, 2008). Education may also influence health behaviors by different health statuses, time preferences, and living habits (Fuchs, 1982). Education can influence health behaviors via other channels (Lochner, 2011). Education may improve health behaviors for several reasons. For example, education increases wealth so that people can buy healthier products, live in healthier environments, and pay better health insurance. Education may alter inputs to healthy production, for instance by influencing health-related behaviors, such as exercise, drinking, and precautions (Rosenzweig &amp; Schulz, 1981). High-educated people are more generative in the labor market and more effective in non-labor activities, including elevating their own and their families' health.</w:t>
      </w:r>
    </w:p>
    <w:p w14:paraId="07368DFC" w14:textId="77777777" w:rsidR="00730C23" w:rsidRDefault="00730C23" w:rsidP="00A6105F">
      <w:pPr>
        <w:spacing w:line="360" w:lineRule="auto"/>
        <w:ind w:firstLine="567"/>
        <w:jc w:val="both"/>
      </w:pPr>
      <w:r w:rsidRPr="00730C23">
        <w:t xml:space="preserve">A similar argument has been made to explain why education increases incomes in the labor market, Nelson and </w:t>
      </w:r>
      <w:proofErr w:type="spellStart"/>
      <w:r w:rsidRPr="00730C23">
        <w:t>Phelpsm</w:t>
      </w:r>
      <w:proofErr w:type="spellEnd"/>
      <w:r w:rsidRPr="00730C23">
        <w:t xml:space="preserve"> (1966) proposed that education was particularly important for those functions that adapt to change. The more adaptability, the higher the rate of return on education. It is also important for individuals to have the ability to learn by themselves. Everyone has access to knowledge, but not everyone internalizes it. Some specific information or skills are almost always learned in school like calculus, and well-educated individuals may absorb knowledge faster than others because they have an advanced way of thinking. Information processing is the key to explaining the educational gradient (Hoffmann &amp; Lutz, 2020). People with higher education tend to have a relatively high ability to learn by themselves, so they can acquire knowledge through their own ability in life. People will always encounter some things that they do not understand, such as some health knowledge, they can read articles and search the internet for reference in an effective way. Schulz (1975) agrees and argues that education can enhance an individual's ability to decode information. In other words, education not only brings knowledge to individuals, but it can also influence living behaviors.</w:t>
      </w:r>
    </w:p>
    <w:p w14:paraId="08AFAD56" w14:textId="7CBD5A1A" w:rsidR="00B278BF" w:rsidRDefault="00B278BF" w:rsidP="00A6105F">
      <w:pPr>
        <w:spacing w:line="360" w:lineRule="auto"/>
        <w:ind w:firstLine="567"/>
        <w:jc w:val="both"/>
      </w:pPr>
      <w:r w:rsidRPr="00B278BF">
        <w:t xml:space="preserve">Both the World Health Organization and the European Commission believe that health has the potential for economic development, and governments should increase medical spending to </w:t>
      </w:r>
      <w:r w:rsidRPr="00B278BF">
        <w:lastRenderedPageBreak/>
        <w:t xml:space="preserve">promote economic growth. This argument is profoundly compatible with public policy because of the various ingredients of socioeconomic status such as education (Swift, 2011). Health is an important component of happiness and related to economic status (Smith, 1999; Deaton, 2008). Government spending in medical treatment cannot solve the fundamental problems, such as a medical problem of hypertension caused by obesity. If citizens are educated to control their diet, then not only individuals can have health conditions, but also the country can save a lot of treatment funds. In Canada, showing calories on food is an applicable example of disease prevention. Although it is not achieved through education, it demonstrates that a policy can effectively reduce national expenditure and improves the health of the people by propaganda (Acton et al., 2016). According to Deaton’s (2002) article, it is essential to develop economic policies in both wealth and health conditions. In the long run, education is seen as the most suitable intervention in national policy. If education increases both wealth and health conditions, getting superior education will be a prosperous policy in the long period instead of expanding public health spending. </w:t>
      </w:r>
    </w:p>
    <w:p w14:paraId="73EE47C7" w14:textId="77777777" w:rsidR="00730C23" w:rsidRDefault="00730C23" w:rsidP="00A6105F">
      <w:pPr>
        <w:spacing w:line="360" w:lineRule="auto"/>
        <w:ind w:firstLine="567"/>
        <w:jc w:val="both"/>
      </w:pPr>
      <w:r w:rsidRPr="00730C23">
        <w:t>In some health behaviors, such as smoking, there are more common among men than women. There is an important link about the smoking rate between genders. This connection is clearly related to the level of economic development, which is usually judged by income per capita and income inequality (</w:t>
      </w:r>
      <w:proofErr w:type="spellStart"/>
      <w:r w:rsidRPr="00730C23">
        <w:t>Pathania</w:t>
      </w:r>
      <w:proofErr w:type="spellEnd"/>
      <w:r w:rsidRPr="00730C23">
        <w:t>, 2011). Gender difference is an area that needs to be considered, while parents may equally invest in their children’s health, literature has shown that there is a conservative phenomenon that is related to son preference in China. Although society and economy have improved over the years, the son preference still exists in rural areas (Murphy et al., 2011). Thus, boys may receive more attention, and parents may relatively provide more funds and attention to educate boys instead of girls, which can lead to, for example, a slight difference in nutrition. At the same time, smoking is relatively more tolerant in men, but it was considered immoral behavior if women smoke. Although the prevalence of smoking among men has remained high for the past few decades in China, this influence has still a slight impact on people born before the 21st century, but this phenomenon has improved in modern society (Xu et al., 2016). Therefore, this speaks to the importance of considering the impacts on females and males separately.</w:t>
      </w:r>
    </w:p>
    <w:p w14:paraId="645BC2E9" w14:textId="3FD54614" w:rsidR="00EE0FDB" w:rsidRDefault="00EE0FDB" w:rsidP="00A6105F">
      <w:pPr>
        <w:spacing w:line="360" w:lineRule="auto"/>
        <w:ind w:firstLine="567"/>
        <w:jc w:val="both"/>
      </w:pPr>
      <w:r w:rsidRPr="00EE0FDB">
        <w:t>Accessing knowledge and information may be more limited in developing countries than in developed countries because the information is not widespread and public awareness is not high as well. This suggests that education is more important in low schooling area such as rural (</w:t>
      </w:r>
      <w:proofErr w:type="spellStart"/>
      <w:r w:rsidRPr="00EE0FDB">
        <w:t>Dupas</w:t>
      </w:r>
      <w:proofErr w:type="spellEnd"/>
      <w:r w:rsidRPr="00EE0FDB">
        <w:t xml:space="preserve">, </w:t>
      </w:r>
      <w:r w:rsidRPr="00EE0FDB">
        <w:lastRenderedPageBreak/>
        <w:t xml:space="preserve">2011). Due to the convenience of transportation and trade, many coastal provinces will develop better than inland provinces. The economy between cities and villages is very distinct as well. China has about 9.6 million square kilometers of land area, and its geographical location creates different cultures and minorities (National Bureau of Statistics of China, 2010). Especially coastal cities were highly developed, such as the colonies of Hong Kong and Macau in decades ago (Davis, 1997). </w:t>
      </w:r>
      <w:bookmarkStart w:id="3" w:name="_Hlk36574003"/>
      <w:r w:rsidR="000725E0">
        <w:rPr>
          <w:color w:val="000000"/>
        </w:rPr>
        <w:t xml:space="preserve">According to </w:t>
      </w:r>
      <w:proofErr w:type="spellStart"/>
      <w:r w:rsidR="000725E0">
        <w:rPr>
          <w:color w:val="000000"/>
        </w:rPr>
        <w:t>Schauder</w:t>
      </w:r>
      <w:proofErr w:type="spellEnd"/>
      <w:r w:rsidR="000725E0">
        <w:rPr>
          <w:color w:val="000000"/>
        </w:rPr>
        <w:t xml:space="preserve"> &amp; Foley (2015), the government has a crucial role in enhancing the modes of transport around public learning institutions. </w:t>
      </w:r>
      <w:r w:rsidR="000725E0">
        <w:rPr>
          <w:rFonts w:hint="eastAsia"/>
          <w:color w:val="000000"/>
        </w:rPr>
        <w:t>Active</w:t>
      </w:r>
      <w:r w:rsidR="000725E0">
        <w:rPr>
          <w:color w:val="000000"/>
        </w:rPr>
        <w:t xml:space="preserve"> transportation, which </w:t>
      </w:r>
      <w:r w:rsidR="000725E0" w:rsidRPr="00900D9A">
        <w:t xml:space="preserve">is using </w:t>
      </w:r>
      <w:r w:rsidR="000725E0">
        <w:t>people’s</w:t>
      </w:r>
      <w:r w:rsidR="000725E0" w:rsidRPr="00900D9A">
        <w:t xml:space="preserve"> own power to get from one place to another</w:t>
      </w:r>
      <w:r w:rsidR="000725E0">
        <w:t>,</w:t>
      </w:r>
      <w:r w:rsidR="000725E0">
        <w:rPr>
          <w:color w:val="000000"/>
        </w:rPr>
        <w:t xml:space="preserve"> is a fundamental strategy of involving the body in physical exercises to keep it fit.</w:t>
      </w:r>
      <w:bookmarkEnd w:id="3"/>
      <w:r w:rsidR="000725E0">
        <w:rPr>
          <w:color w:val="000000"/>
        </w:rPr>
        <w:t xml:space="preserve"> </w:t>
      </w:r>
      <w:r w:rsidRPr="00EE0FDB">
        <w:t>Therefore, relatively developed regions may have a higher obesity rate, which is a question worth exploring. On the other hand, the Chinese government decided to mainly support the less developed areas. The government will do its utmost to support the less developed areas to reduce the illiteracy rate. As a direct expectation, compulsory schooling law has compressed the national educational inequality and narrowed the education gap between urban and rural areas (Huang, 2015). Therefore,</w:t>
      </w:r>
      <w:r w:rsidR="004506CE">
        <w:t xml:space="preserve"> </w:t>
      </w:r>
      <w:r w:rsidR="004506CE" w:rsidRPr="00FE3B5D">
        <w:t xml:space="preserve">this speaks to the importance of considering the impacts on </w:t>
      </w:r>
      <w:r w:rsidR="004506CE">
        <w:t>rural</w:t>
      </w:r>
      <w:r w:rsidR="004506CE" w:rsidRPr="00FE3B5D">
        <w:t xml:space="preserve"> and </w:t>
      </w:r>
      <w:r w:rsidR="004506CE">
        <w:t>urban areas</w:t>
      </w:r>
      <w:r w:rsidR="004506CE" w:rsidRPr="00FE3B5D">
        <w:t xml:space="preserve"> separately</w:t>
      </w:r>
      <w:r w:rsidR="004506CE">
        <w:t>.</w:t>
      </w:r>
    </w:p>
    <w:p w14:paraId="12242F5B" w14:textId="77777777" w:rsidR="00E54C3E" w:rsidRPr="0016493B" w:rsidRDefault="00E54C3E" w:rsidP="00A6105F">
      <w:pPr>
        <w:spacing w:line="360" w:lineRule="auto"/>
        <w:ind w:firstLine="567"/>
        <w:jc w:val="both"/>
        <w:rPr>
          <w:rFonts w:cs="Times New Roman"/>
          <w:szCs w:val="24"/>
        </w:rPr>
      </w:pPr>
      <w:r w:rsidRPr="004862FC">
        <w:rPr>
          <w:rFonts w:cs="Times New Roman"/>
          <w:szCs w:val="24"/>
        </w:rPr>
        <w:t xml:space="preserve">Previous </w:t>
      </w:r>
      <w:r>
        <w:rPr>
          <w:rFonts w:cs="Times New Roman"/>
          <w:szCs w:val="24"/>
        </w:rPr>
        <w:t>literature</w:t>
      </w:r>
      <w:r w:rsidRPr="004862FC">
        <w:rPr>
          <w:rFonts w:cs="Times New Roman"/>
          <w:szCs w:val="24"/>
        </w:rPr>
        <w:t xml:space="preserve"> has not determined whether the </w:t>
      </w:r>
      <w:r>
        <w:rPr>
          <w:rFonts w:cs="Times New Roman"/>
          <w:szCs w:val="24"/>
        </w:rPr>
        <w:t>connection</w:t>
      </w:r>
      <w:r w:rsidRPr="004862FC">
        <w:rPr>
          <w:rFonts w:cs="Times New Roman"/>
          <w:szCs w:val="24"/>
        </w:rPr>
        <w:t xml:space="preserve"> between education and health is </w:t>
      </w:r>
      <w:r w:rsidRPr="00947EF4">
        <w:rPr>
          <w:rFonts w:cs="Times New Roman"/>
          <w:szCs w:val="24"/>
        </w:rPr>
        <w:t>consequential</w:t>
      </w:r>
      <w:r w:rsidRPr="004862FC">
        <w:rPr>
          <w:rFonts w:cs="Times New Roman"/>
          <w:szCs w:val="24"/>
        </w:rPr>
        <w:t>. Hoffmann and Lutz (2019) used the allocative efficiency hypothesis to provide an explanation for differences in health education. The theory suggests that education can improve people's health knowledge, so that educated people can choose more effective investment portfolio in the healthy production process</w:t>
      </w:r>
      <w:r>
        <w:rPr>
          <w:rFonts w:cs="Times New Roman"/>
          <w:szCs w:val="24"/>
        </w:rPr>
        <w:t>.</w:t>
      </w:r>
      <w:r w:rsidRPr="004862FC">
        <w:rPr>
          <w:rFonts w:cs="Times New Roman"/>
          <w:szCs w:val="24"/>
        </w:rPr>
        <w:t xml:space="preserve"> </w:t>
      </w:r>
      <w:r>
        <w:rPr>
          <w:rFonts w:cs="Times New Roman" w:hint="eastAsia"/>
          <w:szCs w:val="24"/>
        </w:rPr>
        <w:t>In</w:t>
      </w:r>
      <w:r>
        <w:rPr>
          <w:rFonts w:cs="Times New Roman"/>
          <w:szCs w:val="24"/>
        </w:rPr>
        <w:t xml:space="preserve"> order words</w:t>
      </w:r>
      <w:r w:rsidRPr="004862FC">
        <w:rPr>
          <w:rFonts w:cs="Times New Roman"/>
          <w:szCs w:val="24"/>
        </w:rPr>
        <w:t>, better health decisions</w:t>
      </w:r>
      <w:r>
        <w:rPr>
          <w:rFonts w:cs="Times New Roman"/>
          <w:szCs w:val="24"/>
        </w:rPr>
        <w:t xml:space="preserve"> lead to</w:t>
      </w:r>
      <w:r w:rsidRPr="004862FC">
        <w:rPr>
          <w:rFonts w:cs="Times New Roman"/>
          <w:szCs w:val="24"/>
        </w:rPr>
        <w:t xml:space="preserve"> health status. Hoffmann and Lutz compared the percentage change between education, intermediary, and health to capture their impact on each other. Wealth as a measure of economic resources can explain up to 32% of the observed educational effects, </w:t>
      </w:r>
      <w:r>
        <w:rPr>
          <w:rFonts w:cs="Times New Roman"/>
          <w:szCs w:val="24"/>
        </w:rPr>
        <w:t xml:space="preserve">which </w:t>
      </w:r>
      <w:r w:rsidRPr="004862FC">
        <w:rPr>
          <w:rFonts w:cs="Times New Roman"/>
          <w:szCs w:val="24"/>
        </w:rPr>
        <w:t xml:space="preserve">further highlight the role of intermediary. Higher education can provide better jobs, while money can provide better health, and health can also provide physical support for advanced education and profitability. However, despite the evidence, </w:t>
      </w:r>
      <w:r>
        <w:rPr>
          <w:rFonts w:cs="Times New Roman"/>
          <w:szCs w:val="24"/>
        </w:rPr>
        <w:t>it</w:t>
      </w:r>
      <w:r w:rsidRPr="004862FC">
        <w:rPr>
          <w:rFonts w:cs="Times New Roman"/>
          <w:szCs w:val="24"/>
        </w:rPr>
        <w:t xml:space="preserve"> is </w:t>
      </w:r>
      <w:r>
        <w:rPr>
          <w:rFonts w:cs="Times New Roman"/>
          <w:szCs w:val="24"/>
        </w:rPr>
        <w:t>still un</w:t>
      </w:r>
      <w:r w:rsidRPr="004862FC">
        <w:rPr>
          <w:rFonts w:cs="Times New Roman"/>
          <w:szCs w:val="24"/>
        </w:rPr>
        <w:t xml:space="preserve">known about the actual mechanisms by which education influences behavior. The </w:t>
      </w:r>
      <w:r w:rsidRPr="000C0B80">
        <w:rPr>
          <w:rFonts w:cs="Times New Roman"/>
          <w:szCs w:val="24"/>
        </w:rPr>
        <w:t xml:space="preserve">correlated </w:t>
      </w:r>
      <w:r w:rsidRPr="004862FC">
        <w:rPr>
          <w:rFonts w:cs="Times New Roman"/>
          <w:szCs w:val="24"/>
        </w:rPr>
        <w:t>relationship does not ideally reflect direct causality because the explanatory variable, such as education, is still potentially endogenous because of the lack of pre-education context to intervene.</w:t>
      </w:r>
    </w:p>
    <w:p w14:paraId="558F306A" w14:textId="77777777" w:rsidR="001205EC" w:rsidRPr="001205EC" w:rsidRDefault="001205EC" w:rsidP="001205EC">
      <w:pPr>
        <w:spacing w:line="360" w:lineRule="auto"/>
        <w:ind w:firstLine="567"/>
        <w:jc w:val="both"/>
        <w:rPr>
          <w:rFonts w:cs="Times New Roman"/>
          <w:szCs w:val="24"/>
        </w:rPr>
      </w:pPr>
      <w:r w:rsidRPr="001205EC">
        <w:rPr>
          <w:rFonts w:cs="Times New Roman"/>
          <w:szCs w:val="24"/>
        </w:rPr>
        <w:lastRenderedPageBreak/>
        <w:t>For the purpose of determining the causal relationship between health and education, exogenous differences in education levels are crucial. Recent researches have taken advantage of the compulsory education reform, which has produced external changes at the lower percentile of the education distribution. Angrist and Krueger (1991) first put forward the idea that the mandatory schooling law gives a nature exogenous criterion, which forces children to go to school based on their year of birth. Also, there is a large body of literature that describes the impact of compulsory law on health outcomes (</w:t>
      </w:r>
      <w:proofErr w:type="spellStart"/>
      <w:r w:rsidRPr="001205EC">
        <w:rPr>
          <w:rFonts w:cs="Times New Roman"/>
          <w:szCs w:val="24"/>
        </w:rPr>
        <w:t>Albouy</w:t>
      </w:r>
      <w:proofErr w:type="spellEnd"/>
      <w:r w:rsidRPr="001205EC">
        <w:rPr>
          <w:rFonts w:cs="Times New Roman"/>
          <w:szCs w:val="24"/>
        </w:rPr>
        <w:t xml:space="preserve"> &amp; </w:t>
      </w:r>
      <w:proofErr w:type="spellStart"/>
      <w:r w:rsidRPr="001205EC">
        <w:rPr>
          <w:rFonts w:cs="Times New Roman"/>
          <w:szCs w:val="24"/>
        </w:rPr>
        <w:t>Lequien</w:t>
      </w:r>
      <w:proofErr w:type="spellEnd"/>
      <w:r w:rsidRPr="001205EC">
        <w:rPr>
          <w:rFonts w:cs="Times New Roman"/>
          <w:szCs w:val="24"/>
        </w:rPr>
        <w:t xml:space="preserve">, 2009; </w:t>
      </w:r>
      <w:proofErr w:type="spellStart"/>
      <w:r w:rsidRPr="001205EC">
        <w:rPr>
          <w:rFonts w:cs="Times New Roman"/>
          <w:szCs w:val="24"/>
        </w:rPr>
        <w:t>Kemptner</w:t>
      </w:r>
      <w:proofErr w:type="spellEnd"/>
      <w:r w:rsidRPr="001205EC">
        <w:rPr>
          <w:rFonts w:cs="Times New Roman"/>
          <w:szCs w:val="24"/>
        </w:rPr>
        <w:t xml:space="preserve"> et al., 2011; Fischer et al., 2013; Stephens &amp; Yang, 2014; Fletcher, 2015; </w:t>
      </w:r>
      <w:proofErr w:type="spellStart"/>
      <w:r w:rsidRPr="001205EC">
        <w:rPr>
          <w:rFonts w:cs="Times New Roman"/>
          <w:szCs w:val="24"/>
        </w:rPr>
        <w:t>Gathmann</w:t>
      </w:r>
      <w:proofErr w:type="spellEnd"/>
      <w:r w:rsidRPr="001205EC">
        <w:rPr>
          <w:rFonts w:cs="Times New Roman"/>
          <w:szCs w:val="24"/>
        </w:rPr>
        <w:t xml:space="preserve"> et al., 2015; Huang, 2015; Ma, 2019) Among them, </w:t>
      </w:r>
      <w:proofErr w:type="spellStart"/>
      <w:r w:rsidRPr="001205EC">
        <w:rPr>
          <w:rFonts w:cs="Times New Roman"/>
          <w:szCs w:val="24"/>
        </w:rPr>
        <w:t>Kemptner</w:t>
      </w:r>
      <w:proofErr w:type="spellEnd"/>
      <w:r w:rsidRPr="001205EC">
        <w:rPr>
          <w:rFonts w:cs="Times New Roman"/>
          <w:szCs w:val="24"/>
        </w:rPr>
        <w:t xml:space="preserve"> et al. (2011) summarize that the legal changes in education policy can produce an exogenous transformation in the years of education in different states and in different periods. They found evidence that there was a strong and significant causal relationship for long-term illness in men with many years of education, but not in women. Also, they provide clues that education may have a causal effect on the weight of both men and women.</w:t>
      </w:r>
    </w:p>
    <w:p w14:paraId="520FC95A" w14:textId="77777777" w:rsidR="001205EC" w:rsidRDefault="001205EC" w:rsidP="001205EC">
      <w:pPr>
        <w:spacing w:line="360" w:lineRule="auto"/>
        <w:ind w:firstLine="567"/>
        <w:jc w:val="both"/>
        <w:rPr>
          <w:rFonts w:cs="Times New Roman"/>
          <w:szCs w:val="24"/>
        </w:rPr>
      </w:pPr>
      <w:r w:rsidRPr="001205EC">
        <w:rPr>
          <w:rFonts w:cs="Times New Roman"/>
          <w:szCs w:val="24"/>
        </w:rPr>
        <w:t xml:space="preserve">In addition, Cui et al. (2019) studied the causal connection of maternal education on children’s health, and it significantly increased children’s math test scores, mental health, and nutritional status. The literature emphasizes the important role of parental education, especially maternal education, in children's cognitive and non-cognitive development (Grossman, 2000). On the other hand, there is a fancy direction to study the causal effect of children education on the parents’ health, according to Ma (2019), adopting the instrumental variable of nine-year compulsory schooling law showed the assessment results that the gain in the years of education for children improved the cognitive functioning of elderly parents, lung function, and lifetime expectations. At the same time, Huang (2015) puts forward and provides strong evidence that it is not only effectively improves education level in poor areas, but also decrease nationwide inequality, which brings more credibility to the identification strategy. </w:t>
      </w:r>
    </w:p>
    <w:p w14:paraId="3EB9E9F8" w14:textId="6FDB7B22" w:rsidR="00E54C3E" w:rsidRPr="00906920" w:rsidRDefault="00E54C3E" w:rsidP="001205EC">
      <w:pPr>
        <w:spacing w:line="360" w:lineRule="auto"/>
        <w:ind w:firstLine="567"/>
        <w:jc w:val="both"/>
        <w:rPr>
          <w:rFonts w:eastAsia="宋体" w:cs="Times New Roman"/>
          <w:color w:val="2A2A2A"/>
          <w:szCs w:val="24"/>
          <w:shd w:val="clear" w:color="auto" w:fill="FFFFFF"/>
        </w:rPr>
      </w:pPr>
      <w:r w:rsidRPr="0016493B">
        <w:rPr>
          <w:rFonts w:cs="Times New Roman"/>
          <w:szCs w:val="24"/>
        </w:rPr>
        <w:t xml:space="preserve">Since the negative correlation between </w:t>
      </w:r>
      <w:r w:rsidRPr="00E4796F">
        <w:rPr>
          <w:rFonts w:cs="Times New Roman"/>
          <w:szCs w:val="24"/>
        </w:rPr>
        <w:t xml:space="preserve">educational attainment </w:t>
      </w:r>
      <w:r w:rsidRPr="0016493B">
        <w:rPr>
          <w:rFonts w:cs="Times New Roman"/>
          <w:szCs w:val="24"/>
        </w:rPr>
        <w:t xml:space="preserve">and mortality has become the </w:t>
      </w:r>
      <w:r w:rsidRPr="00E4796F">
        <w:rPr>
          <w:rFonts w:cs="Times New Roman"/>
          <w:szCs w:val="24"/>
        </w:rPr>
        <w:t xml:space="preserve">elemental </w:t>
      </w:r>
      <w:r w:rsidRPr="0016493B">
        <w:rPr>
          <w:rFonts w:cs="Times New Roman"/>
          <w:szCs w:val="24"/>
        </w:rPr>
        <w:t xml:space="preserve">indicator of health, which found </w:t>
      </w:r>
      <w:r>
        <w:rPr>
          <w:rFonts w:cs="Times New Roman"/>
          <w:szCs w:val="24"/>
        </w:rPr>
        <w:t xml:space="preserve">statistically </w:t>
      </w:r>
      <w:r w:rsidRPr="0016493B">
        <w:rPr>
          <w:rFonts w:cs="Times New Roman"/>
          <w:szCs w:val="24"/>
        </w:rPr>
        <w:t xml:space="preserve">significant </w:t>
      </w:r>
      <w:r w:rsidRPr="000B1E1B">
        <w:rPr>
          <w:rFonts w:cs="Times New Roman"/>
          <w:szCs w:val="24"/>
        </w:rPr>
        <w:t>discrepanc</w:t>
      </w:r>
      <w:r>
        <w:rPr>
          <w:rFonts w:cs="Times New Roman" w:hint="eastAsia"/>
          <w:szCs w:val="24"/>
        </w:rPr>
        <w:t>ies</w:t>
      </w:r>
      <w:r>
        <w:rPr>
          <w:rFonts w:cs="Times New Roman"/>
          <w:szCs w:val="24"/>
        </w:rPr>
        <w:t xml:space="preserve"> </w:t>
      </w:r>
      <w:r w:rsidRPr="0016493B">
        <w:rPr>
          <w:rFonts w:cs="Times New Roman"/>
          <w:szCs w:val="24"/>
        </w:rPr>
        <w:t xml:space="preserve">in </w:t>
      </w:r>
      <w:r w:rsidRPr="00EC5CE7">
        <w:rPr>
          <w:rFonts w:cs="Times New Roman"/>
          <w:szCs w:val="24"/>
        </w:rPr>
        <w:t xml:space="preserve">fatality </w:t>
      </w:r>
      <w:r w:rsidRPr="0016493B">
        <w:rPr>
          <w:rFonts w:cs="Times New Roman"/>
          <w:szCs w:val="24"/>
        </w:rPr>
        <w:t>between male and female education levels.</w:t>
      </w:r>
      <w:r w:rsidRPr="00D260CA">
        <w:t xml:space="preserve"> </w:t>
      </w:r>
      <w:proofErr w:type="spellStart"/>
      <w:r w:rsidRPr="001F32C4">
        <w:t>Lleras-muney</w:t>
      </w:r>
      <w:proofErr w:type="spellEnd"/>
      <w:r w:rsidRPr="001F32C4">
        <w:t xml:space="preserve"> (2005) applied state-level changes in </w:t>
      </w:r>
      <w:r w:rsidRPr="0016493B">
        <w:rPr>
          <w:rFonts w:cs="Times New Roman"/>
          <w:szCs w:val="24"/>
        </w:rPr>
        <w:t>compulsory education</w:t>
      </w:r>
      <w:r w:rsidRPr="001F32C4">
        <w:t xml:space="preserve"> law from 1915 to 1939 in the United States as a method </w:t>
      </w:r>
      <w:r>
        <w:t>to</w:t>
      </w:r>
      <w:r w:rsidRPr="001F32C4">
        <w:t xml:space="preserve"> </w:t>
      </w:r>
      <w:r>
        <w:t xml:space="preserve">study </w:t>
      </w:r>
      <w:r w:rsidRPr="001F32C4">
        <w:t xml:space="preserve">the </w:t>
      </w:r>
      <w:r w:rsidRPr="00F07CEC">
        <w:t xml:space="preserve">causal </w:t>
      </w:r>
      <w:r w:rsidRPr="001F32C4">
        <w:t xml:space="preserve">effect of education on mortality. </w:t>
      </w:r>
      <w:r>
        <w:rPr>
          <w:rFonts w:cs="Times New Roman"/>
          <w:szCs w:val="24"/>
        </w:rPr>
        <w:t>T</w:t>
      </w:r>
      <w:r w:rsidRPr="0016493B">
        <w:rPr>
          <w:rFonts w:cs="Times New Roman"/>
          <w:szCs w:val="24"/>
        </w:rPr>
        <w:t xml:space="preserve">he effect on educational attainment </w:t>
      </w:r>
      <w:r>
        <w:rPr>
          <w:rFonts w:cs="Times New Roman"/>
          <w:szCs w:val="24"/>
        </w:rPr>
        <w:t>shows</w:t>
      </w:r>
      <w:r w:rsidRPr="0016493B">
        <w:rPr>
          <w:rFonts w:cs="Times New Roman"/>
          <w:szCs w:val="24"/>
        </w:rPr>
        <w:t xml:space="preserve"> that a year of </w:t>
      </w:r>
      <w:r>
        <w:rPr>
          <w:rFonts w:cs="Times New Roman"/>
          <w:szCs w:val="24"/>
        </w:rPr>
        <w:t>mandatory</w:t>
      </w:r>
      <w:r w:rsidRPr="0016493B">
        <w:rPr>
          <w:rFonts w:cs="Times New Roman"/>
          <w:szCs w:val="24"/>
        </w:rPr>
        <w:t xml:space="preserve"> </w:t>
      </w:r>
      <w:r>
        <w:rPr>
          <w:rFonts w:cs="Times New Roman"/>
          <w:szCs w:val="24"/>
        </w:rPr>
        <w:t>schooling</w:t>
      </w:r>
      <w:r w:rsidRPr="0016493B">
        <w:rPr>
          <w:rFonts w:cs="Times New Roman"/>
          <w:szCs w:val="24"/>
        </w:rPr>
        <w:t xml:space="preserve"> raises educational standards by 5%. The results </w:t>
      </w:r>
      <w:r>
        <w:rPr>
          <w:rFonts w:cs="Times New Roman"/>
          <w:szCs w:val="24"/>
        </w:rPr>
        <w:t>present</w:t>
      </w:r>
      <w:r w:rsidRPr="0016493B">
        <w:rPr>
          <w:rFonts w:cs="Times New Roman"/>
          <w:szCs w:val="24"/>
        </w:rPr>
        <w:t xml:space="preserve"> evidence that education has a </w:t>
      </w:r>
      <w:r w:rsidRPr="0016493B">
        <w:rPr>
          <w:rFonts w:cs="Times New Roman"/>
          <w:szCs w:val="24"/>
        </w:rPr>
        <w:lastRenderedPageBreak/>
        <w:t xml:space="preserve">causal effect on mortality. While </w:t>
      </w:r>
      <w:r w:rsidRPr="000B1E1B">
        <w:rPr>
          <w:rFonts w:cs="Times New Roman"/>
          <w:szCs w:val="24"/>
        </w:rPr>
        <w:t xml:space="preserve">generalized least squares </w:t>
      </w:r>
      <w:r>
        <w:rPr>
          <w:rFonts w:cs="Times New Roman"/>
          <w:szCs w:val="24"/>
        </w:rPr>
        <w:t>evaluate</w:t>
      </w:r>
      <w:r w:rsidRPr="0016493B">
        <w:rPr>
          <w:rFonts w:cs="Times New Roman"/>
          <w:szCs w:val="24"/>
        </w:rPr>
        <w:t xml:space="preserve"> that receiving an </w:t>
      </w:r>
      <w:r w:rsidRPr="00F07CEC">
        <w:rPr>
          <w:rFonts w:cs="Times New Roman"/>
          <w:szCs w:val="24"/>
        </w:rPr>
        <w:t xml:space="preserve">extra </w:t>
      </w:r>
      <w:r w:rsidRPr="0016493B">
        <w:rPr>
          <w:rFonts w:cs="Times New Roman"/>
          <w:szCs w:val="24"/>
        </w:rPr>
        <w:t xml:space="preserve">year of education </w:t>
      </w:r>
      <w:r>
        <w:rPr>
          <w:rFonts w:cs="Times New Roman"/>
          <w:szCs w:val="24"/>
        </w:rPr>
        <w:t>cut down</w:t>
      </w:r>
      <w:r w:rsidRPr="0016493B">
        <w:rPr>
          <w:rFonts w:cs="Times New Roman"/>
          <w:szCs w:val="24"/>
        </w:rPr>
        <w:t xml:space="preserve"> the likelihood of death over the next </w:t>
      </w:r>
      <w:r>
        <w:rPr>
          <w:rFonts w:cs="Times New Roman"/>
          <w:szCs w:val="24"/>
        </w:rPr>
        <w:t>decade</w:t>
      </w:r>
      <w:r w:rsidRPr="0016493B">
        <w:rPr>
          <w:rFonts w:cs="Times New Roman"/>
          <w:szCs w:val="24"/>
        </w:rPr>
        <w:t xml:space="preserve"> by about 1.3% points, the instrument variables estimate </w:t>
      </w:r>
      <w:r>
        <w:rPr>
          <w:rFonts w:cs="Times New Roman"/>
          <w:szCs w:val="24"/>
        </w:rPr>
        <w:t>propose</w:t>
      </w:r>
      <w:r w:rsidRPr="0016493B">
        <w:rPr>
          <w:rFonts w:cs="Times New Roman"/>
          <w:szCs w:val="24"/>
        </w:rPr>
        <w:t xml:space="preserve"> that the effect has 3.6% points which is much greater. </w:t>
      </w:r>
      <w:r w:rsidRPr="0016493B">
        <w:rPr>
          <w:rFonts w:eastAsia="宋体" w:cs="Times New Roman"/>
          <w:color w:val="2A2A2A"/>
          <w:szCs w:val="24"/>
          <w:shd w:val="clear" w:color="auto" w:fill="FFFFFF"/>
        </w:rPr>
        <w:t>Moreover, each scholar has its own health variables to measure individuals' health, such as memory is an important indicator of mental health (McArdle et al., 2002).</w:t>
      </w:r>
      <w:r w:rsidRPr="00906920">
        <w:rPr>
          <w:rFonts w:eastAsia="宋体" w:cs="Times New Roman"/>
          <w:color w:val="2A2A2A"/>
          <w:szCs w:val="24"/>
          <w:shd w:val="clear" w:color="auto" w:fill="FFFFFF"/>
        </w:rPr>
        <w:t xml:space="preserve"> </w:t>
      </w:r>
    </w:p>
    <w:p w14:paraId="7D51985F" w14:textId="5E7E75C9" w:rsidR="00E54C3E" w:rsidRPr="00906920" w:rsidRDefault="00E54C3E" w:rsidP="00A6105F">
      <w:pPr>
        <w:spacing w:line="360" w:lineRule="auto"/>
        <w:ind w:firstLine="567"/>
        <w:jc w:val="both"/>
      </w:pPr>
      <w:r w:rsidRPr="001F32C4">
        <w:t xml:space="preserve">Although many empirical studies have investigated the causal relationship between education and health outcomes over time in different countries, </w:t>
      </w:r>
      <w:r>
        <w:t>the</w:t>
      </w:r>
      <w:r w:rsidRPr="001F32C4">
        <w:t xml:space="preserve"> causal relationships are sometimes not effective in a part of specific outcomes</w:t>
      </w:r>
      <w:r>
        <w:t xml:space="preserve"> because</w:t>
      </w:r>
      <w:r w:rsidRPr="001F32C4">
        <w:t xml:space="preserve"> the results are inconsistent</w:t>
      </w:r>
      <w:r>
        <w:t xml:space="preserve"> in different datasets</w:t>
      </w:r>
      <w:r w:rsidRPr="001F32C4">
        <w:t xml:space="preserve">. Park and Kang (2008) found that education had no statistically significant shreds of evidence on obesity rate in Korean men, meanwhile, </w:t>
      </w:r>
      <w:proofErr w:type="spellStart"/>
      <w:r w:rsidRPr="001F32C4">
        <w:t>Lundborg</w:t>
      </w:r>
      <w:proofErr w:type="spellEnd"/>
      <w:r w:rsidRPr="001F32C4">
        <w:t xml:space="preserve"> (20</w:t>
      </w:r>
      <w:r w:rsidR="00FD6874">
        <w:t>1</w:t>
      </w:r>
      <w:r w:rsidRPr="001F32C4">
        <w:t xml:space="preserve">8) found that education had no significant result on obesity in American twin samples either. Contradictory findings can even occur when similar identification strategies based on external changes in the timing of the </w:t>
      </w:r>
      <w:r w:rsidRPr="001F32C4">
        <w:rPr>
          <w:rFonts w:hint="eastAsia"/>
        </w:rPr>
        <w:t>mandatory</w:t>
      </w:r>
      <w:r w:rsidRPr="001F32C4">
        <w:t xml:space="preserve"> </w:t>
      </w:r>
      <w:r w:rsidRPr="001F32C4">
        <w:rPr>
          <w:rFonts w:hint="eastAsia"/>
        </w:rPr>
        <w:t>schooling</w:t>
      </w:r>
      <w:r w:rsidRPr="001F32C4">
        <w:t xml:space="preserve"> law are used. </w:t>
      </w:r>
      <w:r>
        <w:t>Moreover</w:t>
      </w:r>
      <w:r w:rsidRPr="001F32C4">
        <w:t xml:space="preserve">, Clark and Royer (2013) carried out two educational policy reforms in the UK, which did not affect the mortality rate. Due to the decentralization of educational resources and economics in each province, the implementation time and effectiveness of the compulsory education law are varied at the provincial level, which makes the effect of the law non-random. Base on the differences in economic and educational development, Rosenzweig and </w:t>
      </w:r>
      <w:proofErr w:type="spellStart"/>
      <w:r w:rsidRPr="001F32C4">
        <w:t>Wolpin</w:t>
      </w:r>
      <w:proofErr w:type="spellEnd"/>
      <w:r w:rsidRPr="001F32C4">
        <w:t xml:space="preserve"> (1986) controlled for provincial time-invariant heterogeneity to address endogenous project and allow province-specific population trends to capture any deviations from national trends. </w:t>
      </w:r>
    </w:p>
    <w:p w14:paraId="3E4F6714" w14:textId="77777777" w:rsidR="00E54C3E" w:rsidRDefault="00E54C3E" w:rsidP="00A6105F">
      <w:pPr>
        <w:spacing w:line="360" w:lineRule="auto"/>
        <w:ind w:firstLine="567"/>
        <w:jc w:val="both"/>
      </w:pPr>
      <w:r w:rsidRPr="00AE4145">
        <w:t>In general, previous research found that education has an ambiguous impact on health-related lifestyles and behaviors. After investigation, some opposite results have been found even in the same country, and the debate on the effect of education and health economics is continuing (</w:t>
      </w:r>
      <w:proofErr w:type="spellStart"/>
      <w:r w:rsidRPr="004F3ED1">
        <w:rPr>
          <w:rFonts w:cs="Times New Roman"/>
          <w:szCs w:val="24"/>
          <w:shd w:val="clear" w:color="auto" w:fill="FFFFFF"/>
        </w:rPr>
        <w:t>Aboud</w:t>
      </w:r>
      <w:proofErr w:type="spellEnd"/>
      <w:r>
        <w:rPr>
          <w:rFonts w:cs="Times New Roman"/>
          <w:szCs w:val="24"/>
          <w:shd w:val="clear" w:color="auto" w:fill="FFFFFF"/>
        </w:rPr>
        <w:t xml:space="preserve"> </w:t>
      </w:r>
      <w:r w:rsidRPr="004F3ED1">
        <w:rPr>
          <w:rFonts w:cs="Times New Roman"/>
          <w:szCs w:val="24"/>
          <w:shd w:val="clear" w:color="auto" w:fill="FFFFFF"/>
        </w:rPr>
        <w:t>&amp; Singla</w:t>
      </w:r>
      <w:r>
        <w:rPr>
          <w:rFonts w:cs="Times New Roman"/>
          <w:szCs w:val="24"/>
          <w:shd w:val="clear" w:color="auto" w:fill="FFFFFF"/>
        </w:rPr>
        <w:t xml:space="preserve"> 2012;</w:t>
      </w:r>
      <w:r w:rsidRPr="00AE4145">
        <w:t xml:space="preserve"> </w:t>
      </w:r>
      <w:bookmarkStart w:id="4" w:name="_Hlk37878208"/>
      <w:r w:rsidRPr="00AE4145">
        <w:t xml:space="preserve">Stephens </w:t>
      </w:r>
      <w:r>
        <w:t>&amp;</w:t>
      </w:r>
      <w:r w:rsidRPr="00AE4145">
        <w:t xml:space="preserve"> Yang, 2014</w:t>
      </w:r>
      <w:bookmarkEnd w:id="4"/>
      <w:r w:rsidRPr="00AE4145">
        <w:t>). Therefore, there is no consensus in the literature, and this paper can add new evidence.</w:t>
      </w:r>
      <w:r>
        <w:t xml:space="preserve"> </w:t>
      </w:r>
      <w:r>
        <w:rPr>
          <w:rFonts w:hint="eastAsia"/>
        </w:rPr>
        <w:t>It</w:t>
      </w:r>
      <w:r>
        <w:t xml:space="preserve"> </w:t>
      </w:r>
      <w:r w:rsidRPr="00AE4145">
        <w:t>is different from the distribution efficiency hypothesis, parental education, and mortality</w:t>
      </w:r>
      <w:r>
        <w:t>,</w:t>
      </w:r>
      <w:r w:rsidRPr="00AE4145">
        <w:t xml:space="preserve"> </w:t>
      </w:r>
      <w:r>
        <w:t>t</w:t>
      </w:r>
      <w:r w:rsidRPr="00AE4145">
        <w:t>his paper seeks to evaluate the impact of individual education on itself and use compulsory schooling law as an instrumental variable to research the causal impact of education on health behaviors including health status, BMI, smoking, and physical activity.</w:t>
      </w:r>
    </w:p>
    <w:p w14:paraId="13C1B82F" w14:textId="77777777" w:rsidR="001C4BB3" w:rsidRPr="00C54743" w:rsidRDefault="001C4BB3" w:rsidP="00B536F5">
      <w:pPr>
        <w:spacing w:line="360" w:lineRule="auto"/>
        <w:rPr>
          <w:shd w:val="pct15" w:color="auto" w:fill="FFFFFF"/>
        </w:rPr>
      </w:pPr>
    </w:p>
    <w:p w14:paraId="6937AF45" w14:textId="5D1F0E08" w:rsidR="00937AA6" w:rsidRPr="002A5C39" w:rsidRDefault="00CD42DA" w:rsidP="0068094C">
      <w:pPr>
        <w:pStyle w:val="Heading1"/>
        <w:spacing w:line="360" w:lineRule="auto"/>
        <w:rPr>
          <w:b/>
          <w:bCs/>
        </w:rPr>
      </w:pPr>
      <w:bookmarkStart w:id="5" w:name="_Toc41312362"/>
      <w:r w:rsidRPr="002A5C39">
        <w:rPr>
          <w:b/>
          <w:bCs/>
        </w:rPr>
        <w:lastRenderedPageBreak/>
        <w:t>3</w:t>
      </w:r>
      <w:r w:rsidR="00937AA6" w:rsidRPr="002A5C39">
        <w:rPr>
          <w:b/>
          <w:bCs/>
        </w:rPr>
        <w:t xml:space="preserve">. </w:t>
      </w:r>
      <w:r w:rsidR="00937AA6" w:rsidRPr="002A5C39">
        <w:rPr>
          <w:rFonts w:hint="eastAsia"/>
          <w:b/>
          <w:bCs/>
        </w:rPr>
        <w:t>Data</w:t>
      </w:r>
      <w:r w:rsidR="00937AA6" w:rsidRPr="002A5C39">
        <w:rPr>
          <w:b/>
          <w:bCs/>
        </w:rPr>
        <w:t xml:space="preserve">set </w:t>
      </w:r>
      <w:r w:rsidR="00937AA6" w:rsidRPr="002A5C39">
        <w:rPr>
          <w:rFonts w:hint="eastAsia"/>
          <w:b/>
          <w:bCs/>
        </w:rPr>
        <w:t>and</w:t>
      </w:r>
      <w:r w:rsidR="00937AA6" w:rsidRPr="002A5C39">
        <w:rPr>
          <w:b/>
          <w:bCs/>
        </w:rPr>
        <w:t xml:space="preserve"> </w:t>
      </w:r>
      <w:r w:rsidR="00937AA6" w:rsidRPr="002A5C39">
        <w:rPr>
          <w:rFonts w:hint="eastAsia"/>
          <w:b/>
          <w:bCs/>
        </w:rPr>
        <w:t>variables</w:t>
      </w:r>
      <w:bookmarkEnd w:id="5"/>
    </w:p>
    <w:p w14:paraId="184BC8EE" w14:textId="51E683FD" w:rsidR="00937AA6" w:rsidRPr="007D0C5D" w:rsidRDefault="00CD42DA" w:rsidP="006B6D09">
      <w:pPr>
        <w:pStyle w:val="Heading2"/>
        <w:spacing w:line="360" w:lineRule="auto"/>
        <w:rPr>
          <w:lang w:val="en-US"/>
        </w:rPr>
      </w:pPr>
      <w:bookmarkStart w:id="6" w:name="_Toc41312363"/>
      <w:r>
        <w:rPr>
          <w:lang w:val="en-US"/>
        </w:rPr>
        <w:t>3</w:t>
      </w:r>
      <w:r w:rsidR="00937AA6">
        <w:rPr>
          <w:lang w:val="en-US"/>
        </w:rPr>
        <w:t xml:space="preserve">.1 </w:t>
      </w:r>
      <w:r w:rsidR="00937AA6">
        <w:rPr>
          <w:rFonts w:hint="eastAsia"/>
          <w:lang w:val="en-US"/>
        </w:rPr>
        <w:t>CHNS</w:t>
      </w:r>
      <w:r w:rsidR="00937AA6">
        <w:rPr>
          <w:lang w:val="en-US"/>
        </w:rPr>
        <w:t xml:space="preserve"> data</w:t>
      </w:r>
      <w:bookmarkEnd w:id="6"/>
    </w:p>
    <w:p w14:paraId="2E68044A" w14:textId="2AB995C1" w:rsidR="00937AA6" w:rsidRDefault="001205EC" w:rsidP="00A6105F">
      <w:pPr>
        <w:spacing w:before="240" w:after="240" w:line="360" w:lineRule="auto"/>
        <w:ind w:firstLine="567"/>
        <w:jc w:val="both"/>
        <w:rPr>
          <w:rFonts w:cs="Times New Roman"/>
          <w:szCs w:val="24"/>
          <w:lang w:val="en-US"/>
        </w:rPr>
      </w:pPr>
      <w:bookmarkStart w:id="7" w:name="_Hlk36173212"/>
      <w:r w:rsidRPr="001205EC">
        <w:rPr>
          <w:rFonts w:cs="Times New Roman"/>
          <w:szCs w:val="24"/>
          <w:lang w:val="en-US"/>
        </w:rPr>
        <w:t>The data is from the China Health and Nutrition Survey (CHNS), which contains surveys of many families and individuals in various provinces of China from 1989 to 2015. It covers income, the levels of education, health measures, and other demographic characteristics such as gender, marital status, ages, and year of birth. The health statistics on the data are extensive and comprehensive.</w:t>
      </w:r>
    </w:p>
    <w:p w14:paraId="516C2917" w14:textId="1937EF6B" w:rsidR="000E54DB" w:rsidRDefault="000E54DB" w:rsidP="006B4002">
      <w:pPr>
        <w:rPr>
          <w:lang w:val="en-US"/>
        </w:rPr>
      </w:pPr>
      <w:r>
        <w:rPr>
          <w:lang w:val="en-US"/>
        </w:rPr>
        <w:t>Table 1. Descriptive Statistics</w:t>
      </w:r>
    </w:p>
    <w:tbl>
      <w:tblPr>
        <w:tblW w:w="9199" w:type="dxa"/>
        <w:tblLook w:val="04A0" w:firstRow="1" w:lastRow="0" w:firstColumn="1" w:lastColumn="0" w:noHBand="0" w:noVBand="1"/>
      </w:tblPr>
      <w:tblGrid>
        <w:gridCol w:w="4343"/>
        <w:gridCol w:w="1010"/>
        <w:gridCol w:w="820"/>
        <w:gridCol w:w="1010"/>
        <w:gridCol w:w="812"/>
        <w:gridCol w:w="1204"/>
      </w:tblGrid>
      <w:tr w:rsidR="00E7483A" w:rsidRPr="00E7483A" w14:paraId="1496194C" w14:textId="77777777" w:rsidTr="00E7483A">
        <w:trPr>
          <w:trHeight w:val="240"/>
        </w:trPr>
        <w:tc>
          <w:tcPr>
            <w:tcW w:w="4343" w:type="dxa"/>
            <w:tcBorders>
              <w:top w:val="single" w:sz="4" w:space="0" w:color="auto"/>
              <w:left w:val="nil"/>
              <w:bottom w:val="single" w:sz="4" w:space="0" w:color="auto"/>
              <w:right w:val="nil"/>
            </w:tcBorders>
            <w:shd w:val="clear" w:color="000000" w:fill="D9E1F2"/>
            <w:noWrap/>
            <w:vAlign w:val="center"/>
            <w:hideMark/>
          </w:tcPr>
          <w:p w14:paraId="456E6853" w14:textId="77777777" w:rsidR="00E7483A" w:rsidRPr="00E7483A" w:rsidRDefault="00E7483A" w:rsidP="00E7483A">
            <w:pPr>
              <w:spacing w:after="0" w:line="240" w:lineRule="auto"/>
              <w:rPr>
                <w:rFonts w:eastAsia="Times New Roman" w:cs="Times New Roman"/>
                <w:color w:val="000000"/>
                <w:szCs w:val="24"/>
              </w:rPr>
            </w:pPr>
            <w:r w:rsidRPr="00E7483A">
              <w:rPr>
                <w:rFonts w:eastAsia="Times New Roman" w:cs="Times New Roman"/>
                <w:color w:val="000000"/>
                <w:szCs w:val="24"/>
              </w:rPr>
              <w:t>Variables</w:t>
            </w:r>
          </w:p>
        </w:tc>
        <w:tc>
          <w:tcPr>
            <w:tcW w:w="1010" w:type="dxa"/>
            <w:tcBorders>
              <w:top w:val="single" w:sz="4" w:space="0" w:color="auto"/>
              <w:left w:val="nil"/>
              <w:bottom w:val="single" w:sz="4" w:space="0" w:color="auto"/>
              <w:right w:val="nil"/>
            </w:tcBorders>
            <w:shd w:val="clear" w:color="000000" w:fill="D9E1F2"/>
            <w:noWrap/>
            <w:vAlign w:val="center"/>
            <w:hideMark/>
          </w:tcPr>
          <w:p w14:paraId="37A51849" w14:textId="77777777" w:rsidR="00E7483A" w:rsidRPr="00E7483A" w:rsidRDefault="00E7483A" w:rsidP="00E7483A">
            <w:pPr>
              <w:spacing w:after="0" w:line="240" w:lineRule="auto"/>
              <w:jc w:val="center"/>
              <w:rPr>
                <w:rFonts w:eastAsia="Times New Roman" w:cs="Times New Roman"/>
                <w:color w:val="000000"/>
                <w:szCs w:val="24"/>
              </w:rPr>
            </w:pPr>
            <w:proofErr w:type="spellStart"/>
            <w:r w:rsidRPr="00E7483A">
              <w:rPr>
                <w:rFonts w:eastAsia="Times New Roman" w:cs="Times New Roman"/>
                <w:color w:val="000000"/>
                <w:szCs w:val="24"/>
              </w:rPr>
              <w:t>Obs</w:t>
            </w:r>
            <w:proofErr w:type="spellEnd"/>
          </w:p>
        </w:tc>
        <w:tc>
          <w:tcPr>
            <w:tcW w:w="820" w:type="dxa"/>
            <w:tcBorders>
              <w:top w:val="single" w:sz="4" w:space="0" w:color="auto"/>
              <w:left w:val="nil"/>
              <w:bottom w:val="single" w:sz="4" w:space="0" w:color="auto"/>
              <w:right w:val="nil"/>
            </w:tcBorders>
            <w:shd w:val="clear" w:color="000000" w:fill="D9E1F2"/>
            <w:noWrap/>
            <w:vAlign w:val="center"/>
            <w:hideMark/>
          </w:tcPr>
          <w:p w14:paraId="53A18415"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Mean</w:t>
            </w:r>
          </w:p>
        </w:tc>
        <w:tc>
          <w:tcPr>
            <w:tcW w:w="1010" w:type="dxa"/>
            <w:tcBorders>
              <w:top w:val="single" w:sz="4" w:space="0" w:color="auto"/>
              <w:left w:val="nil"/>
              <w:bottom w:val="single" w:sz="4" w:space="0" w:color="auto"/>
              <w:right w:val="nil"/>
            </w:tcBorders>
            <w:shd w:val="clear" w:color="000000" w:fill="D9E1F2"/>
            <w:noWrap/>
            <w:vAlign w:val="center"/>
            <w:hideMark/>
          </w:tcPr>
          <w:p w14:paraId="7654F21E"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Std. Dev</w:t>
            </w:r>
          </w:p>
        </w:tc>
        <w:tc>
          <w:tcPr>
            <w:tcW w:w="812" w:type="dxa"/>
            <w:tcBorders>
              <w:top w:val="single" w:sz="4" w:space="0" w:color="auto"/>
              <w:left w:val="nil"/>
              <w:bottom w:val="single" w:sz="4" w:space="0" w:color="auto"/>
              <w:right w:val="nil"/>
            </w:tcBorders>
            <w:shd w:val="clear" w:color="000000" w:fill="D9E1F2"/>
            <w:noWrap/>
            <w:vAlign w:val="center"/>
            <w:hideMark/>
          </w:tcPr>
          <w:p w14:paraId="33D95698"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Min</w:t>
            </w:r>
          </w:p>
        </w:tc>
        <w:tc>
          <w:tcPr>
            <w:tcW w:w="1204" w:type="dxa"/>
            <w:tcBorders>
              <w:top w:val="single" w:sz="4" w:space="0" w:color="auto"/>
              <w:left w:val="nil"/>
              <w:bottom w:val="single" w:sz="4" w:space="0" w:color="auto"/>
              <w:right w:val="nil"/>
            </w:tcBorders>
            <w:shd w:val="clear" w:color="000000" w:fill="D9E1F2"/>
            <w:noWrap/>
            <w:vAlign w:val="center"/>
            <w:hideMark/>
          </w:tcPr>
          <w:p w14:paraId="33DBDC10"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Max</w:t>
            </w:r>
          </w:p>
        </w:tc>
      </w:tr>
      <w:tr w:rsidR="00E7483A" w:rsidRPr="00E7483A" w14:paraId="1E3CACE5" w14:textId="77777777" w:rsidTr="00E7483A">
        <w:trPr>
          <w:trHeight w:val="240"/>
        </w:trPr>
        <w:tc>
          <w:tcPr>
            <w:tcW w:w="4343" w:type="dxa"/>
            <w:tcBorders>
              <w:top w:val="nil"/>
              <w:left w:val="nil"/>
              <w:bottom w:val="nil"/>
              <w:right w:val="nil"/>
            </w:tcBorders>
            <w:shd w:val="clear" w:color="auto" w:fill="auto"/>
            <w:noWrap/>
            <w:hideMark/>
          </w:tcPr>
          <w:p w14:paraId="5D553706" w14:textId="77777777" w:rsidR="00E7483A" w:rsidRPr="00E7483A" w:rsidRDefault="00E7483A" w:rsidP="00E7483A">
            <w:pPr>
              <w:spacing w:after="0" w:line="240" w:lineRule="auto"/>
              <w:rPr>
                <w:rFonts w:eastAsia="Times New Roman" w:cs="Times New Roman"/>
                <w:b/>
                <w:bCs/>
                <w:color w:val="000000"/>
                <w:szCs w:val="24"/>
              </w:rPr>
            </w:pPr>
            <w:r w:rsidRPr="00E7483A">
              <w:rPr>
                <w:rFonts w:eastAsia="Times New Roman" w:cs="Times New Roman"/>
                <w:b/>
                <w:bCs/>
                <w:color w:val="000000"/>
                <w:szCs w:val="24"/>
              </w:rPr>
              <w:t xml:space="preserve">Panel A: Health </w:t>
            </w:r>
          </w:p>
        </w:tc>
        <w:tc>
          <w:tcPr>
            <w:tcW w:w="1010" w:type="dxa"/>
            <w:tcBorders>
              <w:top w:val="nil"/>
              <w:left w:val="nil"/>
              <w:bottom w:val="nil"/>
              <w:right w:val="nil"/>
            </w:tcBorders>
            <w:shd w:val="clear" w:color="auto" w:fill="auto"/>
            <w:noWrap/>
            <w:vAlign w:val="center"/>
            <w:hideMark/>
          </w:tcPr>
          <w:p w14:paraId="292CC6C9"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w:t>
            </w:r>
          </w:p>
        </w:tc>
        <w:tc>
          <w:tcPr>
            <w:tcW w:w="820" w:type="dxa"/>
            <w:tcBorders>
              <w:top w:val="nil"/>
              <w:left w:val="nil"/>
              <w:bottom w:val="nil"/>
              <w:right w:val="nil"/>
            </w:tcBorders>
            <w:shd w:val="clear" w:color="auto" w:fill="auto"/>
            <w:noWrap/>
            <w:vAlign w:val="center"/>
            <w:hideMark/>
          </w:tcPr>
          <w:p w14:paraId="35D2CC2F"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w:t>
            </w:r>
          </w:p>
        </w:tc>
        <w:tc>
          <w:tcPr>
            <w:tcW w:w="1010" w:type="dxa"/>
            <w:tcBorders>
              <w:top w:val="nil"/>
              <w:left w:val="nil"/>
              <w:bottom w:val="nil"/>
              <w:right w:val="nil"/>
            </w:tcBorders>
            <w:shd w:val="clear" w:color="auto" w:fill="auto"/>
            <w:noWrap/>
            <w:vAlign w:val="center"/>
            <w:hideMark/>
          </w:tcPr>
          <w:p w14:paraId="72F005A2"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w:t>
            </w:r>
          </w:p>
        </w:tc>
        <w:tc>
          <w:tcPr>
            <w:tcW w:w="812" w:type="dxa"/>
            <w:tcBorders>
              <w:top w:val="nil"/>
              <w:left w:val="nil"/>
              <w:bottom w:val="nil"/>
              <w:right w:val="nil"/>
            </w:tcBorders>
            <w:shd w:val="clear" w:color="auto" w:fill="auto"/>
            <w:noWrap/>
            <w:vAlign w:val="center"/>
            <w:hideMark/>
          </w:tcPr>
          <w:p w14:paraId="7D14FA87"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w:t>
            </w:r>
          </w:p>
        </w:tc>
        <w:tc>
          <w:tcPr>
            <w:tcW w:w="1204" w:type="dxa"/>
            <w:tcBorders>
              <w:top w:val="nil"/>
              <w:left w:val="nil"/>
              <w:bottom w:val="nil"/>
              <w:right w:val="nil"/>
            </w:tcBorders>
            <w:shd w:val="clear" w:color="auto" w:fill="auto"/>
            <w:noWrap/>
            <w:vAlign w:val="center"/>
            <w:hideMark/>
          </w:tcPr>
          <w:p w14:paraId="28DC15CA"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w:t>
            </w:r>
          </w:p>
        </w:tc>
      </w:tr>
      <w:tr w:rsidR="00E7483A" w:rsidRPr="00E7483A" w14:paraId="2BF142EC" w14:textId="77777777" w:rsidTr="00E7483A">
        <w:trPr>
          <w:trHeight w:val="258"/>
        </w:trPr>
        <w:tc>
          <w:tcPr>
            <w:tcW w:w="4343" w:type="dxa"/>
            <w:tcBorders>
              <w:top w:val="nil"/>
              <w:left w:val="nil"/>
              <w:bottom w:val="nil"/>
              <w:right w:val="nil"/>
            </w:tcBorders>
            <w:shd w:val="clear" w:color="auto" w:fill="auto"/>
            <w:noWrap/>
            <w:hideMark/>
          </w:tcPr>
          <w:p w14:paraId="18C17DBF" w14:textId="77777777" w:rsidR="00E7483A" w:rsidRPr="00E7483A" w:rsidRDefault="00E7483A" w:rsidP="00E7483A">
            <w:pPr>
              <w:spacing w:after="0" w:line="240" w:lineRule="auto"/>
              <w:rPr>
                <w:rFonts w:eastAsia="Times New Roman" w:cs="Times New Roman"/>
                <w:color w:val="000000"/>
                <w:szCs w:val="24"/>
              </w:rPr>
            </w:pPr>
            <w:r w:rsidRPr="00E7483A">
              <w:rPr>
                <w:rFonts w:eastAsia="Times New Roman" w:cs="Times New Roman"/>
                <w:color w:val="000000"/>
                <w:szCs w:val="24"/>
              </w:rPr>
              <w:t>Health Status (Excellent and good = 1)</w:t>
            </w:r>
          </w:p>
        </w:tc>
        <w:tc>
          <w:tcPr>
            <w:tcW w:w="1010" w:type="dxa"/>
            <w:tcBorders>
              <w:top w:val="nil"/>
              <w:left w:val="nil"/>
              <w:bottom w:val="nil"/>
              <w:right w:val="nil"/>
            </w:tcBorders>
            <w:shd w:val="clear" w:color="auto" w:fill="auto"/>
            <w:noWrap/>
            <w:vAlign w:val="center"/>
            <w:hideMark/>
          </w:tcPr>
          <w:p w14:paraId="5201D6D6"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xml:space="preserve">  10,489 </w:t>
            </w:r>
          </w:p>
        </w:tc>
        <w:tc>
          <w:tcPr>
            <w:tcW w:w="820" w:type="dxa"/>
            <w:tcBorders>
              <w:top w:val="nil"/>
              <w:left w:val="nil"/>
              <w:bottom w:val="nil"/>
              <w:right w:val="nil"/>
            </w:tcBorders>
            <w:shd w:val="clear" w:color="auto" w:fill="auto"/>
            <w:noWrap/>
            <w:vAlign w:val="center"/>
            <w:hideMark/>
          </w:tcPr>
          <w:p w14:paraId="2B9BB067"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0.71</w:t>
            </w:r>
          </w:p>
        </w:tc>
        <w:tc>
          <w:tcPr>
            <w:tcW w:w="1010" w:type="dxa"/>
            <w:tcBorders>
              <w:top w:val="nil"/>
              <w:left w:val="nil"/>
              <w:bottom w:val="nil"/>
              <w:right w:val="nil"/>
            </w:tcBorders>
            <w:shd w:val="clear" w:color="auto" w:fill="auto"/>
            <w:noWrap/>
            <w:vAlign w:val="center"/>
            <w:hideMark/>
          </w:tcPr>
          <w:p w14:paraId="0ECB1F09"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0.45</w:t>
            </w:r>
          </w:p>
        </w:tc>
        <w:tc>
          <w:tcPr>
            <w:tcW w:w="812" w:type="dxa"/>
            <w:tcBorders>
              <w:top w:val="nil"/>
              <w:left w:val="nil"/>
              <w:bottom w:val="nil"/>
              <w:right w:val="nil"/>
            </w:tcBorders>
            <w:shd w:val="clear" w:color="auto" w:fill="auto"/>
            <w:noWrap/>
            <w:vAlign w:val="center"/>
            <w:hideMark/>
          </w:tcPr>
          <w:p w14:paraId="217257EA"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0</w:t>
            </w:r>
          </w:p>
        </w:tc>
        <w:tc>
          <w:tcPr>
            <w:tcW w:w="1204" w:type="dxa"/>
            <w:tcBorders>
              <w:top w:val="nil"/>
              <w:left w:val="nil"/>
              <w:bottom w:val="nil"/>
              <w:right w:val="nil"/>
            </w:tcBorders>
            <w:shd w:val="clear" w:color="auto" w:fill="auto"/>
            <w:noWrap/>
            <w:vAlign w:val="center"/>
            <w:hideMark/>
          </w:tcPr>
          <w:p w14:paraId="3AA375F6"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1</w:t>
            </w:r>
          </w:p>
        </w:tc>
      </w:tr>
      <w:tr w:rsidR="00E7483A" w:rsidRPr="00E7483A" w14:paraId="6DA00CF5" w14:textId="77777777" w:rsidTr="00E7483A">
        <w:trPr>
          <w:trHeight w:val="240"/>
        </w:trPr>
        <w:tc>
          <w:tcPr>
            <w:tcW w:w="4343" w:type="dxa"/>
            <w:tcBorders>
              <w:top w:val="nil"/>
              <w:left w:val="nil"/>
              <w:bottom w:val="nil"/>
              <w:right w:val="nil"/>
            </w:tcBorders>
            <w:shd w:val="clear" w:color="auto" w:fill="auto"/>
            <w:noWrap/>
            <w:hideMark/>
          </w:tcPr>
          <w:p w14:paraId="61A1286E" w14:textId="77777777" w:rsidR="00E7483A" w:rsidRPr="00E7483A" w:rsidRDefault="00E7483A" w:rsidP="00E7483A">
            <w:pPr>
              <w:spacing w:after="0" w:line="240" w:lineRule="auto"/>
              <w:rPr>
                <w:rFonts w:eastAsia="Times New Roman" w:cs="Times New Roman"/>
                <w:color w:val="000000"/>
                <w:szCs w:val="24"/>
              </w:rPr>
            </w:pPr>
            <w:r w:rsidRPr="00E7483A">
              <w:rPr>
                <w:rFonts w:eastAsia="Times New Roman" w:cs="Times New Roman"/>
                <w:color w:val="000000"/>
                <w:szCs w:val="24"/>
              </w:rPr>
              <w:t>BMI</w:t>
            </w:r>
          </w:p>
        </w:tc>
        <w:tc>
          <w:tcPr>
            <w:tcW w:w="1010" w:type="dxa"/>
            <w:tcBorders>
              <w:top w:val="nil"/>
              <w:left w:val="nil"/>
              <w:bottom w:val="nil"/>
              <w:right w:val="nil"/>
            </w:tcBorders>
            <w:shd w:val="clear" w:color="auto" w:fill="auto"/>
            <w:noWrap/>
            <w:vAlign w:val="center"/>
            <w:hideMark/>
          </w:tcPr>
          <w:p w14:paraId="7E98F5D9"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xml:space="preserve">  10,489 </w:t>
            </w:r>
          </w:p>
        </w:tc>
        <w:tc>
          <w:tcPr>
            <w:tcW w:w="820" w:type="dxa"/>
            <w:tcBorders>
              <w:top w:val="nil"/>
              <w:left w:val="nil"/>
              <w:bottom w:val="nil"/>
              <w:right w:val="nil"/>
            </w:tcBorders>
            <w:shd w:val="clear" w:color="auto" w:fill="auto"/>
            <w:noWrap/>
            <w:vAlign w:val="center"/>
            <w:hideMark/>
          </w:tcPr>
          <w:p w14:paraId="4D1C89A1" w14:textId="77777777" w:rsidR="00E7483A" w:rsidRPr="00E7483A" w:rsidRDefault="00E7483A" w:rsidP="00E7483A">
            <w:pPr>
              <w:spacing w:after="0" w:line="240" w:lineRule="auto"/>
              <w:jc w:val="center"/>
              <w:rPr>
                <w:rFonts w:eastAsia="Times New Roman" w:cs="Times New Roman"/>
                <w:szCs w:val="24"/>
              </w:rPr>
            </w:pPr>
            <w:r w:rsidRPr="00E7483A">
              <w:rPr>
                <w:rFonts w:eastAsia="Times New Roman" w:cs="Times New Roman"/>
                <w:szCs w:val="24"/>
              </w:rPr>
              <w:t>22.95</w:t>
            </w:r>
          </w:p>
        </w:tc>
        <w:tc>
          <w:tcPr>
            <w:tcW w:w="1010" w:type="dxa"/>
            <w:tcBorders>
              <w:top w:val="nil"/>
              <w:left w:val="nil"/>
              <w:bottom w:val="nil"/>
              <w:right w:val="nil"/>
            </w:tcBorders>
            <w:shd w:val="clear" w:color="auto" w:fill="auto"/>
            <w:noWrap/>
            <w:vAlign w:val="center"/>
            <w:hideMark/>
          </w:tcPr>
          <w:p w14:paraId="5AD8D2CF"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3.41</w:t>
            </w:r>
          </w:p>
        </w:tc>
        <w:tc>
          <w:tcPr>
            <w:tcW w:w="812" w:type="dxa"/>
            <w:tcBorders>
              <w:top w:val="nil"/>
              <w:left w:val="nil"/>
              <w:bottom w:val="nil"/>
              <w:right w:val="nil"/>
            </w:tcBorders>
            <w:shd w:val="clear" w:color="auto" w:fill="auto"/>
            <w:noWrap/>
            <w:vAlign w:val="center"/>
            <w:hideMark/>
          </w:tcPr>
          <w:p w14:paraId="4B1C2990"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13.97</w:t>
            </w:r>
          </w:p>
        </w:tc>
        <w:tc>
          <w:tcPr>
            <w:tcW w:w="1204" w:type="dxa"/>
            <w:tcBorders>
              <w:top w:val="nil"/>
              <w:left w:val="nil"/>
              <w:bottom w:val="nil"/>
              <w:right w:val="nil"/>
            </w:tcBorders>
            <w:shd w:val="clear" w:color="auto" w:fill="auto"/>
            <w:noWrap/>
            <w:vAlign w:val="center"/>
            <w:hideMark/>
          </w:tcPr>
          <w:p w14:paraId="12735567"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46.00</w:t>
            </w:r>
          </w:p>
        </w:tc>
      </w:tr>
      <w:tr w:rsidR="00E7483A" w:rsidRPr="00E7483A" w14:paraId="09DC728F" w14:textId="77777777" w:rsidTr="00E7483A">
        <w:trPr>
          <w:trHeight w:val="240"/>
        </w:trPr>
        <w:tc>
          <w:tcPr>
            <w:tcW w:w="4343" w:type="dxa"/>
            <w:tcBorders>
              <w:top w:val="nil"/>
              <w:left w:val="nil"/>
              <w:bottom w:val="nil"/>
              <w:right w:val="nil"/>
            </w:tcBorders>
            <w:shd w:val="clear" w:color="auto" w:fill="auto"/>
            <w:noWrap/>
            <w:hideMark/>
          </w:tcPr>
          <w:p w14:paraId="301E0A37" w14:textId="77777777" w:rsidR="00E7483A" w:rsidRPr="00E7483A" w:rsidRDefault="00E7483A" w:rsidP="00E7483A">
            <w:pPr>
              <w:spacing w:after="0" w:line="240" w:lineRule="auto"/>
              <w:rPr>
                <w:rFonts w:eastAsia="Times New Roman" w:cs="Times New Roman"/>
                <w:color w:val="000000"/>
                <w:szCs w:val="24"/>
              </w:rPr>
            </w:pPr>
            <w:r w:rsidRPr="00E7483A">
              <w:rPr>
                <w:rFonts w:eastAsia="Times New Roman" w:cs="Times New Roman"/>
                <w:color w:val="000000"/>
                <w:szCs w:val="24"/>
              </w:rPr>
              <w:t xml:space="preserve">       Overweight</w:t>
            </w:r>
          </w:p>
        </w:tc>
        <w:tc>
          <w:tcPr>
            <w:tcW w:w="1010" w:type="dxa"/>
            <w:tcBorders>
              <w:top w:val="nil"/>
              <w:left w:val="nil"/>
              <w:bottom w:val="nil"/>
              <w:right w:val="nil"/>
            </w:tcBorders>
            <w:shd w:val="clear" w:color="auto" w:fill="auto"/>
            <w:noWrap/>
            <w:vAlign w:val="center"/>
            <w:hideMark/>
          </w:tcPr>
          <w:p w14:paraId="0B7AB986"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xml:space="preserve">  10,489 </w:t>
            </w:r>
          </w:p>
        </w:tc>
        <w:tc>
          <w:tcPr>
            <w:tcW w:w="820" w:type="dxa"/>
            <w:tcBorders>
              <w:top w:val="nil"/>
              <w:left w:val="nil"/>
              <w:bottom w:val="nil"/>
              <w:right w:val="nil"/>
            </w:tcBorders>
            <w:shd w:val="clear" w:color="auto" w:fill="auto"/>
            <w:noWrap/>
            <w:vAlign w:val="center"/>
            <w:hideMark/>
          </w:tcPr>
          <w:p w14:paraId="7E2BFF7A" w14:textId="77777777" w:rsidR="00E7483A" w:rsidRPr="00E7483A" w:rsidRDefault="00E7483A" w:rsidP="00E7483A">
            <w:pPr>
              <w:spacing w:after="0" w:line="240" w:lineRule="auto"/>
              <w:jc w:val="center"/>
              <w:rPr>
                <w:rFonts w:eastAsia="Times New Roman" w:cs="Times New Roman"/>
                <w:szCs w:val="24"/>
              </w:rPr>
            </w:pPr>
            <w:r w:rsidRPr="00E7483A">
              <w:rPr>
                <w:rFonts w:eastAsia="Times New Roman" w:cs="Times New Roman"/>
                <w:szCs w:val="24"/>
              </w:rPr>
              <w:t>0.65</w:t>
            </w:r>
          </w:p>
        </w:tc>
        <w:tc>
          <w:tcPr>
            <w:tcW w:w="1010" w:type="dxa"/>
            <w:tcBorders>
              <w:top w:val="nil"/>
              <w:left w:val="nil"/>
              <w:bottom w:val="nil"/>
              <w:right w:val="nil"/>
            </w:tcBorders>
            <w:shd w:val="clear" w:color="auto" w:fill="auto"/>
            <w:noWrap/>
            <w:vAlign w:val="center"/>
            <w:hideMark/>
          </w:tcPr>
          <w:p w14:paraId="78F4D531"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1.61</w:t>
            </w:r>
          </w:p>
        </w:tc>
        <w:tc>
          <w:tcPr>
            <w:tcW w:w="812" w:type="dxa"/>
            <w:tcBorders>
              <w:top w:val="nil"/>
              <w:left w:val="nil"/>
              <w:bottom w:val="nil"/>
              <w:right w:val="nil"/>
            </w:tcBorders>
            <w:shd w:val="clear" w:color="auto" w:fill="auto"/>
            <w:noWrap/>
            <w:vAlign w:val="center"/>
            <w:hideMark/>
          </w:tcPr>
          <w:p w14:paraId="63A3ABF7"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0</w:t>
            </w:r>
          </w:p>
        </w:tc>
        <w:tc>
          <w:tcPr>
            <w:tcW w:w="1204" w:type="dxa"/>
            <w:tcBorders>
              <w:top w:val="nil"/>
              <w:left w:val="nil"/>
              <w:bottom w:val="nil"/>
              <w:right w:val="nil"/>
            </w:tcBorders>
            <w:shd w:val="clear" w:color="auto" w:fill="auto"/>
            <w:noWrap/>
            <w:vAlign w:val="center"/>
            <w:hideMark/>
          </w:tcPr>
          <w:p w14:paraId="1909039E"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21.00</w:t>
            </w:r>
          </w:p>
        </w:tc>
      </w:tr>
      <w:tr w:rsidR="00E7483A" w:rsidRPr="00E7483A" w14:paraId="30AE0D1D" w14:textId="77777777" w:rsidTr="00E7483A">
        <w:trPr>
          <w:trHeight w:val="240"/>
        </w:trPr>
        <w:tc>
          <w:tcPr>
            <w:tcW w:w="4343" w:type="dxa"/>
            <w:tcBorders>
              <w:top w:val="nil"/>
              <w:left w:val="nil"/>
              <w:bottom w:val="nil"/>
              <w:right w:val="nil"/>
            </w:tcBorders>
            <w:shd w:val="clear" w:color="auto" w:fill="auto"/>
            <w:noWrap/>
            <w:hideMark/>
          </w:tcPr>
          <w:p w14:paraId="6923873A" w14:textId="77777777" w:rsidR="00E7483A" w:rsidRPr="00E7483A" w:rsidRDefault="00E7483A" w:rsidP="00E7483A">
            <w:pPr>
              <w:spacing w:after="0" w:line="240" w:lineRule="auto"/>
              <w:rPr>
                <w:rFonts w:eastAsia="Times New Roman" w:cs="Times New Roman"/>
                <w:color w:val="000000"/>
                <w:szCs w:val="24"/>
              </w:rPr>
            </w:pPr>
            <w:r w:rsidRPr="00E7483A">
              <w:rPr>
                <w:rFonts w:eastAsia="Times New Roman" w:cs="Times New Roman"/>
                <w:color w:val="000000"/>
                <w:szCs w:val="24"/>
              </w:rPr>
              <w:t xml:space="preserve">       Obesity </w:t>
            </w:r>
          </w:p>
        </w:tc>
        <w:tc>
          <w:tcPr>
            <w:tcW w:w="1010" w:type="dxa"/>
            <w:tcBorders>
              <w:top w:val="nil"/>
              <w:left w:val="nil"/>
              <w:bottom w:val="nil"/>
              <w:right w:val="nil"/>
            </w:tcBorders>
            <w:shd w:val="clear" w:color="auto" w:fill="auto"/>
            <w:noWrap/>
            <w:vAlign w:val="center"/>
            <w:hideMark/>
          </w:tcPr>
          <w:p w14:paraId="1307AD84"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xml:space="preserve">  10,489 </w:t>
            </w:r>
          </w:p>
        </w:tc>
        <w:tc>
          <w:tcPr>
            <w:tcW w:w="820" w:type="dxa"/>
            <w:tcBorders>
              <w:top w:val="nil"/>
              <w:left w:val="nil"/>
              <w:bottom w:val="nil"/>
              <w:right w:val="nil"/>
            </w:tcBorders>
            <w:shd w:val="clear" w:color="auto" w:fill="auto"/>
            <w:noWrap/>
            <w:vAlign w:val="center"/>
            <w:hideMark/>
          </w:tcPr>
          <w:p w14:paraId="28985495" w14:textId="77777777" w:rsidR="00E7483A" w:rsidRPr="00E7483A" w:rsidRDefault="00E7483A" w:rsidP="00E7483A">
            <w:pPr>
              <w:spacing w:after="0" w:line="240" w:lineRule="auto"/>
              <w:jc w:val="center"/>
              <w:rPr>
                <w:rFonts w:eastAsia="Times New Roman" w:cs="Times New Roman"/>
                <w:szCs w:val="24"/>
              </w:rPr>
            </w:pPr>
            <w:r w:rsidRPr="00E7483A">
              <w:rPr>
                <w:rFonts w:eastAsia="Times New Roman" w:cs="Times New Roman"/>
                <w:szCs w:val="24"/>
              </w:rPr>
              <w:t>0.07</w:t>
            </w:r>
          </w:p>
        </w:tc>
        <w:tc>
          <w:tcPr>
            <w:tcW w:w="1010" w:type="dxa"/>
            <w:tcBorders>
              <w:top w:val="nil"/>
              <w:left w:val="nil"/>
              <w:bottom w:val="nil"/>
              <w:right w:val="nil"/>
            </w:tcBorders>
            <w:shd w:val="clear" w:color="auto" w:fill="auto"/>
            <w:noWrap/>
            <w:vAlign w:val="center"/>
            <w:hideMark/>
          </w:tcPr>
          <w:p w14:paraId="76F1915F"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0.53</w:t>
            </w:r>
          </w:p>
        </w:tc>
        <w:tc>
          <w:tcPr>
            <w:tcW w:w="812" w:type="dxa"/>
            <w:tcBorders>
              <w:top w:val="nil"/>
              <w:left w:val="nil"/>
              <w:bottom w:val="nil"/>
              <w:right w:val="nil"/>
            </w:tcBorders>
            <w:shd w:val="clear" w:color="auto" w:fill="auto"/>
            <w:noWrap/>
            <w:vAlign w:val="center"/>
            <w:hideMark/>
          </w:tcPr>
          <w:p w14:paraId="2C62E106"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0</w:t>
            </w:r>
          </w:p>
        </w:tc>
        <w:tc>
          <w:tcPr>
            <w:tcW w:w="1204" w:type="dxa"/>
            <w:tcBorders>
              <w:top w:val="nil"/>
              <w:left w:val="nil"/>
              <w:bottom w:val="nil"/>
              <w:right w:val="nil"/>
            </w:tcBorders>
            <w:shd w:val="clear" w:color="auto" w:fill="auto"/>
            <w:noWrap/>
            <w:vAlign w:val="center"/>
            <w:hideMark/>
          </w:tcPr>
          <w:p w14:paraId="685F723A"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16.00</w:t>
            </w:r>
          </w:p>
        </w:tc>
      </w:tr>
      <w:tr w:rsidR="00E7483A" w:rsidRPr="00E7483A" w14:paraId="011059B0" w14:textId="77777777" w:rsidTr="00E7483A">
        <w:trPr>
          <w:trHeight w:val="240"/>
        </w:trPr>
        <w:tc>
          <w:tcPr>
            <w:tcW w:w="4343" w:type="dxa"/>
            <w:tcBorders>
              <w:top w:val="nil"/>
              <w:left w:val="nil"/>
              <w:bottom w:val="nil"/>
              <w:right w:val="nil"/>
            </w:tcBorders>
            <w:shd w:val="clear" w:color="auto" w:fill="auto"/>
            <w:noWrap/>
            <w:hideMark/>
          </w:tcPr>
          <w:p w14:paraId="2039D68C" w14:textId="77777777" w:rsidR="00E7483A" w:rsidRPr="00E7483A" w:rsidRDefault="00E7483A" w:rsidP="00E7483A">
            <w:pPr>
              <w:spacing w:after="0" w:line="240" w:lineRule="auto"/>
              <w:rPr>
                <w:rFonts w:eastAsia="Times New Roman" w:cs="Times New Roman"/>
                <w:color w:val="000000"/>
                <w:szCs w:val="24"/>
              </w:rPr>
            </w:pPr>
            <w:r w:rsidRPr="00E7483A">
              <w:rPr>
                <w:rFonts w:eastAsia="Times New Roman" w:cs="Times New Roman"/>
                <w:color w:val="000000"/>
                <w:szCs w:val="24"/>
              </w:rPr>
              <w:t>Smoke</w:t>
            </w:r>
          </w:p>
        </w:tc>
        <w:tc>
          <w:tcPr>
            <w:tcW w:w="1010" w:type="dxa"/>
            <w:tcBorders>
              <w:top w:val="nil"/>
              <w:left w:val="nil"/>
              <w:bottom w:val="nil"/>
              <w:right w:val="nil"/>
            </w:tcBorders>
            <w:shd w:val="clear" w:color="auto" w:fill="auto"/>
            <w:noWrap/>
            <w:vAlign w:val="center"/>
            <w:hideMark/>
          </w:tcPr>
          <w:p w14:paraId="65E8777F"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xml:space="preserve">  10,489 </w:t>
            </w:r>
          </w:p>
        </w:tc>
        <w:tc>
          <w:tcPr>
            <w:tcW w:w="820" w:type="dxa"/>
            <w:tcBorders>
              <w:top w:val="nil"/>
              <w:left w:val="nil"/>
              <w:bottom w:val="nil"/>
              <w:right w:val="nil"/>
            </w:tcBorders>
            <w:shd w:val="clear" w:color="auto" w:fill="auto"/>
            <w:noWrap/>
            <w:vAlign w:val="center"/>
            <w:hideMark/>
          </w:tcPr>
          <w:p w14:paraId="223D3DA6"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0.27</w:t>
            </w:r>
          </w:p>
        </w:tc>
        <w:tc>
          <w:tcPr>
            <w:tcW w:w="1010" w:type="dxa"/>
            <w:tcBorders>
              <w:top w:val="nil"/>
              <w:left w:val="nil"/>
              <w:bottom w:val="nil"/>
              <w:right w:val="nil"/>
            </w:tcBorders>
            <w:shd w:val="clear" w:color="auto" w:fill="auto"/>
            <w:noWrap/>
            <w:vAlign w:val="center"/>
            <w:hideMark/>
          </w:tcPr>
          <w:p w14:paraId="2272BC1C"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0.45</w:t>
            </w:r>
          </w:p>
        </w:tc>
        <w:tc>
          <w:tcPr>
            <w:tcW w:w="812" w:type="dxa"/>
            <w:tcBorders>
              <w:top w:val="nil"/>
              <w:left w:val="nil"/>
              <w:bottom w:val="nil"/>
              <w:right w:val="nil"/>
            </w:tcBorders>
            <w:shd w:val="clear" w:color="auto" w:fill="auto"/>
            <w:noWrap/>
            <w:vAlign w:val="center"/>
            <w:hideMark/>
          </w:tcPr>
          <w:p w14:paraId="26A7377E"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0</w:t>
            </w:r>
          </w:p>
        </w:tc>
        <w:tc>
          <w:tcPr>
            <w:tcW w:w="1204" w:type="dxa"/>
            <w:tcBorders>
              <w:top w:val="nil"/>
              <w:left w:val="nil"/>
              <w:bottom w:val="nil"/>
              <w:right w:val="nil"/>
            </w:tcBorders>
            <w:shd w:val="clear" w:color="auto" w:fill="auto"/>
            <w:noWrap/>
            <w:vAlign w:val="center"/>
            <w:hideMark/>
          </w:tcPr>
          <w:p w14:paraId="7808B4E3"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1</w:t>
            </w:r>
          </w:p>
        </w:tc>
      </w:tr>
      <w:tr w:rsidR="00E7483A" w:rsidRPr="00E7483A" w14:paraId="0CACBECC" w14:textId="77777777" w:rsidTr="00E7483A">
        <w:trPr>
          <w:trHeight w:val="240"/>
        </w:trPr>
        <w:tc>
          <w:tcPr>
            <w:tcW w:w="4343" w:type="dxa"/>
            <w:tcBorders>
              <w:top w:val="nil"/>
              <w:left w:val="nil"/>
              <w:bottom w:val="nil"/>
              <w:right w:val="nil"/>
            </w:tcBorders>
            <w:shd w:val="clear" w:color="auto" w:fill="auto"/>
            <w:noWrap/>
            <w:hideMark/>
          </w:tcPr>
          <w:p w14:paraId="6B4D53BB" w14:textId="77777777" w:rsidR="00E7483A" w:rsidRPr="00E7483A" w:rsidRDefault="00E7483A" w:rsidP="00E7483A">
            <w:pPr>
              <w:spacing w:after="0" w:line="240" w:lineRule="auto"/>
              <w:rPr>
                <w:rFonts w:eastAsia="Times New Roman" w:cs="Times New Roman"/>
                <w:color w:val="000000"/>
                <w:szCs w:val="24"/>
              </w:rPr>
            </w:pPr>
            <w:r w:rsidRPr="00E7483A">
              <w:rPr>
                <w:rFonts w:eastAsia="Times New Roman" w:cs="Times New Roman"/>
                <w:color w:val="000000"/>
                <w:szCs w:val="24"/>
              </w:rPr>
              <w:t xml:space="preserve">       Number of cigarettes per day</w:t>
            </w:r>
          </w:p>
        </w:tc>
        <w:tc>
          <w:tcPr>
            <w:tcW w:w="1010" w:type="dxa"/>
            <w:tcBorders>
              <w:top w:val="nil"/>
              <w:left w:val="nil"/>
              <w:bottom w:val="nil"/>
              <w:right w:val="nil"/>
            </w:tcBorders>
            <w:shd w:val="clear" w:color="auto" w:fill="auto"/>
            <w:noWrap/>
            <w:vAlign w:val="center"/>
            <w:hideMark/>
          </w:tcPr>
          <w:p w14:paraId="10921FE1"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xml:space="preserve">  10,489 </w:t>
            </w:r>
          </w:p>
        </w:tc>
        <w:tc>
          <w:tcPr>
            <w:tcW w:w="820" w:type="dxa"/>
            <w:tcBorders>
              <w:top w:val="nil"/>
              <w:left w:val="nil"/>
              <w:bottom w:val="nil"/>
              <w:right w:val="nil"/>
            </w:tcBorders>
            <w:shd w:val="clear" w:color="auto" w:fill="auto"/>
            <w:noWrap/>
            <w:vAlign w:val="center"/>
            <w:hideMark/>
          </w:tcPr>
          <w:p w14:paraId="50DDABD1"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4.43</w:t>
            </w:r>
          </w:p>
        </w:tc>
        <w:tc>
          <w:tcPr>
            <w:tcW w:w="1010" w:type="dxa"/>
            <w:tcBorders>
              <w:top w:val="nil"/>
              <w:left w:val="nil"/>
              <w:bottom w:val="nil"/>
              <w:right w:val="nil"/>
            </w:tcBorders>
            <w:shd w:val="clear" w:color="auto" w:fill="auto"/>
            <w:noWrap/>
            <w:vAlign w:val="center"/>
            <w:hideMark/>
          </w:tcPr>
          <w:p w14:paraId="631549CA"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8.42</w:t>
            </w:r>
          </w:p>
        </w:tc>
        <w:tc>
          <w:tcPr>
            <w:tcW w:w="812" w:type="dxa"/>
            <w:tcBorders>
              <w:top w:val="nil"/>
              <w:left w:val="nil"/>
              <w:bottom w:val="nil"/>
              <w:right w:val="nil"/>
            </w:tcBorders>
            <w:shd w:val="clear" w:color="auto" w:fill="auto"/>
            <w:noWrap/>
            <w:vAlign w:val="center"/>
            <w:hideMark/>
          </w:tcPr>
          <w:p w14:paraId="42BCB48E"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0</w:t>
            </w:r>
          </w:p>
        </w:tc>
        <w:tc>
          <w:tcPr>
            <w:tcW w:w="1204" w:type="dxa"/>
            <w:tcBorders>
              <w:top w:val="nil"/>
              <w:left w:val="nil"/>
              <w:bottom w:val="nil"/>
              <w:right w:val="nil"/>
            </w:tcBorders>
            <w:shd w:val="clear" w:color="auto" w:fill="auto"/>
            <w:noWrap/>
            <w:vAlign w:val="center"/>
            <w:hideMark/>
          </w:tcPr>
          <w:p w14:paraId="5C67942F"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60</w:t>
            </w:r>
          </w:p>
        </w:tc>
      </w:tr>
      <w:tr w:rsidR="00E7483A" w:rsidRPr="00E7483A" w14:paraId="2761FD0B" w14:textId="77777777" w:rsidTr="00E7483A">
        <w:trPr>
          <w:trHeight w:val="240"/>
        </w:trPr>
        <w:tc>
          <w:tcPr>
            <w:tcW w:w="4343" w:type="dxa"/>
            <w:tcBorders>
              <w:top w:val="nil"/>
              <w:left w:val="nil"/>
              <w:bottom w:val="nil"/>
              <w:right w:val="nil"/>
            </w:tcBorders>
            <w:shd w:val="clear" w:color="auto" w:fill="auto"/>
            <w:noWrap/>
            <w:hideMark/>
          </w:tcPr>
          <w:p w14:paraId="5A2044EA" w14:textId="77777777" w:rsidR="00E7483A" w:rsidRPr="00E7483A" w:rsidRDefault="00E7483A" w:rsidP="00E7483A">
            <w:pPr>
              <w:spacing w:after="0" w:line="240" w:lineRule="auto"/>
              <w:rPr>
                <w:rFonts w:eastAsia="Times New Roman" w:cs="Times New Roman"/>
                <w:color w:val="000000"/>
                <w:szCs w:val="24"/>
              </w:rPr>
            </w:pPr>
            <w:r w:rsidRPr="00E7483A">
              <w:rPr>
                <w:rFonts w:eastAsia="Times New Roman" w:cs="Times New Roman"/>
                <w:color w:val="000000"/>
                <w:szCs w:val="24"/>
              </w:rPr>
              <w:t>Physical activity</w:t>
            </w:r>
          </w:p>
        </w:tc>
        <w:tc>
          <w:tcPr>
            <w:tcW w:w="1010" w:type="dxa"/>
            <w:tcBorders>
              <w:top w:val="nil"/>
              <w:left w:val="nil"/>
              <w:bottom w:val="nil"/>
              <w:right w:val="nil"/>
            </w:tcBorders>
            <w:shd w:val="clear" w:color="auto" w:fill="auto"/>
            <w:noWrap/>
            <w:vAlign w:val="center"/>
            <w:hideMark/>
          </w:tcPr>
          <w:p w14:paraId="2300B6AD"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xml:space="preserve">  10,489 </w:t>
            </w:r>
          </w:p>
        </w:tc>
        <w:tc>
          <w:tcPr>
            <w:tcW w:w="820" w:type="dxa"/>
            <w:tcBorders>
              <w:top w:val="nil"/>
              <w:left w:val="nil"/>
              <w:bottom w:val="nil"/>
              <w:right w:val="nil"/>
            </w:tcBorders>
            <w:shd w:val="clear" w:color="auto" w:fill="auto"/>
            <w:noWrap/>
            <w:vAlign w:val="center"/>
            <w:hideMark/>
          </w:tcPr>
          <w:p w14:paraId="6D6CD360"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0.22</w:t>
            </w:r>
          </w:p>
        </w:tc>
        <w:tc>
          <w:tcPr>
            <w:tcW w:w="1010" w:type="dxa"/>
            <w:tcBorders>
              <w:top w:val="nil"/>
              <w:left w:val="nil"/>
              <w:bottom w:val="nil"/>
              <w:right w:val="nil"/>
            </w:tcBorders>
            <w:shd w:val="clear" w:color="auto" w:fill="auto"/>
            <w:noWrap/>
            <w:vAlign w:val="center"/>
            <w:hideMark/>
          </w:tcPr>
          <w:p w14:paraId="02F6037D"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0.41</w:t>
            </w:r>
          </w:p>
        </w:tc>
        <w:tc>
          <w:tcPr>
            <w:tcW w:w="812" w:type="dxa"/>
            <w:tcBorders>
              <w:top w:val="nil"/>
              <w:left w:val="nil"/>
              <w:bottom w:val="nil"/>
              <w:right w:val="nil"/>
            </w:tcBorders>
            <w:shd w:val="clear" w:color="auto" w:fill="auto"/>
            <w:noWrap/>
            <w:vAlign w:val="center"/>
            <w:hideMark/>
          </w:tcPr>
          <w:p w14:paraId="32F07E65"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0</w:t>
            </w:r>
          </w:p>
        </w:tc>
        <w:tc>
          <w:tcPr>
            <w:tcW w:w="1204" w:type="dxa"/>
            <w:tcBorders>
              <w:top w:val="nil"/>
              <w:left w:val="nil"/>
              <w:bottom w:val="nil"/>
              <w:right w:val="nil"/>
            </w:tcBorders>
            <w:shd w:val="clear" w:color="auto" w:fill="auto"/>
            <w:noWrap/>
            <w:vAlign w:val="center"/>
            <w:hideMark/>
          </w:tcPr>
          <w:p w14:paraId="4F2DB412"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1</w:t>
            </w:r>
          </w:p>
        </w:tc>
      </w:tr>
      <w:tr w:rsidR="00E7483A" w:rsidRPr="00E7483A" w14:paraId="7ECE7EE2" w14:textId="77777777" w:rsidTr="00E7483A">
        <w:trPr>
          <w:trHeight w:val="240"/>
        </w:trPr>
        <w:tc>
          <w:tcPr>
            <w:tcW w:w="4343" w:type="dxa"/>
            <w:tcBorders>
              <w:top w:val="single" w:sz="4" w:space="0" w:color="auto"/>
              <w:left w:val="nil"/>
              <w:bottom w:val="nil"/>
              <w:right w:val="nil"/>
            </w:tcBorders>
            <w:shd w:val="clear" w:color="auto" w:fill="auto"/>
            <w:noWrap/>
            <w:hideMark/>
          </w:tcPr>
          <w:p w14:paraId="7535550D" w14:textId="77777777" w:rsidR="00E7483A" w:rsidRPr="00E7483A" w:rsidRDefault="00E7483A" w:rsidP="00E7483A">
            <w:pPr>
              <w:spacing w:after="0" w:line="240" w:lineRule="auto"/>
              <w:rPr>
                <w:rFonts w:eastAsia="Times New Roman" w:cs="Times New Roman"/>
                <w:b/>
                <w:bCs/>
                <w:color w:val="000000"/>
                <w:szCs w:val="24"/>
              </w:rPr>
            </w:pPr>
            <w:r w:rsidRPr="00E7483A">
              <w:rPr>
                <w:rFonts w:eastAsia="Times New Roman" w:cs="Times New Roman"/>
                <w:b/>
                <w:bCs/>
                <w:color w:val="000000"/>
                <w:szCs w:val="24"/>
              </w:rPr>
              <w:t>Panel B: Education</w:t>
            </w:r>
          </w:p>
        </w:tc>
        <w:tc>
          <w:tcPr>
            <w:tcW w:w="1010" w:type="dxa"/>
            <w:tcBorders>
              <w:top w:val="single" w:sz="4" w:space="0" w:color="auto"/>
              <w:left w:val="nil"/>
              <w:bottom w:val="nil"/>
              <w:right w:val="nil"/>
            </w:tcBorders>
            <w:shd w:val="clear" w:color="auto" w:fill="auto"/>
            <w:noWrap/>
            <w:vAlign w:val="center"/>
            <w:hideMark/>
          </w:tcPr>
          <w:p w14:paraId="1A0CCD8F"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w:t>
            </w:r>
          </w:p>
        </w:tc>
        <w:tc>
          <w:tcPr>
            <w:tcW w:w="820" w:type="dxa"/>
            <w:tcBorders>
              <w:top w:val="single" w:sz="4" w:space="0" w:color="auto"/>
              <w:left w:val="nil"/>
              <w:bottom w:val="nil"/>
              <w:right w:val="nil"/>
            </w:tcBorders>
            <w:shd w:val="clear" w:color="auto" w:fill="auto"/>
            <w:noWrap/>
            <w:vAlign w:val="center"/>
            <w:hideMark/>
          </w:tcPr>
          <w:p w14:paraId="7836A7E9"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w:t>
            </w:r>
          </w:p>
        </w:tc>
        <w:tc>
          <w:tcPr>
            <w:tcW w:w="1010" w:type="dxa"/>
            <w:tcBorders>
              <w:top w:val="single" w:sz="4" w:space="0" w:color="auto"/>
              <w:left w:val="nil"/>
              <w:bottom w:val="nil"/>
              <w:right w:val="nil"/>
            </w:tcBorders>
            <w:shd w:val="clear" w:color="auto" w:fill="auto"/>
            <w:noWrap/>
            <w:vAlign w:val="center"/>
            <w:hideMark/>
          </w:tcPr>
          <w:p w14:paraId="63D481FD"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w:t>
            </w:r>
          </w:p>
        </w:tc>
        <w:tc>
          <w:tcPr>
            <w:tcW w:w="812" w:type="dxa"/>
            <w:tcBorders>
              <w:top w:val="single" w:sz="4" w:space="0" w:color="auto"/>
              <w:left w:val="nil"/>
              <w:bottom w:val="nil"/>
              <w:right w:val="nil"/>
            </w:tcBorders>
            <w:shd w:val="clear" w:color="auto" w:fill="auto"/>
            <w:noWrap/>
            <w:vAlign w:val="center"/>
            <w:hideMark/>
          </w:tcPr>
          <w:p w14:paraId="6A8BB9EC"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w:t>
            </w:r>
          </w:p>
        </w:tc>
        <w:tc>
          <w:tcPr>
            <w:tcW w:w="1204" w:type="dxa"/>
            <w:tcBorders>
              <w:top w:val="single" w:sz="4" w:space="0" w:color="auto"/>
              <w:left w:val="nil"/>
              <w:bottom w:val="nil"/>
              <w:right w:val="nil"/>
            </w:tcBorders>
            <w:shd w:val="clear" w:color="auto" w:fill="auto"/>
            <w:noWrap/>
            <w:vAlign w:val="center"/>
            <w:hideMark/>
          </w:tcPr>
          <w:p w14:paraId="0D688BF9"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w:t>
            </w:r>
          </w:p>
        </w:tc>
      </w:tr>
      <w:tr w:rsidR="00E7483A" w:rsidRPr="00E7483A" w14:paraId="6B12D291" w14:textId="77777777" w:rsidTr="00E7483A">
        <w:trPr>
          <w:trHeight w:val="240"/>
        </w:trPr>
        <w:tc>
          <w:tcPr>
            <w:tcW w:w="4343" w:type="dxa"/>
            <w:tcBorders>
              <w:top w:val="nil"/>
              <w:left w:val="nil"/>
              <w:bottom w:val="nil"/>
              <w:right w:val="nil"/>
            </w:tcBorders>
            <w:shd w:val="clear" w:color="auto" w:fill="auto"/>
            <w:noWrap/>
            <w:hideMark/>
          </w:tcPr>
          <w:p w14:paraId="52E6A37B" w14:textId="77777777" w:rsidR="00E7483A" w:rsidRPr="00E7483A" w:rsidRDefault="00E7483A" w:rsidP="00E7483A">
            <w:pPr>
              <w:spacing w:after="0" w:line="240" w:lineRule="auto"/>
              <w:rPr>
                <w:rFonts w:eastAsia="Times New Roman" w:cs="Times New Roman"/>
                <w:color w:val="000000"/>
                <w:szCs w:val="24"/>
              </w:rPr>
            </w:pPr>
            <w:r w:rsidRPr="00E7483A">
              <w:rPr>
                <w:rFonts w:eastAsia="Times New Roman" w:cs="Times New Roman"/>
                <w:color w:val="000000"/>
                <w:szCs w:val="24"/>
              </w:rPr>
              <w:t>Years of education</w:t>
            </w:r>
          </w:p>
        </w:tc>
        <w:tc>
          <w:tcPr>
            <w:tcW w:w="1010" w:type="dxa"/>
            <w:tcBorders>
              <w:top w:val="nil"/>
              <w:left w:val="nil"/>
              <w:bottom w:val="nil"/>
              <w:right w:val="nil"/>
            </w:tcBorders>
            <w:shd w:val="clear" w:color="auto" w:fill="auto"/>
            <w:noWrap/>
            <w:vAlign w:val="center"/>
            <w:hideMark/>
          </w:tcPr>
          <w:p w14:paraId="751A776D"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xml:space="preserve">  10,489 </w:t>
            </w:r>
          </w:p>
        </w:tc>
        <w:tc>
          <w:tcPr>
            <w:tcW w:w="820" w:type="dxa"/>
            <w:tcBorders>
              <w:top w:val="nil"/>
              <w:left w:val="nil"/>
              <w:bottom w:val="nil"/>
              <w:right w:val="nil"/>
            </w:tcBorders>
            <w:shd w:val="clear" w:color="auto" w:fill="auto"/>
            <w:noWrap/>
            <w:vAlign w:val="center"/>
            <w:hideMark/>
          </w:tcPr>
          <w:p w14:paraId="13649752"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9.88</w:t>
            </w:r>
          </w:p>
        </w:tc>
        <w:tc>
          <w:tcPr>
            <w:tcW w:w="1010" w:type="dxa"/>
            <w:tcBorders>
              <w:top w:val="nil"/>
              <w:left w:val="nil"/>
              <w:bottom w:val="nil"/>
              <w:right w:val="nil"/>
            </w:tcBorders>
            <w:shd w:val="clear" w:color="auto" w:fill="auto"/>
            <w:noWrap/>
            <w:vAlign w:val="center"/>
            <w:hideMark/>
          </w:tcPr>
          <w:p w14:paraId="150DEF0C"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3.72</w:t>
            </w:r>
          </w:p>
        </w:tc>
        <w:tc>
          <w:tcPr>
            <w:tcW w:w="812" w:type="dxa"/>
            <w:tcBorders>
              <w:top w:val="nil"/>
              <w:left w:val="nil"/>
              <w:bottom w:val="nil"/>
              <w:right w:val="nil"/>
            </w:tcBorders>
            <w:shd w:val="clear" w:color="auto" w:fill="auto"/>
            <w:noWrap/>
            <w:vAlign w:val="center"/>
            <w:hideMark/>
          </w:tcPr>
          <w:p w14:paraId="5298530F"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0</w:t>
            </w:r>
          </w:p>
        </w:tc>
        <w:tc>
          <w:tcPr>
            <w:tcW w:w="1204" w:type="dxa"/>
            <w:tcBorders>
              <w:top w:val="nil"/>
              <w:left w:val="nil"/>
              <w:bottom w:val="nil"/>
              <w:right w:val="nil"/>
            </w:tcBorders>
            <w:shd w:val="clear" w:color="auto" w:fill="auto"/>
            <w:noWrap/>
            <w:vAlign w:val="center"/>
            <w:hideMark/>
          </w:tcPr>
          <w:p w14:paraId="38B74D07"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18</w:t>
            </w:r>
          </w:p>
        </w:tc>
      </w:tr>
      <w:tr w:rsidR="00E7483A" w:rsidRPr="00E7483A" w14:paraId="7D597F7F" w14:textId="77777777" w:rsidTr="00E7483A">
        <w:trPr>
          <w:trHeight w:val="240"/>
        </w:trPr>
        <w:tc>
          <w:tcPr>
            <w:tcW w:w="4343" w:type="dxa"/>
            <w:tcBorders>
              <w:top w:val="nil"/>
              <w:left w:val="nil"/>
              <w:bottom w:val="nil"/>
              <w:right w:val="nil"/>
            </w:tcBorders>
            <w:shd w:val="clear" w:color="auto" w:fill="auto"/>
            <w:noWrap/>
            <w:hideMark/>
          </w:tcPr>
          <w:p w14:paraId="4C24FA63" w14:textId="77777777" w:rsidR="00E7483A" w:rsidRPr="00E7483A" w:rsidRDefault="00E7483A" w:rsidP="00E7483A">
            <w:pPr>
              <w:spacing w:after="0" w:line="240" w:lineRule="auto"/>
              <w:rPr>
                <w:rFonts w:eastAsia="Times New Roman" w:cs="Times New Roman"/>
                <w:color w:val="000000"/>
                <w:szCs w:val="24"/>
              </w:rPr>
            </w:pPr>
            <w:r w:rsidRPr="00E7483A">
              <w:rPr>
                <w:rFonts w:eastAsia="Times New Roman" w:cs="Times New Roman"/>
                <w:color w:val="000000"/>
                <w:szCs w:val="24"/>
              </w:rPr>
              <w:t>Exposure indicator of CSL</w:t>
            </w:r>
          </w:p>
        </w:tc>
        <w:tc>
          <w:tcPr>
            <w:tcW w:w="1010" w:type="dxa"/>
            <w:tcBorders>
              <w:top w:val="nil"/>
              <w:left w:val="nil"/>
              <w:bottom w:val="nil"/>
              <w:right w:val="nil"/>
            </w:tcBorders>
            <w:shd w:val="clear" w:color="auto" w:fill="auto"/>
            <w:noWrap/>
            <w:vAlign w:val="center"/>
            <w:hideMark/>
          </w:tcPr>
          <w:p w14:paraId="41A68F97"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xml:space="preserve">  10,489 </w:t>
            </w:r>
          </w:p>
        </w:tc>
        <w:tc>
          <w:tcPr>
            <w:tcW w:w="820" w:type="dxa"/>
            <w:tcBorders>
              <w:top w:val="nil"/>
              <w:left w:val="nil"/>
              <w:bottom w:val="nil"/>
              <w:right w:val="nil"/>
            </w:tcBorders>
            <w:shd w:val="clear" w:color="auto" w:fill="auto"/>
            <w:noWrap/>
            <w:vAlign w:val="center"/>
            <w:hideMark/>
          </w:tcPr>
          <w:p w14:paraId="2DDF75B7" w14:textId="77777777" w:rsidR="00E7483A" w:rsidRPr="00E7483A" w:rsidRDefault="00E7483A" w:rsidP="00E7483A">
            <w:pPr>
              <w:spacing w:after="0" w:line="240" w:lineRule="auto"/>
              <w:jc w:val="center"/>
              <w:rPr>
                <w:rFonts w:eastAsia="Times New Roman" w:cs="Times New Roman"/>
                <w:szCs w:val="24"/>
              </w:rPr>
            </w:pPr>
            <w:r w:rsidRPr="00E7483A">
              <w:rPr>
                <w:rFonts w:eastAsia="Times New Roman" w:cs="Times New Roman"/>
                <w:szCs w:val="24"/>
              </w:rPr>
              <w:t>0.29</w:t>
            </w:r>
          </w:p>
        </w:tc>
        <w:tc>
          <w:tcPr>
            <w:tcW w:w="1010" w:type="dxa"/>
            <w:tcBorders>
              <w:top w:val="nil"/>
              <w:left w:val="nil"/>
              <w:bottom w:val="nil"/>
              <w:right w:val="nil"/>
            </w:tcBorders>
            <w:shd w:val="clear" w:color="auto" w:fill="auto"/>
            <w:noWrap/>
            <w:vAlign w:val="center"/>
            <w:hideMark/>
          </w:tcPr>
          <w:p w14:paraId="70B3A97F"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0.39</w:t>
            </w:r>
          </w:p>
        </w:tc>
        <w:tc>
          <w:tcPr>
            <w:tcW w:w="812" w:type="dxa"/>
            <w:tcBorders>
              <w:top w:val="nil"/>
              <w:left w:val="nil"/>
              <w:bottom w:val="nil"/>
              <w:right w:val="nil"/>
            </w:tcBorders>
            <w:shd w:val="clear" w:color="auto" w:fill="auto"/>
            <w:noWrap/>
            <w:vAlign w:val="center"/>
            <w:hideMark/>
          </w:tcPr>
          <w:p w14:paraId="377A59EF"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0</w:t>
            </w:r>
          </w:p>
        </w:tc>
        <w:tc>
          <w:tcPr>
            <w:tcW w:w="1204" w:type="dxa"/>
            <w:tcBorders>
              <w:top w:val="nil"/>
              <w:left w:val="nil"/>
              <w:bottom w:val="nil"/>
              <w:right w:val="nil"/>
            </w:tcBorders>
            <w:shd w:val="clear" w:color="auto" w:fill="auto"/>
            <w:noWrap/>
            <w:vAlign w:val="center"/>
            <w:hideMark/>
          </w:tcPr>
          <w:p w14:paraId="6BD8F5C5"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1</w:t>
            </w:r>
          </w:p>
        </w:tc>
      </w:tr>
      <w:tr w:rsidR="00E7483A" w:rsidRPr="00E7483A" w14:paraId="09EB6BD1" w14:textId="77777777" w:rsidTr="00E7483A">
        <w:trPr>
          <w:trHeight w:val="480"/>
        </w:trPr>
        <w:tc>
          <w:tcPr>
            <w:tcW w:w="4343" w:type="dxa"/>
            <w:tcBorders>
              <w:top w:val="nil"/>
              <w:left w:val="nil"/>
              <w:bottom w:val="single" w:sz="4" w:space="0" w:color="auto"/>
              <w:right w:val="nil"/>
            </w:tcBorders>
            <w:shd w:val="clear" w:color="auto" w:fill="auto"/>
            <w:hideMark/>
          </w:tcPr>
          <w:p w14:paraId="6D7D31EE" w14:textId="77777777" w:rsidR="00E7483A" w:rsidRPr="00E7483A" w:rsidRDefault="00E7483A" w:rsidP="00E7483A">
            <w:pPr>
              <w:spacing w:after="0" w:line="240" w:lineRule="auto"/>
              <w:rPr>
                <w:rFonts w:eastAsia="Times New Roman" w:cs="Times New Roman"/>
                <w:color w:val="000000"/>
                <w:szCs w:val="24"/>
              </w:rPr>
            </w:pPr>
            <w:r w:rsidRPr="00E7483A">
              <w:rPr>
                <w:rFonts w:eastAsia="Times New Roman" w:cs="Times New Roman"/>
                <w:color w:val="000000"/>
                <w:szCs w:val="24"/>
              </w:rPr>
              <w:t>Average years of education cohorts before CSL effect year</w:t>
            </w:r>
          </w:p>
        </w:tc>
        <w:tc>
          <w:tcPr>
            <w:tcW w:w="1010" w:type="dxa"/>
            <w:tcBorders>
              <w:top w:val="nil"/>
              <w:left w:val="nil"/>
              <w:bottom w:val="nil"/>
              <w:right w:val="nil"/>
            </w:tcBorders>
            <w:shd w:val="clear" w:color="auto" w:fill="auto"/>
            <w:noWrap/>
            <w:vAlign w:val="center"/>
            <w:hideMark/>
          </w:tcPr>
          <w:p w14:paraId="76F16EF8"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xml:space="preserve">  10,489 </w:t>
            </w:r>
          </w:p>
        </w:tc>
        <w:tc>
          <w:tcPr>
            <w:tcW w:w="820" w:type="dxa"/>
            <w:tcBorders>
              <w:top w:val="nil"/>
              <w:left w:val="nil"/>
              <w:bottom w:val="single" w:sz="4" w:space="0" w:color="auto"/>
              <w:right w:val="nil"/>
            </w:tcBorders>
            <w:shd w:val="clear" w:color="auto" w:fill="auto"/>
            <w:noWrap/>
            <w:vAlign w:val="center"/>
            <w:hideMark/>
          </w:tcPr>
          <w:p w14:paraId="273B1582"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8.67</w:t>
            </w:r>
          </w:p>
        </w:tc>
        <w:tc>
          <w:tcPr>
            <w:tcW w:w="1010" w:type="dxa"/>
            <w:tcBorders>
              <w:top w:val="nil"/>
              <w:left w:val="nil"/>
              <w:bottom w:val="single" w:sz="4" w:space="0" w:color="auto"/>
              <w:right w:val="nil"/>
            </w:tcBorders>
            <w:shd w:val="clear" w:color="auto" w:fill="auto"/>
            <w:noWrap/>
            <w:vAlign w:val="center"/>
            <w:hideMark/>
          </w:tcPr>
          <w:p w14:paraId="20B4E7FB"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1.86</w:t>
            </w:r>
          </w:p>
        </w:tc>
        <w:tc>
          <w:tcPr>
            <w:tcW w:w="812" w:type="dxa"/>
            <w:tcBorders>
              <w:top w:val="nil"/>
              <w:left w:val="nil"/>
              <w:bottom w:val="single" w:sz="4" w:space="0" w:color="auto"/>
              <w:right w:val="nil"/>
            </w:tcBorders>
            <w:shd w:val="clear" w:color="auto" w:fill="auto"/>
            <w:noWrap/>
            <w:vAlign w:val="center"/>
            <w:hideMark/>
          </w:tcPr>
          <w:p w14:paraId="57345429"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6.20</w:t>
            </w:r>
          </w:p>
        </w:tc>
        <w:tc>
          <w:tcPr>
            <w:tcW w:w="1204" w:type="dxa"/>
            <w:tcBorders>
              <w:top w:val="nil"/>
              <w:left w:val="nil"/>
              <w:bottom w:val="single" w:sz="4" w:space="0" w:color="auto"/>
              <w:right w:val="nil"/>
            </w:tcBorders>
            <w:shd w:val="clear" w:color="auto" w:fill="auto"/>
            <w:noWrap/>
            <w:vAlign w:val="center"/>
            <w:hideMark/>
          </w:tcPr>
          <w:p w14:paraId="0D8D89C8"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13.12</w:t>
            </w:r>
          </w:p>
        </w:tc>
      </w:tr>
      <w:tr w:rsidR="00E7483A" w:rsidRPr="00E7483A" w14:paraId="071D64DD" w14:textId="77777777" w:rsidTr="00E7483A">
        <w:trPr>
          <w:trHeight w:val="240"/>
        </w:trPr>
        <w:tc>
          <w:tcPr>
            <w:tcW w:w="4343" w:type="dxa"/>
            <w:tcBorders>
              <w:top w:val="nil"/>
              <w:left w:val="nil"/>
              <w:bottom w:val="nil"/>
              <w:right w:val="nil"/>
            </w:tcBorders>
            <w:shd w:val="clear" w:color="auto" w:fill="auto"/>
            <w:noWrap/>
            <w:hideMark/>
          </w:tcPr>
          <w:p w14:paraId="2793E035" w14:textId="77777777" w:rsidR="00E7483A" w:rsidRPr="00E7483A" w:rsidRDefault="00E7483A" w:rsidP="00E7483A">
            <w:pPr>
              <w:spacing w:after="0" w:line="240" w:lineRule="auto"/>
              <w:rPr>
                <w:rFonts w:eastAsia="Times New Roman" w:cs="Times New Roman"/>
                <w:b/>
                <w:bCs/>
                <w:color w:val="000000"/>
                <w:szCs w:val="24"/>
              </w:rPr>
            </w:pPr>
            <w:r w:rsidRPr="00E7483A">
              <w:rPr>
                <w:rFonts w:eastAsia="Times New Roman" w:cs="Times New Roman"/>
                <w:b/>
                <w:bCs/>
                <w:color w:val="000000"/>
                <w:szCs w:val="24"/>
              </w:rPr>
              <w:t>Panel C: Demographics</w:t>
            </w:r>
          </w:p>
        </w:tc>
        <w:tc>
          <w:tcPr>
            <w:tcW w:w="1010" w:type="dxa"/>
            <w:tcBorders>
              <w:top w:val="single" w:sz="4" w:space="0" w:color="auto"/>
              <w:left w:val="nil"/>
              <w:bottom w:val="nil"/>
              <w:right w:val="nil"/>
            </w:tcBorders>
            <w:shd w:val="clear" w:color="auto" w:fill="auto"/>
            <w:noWrap/>
            <w:vAlign w:val="center"/>
            <w:hideMark/>
          </w:tcPr>
          <w:p w14:paraId="6F0D1C54"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w:t>
            </w:r>
          </w:p>
        </w:tc>
        <w:tc>
          <w:tcPr>
            <w:tcW w:w="820" w:type="dxa"/>
            <w:tcBorders>
              <w:top w:val="nil"/>
              <w:left w:val="nil"/>
              <w:bottom w:val="nil"/>
              <w:right w:val="nil"/>
            </w:tcBorders>
            <w:shd w:val="clear" w:color="auto" w:fill="auto"/>
            <w:noWrap/>
            <w:vAlign w:val="center"/>
            <w:hideMark/>
          </w:tcPr>
          <w:p w14:paraId="6504C2DE" w14:textId="77777777" w:rsidR="00E7483A" w:rsidRPr="00E7483A" w:rsidRDefault="00E7483A" w:rsidP="00E7483A">
            <w:pPr>
              <w:spacing w:after="0" w:line="240" w:lineRule="auto"/>
              <w:jc w:val="center"/>
              <w:rPr>
                <w:rFonts w:eastAsia="Times New Roman" w:cs="Times New Roman"/>
                <w:color w:val="000000"/>
                <w:szCs w:val="24"/>
              </w:rPr>
            </w:pPr>
          </w:p>
        </w:tc>
        <w:tc>
          <w:tcPr>
            <w:tcW w:w="1010" w:type="dxa"/>
            <w:tcBorders>
              <w:top w:val="nil"/>
              <w:left w:val="nil"/>
              <w:bottom w:val="nil"/>
              <w:right w:val="nil"/>
            </w:tcBorders>
            <w:shd w:val="clear" w:color="auto" w:fill="auto"/>
            <w:noWrap/>
            <w:vAlign w:val="center"/>
            <w:hideMark/>
          </w:tcPr>
          <w:p w14:paraId="02B49E56" w14:textId="77777777" w:rsidR="00E7483A" w:rsidRPr="00E7483A" w:rsidRDefault="00E7483A" w:rsidP="00E7483A">
            <w:pPr>
              <w:spacing w:after="0" w:line="240" w:lineRule="auto"/>
              <w:jc w:val="center"/>
              <w:rPr>
                <w:rFonts w:eastAsia="Times New Roman" w:cs="Times New Roman"/>
                <w:sz w:val="20"/>
                <w:szCs w:val="20"/>
              </w:rPr>
            </w:pPr>
          </w:p>
        </w:tc>
        <w:tc>
          <w:tcPr>
            <w:tcW w:w="812" w:type="dxa"/>
            <w:tcBorders>
              <w:top w:val="nil"/>
              <w:left w:val="nil"/>
              <w:bottom w:val="nil"/>
              <w:right w:val="nil"/>
            </w:tcBorders>
            <w:shd w:val="clear" w:color="auto" w:fill="auto"/>
            <w:noWrap/>
            <w:vAlign w:val="center"/>
            <w:hideMark/>
          </w:tcPr>
          <w:p w14:paraId="662AFAFE" w14:textId="77777777" w:rsidR="00E7483A" w:rsidRPr="00E7483A" w:rsidRDefault="00E7483A" w:rsidP="00E7483A">
            <w:pPr>
              <w:spacing w:after="0" w:line="240" w:lineRule="auto"/>
              <w:jc w:val="center"/>
              <w:rPr>
                <w:rFonts w:eastAsia="Times New Roman" w:cs="Times New Roman"/>
                <w:sz w:val="20"/>
                <w:szCs w:val="20"/>
              </w:rPr>
            </w:pPr>
          </w:p>
        </w:tc>
        <w:tc>
          <w:tcPr>
            <w:tcW w:w="1204" w:type="dxa"/>
            <w:tcBorders>
              <w:top w:val="nil"/>
              <w:left w:val="nil"/>
              <w:bottom w:val="nil"/>
              <w:right w:val="nil"/>
            </w:tcBorders>
            <w:shd w:val="clear" w:color="auto" w:fill="auto"/>
            <w:noWrap/>
            <w:vAlign w:val="center"/>
            <w:hideMark/>
          </w:tcPr>
          <w:p w14:paraId="19EBD37F" w14:textId="77777777" w:rsidR="00E7483A" w:rsidRPr="00E7483A" w:rsidRDefault="00E7483A" w:rsidP="00E7483A">
            <w:pPr>
              <w:spacing w:after="0" w:line="240" w:lineRule="auto"/>
              <w:jc w:val="center"/>
              <w:rPr>
                <w:rFonts w:eastAsia="Times New Roman" w:cs="Times New Roman"/>
                <w:sz w:val="20"/>
                <w:szCs w:val="20"/>
              </w:rPr>
            </w:pPr>
          </w:p>
        </w:tc>
      </w:tr>
      <w:tr w:rsidR="00E7483A" w:rsidRPr="00E7483A" w14:paraId="2E6464DF" w14:textId="77777777" w:rsidTr="00E7483A">
        <w:trPr>
          <w:trHeight w:val="240"/>
        </w:trPr>
        <w:tc>
          <w:tcPr>
            <w:tcW w:w="4343" w:type="dxa"/>
            <w:tcBorders>
              <w:top w:val="nil"/>
              <w:left w:val="nil"/>
              <w:bottom w:val="nil"/>
              <w:right w:val="nil"/>
            </w:tcBorders>
            <w:shd w:val="clear" w:color="auto" w:fill="auto"/>
            <w:noWrap/>
            <w:hideMark/>
          </w:tcPr>
          <w:p w14:paraId="0DB32ED5" w14:textId="77777777" w:rsidR="00E7483A" w:rsidRPr="00E7483A" w:rsidRDefault="00E7483A" w:rsidP="00E7483A">
            <w:pPr>
              <w:spacing w:after="0" w:line="240" w:lineRule="auto"/>
              <w:rPr>
                <w:rFonts w:eastAsia="Times New Roman" w:cs="Times New Roman"/>
                <w:color w:val="000000"/>
                <w:szCs w:val="24"/>
              </w:rPr>
            </w:pPr>
            <w:r w:rsidRPr="00E7483A">
              <w:rPr>
                <w:rFonts w:eastAsia="Times New Roman" w:cs="Times New Roman"/>
                <w:color w:val="000000"/>
                <w:szCs w:val="24"/>
              </w:rPr>
              <w:t>Age</w:t>
            </w:r>
          </w:p>
        </w:tc>
        <w:tc>
          <w:tcPr>
            <w:tcW w:w="1010" w:type="dxa"/>
            <w:tcBorders>
              <w:top w:val="nil"/>
              <w:left w:val="nil"/>
              <w:bottom w:val="nil"/>
              <w:right w:val="nil"/>
            </w:tcBorders>
            <w:shd w:val="clear" w:color="auto" w:fill="auto"/>
            <w:noWrap/>
            <w:vAlign w:val="center"/>
            <w:hideMark/>
          </w:tcPr>
          <w:p w14:paraId="2E184BDD"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xml:space="preserve">  10,489 </w:t>
            </w:r>
          </w:p>
        </w:tc>
        <w:tc>
          <w:tcPr>
            <w:tcW w:w="820" w:type="dxa"/>
            <w:tcBorders>
              <w:top w:val="nil"/>
              <w:left w:val="nil"/>
              <w:bottom w:val="nil"/>
              <w:right w:val="nil"/>
            </w:tcBorders>
            <w:shd w:val="clear" w:color="auto" w:fill="auto"/>
            <w:noWrap/>
            <w:vAlign w:val="center"/>
            <w:hideMark/>
          </w:tcPr>
          <w:p w14:paraId="752336BF"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35.13</w:t>
            </w:r>
          </w:p>
        </w:tc>
        <w:tc>
          <w:tcPr>
            <w:tcW w:w="1010" w:type="dxa"/>
            <w:tcBorders>
              <w:top w:val="nil"/>
              <w:left w:val="nil"/>
              <w:bottom w:val="nil"/>
              <w:right w:val="nil"/>
            </w:tcBorders>
            <w:shd w:val="clear" w:color="auto" w:fill="auto"/>
            <w:noWrap/>
            <w:vAlign w:val="center"/>
            <w:hideMark/>
          </w:tcPr>
          <w:p w14:paraId="62F838F1"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8.99</w:t>
            </w:r>
          </w:p>
        </w:tc>
        <w:tc>
          <w:tcPr>
            <w:tcW w:w="812" w:type="dxa"/>
            <w:tcBorders>
              <w:top w:val="nil"/>
              <w:left w:val="nil"/>
              <w:bottom w:val="nil"/>
              <w:right w:val="nil"/>
            </w:tcBorders>
            <w:shd w:val="clear" w:color="auto" w:fill="auto"/>
            <w:noWrap/>
            <w:vAlign w:val="center"/>
            <w:hideMark/>
          </w:tcPr>
          <w:p w14:paraId="67AD639E"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18</w:t>
            </w:r>
          </w:p>
        </w:tc>
        <w:tc>
          <w:tcPr>
            <w:tcW w:w="1204" w:type="dxa"/>
            <w:tcBorders>
              <w:top w:val="nil"/>
              <w:left w:val="nil"/>
              <w:bottom w:val="nil"/>
              <w:right w:val="nil"/>
            </w:tcBorders>
            <w:shd w:val="clear" w:color="auto" w:fill="auto"/>
            <w:noWrap/>
            <w:vAlign w:val="center"/>
            <w:hideMark/>
          </w:tcPr>
          <w:p w14:paraId="01D39E16"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50</w:t>
            </w:r>
          </w:p>
        </w:tc>
      </w:tr>
      <w:tr w:rsidR="00E7483A" w:rsidRPr="00E7483A" w14:paraId="14EDAD59" w14:textId="77777777" w:rsidTr="00E7483A">
        <w:trPr>
          <w:trHeight w:val="240"/>
        </w:trPr>
        <w:tc>
          <w:tcPr>
            <w:tcW w:w="4343" w:type="dxa"/>
            <w:tcBorders>
              <w:top w:val="nil"/>
              <w:left w:val="nil"/>
              <w:bottom w:val="nil"/>
              <w:right w:val="nil"/>
            </w:tcBorders>
            <w:shd w:val="clear" w:color="auto" w:fill="auto"/>
            <w:noWrap/>
            <w:hideMark/>
          </w:tcPr>
          <w:p w14:paraId="5C7E7F4D" w14:textId="77777777" w:rsidR="00E7483A" w:rsidRPr="00E7483A" w:rsidRDefault="00E7483A" w:rsidP="00E7483A">
            <w:pPr>
              <w:spacing w:after="0" w:line="240" w:lineRule="auto"/>
              <w:rPr>
                <w:rFonts w:eastAsia="Times New Roman" w:cs="Times New Roman"/>
                <w:color w:val="000000"/>
                <w:szCs w:val="24"/>
              </w:rPr>
            </w:pPr>
            <w:r w:rsidRPr="00E7483A">
              <w:rPr>
                <w:rFonts w:eastAsia="Times New Roman" w:cs="Times New Roman"/>
                <w:color w:val="000000"/>
                <w:szCs w:val="24"/>
              </w:rPr>
              <w:t>Birth year</w:t>
            </w:r>
          </w:p>
        </w:tc>
        <w:tc>
          <w:tcPr>
            <w:tcW w:w="1010" w:type="dxa"/>
            <w:tcBorders>
              <w:top w:val="nil"/>
              <w:left w:val="nil"/>
              <w:bottom w:val="nil"/>
              <w:right w:val="nil"/>
            </w:tcBorders>
            <w:shd w:val="clear" w:color="auto" w:fill="auto"/>
            <w:noWrap/>
            <w:vAlign w:val="center"/>
            <w:hideMark/>
          </w:tcPr>
          <w:p w14:paraId="7BE697F8"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xml:space="preserve">  10,489 </w:t>
            </w:r>
          </w:p>
        </w:tc>
        <w:tc>
          <w:tcPr>
            <w:tcW w:w="820" w:type="dxa"/>
            <w:tcBorders>
              <w:top w:val="nil"/>
              <w:left w:val="nil"/>
              <w:bottom w:val="nil"/>
              <w:right w:val="nil"/>
            </w:tcBorders>
            <w:shd w:val="clear" w:color="auto" w:fill="auto"/>
            <w:noWrap/>
            <w:vAlign w:val="center"/>
            <w:hideMark/>
          </w:tcPr>
          <w:p w14:paraId="5860ED9E" w14:textId="77777777" w:rsidR="00E7483A" w:rsidRPr="00E7483A" w:rsidRDefault="00E7483A" w:rsidP="00E7483A">
            <w:pPr>
              <w:spacing w:after="0" w:line="240" w:lineRule="auto"/>
              <w:jc w:val="center"/>
              <w:rPr>
                <w:rFonts w:eastAsia="Times New Roman" w:cs="Times New Roman"/>
                <w:szCs w:val="24"/>
              </w:rPr>
            </w:pPr>
            <w:r w:rsidRPr="00E7483A">
              <w:rPr>
                <w:rFonts w:eastAsia="Times New Roman" w:cs="Times New Roman"/>
                <w:szCs w:val="24"/>
              </w:rPr>
              <w:t>1971</w:t>
            </w:r>
          </w:p>
        </w:tc>
        <w:tc>
          <w:tcPr>
            <w:tcW w:w="1010" w:type="dxa"/>
            <w:tcBorders>
              <w:top w:val="nil"/>
              <w:left w:val="nil"/>
              <w:bottom w:val="nil"/>
              <w:right w:val="nil"/>
            </w:tcBorders>
            <w:shd w:val="clear" w:color="auto" w:fill="auto"/>
            <w:noWrap/>
            <w:vAlign w:val="center"/>
            <w:hideMark/>
          </w:tcPr>
          <w:p w14:paraId="1988AF3A" w14:textId="77777777" w:rsidR="00E7483A" w:rsidRPr="00E7483A" w:rsidRDefault="00E7483A" w:rsidP="00E7483A">
            <w:pPr>
              <w:spacing w:after="0" w:line="240" w:lineRule="auto"/>
              <w:jc w:val="center"/>
              <w:rPr>
                <w:rFonts w:eastAsia="Times New Roman" w:cs="Times New Roman"/>
                <w:szCs w:val="24"/>
              </w:rPr>
            </w:pPr>
            <w:r w:rsidRPr="00E7483A">
              <w:rPr>
                <w:rFonts w:eastAsia="Times New Roman" w:cs="Times New Roman"/>
                <w:szCs w:val="24"/>
              </w:rPr>
              <w:t>9.41</w:t>
            </w:r>
          </w:p>
        </w:tc>
        <w:tc>
          <w:tcPr>
            <w:tcW w:w="812" w:type="dxa"/>
            <w:tcBorders>
              <w:top w:val="nil"/>
              <w:left w:val="nil"/>
              <w:bottom w:val="nil"/>
              <w:right w:val="nil"/>
            </w:tcBorders>
            <w:shd w:val="clear" w:color="auto" w:fill="auto"/>
            <w:noWrap/>
            <w:vAlign w:val="center"/>
            <w:hideMark/>
          </w:tcPr>
          <w:p w14:paraId="2BB6FBF8" w14:textId="77777777" w:rsidR="00E7483A" w:rsidRPr="00E7483A" w:rsidRDefault="00E7483A" w:rsidP="00E7483A">
            <w:pPr>
              <w:spacing w:after="0" w:line="240" w:lineRule="auto"/>
              <w:jc w:val="center"/>
              <w:rPr>
                <w:rFonts w:eastAsia="Times New Roman" w:cs="Times New Roman"/>
                <w:szCs w:val="24"/>
              </w:rPr>
            </w:pPr>
            <w:r w:rsidRPr="00E7483A">
              <w:rPr>
                <w:rFonts w:eastAsia="Times New Roman" w:cs="Times New Roman"/>
                <w:szCs w:val="24"/>
              </w:rPr>
              <w:t>1955</w:t>
            </w:r>
          </w:p>
        </w:tc>
        <w:tc>
          <w:tcPr>
            <w:tcW w:w="1204" w:type="dxa"/>
            <w:tcBorders>
              <w:top w:val="nil"/>
              <w:left w:val="nil"/>
              <w:bottom w:val="nil"/>
              <w:right w:val="nil"/>
            </w:tcBorders>
            <w:shd w:val="clear" w:color="auto" w:fill="auto"/>
            <w:noWrap/>
            <w:vAlign w:val="center"/>
            <w:hideMark/>
          </w:tcPr>
          <w:p w14:paraId="25ED1FE7" w14:textId="77777777" w:rsidR="00E7483A" w:rsidRPr="00E7483A" w:rsidRDefault="00E7483A" w:rsidP="00E7483A">
            <w:pPr>
              <w:spacing w:after="0" w:line="240" w:lineRule="auto"/>
              <w:jc w:val="center"/>
              <w:rPr>
                <w:rFonts w:eastAsia="Times New Roman" w:cs="Times New Roman"/>
                <w:szCs w:val="24"/>
              </w:rPr>
            </w:pPr>
            <w:r w:rsidRPr="00E7483A">
              <w:rPr>
                <w:rFonts w:eastAsia="Times New Roman" w:cs="Times New Roman"/>
                <w:szCs w:val="24"/>
              </w:rPr>
              <w:t>1997</w:t>
            </w:r>
          </w:p>
        </w:tc>
      </w:tr>
      <w:tr w:rsidR="00E7483A" w:rsidRPr="00E7483A" w14:paraId="725E22D2" w14:textId="77777777" w:rsidTr="00E7483A">
        <w:trPr>
          <w:trHeight w:val="240"/>
        </w:trPr>
        <w:tc>
          <w:tcPr>
            <w:tcW w:w="4343" w:type="dxa"/>
            <w:tcBorders>
              <w:top w:val="nil"/>
              <w:left w:val="nil"/>
              <w:bottom w:val="nil"/>
              <w:right w:val="nil"/>
            </w:tcBorders>
            <w:shd w:val="clear" w:color="auto" w:fill="auto"/>
            <w:noWrap/>
            <w:hideMark/>
          </w:tcPr>
          <w:p w14:paraId="7D1FED4B" w14:textId="77777777" w:rsidR="00E7483A" w:rsidRPr="00E7483A" w:rsidRDefault="00E7483A" w:rsidP="00E7483A">
            <w:pPr>
              <w:spacing w:after="0" w:line="240" w:lineRule="auto"/>
              <w:rPr>
                <w:rFonts w:eastAsia="Times New Roman" w:cs="Times New Roman"/>
                <w:color w:val="000000"/>
                <w:szCs w:val="24"/>
              </w:rPr>
            </w:pPr>
            <w:r w:rsidRPr="00E7483A">
              <w:rPr>
                <w:rFonts w:eastAsia="Times New Roman" w:cs="Times New Roman"/>
                <w:color w:val="000000"/>
                <w:szCs w:val="24"/>
              </w:rPr>
              <w:t>Female</w:t>
            </w:r>
          </w:p>
        </w:tc>
        <w:tc>
          <w:tcPr>
            <w:tcW w:w="1010" w:type="dxa"/>
            <w:tcBorders>
              <w:top w:val="nil"/>
              <w:left w:val="nil"/>
              <w:bottom w:val="nil"/>
              <w:right w:val="nil"/>
            </w:tcBorders>
            <w:shd w:val="clear" w:color="auto" w:fill="auto"/>
            <w:noWrap/>
            <w:vAlign w:val="center"/>
            <w:hideMark/>
          </w:tcPr>
          <w:p w14:paraId="4CDF5EC4"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xml:space="preserve">  10,489 </w:t>
            </w:r>
          </w:p>
        </w:tc>
        <w:tc>
          <w:tcPr>
            <w:tcW w:w="820" w:type="dxa"/>
            <w:tcBorders>
              <w:top w:val="nil"/>
              <w:left w:val="nil"/>
              <w:bottom w:val="nil"/>
              <w:right w:val="nil"/>
            </w:tcBorders>
            <w:shd w:val="clear" w:color="auto" w:fill="auto"/>
            <w:noWrap/>
            <w:vAlign w:val="center"/>
            <w:hideMark/>
          </w:tcPr>
          <w:p w14:paraId="30435D3F"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0.53</w:t>
            </w:r>
          </w:p>
        </w:tc>
        <w:tc>
          <w:tcPr>
            <w:tcW w:w="1010" w:type="dxa"/>
            <w:tcBorders>
              <w:top w:val="nil"/>
              <w:left w:val="nil"/>
              <w:bottom w:val="nil"/>
              <w:right w:val="nil"/>
            </w:tcBorders>
            <w:shd w:val="clear" w:color="auto" w:fill="auto"/>
            <w:noWrap/>
            <w:vAlign w:val="center"/>
            <w:hideMark/>
          </w:tcPr>
          <w:p w14:paraId="235CFDC6"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0.50</w:t>
            </w:r>
          </w:p>
        </w:tc>
        <w:tc>
          <w:tcPr>
            <w:tcW w:w="812" w:type="dxa"/>
            <w:tcBorders>
              <w:top w:val="nil"/>
              <w:left w:val="nil"/>
              <w:bottom w:val="nil"/>
              <w:right w:val="nil"/>
            </w:tcBorders>
            <w:shd w:val="clear" w:color="auto" w:fill="auto"/>
            <w:noWrap/>
            <w:vAlign w:val="center"/>
            <w:hideMark/>
          </w:tcPr>
          <w:p w14:paraId="41805E23"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0</w:t>
            </w:r>
          </w:p>
        </w:tc>
        <w:tc>
          <w:tcPr>
            <w:tcW w:w="1204" w:type="dxa"/>
            <w:tcBorders>
              <w:top w:val="nil"/>
              <w:left w:val="nil"/>
              <w:bottom w:val="nil"/>
              <w:right w:val="nil"/>
            </w:tcBorders>
            <w:shd w:val="clear" w:color="auto" w:fill="auto"/>
            <w:noWrap/>
            <w:vAlign w:val="center"/>
            <w:hideMark/>
          </w:tcPr>
          <w:p w14:paraId="74A829F2"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1</w:t>
            </w:r>
          </w:p>
        </w:tc>
      </w:tr>
      <w:tr w:rsidR="00E7483A" w:rsidRPr="00E7483A" w14:paraId="49B01463" w14:textId="77777777" w:rsidTr="00E7483A">
        <w:trPr>
          <w:trHeight w:val="240"/>
        </w:trPr>
        <w:tc>
          <w:tcPr>
            <w:tcW w:w="4343" w:type="dxa"/>
            <w:tcBorders>
              <w:top w:val="nil"/>
              <w:left w:val="nil"/>
              <w:bottom w:val="nil"/>
              <w:right w:val="nil"/>
            </w:tcBorders>
            <w:shd w:val="clear" w:color="auto" w:fill="auto"/>
            <w:noWrap/>
            <w:hideMark/>
          </w:tcPr>
          <w:p w14:paraId="206AC083" w14:textId="77777777" w:rsidR="00E7483A" w:rsidRPr="00E7483A" w:rsidRDefault="00E7483A" w:rsidP="00E7483A">
            <w:pPr>
              <w:spacing w:after="0" w:line="240" w:lineRule="auto"/>
              <w:rPr>
                <w:rFonts w:eastAsia="Times New Roman" w:cs="Times New Roman"/>
                <w:color w:val="000000"/>
                <w:szCs w:val="24"/>
              </w:rPr>
            </w:pPr>
            <w:r w:rsidRPr="00E7483A">
              <w:rPr>
                <w:rFonts w:eastAsia="Times New Roman" w:cs="Times New Roman"/>
                <w:color w:val="000000"/>
                <w:szCs w:val="24"/>
              </w:rPr>
              <w:t>Married</w:t>
            </w:r>
          </w:p>
        </w:tc>
        <w:tc>
          <w:tcPr>
            <w:tcW w:w="1010" w:type="dxa"/>
            <w:tcBorders>
              <w:top w:val="nil"/>
              <w:left w:val="nil"/>
              <w:bottom w:val="nil"/>
              <w:right w:val="nil"/>
            </w:tcBorders>
            <w:shd w:val="clear" w:color="auto" w:fill="auto"/>
            <w:noWrap/>
            <w:vAlign w:val="center"/>
            <w:hideMark/>
          </w:tcPr>
          <w:p w14:paraId="3A681C8F"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xml:space="preserve">  10,489 </w:t>
            </w:r>
          </w:p>
        </w:tc>
        <w:tc>
          <w:tcPr>
            <w:tcW w:w="820" w:type="dxa"/>
            <w:tcBorders>
              <w:top w:val="nil"/>
              <w:left w:val="nil"/>
              <w:bottom w:val="nil"/>
              <w:right w:val="nil"/>
            </w:tcBorders>
            <w:shd w:val="clear" w:color="auto" w:fill="auto"/>
            <w:noWrap/>
            <w:vAlign w:val="center"/>
            <w:hideMark/>
          </w:tcPr>
          <w:p w14:paraId="471C71EA"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0.80</w:t>
            </w:r>
          </w:p>
        </w:tc>
        <w:tc>
          <w:tcPr>
            <w:tcW w:w="1010" w:type="dxa"/>
            <w:tcBorders>
              <w:top w:val="nil"/>
              <w:left w:val="nil"/>
              <w:bottom w:val="nil"/>
              <w:right w:val="nil"/>
            </w:tcBorders>
            <w:shd w:val="clear" w:color="auto" w:fill="auto"/>
            <w:noWrap/>
            <w:vAlign w:val="center"/>
            <w:hideMark/>
          </w:tcPr>
          <w:p w14:paraId="294B014A"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0.40</w:t>
            </w:r>
          </w:p>
        </w:tc>
        <w:tc>
          <w:tcPr>
            <w:tcW w:w="812" w:type="dxa"/>
            <w:tcBorders>
              <w:top w:val="nil"/>
              <w:left w:val="nil"/>
              <w:bottom w:val="nil"/>
              <w:right w:val="nil"/>
            </w:tcBorders>
            <w:shd w:val="clear" w:color="auto" w:fill="auto"/>
            <w:noWrap/>
            <w:vAlign w:val="center"/>
            <w:hideMark/>
          </w:tcPr>
          <w:p w14:paraId="3D7D4136"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0</w:t>
            </w:r>
          </w:p>
        </w:tc>
        <w:tc>
          <w:tcPr>
            <w:tcW w:w="1204" w:type="dxa"/>
            <w:tcBorders>
              <w:top w:val="nil"/>
              <w:left w:val="nil"/>
              <w:bottom w:val="nil"/>
              <w:right w:val="nil"/>
            </w:tcBorders>
            <w:shd w:val="clear" w:color="auto" w:fill="auto"/>
            <w:noWrap/>
            <w:vAlign w:val="center"/>
            <w:hideMark/>
          </w:tcPr>
          <w:p w14:paraId="093B797B"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1</w:t>
            </w:r>
          </w:p>
        </w:tc>
      </w:tr>
      <w:tr w:rsidR="00E7483A" w:rsidRPr="00E7483A" w14:paraId="7D47EADC" w14:textId="77777777" w:rsidTr="00E7483A">
        <w:trPr>
          <w:trHeight w:val="240"/>
        </w:trPr>
        <w:tc>
          <w:tcPr>
            <w:tcW w:w="4343" w:type="dxa"/>
            <w:tcBorders>
              <w:top w:val="nil"/>
              <w:left w:val="nil"/>
              <w:bottom w:val="nil"/>
              <w:right w:val="nil"/>
            </w:tcBorders>
            <w:shd w:val="clear" w:color="auto" w:fill="auto"/>
            <w:noWrap/>
            <w:hideMark/>
          </w:tcPr>
          <w:p w14:paraId="030AF65B" w14:textId="77777777" w:rsidR="00E7483A" w:rsidRPr="00E7483A" w:rsidRDefault="00E7483A" w:rsidP="00E7483A">
            <w:pPr>
              <w:spacing w:after="0" w:line="240" w:lineRule="auto"/>
              <w:rPr>
                <w:rFonts w:eastAsia="Times New Roman" w:cs="Times New Roman"/>
                <w:color w:val="000000"/>
                <w:szCs w:val="24"/>
              </w:rPr>
            </w:pPr>
            <w:r w:rsidRPr="00E7483A">
              <w:rPr>
                <w:rFonts w:eastAsia="Times New Roman" w:cs="Times New Roman"/>
                <w:color w:val="000000"/>
                <w:szCs w:val="24"/>
              </w:rPr>
              <w:t>Live in urban area</w:t>
            </w:r>
          </w:p>
        </w:tc>
        <w:tc>
          <w:tcPr>
            <w:tcW w:w="1010" w:type="dxa"/>
            <w:tcBorders>
              <w:top w:val="nil"/>
              <w:left w:val="nil"/>
              <w:bottom w:val="nil"/>
              <w:right w:val="nil"/>
            </w:tcBorders>
            <w:shd w:val="clear" w:color="auto" w:fill="auto"/>
            <w:noWrap/>
            <w:vAlign w:val="center"/>
            <w:hideMark/>
          </w:tcPr>
          <w:p w14:paraId="5699B31C"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xml:space="preserve">  10,489 </w:t>
            </w:r>
          </w:p>
        </w:tc>
        <w:tc>
          <w:tcPr>
            <w:tcW w:w="820" w:type="dxa"/>
            <w:tcBorders>
              <w:top w:val="nil"/>
              <w:left w:val="nil"/>
              <w:bottom w:val="nil"/>
              <w:right w:val="nil"/>
            </w:tcBorders>
            <w:shd w:val="clear" w:color="auto" w:fill="auto"/>
            <w:noWrap/>
            <w:vAlign w:val="center"/>
            <w:hideMark/>
          </w:tcPr>
          <w:p w14:paraId="61791FE6"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0.35</w:t>
            </w:r>
          </w:p>
        </w:tc>
        <w:tc>
          <w:tcPr>
            <w:tcW w:w="1010" w:type="dxa"/>
            <w:tcBorders>
              <w:top w:val="nil"/>
              <w:left w:val="nil"/>
              <w:bottom w:val="nil"/>
              <w:right w:val="nil"/>
            </w:tcBorders>
            <w:shd w:val="clear" w:color="auto" w:fill="auto"/>
            <w:noWrap/>
            <w:vAlign w:val="center"/>
            <w:hideMark/>
          </w:tcPr>
          <w:p w14:paraId="7EC9AC84"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0.48</w:t>
            </w:r>
          </w:p>
        </w:tc>
        <w:tc>
          <w:tcPr>
            <w:tcW w:w="812" w:type="dxa"/>
            <w:tcBorders>
              <w:top w:val="nil"/>
              <w:left w:val="nil"/>
              <w:bottom w:val="nil"/>
              <w:right w:val="nil"/>
            </w:tcBorders>
            <w:shd w:val="clear" w:color="auto" w:fill="auto"/>
            <w:noWrap/>
            <w:vAlign w:val="center"/>
            <w:hideMark/>
          </w:tcPr>
          <w:p w14:paraId="19EC4EB9"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0</w:t>
            </w:r>
          </w:p>
        </w:tc>
        <w:tc>
          <w:tcPr>
            <w:tcW w:w="1204" w:type="dxa"/>
            <w:tcBorders>
              <w:top w:val="nil"/>
              <w:left w:val="nil"/>
              <w:bottom w:val="nil"/>
              <w:right w:val="nil"/>
            </w:tcBorders>
            <w:shd w:val="clear" w:color="auto" w:fill="auto"/>
            <w:noWrap/>
            <w:vAlign w:val="center"/>
            <w:hideMark/>
          </w:tcPr>
          <w:p w14:paraId="1994D1F9"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1</w:t>
            </w:r>
          </w:p>
        </w:tc>
      </w:tr>
      <w:tr w:rsidR="00E7483A" w:rsidRPr="00E7483A" w14:paraId="1B213E26" w14:textId="77777777" w:rsidTr="00E7483A">
        <w:trPr>
          <w:trHeight w:val="249"/>
        </w:trPr>
        <w:tc>
          <w:tcPr>
            <w:tcW w:w="4343" w:type="dxa"/>
            <w:tcBorders>
              <w:top w:val="nil"/>
              <w:left w:val="nil"/>
              <w:bottom w:val="double" w:sz="6" w:space="0" w:color="auto"/>
              <w:right w:val="nil"/>
            </w:tcBorders>
            <w:shd w:val="clear" w:color="auto" w:fill="auto"/>
            <w:noWrap/>
            <w:hideMark/>
          </w:tcPr>
          <w:p w14:paraId="4B09FCF9" w14:textId="77777777" w:rsidR="00E7483A" w:rsidRPr="00E7483A" w:rsidRDefault="00E7483A" w:rsidP="00E7483A">
            <w:pPr>
              <w:spacing w:after="0" w:line="240" w:lineRule="auto"/>
              <w:rPr>
                <w:rFonts w:eastAsia="Times New Roman" w:cs="Times New Roman"/>
                <w:color w:val="000000"/>
                <w:szCs w:val="24"/>
              </w:rPr>
            </w:pPr>
            <w:r w:rsidRPr="00E7483A">
              <w:rPr>
                <w:rFonts w:eastAsia="Times New Roman" w:cs="Times New Roman"/>
                <w:color w:val="000000"/>
                <w:szCs w:val="24"/>
              </w:rPr>
              <w:t>Household Income per capita (thousand)</w:t>
            </w:r>
          </w:p>
        </w:tc>
        <w:tc>
          <w:tcPr>
            <w:tcW w:w="1010" w:type="dxa"/>
            <w:tcBorders>
              <w:top w:val="nil"/>
              <w:left w:val="nil"/>
              <w:bottom w:val="double" w:sz="6" w:space="0" w:color="auto"/>
              <w:right w:val="nil"/>
            </w:tcBorders>
            <w:shd w:val="clear" w:color="auto" w:fill="auto"/>
            <w:noWrap/>
            <w:vAlign w:val="center"/>
            <w:hideMark/>
          </w:tcPr>
          <w:p w14:paraId="593AAA75"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xml:space="preserve">  10,489 </w:t>
            </w:r>
          </w:p>
        </w:tc>
        <w:tc>
          <w:tcPr>
            <w:tcW w:w="820" w:type="dxa"/>
            <w:tcBorders>
              <w:top w:val="nil"/>
              <w:left w:val="nil"/>
              <w:bottom w:val="double" w:sz="6" w:space="0" w:color="auto"/>
              <w:right w:val="nil"/>
            </w:tcBorders>
            <w:shd w:val="clear" w:color="auto" w:fill="auto"/>
            <w:noWrap/>
            <w:vAlign w:val="center"/>
            <w:hideMark/>
          </w:tcPr>
          <w:p w14:paraId="3AAA27B7"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18.26</w:t>
            </w:r>
          </w:p>
        </w:tc>
        <w:tc>
          <w:tcPr>
            <w:tcW w:w="1010" w:type="dxa"/>
            <w:tcBorders>
              <w:top w:val="nil"/>
              <w:left w:val="nil"/>
              <w:bottom w:val="double" w:sz="6" w:space="0" w:color="auto"/>
              <w:right w:val="nil"/>
            </w:tcBorders>
            <w:shd w:val="clear" w:color="auto" w:fill="auto"/>
            <w:noWrap/>
            <w:vAlign w:val="center"/>
            <w:hideMark/>
          </w:tcPr>
          <w:p w14:paraId="2CC26FD3"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44.58</w:t>
            </w:r>
          </w:p>
        </w:tc>
        <w:tc>
          <w:tcPr>
            <w:tcW w:w="812" w:type="dxa"/>
            <w:tcBorders>
              <w:top w:val="nil"/>
              <w:left w:val="nil"/>
              <w:bottom w:val="double" w:sz="6" w:space="0" w:color="auto"/>
              <w:right w:val="nil"/>
            </w:tcBorders>
            <w:shd w:val="clear" w:color="auto" w:fill="auto"/>
            <w:noWrap/>
            <w:vAlign w:val="center"/>
            <w:hideMark/>
          </w:tcPr>
          <w:p w14:paraId="3A48AB0C"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0</w:t>
            </w:r>
          </w:p>
        </w:tc>
        <w:tc>
          <w:tcPr>
            <w:tcW w:w="1204" w:type="dxa"/>
            <w:tcBorders>
              <w:top w:val="nil"/>
              <w:left w:val="nil"/>
              <w:bottom w:val="double" w:sz="6" w:space="0" w:color="auto"/>
              <w:right w:val="nil"/>
            </w:tcBorders>
            <w:shd w:val="clear" w:color="auto" w:fill="auto"/>
            <w:noWrap/>
            <w:vAlign w:val="center"/>
            <w:hideMark/>
          </w:tcPr>
          <w:p w14:paraId="10D6CA72" w14:textId="77777777" w:rsidR="00E7483A" w:rsidRPr="00E7483A" w:rsidRDefault="00E7483A" w:rsidP="00E7483A">
            <w:pPr>
              <w:spacing w:after="0" w:line="240" w:lineRule="auto"/>
              <w:jc w:val="center"/>
              <w:rPr>
                <w:rFonts w:eastAsia="Times New Roman" w:cs="Times New Roman"/>
                <w:color w:val="000000"/>
                <w:szCs w:val="24"/>
              </w:rPr>
            </w:pPr>
            <w:r w:rsidRPr="00E7483A">
              <w:rPr>
                <w:rFonts w:eastAsia="Times New Roman" w:cs="Times New Roman"/>
                <w:color w:val="000000"/>
                <w:szCs w:val="24"/>
              </w:rPr>
              <w:t xml:space="preserve">  2,264.15 </w:t>
            </w:r>
          </w:p>
        </w:tc>
      </w:tr>
    </w:tbl>
    <w:p w14:paraId="2B6B0BAB" w14:textId="457C8C6D" w:rsidR="000E54DB" w:rsidRPr="008215C8" w:rsidRDefault="000E54DB" w:rsidP="008215C8">
      <w:pPr>
        <w:spacing w:line="240" w:lineRule="auto"/>
        <w:rPr>
          <w:lang w:val="en-US"/>
        </w:rPr>
      </w:pPr>
      <w:r w:rsidRPr="00623D93">
        <w:rPr>
          <w:i/>
          <w:iCs/>
          <w:lang w:val="en-US"/>
        </w:rPr>
        <w:t>Source</w:t>
      </w:r>
      <w:r>
        <w:rPr>
          <w:lang w:val="en-US"/>
        </w:rPr>
        <w:t xml:space="preserve">: </w:t>
      </w:r>
      <w:r w:rsidRPr="007D0C5D">
        <w:rPr>
          <w:rFonts w:cs="Times New Roman"/>
          <w:szCs w:val="24"/>
          <w:lang w:val="en-US"/>
        </w:rPr>
        <w:t xml:space="preserve">China Health and Nutrition Survey </w:t>
      </w:r>
      <w:r>
        <w:rPr>
          <w:rFonts w:cs="Times New Roman" w:hint="eastAsia"/>
          <w:szCs w:val="24"/>
          <w:lang w:val="en-US"/>
        </w:rPr>
        <w:t>(</w:t>
      </w:r>
      <w:r w:rsidRPr="00680207">
        <w:rPr>
          <w:rFonts w:cs="Times New Roman"/>
          <w:szCs w:val="24"/>
          <w:lang w:val="en-US"/>
        </w:rPr>
        <w:t>CHNS</w:t>
      </w:r>
      <w:r>
        <w:rPr>
          <w:rFonts w:cs="Times New Roman"/>
          <w:szCs w:val="24"/>
          <w:lang w:val="en-US"/>
        </w:rPr>
        <w:t>, 1997-2015).</w:t>
      </w:r>
      <w:r w:rsidR="008215C8">
        <w:rPr>
          <w:rFonts w:cs="Times New Roman"/>
          <w:szCs w:val="24"/>
          <w:lang w:val="en-US"/>
        </w:rPr>
        <w:t xml:space="preserve"> </w:t>
      </w:r>
      <w:r w:rsidR="008215C8" w:rsidRPr="00ED31EA">
        <w:rPr>
          <w:rFonts w:cs="Times New Roman" w:hint="eastAsia"/>
          <w:i/>
          <w:iCs/>
          <w:szCs w:val="24"/>
          <w:lang w:val="en-US"/>
        </w:rPr>
        <w:t>Notes</w:t>
      </w:r>
      <w:r w:rsidR="008215C8" w:rsidRPr="00ED31EA">
        <w:rPr>
          <w:i/>
          <w:iCs/>
          <w:lang w:val="en-US"/>
        </w:rPr>
        <w:t xml:space="preserve">: </w:t>
      </w:r>
      <w:r w:rsidR="008215C8" w:rsidRPr="00ED31EA">
        <w:rPr>
          <w:rFonts w:cs="Times New Roman"/>
          <w:szCs w:val="24"/>
          <w:lang w:val="en-US"/>
        </w:rPr>
        <w:t>BMI refers to Body Mass Index.</w:t>
      </w:r>
    </w:p>
    <w:bookmarkEnd w:id="7"/>
    <w:p w14:paraId="16C5F84E" w14:textId="33BB71DF" w:rsidR="00F005DC" w:rsidRDefault="00CA34D2" w:rsidP="00C64408">
      <w:pPr>
        <w:spacing w:line="360" w:lineRule="auto"/>
        <w:ind w:firstLine="567"/>
        <w:jc w:val="both"/>
      </w:pPr>
      <w:r w:rsidRPr="00CA34D2">
        <w:t xml:space="preserve">The compulsory education law was declared and implemented in 1986, but some local governments may implement it later. In my paper, I limit the sample for those aged over 18 and below 50 because most individuals generally have completed their education, fit the labor force population, and have a lower risk of diseases. Then, the birth cohort in this sample was from 1938 to 1997, considering the destruction and the devastating impacts of World War II and the civil war </w:t>
      </w:r>
      <w:r w:rsidRPr="00CA34D2">
        <w:lastRenderedPageBreak/>
        <w:t>in China, I retain the birth cohort from 1955 through 1997. Although there are far more possible health-related aspects than the ones we discussed in the literature, this paper will focus on four main health outcomes: health status, BMI, smoking, and physical activity.</w:t>
      </w:r>
    </w:p>
    <w:p w14:paraId="51962D35" w14:textId="77777777" w:rsidR="00C64408" w:rsidRPr="00C64408" w:rsidRDefault="00C64408" w:rsidP="00C64408">
      <w:pPr>
        <w:spacing w:line="360" w:lineRule="auto"/>
        <w:ind w:firstLine="567"/>
        <w:jc w:val="both"/>
      </w:pPr>
    </w:p>
    <w:p w14:paraId="6DC43B28" w14:textId="2206FE64" w:rsidR="0024481D" w:rsidRPr="00E37B29" w:rsidRDefault="00CD42DA" w:rsidP="00145FB0">
      <w:pPr>
        <w:pStyle w:val="Heading2"/>
        <w:spacing w:line="360" w:lineRule="auto"/>
      </w:pPr>
      <w:bookmarkStart w:id="8" w:name="_Hlk34539738"/>
      <w:bookmarkStart w:id="9" w:name="_Hlk36173248"/>
      <w:bookmarkStart w:id="10" w:name="_Toc41312364"/>
      <w:r>
        <w:t>3</w:t>
      </w:r>
      <w:r w:rsidR="00937AA6">
        <w:t xml:space="preserve">.2 </w:t>
      </w:r>
      <w:r w:rsidR="00957BE4" w:rsidRPr="00ED31EA">
        <w:t>Dependent Variables (</w:t>
      </w:r>
      <w:r w:rsidR="00720396" w:rsidRPr="00ED31EA">
        <w:t>Health outcome</w:t>
      </w:r>
      <w:r w:rsidR="00796F67" w:rsidRPr="00ED31EA">
        <w:t>s</w:t>
      </w:r>
      <w:r w:rsidR="00720396" w:rsidRPr="00ED31EA">
        <w:t xml:space="preserve"> of interest</w:t>
      </w:r>
      <w:r w:rsidR="00957BE4" w:rsidRPr="00ED31EA">
        <w:t>)</w:t>
      </w:r>
      <w:bookmarkEnd w:id="10"/>
    </w:p>
    <w:p w14:paraId="3F7B6531" w14:textId="5382402A" w:rsidR="003C2239" w:rsidRPr="00995213" w:rsidRDefault="008B5C59" w:rsidP="00995213">
      <w:pPr>
        <w:rPr>
          <w:b/>
          <w:bCs/>
          <w:u w:val="single"/>
        </w:rPr>
      </w:pPr>
      <w:r w:rsidRPr="00995213">
        <w:rPr>
          <w:rFonts w:hint="eastAsia"/>
          <w:b/>
          <w:bCs/>
          <w:u w:val="single"/>
        </w:rPr>
        <w:t>Self</w:t>
      </w:r>
      <w:r w:rsidRPr="00995213">
        <w:rPr>
          <w:b/>
          <w:bCs/>
          <w:u w:val="single"/>
        </w:rPr>
        <w:t>-Report</w:t>
      </w:r>
      <w:r w:rsidR="008D3653" w:rsidRPr="00995213">
        <w:rPr>
          <w:b/>
          <w:bCs/>
          <w:u w:val="single"/>
        </w:rPr>
        <w:t>ed</w:t>
      </w:r>
      <w:r w:rsidRPr="00995213">
        <w:rPr>
          <w:b/>
          <w:bCs/>
          <w:u w:val="single"/>
        </w:rPr>
        <w:t xml:space="preserve"> </w:t>
      </w:r>
      <w:r w:rsidR="00DC59FA" w:rsidRPr="00995213">
        <w:rPr>
          <w:b/>
          <w:bCs/>
          <w:u w:val="single"/>
        </w:rPr>
        <w:t>Health</w:t>
      </w:r>
    </w:p>
    <w:p w14:paraId="762FFAFC" w14:textId="77777777" w:rsidR="000F57FA" w:rsidRDefault="008D3653" w:rsidP="000F57FA">
      <w:pPr>
        <w:spacing w:line="360" w:lineRule="auto"/>
        <w:ind w:firstLine="567"/>
        <w:jc w:val="both"/>
      </w:pPr>
      <w:r>
        <w:t>H</w:t>
      </w:r>
      <w:r w:rsidR="00937AA6" w:rsidRPr="003F674F">
        <w:t xml:space="preserve">ealth status is </w:t>
      </w:r>
      <w:r w:rsidR="00937AA6">
        <w:t xml:space="preserve">a </w:t>
      </w:r>
      <w:r w:rsidR="00937AA6" w:rsidRPr="003F674F">
        <w:t>self-</w:t>
      </w:r>
      <w:r>
        <w:t>reported</w:t>
      </w:r>
      <w:r w:rsidR="00937AA6" w:rsidRPr="003F674F">
        <w:t xml:space="preserve"> </w:t>
      </w:r>
      <w:r w:rsidR="004C2CA3">
        <w:t>variable</w:t>
      </w:r>
      <w:r w:rsidR="00937AA6" w:rsidRPr="003F674F">
        <w:t xml:space="preserve"> </w:t>
      </w:r>
      <w:r>
        <w:t xml:space="preserve">in which the individual is </w:t>
      </w:r>
      <w:r w:rsidR="004C2CA3">
        <w:t>asked</w:t>
      </w:r>
      <w:r>
        <w:t xml:space="preserve"> to rate his health status compared to other people in his age group. The associated question from the CHNS survey is: </w:t>
      </w:r>
      <w:r w:rsidR="00937AA6" w:rsidRPr="003F674F">
        <w:t>"</w:t>
      </w:r>
      <w:r w:rsidR="00B4057C">
        <w:t>a</w:t>
      </w:r>
      <w:r w:rsidR="00B4057C" w:rsidRPr="00B4057C">
        <w:t>t this moment, how might you portray your wellbeing contrasted with that of others your age</w:t>
      </w:r>
      <w:r w:rsidR="00937AA6" w:rsidRPr="003F674F">
        <w:t>?"</w:t>
      </w:r>
      <w:r w:rsidR="00937AA6">
        <w:t xml:space="preserve"> </w:t>
      </w:r>
      <w:r>
        <w:t>There is a large body of evidence in the literature indicating</w:t>
      </w:r>
      <w:r w:rsidR="00937AA6" w:rsidRPr="003F674F">
        <w:t xml:space="preserve"> that self-rate</w:t>
      </w:r>
      <w:r w:rsidR="004C2CA3">
        <w:t>d</w:t>
      </w:r>
      <w:r w:rsidR="00937AA6" w:rsidRPr="003F674F">
        <w:t xml:space="preserve"> health is highly correlated with </w:t>
      </w:r>
      <w:r w:rsidR="004C2CA3">
        <w:t xml:space="preserve">the </w:t>
      </w:r>
      <w:r w:rsidR="00937AA6" w:rsidRPr="003F674F">
        <w:t xml:space="preserve">respondents' objective physical </w:t>
      </w:r>
      <w:r w:rsidR="004C2CA3">
        <w:t>health</w:t>
      </w:r>
      <w:r>
        <w:t xml:space="preserve">. </w:t>
      </w:r>
      <w:r>
        <w:rPr>
          <w:rFonts w:hint="eastAsia"/>
        </w:rPr>
        <w:t>A</w:t>
      </w:r>
      <w:r w:rsidR="0089593A">
        <w:t xml:space="preserve">ccording to </w:t>
      </w:r>
      <w:r w:rsidR="0089593A" w:rsidRPr="003F674F">
        <w:t xml:space="preserve">Idler and </w:t>
      </w:r>
      <w:proofErr w:type="spellStart"/>
      <w:r w:rsidR="0089593A" w:rsidRPr="003F674F">
        <w:t>Benyamini</w:t>
      </w:r>
      <w:proofErr w:type="spellEnd"/>
      <w:r w:rsidR="0089593A">
        <w:t xml:space="preserve"> (1997), s</w:t>
      </w:r>
      <w:r w:rsidR="00937AA6" w:rsidRPr="003F674F">
        <w:t xml:space="preserve">elf-reported health can highly predict mortality and other objective health </w:t>
      </w:r>
      <w:r w:rsidR="00906406">
        <w:t>measures</w:t>
      </w:r>
      <w:r w:rsidR="00937AA6" w:rsidRPr="003F674F">
        <w:t>.</w:t>
      </w:r>
      <w:r w:rsidR="00F72003">
        <w:t xml:space="preserve"> </w:t>
      </w:r>
      <w:r>
        <w:t xml:space="preserve">In this paper, our main variable of interest is </w:t>
      </w:r>
      <w:r w:rsidR="00F2059D">
        <w:t>s</w:t>
      </w:r>
      <w:r>
        <w:t xml:space="preserve">elf-reported health status. It is well-known that this </w:t>
      </w:r>
      <w:r w:rsidR="0089593A" w:rsidRPr="003F674F">
        <w:t xml:space="preserve">subjective </w:t>
      </w:r>
      <w:r w:rsidR="0089593A">
        <w:t>question</w:t>
      </w:r>
      <w:r w:rsidR="0089593A" w:rsidRPr="003F674F">
        <w:t xml:space="preserve"> </w:t>
      </w:r>
      <w:r w:rsidR="00EC0C44">
        <w:t>is</w:t>
      </w:r>
      <w:r w:rsidR="0089593A" w:rsidRPr="003F674F">
        <w:t xml:space="preserve"> </w:t>
      </w:r>
      <w:r>
        <w:t>ordinal and has five different categories</w:t>
      </w:r>
      <w:r w:rsidR="0089593A">
        <w:t xml:space="preserve">: </w:t>
      </w:r>
      <w:r w:rsidR="0089593A" w:rsidRPr="003F674F">
        <w:t xml:space="preserve">(1) </w:t>
      </w:r>
      <w:r w:rsidR="0089593A">
        <w:t>E</w:t>
      </w:r>
      <w:r w:rsidR="0089593A" w:rsidRPr="003F674F">
        <w:t xml:space="preserve">xcellent, (2) </w:t>
      </w:r>
      <w:r w:rsidR="0089593A">
        <w:t>G</w:t>
      </w:r>
      <w:r w:rsidR="0089593A" w:rsidRPr="003F674F">
        <w:t xml:space="preserve">ood, (3) </w:t>
      </w:r>
      <w:r w:rsidR="0089593A">
        <w:t>Fair</w:t>
      </w:r>
      <w:r w:rsidR="0089593A" w:rsidRPr="003F674F">
        <w:t xml:space="preserve">, (4) </w:t>
      </w:r>
      <w:r w:rsidR="0089593A">
        <w:t>Bad,</w:t>
      </w:r>
      <w:r w:rsidR="0089593A" w:rsidRPr="003F674F">
        <w:t xml:space="preserve"> and (5) </w:t>
      </w:r>
      <w:r w:rsidR="0089593A">
        <w:t>Very bad</w:t>
      </w:r>
      <w:r w:rsidR="0089593A" w:rsidRPr="003F674F">
        <w:t>.</w:t>
      </w:r>
      <w:r w:rsidR="0089593A">
        <w:t xml:space="preserve"> </w:t>
      </w:r>
      <w:r w:rsidR="00C00AAE">
        <w:t>Given that this</w:t>
      </w:r>
      <w:r w:rsidR="00EC0C44" w:rsidRPr="00D1397C">
        <w:t xml:space="preserve"> 5-point scale</w:t>
      </w:r>
      <w:r w:rsidR="00C00AAE">
        <w:t xml:space="preserve"> is ordinal and that </w:t>
      </w:r>
      <w:r w:rsidR="00F2059D">
        <w:t xml:space="preserve">applying </w:t>
      </w:r>
      <w:r w:rsidR="00C00AAE">
        <w:t xml:space="preserve">any non-decreasing scale </w:t>
      </w:r>
      <w:r w:rsidR="00EE7FFC">
        <w:t xml:space="preserve">to this ordinal variable </w:t>
      </w:r>
      <w:r w:rsidR="00C00AAE">
        <w:t>can represent the same information</w:t>
      </w:r>
      <w:r w:rsidR="00EC0C44" w:rsidRPr="00D1397C">
        <w:t>,</w:t>
      </w:r>
      <w:r w:rsidR="00073755" w:rsidRPr="00D1397C">
        <w:t xml:space="preserve"> </w:t>
      </w:r>
      <w:r w:rsidR="0020066E" w:rsidRPr="00D1397C">
        <w:t>I</w:t>
      </w:r>
      <w:r w:rsidR="006866DF" w:rsidRPr="00D1397C">
        <w:t xml:space="preserve"> </w:t>
      </w:r>
      <w:r w:rsidR="00C00AAE">
        <w:t xml:space="preserve">will </w:t>
      </w:r>
      <w:r w:rsidR="00BA38C2" w:rsidRPr="00D1397C">
        <w:t>dichotomize</w:t>
      </w:r>
      <w:r w:rsidR="0020066E" w:rsidRPr="00D1397C">
        <w:t xml:space="preserve"> it</w:t>
      </w:r>
      <w:r w:rsidR="00BA38C2" w:rsidRPr="00D1397C">
        <w:t xml:space="preserve"> </w:t>
      </w:r>
      <w:r w:rsidR="00C00AAE">
        <w:t>by grouping both categories</w:t>
      </w:r>
      <w:r w:rsidR="00396E3D">
        <w:t xml:space="preserve"> </w:t>
      </w:r>
      <w:r w:rsidR="00C00AAE">
        <w:t>excellent and good together and allocate them a value of 1, zero otherwise.</w:t>
      </w:r>
      <w:r w:rsidR="00917190">
        <w:t xml:space="preserve"> </w:t>
      </w:r>
    </w:p>
    <w:p w14:paraId="52339A50" w14:textId="770A44FB" w:rsidR="000F57FA" w:rsidRPr="00ED31EA" w:rsidRDefault="00ED31EA" w:rsidP="000D316B">
      <w:pPr>
        <w:spacing w:line="360" w:lineRule="auto"/>
        <w:ind w:firstLine="567"/>
        <w:jc w:val="both"/>
      </w:pPr>
      <w:r w:rsidRPr="00ED31EA">
        <w:t xml:space="preserve">I dichotomize the self-reported health variable because it is not ratio scale. Thus, the scale from poor to fair might be very short, and the scale from fair to good might be longer. In other words, a person needs to put in more effort to get better health marginally. Therefore, it is a very common practice to dichotomizes these variables (see, </w:t>
      </w:r>
      <w:proofErr w:type="spellStart"/>
      <w:r w:rsidRPr="00ED31EA">
        <w:t>Ziebarth</w:t>
      </w:r>
      <w:proofErr w:type="spellEnd"/>
      <w:r w:rsidRPr="00ED31EA">
        <w:t>, 2010 among others). The dichotomy creates a simple and clear comparison between good and non-good indicators, and provides an intuitive interpretation in terms of percentage points</w:t>
      </w:r>
      <w:r>
        <w:t>.</w:t>
      </w:r>
    </w:p>
    <w:p w14:paraId="46CE77F7" w14:textId="77777777" w:rsidR="00ED31EA" w:rsidRDefault="00ED31EA" w:rsidP="000D316B">
      <w:pPr>
        <w:spacing w:line="360" w:lineRule="auto"/>
        <w:ind w:firstLine="567"/>
        <w:jc w:val="both"/>
      </w:pPr>
    </w:p>
    <w:p w14:paraId="1C8B1FEE" w14:textId="1DC71A4A" w:rsidR="00A42B9B" w:rsidRPr="001071E1" w:rsidRDefault="00630B8E" w:rsidP="001071E1">
      <w:pPr>
        <w:rPr>
          <w:b/>
          <w:bCs/>
          <w:u w:val="single"/>
        </w:rPr>
      </w:pPr>
      <w:r w:rsidRPr="00630B8E">
        <w:rPr>
          <w:b/>
          <w:bCs/>
          <w:u w:val="single"/>
        </w:rPr>
        <w:t>Body Mass Index</w:t>
      </w:r>
    </w:p>
    <w:p w14:paraId="24ECB11F" w14:textId="45EF01D8" w:rsidR="00A42B9B" w:rsidRDefault="00A42B9B" w:rsidP="000D316B">
      <w:pPr>
        <w:spacing w:line="360" w:lineRule="auto"/>
        <w:ind w:firstLine="567"/>
        <w:jc w:val="both"/>
      </w:pPr>
      <w:r>
        <w:t xml:space="preserve">There are </w:t>
      </w:r>
      <w:r>
        <w:rPr>
          <w:rFonts w:hint="eastAsia"/>
        </w:rPr>
        <w:t>abou</w:t>
      </w:r>
      <w:r>
        <w:t xml:space="preserve">t two possible mechanisms through which education affects health. One way may be through </w:t>
      </w:r>
      <w:r w:rsidRPr="00A42B9B">
        <w:t xml:space="preserve">diet </w:t>
      </w:r>
      <w:r>
        <w:t>cognition. People with higher education are more likely to be knowledge-able about better nutrition, which may be reflected in the way they feed themselves (</w:t>
      </w:r>
      <w:proofErr w:type="spellStart"/>
      <w:r>
        <w:t>Aizer</w:t>
      </w:r>
      <w:proofErr w:type="spellEnd"/>
      <w:r>
        <w:t xml:space="preserve"> &amp; Stroud, </w:t>
      </w:r>
      <w:r>
        <w:lastRenderedPageBreak/>
        <w:t xml:space="preserve">2010; Chen et al., 2014). It is also a potential channel connecting education and health because better cognition helps individuals make rational choices, assess the potential risks in life, and avoid potential dangers, such as choosing healthy food and taking </w:t>
      </w:r>
      <w:r w:rsidR="008378F4">
        <w:t xml:space="preserve">their prescribed </w:t>
      </w:r>
      <w:r>
        <w:t>drugs in the right way (Ma</w:t>
      </w:r>
      <w:r w:rsidR="000421BD">
        <w:t>,</w:t>
      </w:r>
      <w:r>
        <w:t xml:space="preserve"> 2019). On the other hand, another possible channel through </w:t>
      </w:r>
      <w:r w:rsidR="001071E1">
        <w:t xml:space="preserve">which education affects health is </w:t>
      </w:r>
      <w:r>
        <w:t xml:space="preserve">health-related behaviors such as weight management. </w:t>
      </w:r>
      <w:r w:rsidR="001071E1">
        <w:t>I would like to highlight that proper fitness can maintain weight.</w:t>
      </w:r>
      <w:r w:rsidR="00B70B36">
        <w:rPr>
          <w:rStyle w:val="FootnoteReference"/>
        </w:rPr>
        <w:footnoteReference w:id="1"/>
      </w:r>
      <w:r w:rsidR="001071E1">
        <w:t xml:space="preserve"> </w:t>
      </w:r>
      <w:r>
        <w:t>There is a large body of empirical evidence that shows that people with higher education are more likely to have healthy behaviors, such as controlling bodyweight (</w:t>
      </w:r>
      <w:proofErr w:type="spellStart"/>
      <w:r>
        <w:t>Mokdad</w:t>
      </w:r>
      <w:proofErr w:type="spellEnd"/>
      <w:r>
        <w:t xml:space="preserve"> et al., 2004; </w:t>
      </w:r>
      <w:proofErr w:type="spellStart"/>
      <w:r>
        <w:t>DeWalque</w:t>
      </w:r>
      <w:proofErr w:type="spellEnd"/>
      <w:r>
        <w:t xml:space="preserve">, 2007; </w:t>
      </w:r>
      <w:proofErr w:type="spellStart"/>
      <w:r>
        <w:t>Jürges</w:t>
      </w:r>
      <w:proofErr w:type="spellEnd"/>
      <w:r>
        <w:t xml:space="preserve"> et al., 2011). </w:t>
      </w:r>
    </w:p>
    <w:p w14:paraId="24375BCD" w14:textId="4CEA055C" w:rsidR="005247A3" w:rsidRDefault="00264EB0" w:rsidP="000D316B">
      <w:pPr>
        <w:spacing w:line="360" w:lineRule="auto"/>
        <w:ind w:firstLine="567"/>
        <w:jc w:val="both"/>
      </w:pPr>
      <w:r>
        <w:t xml:space="preserve">I can assess the adequacy of nutrition by investigating whether there are any deviations from normal weight. The </w:t>
      </w:r>
      <w:r w:rsidR="00A42B9B">
        <w:t xml:space="preserve">Body Mass Index (BMI) and any form of its transformation is a suitable indicator of these two mechanisms because a good diet will not usually cause obesity, overweightedness or </w:t>
      </w:r>
      <w:proofErr w:type="spellStart"/>
      <w:r w:rsidR="00A42B9B">
        <w:t>underweightedness</w:t>
      </w:r>
      <w:proofErr w:type="spellEnd"/>
      <w:r w:rsidR="00A42B9B">
        <w:t>. Therefore, BMI is a</w:t>
      </w:r>
      <w:r w:rsidR="00F356C9">
        <w:t>n</w:t>
      </w:r>
      <w:r w:rsidR="00A42B9B">
        <w:t xml:space="preserve"> </w:t>
      </w:r>
      <w:r w:rsidR="00F356C9">
        <w:t xml:space="preserve">appropriate </w:t>
      </w:r>
      <w:r w:rsidR="00A42B9B">
        <w:t>index that provides a measurement that allows us to describe these deviations, which is a broadly utilized variable in the literature to describe the alimental status and has been demonstrated to be associated with economic growth and mortality rate (Fogel, 1994). Moreover, overweight or obesity can also be interpreted as an indicator of future health, as they are important risk factors for future health problems such as diabetes or cardiovascular disease (</w:t>
      </w:r>
      <w:proofErr w:type="spellStart"/>
      <w:r w:rsidR="00A42B9B">
        <w:t>Kemptner</w:t>
      </w:r>
      <w:proofErr w:type="spellEnd"/>
      <w:r w:rsidR="00A42B9B">
        <w:t xml:space="preserve"> et al., 2011).</w:t>
      </w:r>
    </w:p>
    <w:p w14:paraId="790737CA" w14:textId="239B67E4" w:rsidR="00B93219" w:rsidRDefault="00937AA6" w:rsidP="000D316B">
      <w:pPr>
        <w:spacing w:line="360" w:lineRule="auto"/>
        <w:ind w:firstLine="567"/>
        <w:jc w:val="both"/>
      </w:pPr>
      <w:r>
        <w:t xml:space="preserve">According to the definition of the World Health Organization, BMI between 18.5 and 25 is </w:t>
      </w:r>
      <w:r w:rsidR="00E26860">
        <w:t xml:space="preserve">considered </w:t>
      </w:r>
      <w:r>
        <w:t xml:space="preserve">a healthy weight ratio. BMI which less than 18.5 is </w:t>
      </w:r>
      <w:r w:rsidR="00E26860">
        <w:t xml:space="preserve">believed as </w:t>
      </w:r>
      <w:r>
        <w:t xml:space="preserve">underweight, BMI which greater than 25 and </w:t>
      </w:r>
      <w:r w:rsidR="00E157E2">
        <w:t>smaller</w:t>
      </w:r>
      <w:r>
        <w:t xml:space="preserve"> than 30 is </w:t>
      </w:r>
      <w:r w:rsidR="00D1409F" w:rsidRPr="00D1409F">
        <w:t xml:space="preserve">characterized </w:t>
      </w:r>
      <w:r>
        <w:t xml:space="preserve">as </w:t>
      </w:r>
      <w:r w:rsidR="00E26860" w:rsidRPr="00E26860">
        <w:t>overweight</w:t>
      </w:r>
      <w:r>
        <w:t xml:space="preserve">, and BMI which </w:t>
      </w:r>
      <w:r w:rsidR="00E157E2">
        <w:t>more</w:t>
      </w:r>
      <w:r>
        <w:t xml:space="preserve"> than 30 is </w:t>
      </w:r>
      <w:r w:rsidR="00E26860">
        <w:t>defined</w:t>
      </w:r>
      <w:r w:rsidR="00D1409F" w:rsidRPr="00D1409F">
        <w:t xml:space="preserve"> </w:t>
      </w:r>
      <w:r>
        <w:t>as obes</w:t>
      </w:r>
      <w:r w:rsidR="00E26860">
        <w:t>ity</w:t>
      </w:r>
      <w:r w:rsidR="00534E6E">
        <w:t xml:space="preserve"> (WHO, 2020)</w:t>
      </w:r>
      <w:r>
        <w:t xml:space="preserve">. </w:t>
      </w:r>
      <w:bookmarkEnd w:id="8"/>
      <w:r w:rsidR="00912F05">
        <w:t>T</w:t>
      </w:r>
      <w:r w:rsidR="00B93219">
        <w:t>o account for outliers’ effects and misreported weight (/height) information, I excluded observations with BMI of less than 10 and greater than 50</w:t>
      </w:r>
      <w:r w:rsidR="00B93219" w:rsidRPr="00B9492C">
        <w:t>.</w:t>
      </w:r>
      <w:r w:rsidR="00E24BBE" w:rsidRPr="00B9492C">
        <w:t xml:space="preserve"> </w:t>
      </w:r>
      <w:r w:rsidR="00912F05" w:rsidRPr="00B9492C">
        <w:rPr>
          <w:rStyle w:val="FootnoteReference"/>
        </w:rPr>
        <w:footnoteReference w:id="2"/>
      </w:r>
    </w:p>
    <w:p w14:paraId="7C97A47F" w14:textId="754DF0A4" w:rsidR="009315E8" w:rsidRDefault="009315E8" w:rsidP="000D316B">
      <w:pPr>
        <w:spacing w:line="360" w:lineRule="auto"/>
        <w:ind w:firstLine="567"/>
        <w:jc w:val="both"/>
      </w:pPr>
      <w:r>
        <w:t xml:space="preserve">Following </w:t>
      </w:r>
      <w:r w:rsidR="003A6E40">
        <w:t>WHO</w:t>
      </w:r>
      <w:r>
        <w:t xml:space="preserve"> thresholds, </w:t>
      </w:r>
      <w:r w:rsidR="003A6E40">
        <w:t>I</w:t>
      </w:r>
      <w:r>
        <w:t xml:space="preserve"> will transform information available on BMI to generate two additional weight related variables: overweightedness and obesity (Table 1). </w:t>
      </w:r>
      <w:r w:rsidRPr="009315E8">
        <w:t xml:space="preserve">To measure overweightedness, I generate a variable which is max {0, (BMI-25)}, that is if the value of the variable is negative, it will be replaced with a zero. If the value of the variable is positive, I keep </w:t>
      </w:r>
      <w:r w:rsidRPr="009315E8">
        <w:lastRenderedPageBreak/>
        <w:t>it as it is since it indicates by how much the person is above the normal BMI. I also apply a similar transformation to measure the degrees of obesity max{</w:t>
      </w:r>
      <w:proofErr w:type="gramStart"/>
      <w:r w:rsidRPr="009315E8">
        <w:t>0,(</w:t>
      </w:r>
      <w:proofErr w:type="gramEnd"/>
      <w:r w:rsidRPr="009315E8">
        <w:t xml:space="preserve">BMI-30)}, and I put a zero for all values that are negative and keep the computed difference for all positive values. </w:t>
      </w:r>
      <w:r w:rsidR="00613277">
        <w:t>I use these</w:t>
      </w:r>
      <w:r w:rsidRPr="009315E8">
        <w:t xml:space="preserve"> two </w:t>
      </w:r>
      <w:r w:rsidR="00DB350B" w:rsidRPr="009315E8">
        <w:t>continuous</w:t>
      </w:r>
      <w:r w:rsidRPr="009315E8">
        <w:t xml:space="preserve"> variables measure overweightedness and obesity on top of the </w:t>
      </w:r>
      <w:r w:rsidR="00613277">
        <w:t>usual</w:t>
      </w:r>
      <w:r w:rsidRPr="009315E8">
        <w:t xml:space="preserve"> BMI </w:t>
      </w:r>
      <w:r w:rsidR="00613277">
        <w:t>measure</w:t>
      </w:r>
      <w:r w:rsidR="00752C69">
        <w:t xml:space="preserve"> t</w:t>
      </w:r>
      <w:r w:rsidR="00101AC4" w:rsidRPr="00101AC4">
        <w:t>o assess the impact of education on nutrition weight related outcomes.</w:t>
      </w:r>
    </w:p>
    <w:p w14:paraId="719B7826" w14:textId="0F7ABFD4" w:rsidR="00FA2F57" w:rsidRDefault="00FA2F57" w:rsidP="000D316B">
      <w:pPr>
        <w:spacing w:line="360" w:lineRule="auto"/>
        <w:ind w:firstLine="567"/>
        <w:jc w:val="both"/>
      </w:pPr>
      <w:r w:rsidRPr="00CE5C62">
        <w:t xml:space="preserve">In developed regions such as North America and Europe, the literature has found that education has a negative effect on BMI, in order words, this means that people </w:t>
      </w:r>
      <w:r w:rsidR="00DF1A59">
        <w:t xml:space="preserve">with higher levels of education </w:t>
      </w:r>
      <w:r w:rsidRPr="00CE5C62">
        <w:t xml:space="preserve">are fitter and have proper nutrition. (Brunello et al., 2013). </w:t>
      </w:r>
      <w:r w:rsidR="00007D9C">
        <w:t>B</w:t>
      </w:r>
      <w:r w:rsidR="00007D9C" w:rsidRPr="00007D9C">
        <w:t xml:space="preserve">esides </w:t>
      </w:r>
      <w:r w:rsidRPr="00CE5C62">
        <w:t xml:space="preserve">the prevalence of obesity in the developed region, the problem of obesity </w:t>
      </w:r>
      <w:r w:rsidR="00007D9C">
        <w:t>is becoming</w:t>
      </w:r>
      <w:r w:rsidRPr="00CE5C62">
        <w:t xml:space="preserve"> a major problem in developing countries such as </w:t>
      </w:r>
      <w:r w:rsidRPr="00D352C8">
        <w:t>China</w:t>
      </w:r>
      <w:r w:rsidR="003A11E1" w:rsidRPr="00D352C8">
        <w:t xml:space="preserve"> (</w:t>
      </w:r>
      <w:r w:rsidR="001F180B" w:rsidRPr="00D352C8">
        <w:rPr>
          <w:rFonts w:cs="Times New Roman"/>
          <w:szCs w:val="24"/>
          <w:shd w:val="clear" w:color="auto" w:fill="FFFFFF"/>
        </w:rPr>
        <w:t>Zhen et al., 2018</w:t>
      </w:r>
      <w:r w:rsidR="003A11E1" w:rsidRPr="00D352C8">
        <w:t>)</w:t>
      </w:r>
      <w:r w:rsidRPr="00D352C8">
        <w:t>.</w:t>
      </w:r>
    </w:p>
    <w:p w14:paraId="50BE177A" w14:textId="77777777" w:rsidR="009F1DAD" w:rsidRDefault="009F1DAD" w:rsidP="000D316B">
      <w:pPr>
        <w:spacing w:line="360" w:lineRule="auto"/>
        <w:ind w:firstLine="567"/>
        <w:jc w:val="both"/>
      </w:pPr>
    </w:p>
    <w:p w14:paraId="730D8726" w14:textId="26A0CA6A" w:rsidR="003D3835" w:rsidRPr="00DD2C3C" w:rsidRDefault="004908A6" w:rsidP="000D316B">
      <w:pPr>
        <w:jc w:val="both"/>
        <w:rPr>
          <w:b/>
          <w:bCs/>
          <w:u w:val="single"/>
        </w:rPr>
      </w:pPr>
      <w:bookmarkStart w:id="11" w:name="_Hlk34539832"/>
      <w:r w:rsidRPr="00995213">
        <w:rPr>
          <w:b/>
          <w:bCs/>
          <w:u w:val="single"/>
        </w:rPr>
        <w:t>Smoking</w:t>
      </w:r>
    </w:p>
    <w:p w14:paraId="1388410D" w14:textId="3C0FED28" w:rsidR="0009787B" w:rsidRDefault="0009787B" w:rsidP="000D316B">
      <w:pPr>
        <w:spacing w:line="360" w:lineRule="auto"/>
        <w:ind w:firstLine="567"/>
        <w:jc w:val="both"/>
      </w:pPr>
      <w:r>
        <w:t xml:space="preserve">A large part of the literature on the relationship between education and health uses smoking as a marker for health. </w:t>
      </w:r>
      <w:r w:rsidR="00437908">
        <w:t>P</w:t>
      </w:r>
      <w:r w:rsidR="00437908" w:rsidRPr="00437908">
        <w:t>art of the literature that investigated the relationship between education and smoking used draft lottery (</w:t>
      </w:r>
      <w:proofErr w:type="spellStart"/>
      <w:r w:rsidR="00437908" w:rsidRPr="00437908">
        <w:t>DeWalque</w:t>
      </w:r>
      <w:proofErr w:type="spellEnd"/>
      <w:r w:rsidR="00437908" w:rsidRPr="00437908">
        <w:t xml:space="preserve">, 2007), while others use compulsory schooling laws (Cutler &amp; </w:t>
      </w:r>
      <w:proofErr w:type="spellStart"/>
      <w:r w:rsidR="00437908" w:rsidRPr="00437908">
        <w:t>Lleras-Muney</w:t>
      </w:r>
      <w:proofErr w:type="spellEnd"/>
      <w:r w:rsidR="00437908" w:rsidRPr="00437908">
        <w:t xml:space="preserve"> 2010; </w:t>
      </w:r>
      <w:proofErr w:type="spellStart"/>
      <w:r w:rsidR="00437908" w:rsidRPr="00437908">
        <w:t>Jürges</w:t>
      </w:r>
      <w:proofErr w:type="spellEnd"/>
      <w:r w:rsidR="00437908" w:rsidRPr="00437908">
        <w:t xml:space="preserve"> et al</w:t>
      </w:r>
      <w:r w:rsidR="00923B77">
        <w:t>.</w:t>
      </w:r>
      <w:r w:rsidR="00437908" w:rsidRPr="00437908">
        <w:t xml:space="preserve">, 2011; Huang, 2015; </w:t>
      </w:r>
      <w:proofErr w:type="spellStart"/>
      <w:r w:rsidR="00437908" w:rsidRPr="00437908">
        <w:t>Silles</w:t>
      </w:r>
      <w:proofErr w:type="spellEnd"/>
      <w:r w:rsidR="00437908" w:rsidRPr="00437908">
        <w:t xml:space="preserve">, 2015). While </w:t>
      </w:r>
      <w:proofErr w:type="spellStart"/>
      <w:r w:rsidR="00437908" w:rsidRPr="00437908">
        <w:t>Kemptner</w:t>
      </w:r>
      <w:proofErr w:type="spellEnd"/>
      <w:r w:rsidR="00437908" w:rsidRPr="00437908">
        <w:t xml:space="preserve"> et al. (2011) and </w:t>
      </w:r>
      <w:proofErr w:type="spellStart"/>
      <w:r w:rsidR="00437908" w:rsidRPr="00437908">
        <w:t>Jürges</w:t>
      </w:r>
      <w:proofErr w:type="spellEnd"/>
      <w:r w:rsidR="00437908" w:rsidRPr="00437908">
        <w:t xml:space="preserve"> et al</w:t>
      </w:r>
      <w:r w:rsidR="00923B77">
        <w:t>.</w:t>
      </w:r>
      <w:r w:rsidR="00437908" w:rsidRPr="00437908">
        <w:t xml:space="preserve">, (2011) find significant causal relation, </w:t>
      </w:r>
      <w:proofErr w:type="spellStart"/>
      <w:r w:rsidR="00437908" w:rsidRPr="00437908">
        <w:t>DeWalque</w:t>
      </w:r>
      <w:proofErr w:type="spellEnd"/>
      <w:r w:rsidR="00437908" w:rsidRPr="00437908">
        <w:t xml:space="preserve"> (2007) and </w:t>
      </w:r>
      <w:proofErr w:type="spellStart"/>
      <w:r w:rsidR="00437908" w:rsidRPr="00437908">
        <w:t>Silles</w:t>
      </w:r>
      <w:proofErr w:type="spellEnd"/>
      <w:r w:rsidR="00437908" w:rsidRPr="00437908">
        <w:t xml:space="preserve"> (2015) did not find any significant causal relationship.</w:t>
      </w:r>
    </w:p>
    <w:p w14:paraId="10E0478E" w14:textId="36FCD35B" w:rsidR="00E37B29" w:rsidRDefault="002401E8" w:rsidP="000D316B">
      <w:pPr>
        <w:spacing w:line="360" w:lineRule="auto"/>
        <w:ind w:firstLine="567"/>
        <w:jc w:val="both"/>
      </w:pPr>
      <w:r>
        <w:t>T</w:t>
      </w:r>
      <w:r w:rsidR="00271ACF">
        <w:t xml:space="preserve">he </w:t>
      </w:r>
      <w:r>
        <w:t xml:space="preserve">worldwide </w:t>
      </w:r>
      <w:r w:rsidR="00E37B29" w:rsidRPr="00A95CDD">
        <w:t xml:space="preserve">society's understanding of </w:t>
      </w:r>
      <w:r w:rsidR="00006FB8">
        <w:t xml:space="preserve">the </w:t>
      </w:r>
      <w:r w:rsidR="00E76F10">
        <w:rPr>
          <w:rFonts w:hint="eastAsia"/>
        </w:rPr>
        <w:t>negative</w:t>
      </w:r>
      <w:r w:rsidR="00E76F10">
        <w:t xml:space="preserve"> impact of </w:t>
      </w:r>
      <w:r w:rsidR="000C59FE" w:rsidRPr="00A95CDD">
        <w:t>smoking</w:t>
      </w:r>
      <w:r w:rsidR="000C59FE">
        <w:t xml:space="preserve"> </w:t>
      </w:r>
      <w:r w:rsidR="00271ACF">
        <w:t>was</w:t>
      </w:r>
      <w:r w:rsidR="00E37B29" w:rsidRPr="000C59FE">
        <w:t xml:space="preserve"> </w:t>
      </w:r>
      <w:r w:rsidR="000A5FDA" w:rsidRPr="000A5FDA">
        <w:t>vague</w:t>
      </w:r>
      <w:r w:rsidR="00741ADF">
        <w:t xml:space="preserve"> in decade ago</w:t>
      </w:r>
      <w:r w:rsidR="00174C41">
        <w:t>, and</w:t>
      </w:r>
      <w:r w:rsidR="00E37B29">
        <w:t xml:space="preserve"> </w:t>
      </w:r>
      <w:r w:rsidR="00174C41">
        <w:t>smoker</w:t>
      </w:r>
      <w:r w:rsidR="00006FB8">
        <w:t>s</w:t>
      </w:r>
      <w:r w:rsidR="00174C41" w:rsidRPr="00174C41">
        <w:t xml:space="preserve"> d</w:t>
      </w:r>
      <w:r w:rsidR="00174C41">
        <w:t xml:space="preserve">id </w:t>
      </w:r>
      <w:r w:rsidR="00174C41" w:rsidRPr="00174C41">
        <w:t>n</w:t>
      </w:r>
      <w:r w:rsidR="00174C41">
        <w:t>o</w:t>
      </w:r>
      <w:r w:rsidR="00174C41" w:rsidRPr="00174C41">
        <w:t xml:space="preserve">t know the </w:t>
      </w:r>
      <w:r w:rsidR="00E37B29" w:rsidRPr="001622BB">
        <w:t xml:space="preserve">harmful </w:t>
      </w:r>
      <w:r>
        <w:t>impacts of cigarette consumption</w:t>
      </w:r>
      <w:r w:rsidR="00174C41">
        <w:t xml:space="preserve"> </w:t>
      </w:r>
      <w:r w:rsidR="00F120D6">
        <w:t>(</w:t>
      </w:r>
      <w:proofErr w:type="spellStart"/>
      <w:r w:rsidR="00F120D6" w:rsidRPr="00BD16C8">
        <w:t>Viscusi</w:t>
      </w:r>
      <w:proofErr w:type="spellEnd"/>
      <w:r w:rsidR="00F120D6">
        <w:t>, 1992)</w:t>
      </w:r>
      <w:r w:rsidR="00271ACF">
        <w:t xml:space="preserve">, </w:t>
      </w:r>
      <w:r w:rsidR="00EB68A9">
        <w:t>this is why</w:t>
      </w:r>
      <w:r w:rsidR="00E37B29">
        <w:t xml:space="preserve"> </w:t>
      </w:r>
      <w:r w:rsidR="00271ACF" w:rsidRPr="00E76F10">
        <w:t xml:space="preserve">the impact of </w:t>
      </w:r>
      <w:r w:rsidR="00271ACF">
        <w:t xml:space="preserve">education on </w:t>
      </w:r>
      <w:r w:rsidR="00F106F5">
        <w:t>smoking</w:t>
      </w:r>
      <w:r w:rsidR="00271ACF" w:rsidRPr="00E76F10">
        <w:t xml:space="preserve"> </w:t>
      </w:r>
      <w:r w:rsidR="00741ADF">
        <w:t>was</w:t>
      </w:r>
      <w:r w:rsidR="00271ACF" w:rsidRPr="00E76F10">
        <w:t xml:space="preserve"> relatively small</w:t>
      </w:r>
      <w:r w:rsidR="00271ACF">
        <w:t>.</w:t>
      </w:r>
      <w:r w:rsidR="00271ACF" w:rsidRPr="00BD16C8">
        <w:t xml:space="preserve"> </w:t>
      </w:r>
      <w:r w:rsidR="00E37B29" w:rsidRPr="00BD16C8">
        <w:t>At th</w:t>
      </w:r>
      <w:r w:rsidR="00EB68A9">
        <w:t>at</w:t>
      </w:r>
      <w:r w:rsidR="00E37B29" w:rsidRPr="00BD16C8">
        <w:t xml:space="preserve"> same time, other scholars ha</w:t>
      </w:r>
      <w:r w:rsidR="00EB68A9">
        <w:t>d</w:t>
      </w:r>
      <w:r w:rsidR="00E37B29" w:rsidRPr="00BD16C8">
        <w:t xml:space="preserve"> similar </w:t>
      </w:r>
      <w:r w:rsidR="00E37B29" w:rsidRPr="003D47CF">
        <w:t>perspective</w:t>
      </w:r>
      <w:r w:rsidR="00E37B29">
        <w:rPr>
          <w:rFonts w:hint="eastAsia"/>
        </w:rPr>
        <w:t>s</w:t>
      </w:r>
      <w:r w:rsidR="00E37B29" w:rsidRPr="00BD16C8">
        <w:t>.</w:t>
      </w:r>
      <w:r w:rsidR="00741ADF">
        <w:t xml:space="preserve"> </w:t>
      </w:r>
      <w:r w:rsidR="00EB68A9">
        <w:t xml:space="preserve">In addition, </w:t>
      </w:r>
      <w:r w:rsidR="00741ADF">
        <w:t>T</w:t>
      </w:r>
      <w:r w:rsidR="00E37B29" w:rsidRPr="00BD16C8">
        <w:t>obacco</w:t>
      </w:r>
      <w:r w:rsidR="00741ADF">
        <w:t xml:space="preserve"> </w:t>
      </w:r>
      <w:r w:rsidR="00E37B29" w:rsidRPr="00BD16C8">
        <w:t>manufacturers have tried to portray the issue of smoking and cancer as an unresolved debate rather than an objective</w:t>
      </w:r>
      <w:r w:rsidR="00E37B29">
        <w:t>ly</w:t>
      </w:r>
      <w:r w:rsidR="00E37B29" w:rsidRPr="00BD16C8">
        <w:t xml:space="preserve"> scientific fact</w:t>
      </w:r>
      <w:r w:rsidR="00E37B29">
        <w:t xml:space="preserve"> </w:t>
      </w:r>
      <w:r w:rsidR="00E37B29" w:rsidRPr="00BD16C8">
        <w:t>(</w:t>
      </w:r>
      <w:proofErr w:type="spellStart"/>
      <w:r w:rsidR="00E37B29" w:rsidRPr="00BD16C8">
        <w:t>Schoenbaum</w:t>
      </w:r>
      <w:proofErr w:type="spellEnd"/>
      <w:r w:rsidR="00E37B29" w:rsidRPr="00BD16C8">
        <w:t>, 1997).</w:t>
      </w:r>
      <w:r w:rsidR="00E37B29">
        <w:t xml:space="preserve"> </w:t>
      </w:r>
    </w:p>
    <w:p w14:paraId="2742DC85" w14:textId="0D995F8D" w:rsidR="00741ADF" w:rsidRPr="00E37B29" w:rsidRDefault="00BA169F" w:rsidP="000D316B">
      <w:pPr>
        <w:spacing w:line="360" w:lineRule="auto"/>
        <w:ind w:firstLine="567"/>
        <w:jc w:val="both"/>
      </w:pPr>
      <w:r>
        <w:t>On the other hand</w:t>
      </w:r>
      <w:r w:rsidR="00741ADF">
        <w:t xml:space="preserve">, </w:t>
      </w:r>
      <w:r w:rsidR="00D63DAD">
        <w:t xml:space="preserve">there </w:t>
      </w:r>
      <w:r w:rsidR="005E4BE2">
        <w:t>is</w:t>
      </w:r>
      <w:r w:rsidR="00D63DAD">
        <w:t xml:space="preserve"> evidence nowadays</w:t>
      </w:r>
      <w:r w:rsidR="00D63DAD" w:rsidRPr="00813852">
        <w:t xml:space="preserve"> </w:t>
      </w:r>
      <w:r w:rsidR="00D63DAD">
        <w:t xml:space="preserve">that </w:t>
      </w:r>
      <w:r w:rsidR="00741ADF">
        <w:t>e</w:t>
      </w:r>
      <w:r w:rsidR="00741ADF" w:rsidRPr="00813852">
        <w:t xml:space="preserve">ducation can </w:t>
      </w:r>
      <w:r w:rsidR="00741ADF" w:rsidRPr="00503F72">
        <w:t xml:space="preserve">help in increasing </w:t>
      </w:r>
      <w:r w:rsidR="00741ADF" w:rsidRPr="00813852">
        <w:t xml:space="preserve">health is through </w:t>
      </w:r>
      <w:r w:rsidR="00741ADF">
        <w:t xml:space="preserve">its effect on </w:t>
      </w:r>
      <w:r w:rsidR="00741ADF" w:rsidRPr="00813852">
        <w:t xml:space="preserve">healthy behaviors such as </w:t>
      </w:r>
      <w:r w:rsidR="00741ADF">
        <w:rPr>
          <w:rFonts w:hint="eastAsia"/>
        </w:rPr>
        <w:t>avoiding</w:t>
      </w:r>
      <w:r w:rsidR="00741ADF">
        <w:t xml:space="preserve"> </w:t>
      </w:r>
      <w:r w:rsidR="00741ADF" w:rsidRPr="00813852">
        <w:t>smoking</w:t>
      </w:r>
      <w:r w:rsidR="00741ADF">
        <w:t xml:space="preserve"> </w:t>
      </w:r>
      <w:r w:rsidR="00741ADF" w:rsidRPr="00813852">
        <w:t xml:space="preserve">(Cutler </w:t>
      </w:r>
      <w:r w:rsidR="00741ADF">
        <w:t>&amp;</w:t>
      </w:r>
      <w:r w:rsidR="00741ADF" w:rsidRPr="00813852">
        <w:t xml:space="preserve"> </w:t>
      </w:r>
      <w:proofErr w:type="spellStart"/>
      <w:r w:rsidR="00741ADF" w:rsidRPr="00813852">
        <w:t>lleras-muney</w:t>
      </w:r>
      <w:proofErr w:type="spellEnd"/>
      <w:r w:rsidR="00741ADF" w:rsidRPr="00813852">
        <w:t>, 2010).</w:t>
      </w:r>
      <w:r w:rsidR="00741ADF">
        <w:t xml:space="preserve"> W</w:t>
      </w:r>
      <w:r w:rsidR="00741ADF" w:rsidRPr="007C11BB">
        <w:t xml:space="preserve">ell-educated people may better understand the </w:t>
      </w:r>
      <w:r w:rsidR="00741ADF">
        <w:t xml:space="preserve">negative impacts </w:t>
      </w:r>
      <w:r w:rsidR="00741ADF" w:rsidRPr="007C11BB">
        <w:t>of smoking</w:t>
      </w:r>
      <w:r w:rsidR="00741ADF">
        <w:t xml:space="preserve"> </w:t>
      </w:r>
      <w:r w:rsidR="00741ADF" w:rsidRPr="007C11BB">
        <w:t xml:space="preserve">because they understand </w:t>
      </w:r>
      <w:r w:rsidR="00741ADF">
        <w:t xml:space="preserve">the </w:t>
      </w:r>
      <w:r w:rsidR="00741ADF" w:rsidRPr="007C11BB">
        <w:t>consequences</w:t>
      </w:r>
      <w:r w:rsidR="00741ADF">
        <w:t xml:space="preserve"> and can understand that the immediate </w:t>
      </w:r>
      <w:r w:rsidR="000421BD">
        <w:t>satisfaction,</w:t>
      </w:r>
      <w:r w:rsidR="006067FD">
        <w:t xml:space="preserve"> </w:t>
      </w:r>
      <w:r w:rsidR="00741ADF">
        <w:t>they derive by smoking today has a non-negligible health cost tomorrow</w:t>
      </w:r>
      <w:r w:rsidR="00741ADF" w:rsidRPr="007C11BB">
        <w:t>.</w:t>
      </w:r>
      <w:r w:rsidR="00741ADF" w:rsidRPr="00813852">
        <w:t xml:space="preserve"> </w:t>
      </w:r>
      <w:r w:rsidR="00667B92">
        <w:t>Thus, higher</w:t>
      </w:r>
      <w:r w:rsidR="00741ADF" w:rsidRPr="00813852">
        <w:t xml:space="preserve"> </w:t>
      </w:r>
      <w:r w:rsidR="00741ADF">
        <w:t xml:space="preserve">levels of </w:t>
      </w:r>
      <w:r w:rsidR="00741ADF" w:rsidRPr="00813852">
        <w:t xml:space="preserve">education </w:t>
      </w:r>
      <w:r w:rsidR="005F3009">
        <w:t xml:space="preserve">are </w:t>
      </w:r>
      <w:r w:rsidR="005F3009">
        <w:lastRenderedPageBreak/>
        <w:t xml:space="preserve">believed to </w:t>
      </w:r>
      <w:r w:rsidR="00741ADF" w:rsidRPr="00813852">
        <w:t xml:space="preserve">lead to a substantial reduction in smoking, which </w:t>
      </w:r>
      <w:r w:rsidR="00741ADF">
        <w:t>is a</w:t>
      </w:r>
      <w:r w:rsidR="00741ADF" w:rsidRPr="00813852">
        <w:t xml:space="preserve"> </w:t>
      </w:r>
      <w:r w:rsidR="00741ADF" w:rsidRPr="00475769">
        <w:t xml:space="preserve">crucial </w:t>
      </w:r>
      <w:r w:rsidR="00741ADF">
        <w:t>factor</w:t>
      </w:r>
      <w:r w:rsidR="00741ADF" w:rsidRPr="00813852">
        <w:t xml:space="preserve"> </w:t>
      </w:r>
      <w:r w:rsidR="00D37A7B">
        <w:t xml:space="preserve">affecting </w:t>
      </w:r>
      <w:r w:rsidR="00E36053">
        <w:t>lung cancer</w:t>
      </w:r>
      <w:r w:rsidR="00DB3CD5">
        <w:t>,</w:t>
      </w:r>
      <w:r w:rsidR="00E36053">
        <w:t xml:space="preserve"> </w:t>
      </w:r>
      <w:r w:rsidR="00DB3CD5">
        <w:t>c</w:t>
      </w:r>
      <w:r w:rsidR="00DB3CD5" w:rsidRPr="00DB3CD5">
        <w:t>hronic obstructive pulmonary disease</w:t>
      </w:r>
      <w:r w:rsidR="00DB3CD5">
        <w:t xml:space="preserve">, </w:t>
      </w:r>
      <w:r w:rsidR="00E36053">
        <w:t xml:space="preserve">and </w:t>
      </w:r>
      <w:r w:rsidR="00741ADF">
        <w:t>early</w:t>
      </w:r>
      <w:r w:rsidR="00741ADF" w:rsidRPr="00813852">
        <w:t xml:space="preserve"> death (</w:t>
      </w:r>
      <w:proofErr w:type="spellStart"/>
      <w:r w:rsidR="00741ADF" w:rsidRPr="00813852">
        <w:t>Mokdad</w:t>
      </w:r>
      <w:proofErr w:type="spellEnd"/>
      <w:r w:rsidR="00741ADF">
        <w:t xml:space="preserve"> et al., </w:t>
      </w:r>
      <w:r w:rsidR="00741ADF" w:rsidRPr="00813852">
        <w:t>2004).</w:t>
      </w:r>
    </w:p>
    <w:p w14:paraId="279C2684" w14:textId="43A72C3F" w:rsidR="005619D5" w:rsidRDefault="00BB40DC" w:rsidP="00585463">
      <w:pPr>
        <w:spacing w:line="360" w:lineRule="auto"/>
        <w:ind w:firstLine="567"/>
        <w:jc w:val="both"/>
      </w:pPr>
      <w:r>
        <w:t xml:space="preserve">In this paper, the information on smoking is </w:t>
      </w:r>
      <w:r w:rsidR="0000316E">
        <w:t xml:space="preserve">in the form of a </w:t>
      </w:r>
      <w:r>
        <w:t xml:space="preserve">dichotomous indicator of whether or not the person is </w:t>
      </w:r>
      <w:r w:rsidR="00D31979" w:rsidRPr="00D31979">
        <w:t>currently smoking</w:t>
      </w:r>
      <w:r>
        <w:t xml:space="preserve"> (it takes a value of 1 if the person is a smoker zero otherwise.)</w:t>
      </w:r>
      <w:r w:rsidR="005D6661">
        <w:t>, I also look at the frequency of cigarette smoking</w:t>
      </w:r>
      <w:r>
        <w:t>.</w:t>
      </w:r>
      <w:r w:rsidR="00D31979">
        <w:t xml:space="preserve"> </w:t>
      </w:r>
      <w:r>
        <w:t xml:space="preserve">The descriptive statistics provided in </w:t>
      </w:r>
      <w:r w:rsidR="0000316E">
        <w:t>T</w:t>
      </w:r>
      <w:r>
        <w:t xml:space="preserve">able 1 indicate that the smoking rate is </w:t>
      </w:r>
      <w:r w:rsidR="006067FD">
        <w:t xml:space="preserve">about </w:t>
      </w:r>
      <w:r>
        <w:t>30%</w:t>
      </w:r>
      <w:r w:rsidR="00DC196B">
        <w:t>.</w:t>
      </w:r>
      <w:r>
        <w:t xml:space="preserve"> </w:t>
      </w:r>
      <w:bookmarkStart w:id="12" w:name="_Hlk37725501"/>
      <w:r w:rsidR="00DC196B">
        <w:t>Among them,</w:t>
      </w:r>
      <w:r w:rsidR="0000316E">
        <w:t xml:space="preserve"> </w:t>
      </w:r>
      <w:r w:rsidR="00C739A3">
        <w:t>97%</w:t>
      </w:r>
      <w:r>
        <w:t xml:space="preserve"> of the smokers are male</w:t>
      </w:r>
      <w:bookmarkEnd w:id="12"/>
      <w:r w:rsidR="00574FCC">
        <w:t xml:space="preserve"> as in </w:t>
      </w:r>
      <w:r w:rsidR="007474FE">
        <w:t>Figure 1</w:t>
      </w:r>
      <w:r w:rsidR="00D34084" w:rsidRPr="00B9492C">
        <w:t>, which confirms that the number of male smokers is relatively large to females as discussed in the literature, and this phenomenon may affect the results.</w:t>
      </w:r>
    </w:p>
    <w:p w14:paraId="0A1C0166" w14:textId="77777777" w:rsidR="00585463" w:rsidRDefault="00585463" w:rsidP="00585463">
      <w:pPr>
        <w:spacing w:line="360" w:lineRule="auto"/>
        <w:ind w:firstLine="567"/>
        <w:jc w:val="both"/>
      </w:pPr>
    </w:p>
    <w:p w14:paraId="153BEAC5" w14:textId="645199D8" w:rsidR="00E467ED" w:rsidRPr="00585463" w:rsidRDefault="00093563" w:rsidP="00585463">
      <w:pPr>
        <w:rPr>
          <w:u w:val="single"/>
        </w:rPr>
      </w:pPr>
      <w:r w:rsidRPr="00585463">
        <w:rPr>
          <w:rFonts w:hint="eastAsia"/>
          <w:u w:val="single"/>
        </w:rPr>
        <w:t>Fi</w:t>
      </w:r>
      <w:r w:rsidRPr="00585463">
        <w:rPr>
          <w:u w:val="single"/>
        </w:rPr>
        <w:t>gure</w:t>
      </w:r>
      <w:r w:rsidR="00E467ED" w:rsidRPr="00585463">
        <w:rPr>
          <w:u w:val="single"/>
        </w:rPr>
        <w:t xml:space="preserve"> </w:t>
      </w:r>
      <w:r w:rsidRPr="00585463">
        <w:rPr>
          <w:u w:val="single"/>
        </w:rPr>
        <w:t>1</w:t>
      </w:r>
      <w:r w:rsidR="00E467ED" w:rsidRPr="00585463">
        <w:rPr>
          <w:u w:val="single"/>
        </w:rPr>
        <w:t xml:space="preserve">. </w:t>
      </w:r>
      <w:r w:rsidR="00585463" w:rsidRPr="00585463">
        <w:rPr>
          <w:u w:val="single"/>
        </w:rPr>
        <w:t>The p</w:t>
      </w:r>
      <w:r w:rsidR="00E467ED" w:rsidRPr="00585463">
        <w:rPr>
          <w:u w:val="single"/>
        </w:rPr>
        <w:t xml:space="preserve">roportion of men and women </w:t>
      </w:r>
      <w:r w:rsidR="00585463" w:rsidRPr="00585463">
        <w:rPr>
          <w:u w:val="single"/>
        </w:rPr>
        <w:t xml:space="preserve">in </w:t>
      </w:r>
      <w:r w:rsidR="00E467ED" w:rsidRPr="00585463">
        <w:rPr>
          <w:u w:val="single"/>
        </w:rPr>
        <w:t>smoking</w:t>
      </w:r>
    </w:p>
    <w:p w14:paraId="580C31EB" w14:textId="6DBE1F3D" w:rsidR="00BB40DC" w:rsidRDefault="00AF0010" w:rsidP="00AF0010">
      <w:pPr>
        <w:spacing w:line="360" w:lineRule="auto"/>
      </w:pPr>
      <w:r>
        <w:rPr>
          <w:noProof/>
        </w:rPr>
        <w:drawing>
          <wp:inline distT="0" distB="0" distL="0" distR="0" wp14:anchorId="31C16890" wp14:editId="70CA3FBC">
            <wp:extent cx="5334000" cy="3843215"/>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5340972" cy="3848238"/>
                    </a:xfrm>
                    <a:prstGeom prst="rect">
                      <a:avLst/>
                    </a:prstGeom>
                  </pic:spPr>
                </pic:pic>
              </a:graphicData>
            </a:graphic>
          </wp:inline>
        </w:drawing>
      </w:r>
    </w:p>
    <w:p w14:paraId="6D2AAC8D" w14:textId="19FC066F" w:rsidR="00EE124A" w:rsidRDefault="00EE124A" w:rsidP="00452349">
      <w:pPr>
        <w:spacing w:line="360" w:lineRule="auto"/>
        <w:ind w:firstLine="567"/>
      </w:pPr>
    </w:p>
    <w:p w14:paraId="748FA2F8" w14:textId="456BEB58" w:rsidR="00B9492C" w:rsidRDefault="00B9492C" w:rsidP="00452349">
      <w:pPr>
        <w:spacing w:line="360" w:lineRule="auto"/>
        <w:ind w:firstLine="567"/>
      </w:pPr>
    </w:p>
    <w:p w14:paraId="5830747F" w14:textId="77777777" w:rsidR="00B9492C" w:rsidRDefault="00B9492C" w:rsidP="00452349">
      <w:pPr>
        <w:spacing w:line="360" w:lineRule="auto"/>
        <w:ind w:firstLine="567"/>
      </w:pPr>
    </w:p>
    <w:p w14:paraId="0A15757F" w14:textId="7EA333AA" w:rsidR="004908A6" w:rsidRPr="00995213" w:rsidRDefault="004908A6" w:rsidP="000D316B">
      <w:pPr>
        <w:jc w:val="both"/>
        <w:rPr>
          <w:b/>
          <w:bCs/>
          <w:u w:val="single"/>
        </w:rPr>
      </w:pPr>
      <w:r w:rsidRPr="00995213">
        <w:rPr>
          <w:b/>
          <w:bCs/>
          <w:u w:val="single"/>
        </w:rPr>
        <w:lastRenderedPageBreak/>
        <w:t>Physical Activity</w:t>
      </w:r>
    </w:p>
    <w:p w14:paraId="73511FCE" w14:textId="0B211299" w:rsidR="00066D2B" w:rsidRDefault="00377A39" w:rsidP="000D316B">
      <w:pPr>
        <w:pStyle w:val="NormalWeb"/>
        <w:spacing w:line="360" w:lineRule="auto"/>
        <w:ind w:firstLine="567"/>
        <w:jc w:val="both"/>
        <w:rPr>
          <w:rFonts w:eastAsiaTheme="minorEastAsia" w:cstheme="minorBidi"/>
          <w:szCs w:val="22"/>
          <w:lang w:val="en-CA"/>
        </w:rPr>
      </w:pPr>
      <w:r w:rsidRPr="00377A39">
        <w:rPr>
          <w:rFonts w:eastAsiaTheme="minorEastAsia" w:cstheme="minorBidi"/>
          <w:szCs w:val="22"/>
          <w:lang w:val="en-CA"/>
        </w:rPr>
        <w:t>Lack of physical activity can lead to cardiovascular disease</w:t>
      </w:r>
      <w:r w:rsidR="00070E1D">
        <w:rPr>
          <w:rFonts w:eastAsiaTheme="minorEastAsia" w:cstheme="minorBidi"/>
          <w:szCs w:val="22"/>
          <w:lang w:val="en-CA"/>
        </w:rPr>
        <w:t xml:space="preserve"> (</w:t>
      </w:r>
      <w:r w:rsidR="00070E1D" w:rsidRPr="00C1441B">
        <w:rPr>
          <w:color w:val="3A3A3A"/>
          <w:shd w:val="clear" w:color="auto" w:fill="FFFFFF"/>
        </w:rPr>
        <w:t>Tanha</w:t>
      </w:r>
      <w:r w:rsidR="00070E1D">
        <w:rPr>
          <w:color w:val="3A3A3A"/>
          <w:shd w:val="clear" w:color="auto" w:fill="FFFFFF"/>
        </w:rPr>
        <w:t xml:space="preserve"> et al., 2011)</w:t>
      </w:r>
      <w:r w:rsidR="00066D2B">
        <w:rPr>
          <w:color w:val="3A3A3A"/>
          <w:shd w:val="clear" w:color="auto" w:fill="FFFFFF"/>
        </w:rPr>
        <w:t>, and t</w:t>
      </w:r>
      <w:r w:rsidR="00066D2B" w:rsidRPr="00066D2B">
        <w:rPr>
          <w:color w:val="3A3A3A"/>
          <w:shd w:val="clear" w:color="auto" w:fill="FFFFFF"/>
        </w:rPr>
        <w:t>his situation has become prevalent in China</w:t>
      </w:r>
      <w:r w:rsidR="00066D2B" w:rsidRPr="00066D2B">
        <w:rPr>
          <w:rFonts w:hint="eastAsia"/>
          <w:color w:val="3A3A3A"/>
          <w:shd w:val="clear" w:color="auto" w:fill="FFFFFF"/>
        </w:rPr>
        <w:t xml:space="preserve"> </w:t>
      </w:r>
      <w:r w:rsidR="00066D2B">
        <w:rPr>
          <w:rFonts w:hint="eastAsia"/>
          <w:color w:val="3A3A3A"/>
          <w:shd w:val="clear" w:color="auto" w:fill="FFFFFF"/>
        </w:rPr>
        <w:t>(</w:t>
      </w:r>
      <w:r w:rsidR="00066D2B" w:rsidRPr="00DC146B">
        <w:rPr>
          <w:color w:val="3A3A3A"/>
          <w:shd w:val="clear" w:color="auto" w:fill="FFFFFF"/>
        </w:rPr>
        <w:t>Zhang</w:t>
      </w:r>
      <w:r w:rsidR="00066D2B">
        <w:rPr>
          <w:color w:val="3A3A3A"/>
          <w:shd w:val="clear" w:color="auto" w:fill="FFFFFF"/>
        </w:rPr>
        <w:t xml:space="preserve"> et al., 2010)</w:t>
      </w:r>
      <w:r w:rsidRPr="00377A39">
        <w:rPr>
          <w:rFonts w:eastAsiaTheme="minorEastAsia" w:cstheme="minorBidi"/>
          <w:szCs w:val="22"/>
          <w:lang w:val="en-CA"/>
        </w:rPr>
        <w:t xml:space="preserve">. Studies show that men who are physically inactive in their leisure-time have about twice the risk of a heart attack </w:t>
      </w:r>
      <w:r w:rsidR="00777046">
        <w:t xml:space="preserve">compared </w:t>
      </w:r>
      <w:r w:rsidRPr="00377A39">
        <w:rPr>
          <w:rFonts w:eastAsiaTheme="minorEastAsia" w:cstheme="minorBidi"/>
          <w:szCs w:val="22"/>
          <w:lang w:val="en-CA"/>
        </w:rPr>
        <w:t xml:space="preserve">those who are physically active. There </w:t>
      </w:r>
      <w:r w:rsidR="00777046">
        <w:rPr>
          <w:rFonts w:eastAsiaTheme="minorEastAsia" w:cstheme="minorBidi"/>
          <w:szCs w:val="22"/>
          <w:lang w:val="en-CA"/>
        </w:rPr>
        <w:t>is</w:t>
      </w:r>
      <w:r w:rsidRPr="00377A39">
        <w:rPr>
          <w:rFonts w:eastAsiaTheme="minorEastAsia" w:cstheme="minorBidi"/>
          <w:szCs w:val="22"/>
          <w:lang w:val="en-CA"/>
        </w:rPr>
        <w:t xml:space="preserve"> </w:t>
      </w:r>
      <w:r w:rsidR="00C1441B">
        <w:rPr>
          <w:rFonts w:eastAsiaTheme="minorEastAsia" w:cstheme="minorBidi" w:hint="eastAsia"/>
          <w:szCs w:val="22"/>
          <w:lang w:val="en-CA"/>
        </w:rPr>
        <w:t>also</w:t>
      </w:r>
      <w:r w:rsidR="00C1441B">
        <w:rPr>
          <w:rFonts w:eastAsiaTheme="minorEastAsia" w:cstheme="minorBidi"/>
          <w:szCs w:val="22"/>
          <w:lang w:val="en-CA"/>
        </w:rPr>
        <w:t xml:space="preserve"> a </w:t>
      </w:r>
      <w:r w:rsidRPr="00377A39">
        <w:rPr>
          <w:rFonts w:eastAsiaTheme="minorEastAsia" w:cstheme="minorBidi"/>
          <w:szCs w:val="22"/>
          <w:lang w:val="en-CA"/>
        </w:rPr>
        <w:t>gender difference in the impact of physical activity on mortality from myocardial infarction (</w:t>
      </w:r>
      <w:r w:rsidRPr="000B5048">
        <w:rPr>
          <w:rFonts w:eastAsiaTheme="minorEastAsia" w:cstheme="minorBidi"/>
          <w:szCs w:val="22"/>
          <w:lang w:val="en-CA"/>
        </w:rPr>
        <w:t>Johansson et al., 1988</w:t>
      </w:r>
      <w:r w:rsidRPr="00377A39">
        <w:rPr>
          <w:rFonts w:eastAsiaTheme="minorEastAsia" w:cstheme="minorBidi"/>
          <w:szCs w:val="22"/>
          <w:lang w:val="en-CA"/>
        </w:rPr>
        <w:t>)</w:t>
      </w:r>
      <w:r w:rsidR="00777046">
        <w:rPr>
          <w:rFonts w:eastAsiaTheme="minorEastAsia" w:cstheme="minorBidi"/>
          <w:szCs w:val="22"/>
          <w:lang w:val="en-CA"/>
        </w:rPr>
        <w:t>. In addition,</w:t>
      </w:r>
      <w:r w:rsidR="00CC6743">
        <w:rPr>
          <w:rFonts w:eastAsiaTheme="minorEastAsia" w:cstheme="minorBidi"/>
          <w:szCs w:val="22"/>
          <w:lang w:val="en-CA"/>
        </w:rPr>
        <w:t xml:space="preserve"> </w:t>
      </w:r>
      <w:r w:rsidR="00457252" w:rsidRPr="00377A39">
        <w:rPr>
          <w:rFonts w:eastAsiaTheme="minorEastAsia" w:cstheme="minorBidi"/>
          <w:szCs w:val="22"/>
          <w:lang w:val="en-CA"/>
        </w:rPr>
        <w:t xml:space="preserve">physical activity </w:t>
      </w:r>
      <w:r w:rsidR="000B5048">
        <w:rPr>
          <w:rFonts w:eastAsiaTheme="minorEastAsia" w:cstheme="minorBidi"/>
          <w:szCs w:val="22"/>
          <w:lang w:val="en-CA"/>
        </w:rPr>
        <w:t xml:space="preserve">has </w:t>
      </w:r>
      <w:r w:rsidR="000B5048" w:rsidRPr="00CC6743">
        <w:rPr>
          <w:rFonts w:eastAsiaTheme="minorEastAsia" w:cstheme="minorBidi"/>
          <w:szCs w:val="22"/>
          <w:lang w:val="en-CA"/>
        </w:rPr>
        <w:t xml:space="preserve">notably </w:t>
      </w:r>
      <w:r w:rsidR="00457252">
        <w:rPr>
          <w:rFonts w:eastAsiaTheme="minorEastAsia" w:cstheme="minorBidi"/>
          <w:szCs w:val="22"/>
          <w:lang w:val="en-CA"/>
        </w:rPr>
        <w:t xml:space="preserve">average treatment </w:t>
      </w:r>
      <w:r w:rsidR="000B5048">
        <w:rPr>
          <w:rFonts w:eastAsiaTheme="minorEastAsia" w:cstheme="minorBidi"/>
          <w:szCs w:val="22"/>
          <w:lang w:val="en-CA"/>
        </w:rPr>
        <w:t>effect in women</w:t>
      </w:r>
      <w:r w:rsidR="00CC6743" w:rsidRPr="00CC6743">
        <w:rPr>
          <w:rFonts w:eastAsiaTheme="minorEastAsia" w:cstheme="minorBidi"/>
          <w:szCs w:val="22"/>
          <w:lang w:val="en-CA"/>
        </w:rPr>
        <w:t xml:space="preserve"> </w:t>
      </w:r>
      <w:r w:rsidR="000B5048">
        <w:rPr>
          <w:rFonts w:eastAsiaTheme="minorEastAsia" w:cstheme="minorBidi"/>
          <w:szCs w:val="22"/>
          <w:lang w:val="en-CA"/>
        </w:rPr>
        <w:t>who have</w:t>
      </w:r>
      <w:r w:rsidR="00CC6743" w:rsidRPr="00CC6743">
        <w:rPr>
          <w:rFonts w:eastAsiaTheme="minorEastAsia" w:cstheme="minorBidi"/>
          <w:szCs w:val="22"/>
          <w:lang w:val="en-CA"/>
        </w:rPr>
        <w:t xml:space="preserve"> moderate </w:t>
      </w:r>
      <w:r w:rsidR="00CC6743" w:rsidRPr="00160432">
        <w:rPr>
          <w:rFonts w:eastAsiaTheme="minorEastAsia" w:cstheme="minorBidi"/>
          <w:szCs w:val="22"/>
          <w:lang w:val="en-CA"/>
        </w:rPr>
        <w:t>depression</w:t>
      </w:r>
      <w:r w:rsidR="000B5048" w:rsidRPr="00160432">
        <w:rPr>
          <w:rFonts w:eastAsiaTheme="minorEastAsia" w:cstheme="minorBidi"/>
          <w:szCs w:val="22"/>
          <w:lang w:val="en-CA"/>
        </w:rPr>
        <w:t xml:space="preserve"> (</w:t>
      </w:r>
      <w:r w:rsidR="000B5048" w:rsidRPr="00160432">
        <w:rPr>
          <w:shd w:val="clear" w:color="auto" w:fill="FFFFFF"/>
        </w:rPr>
        <w:t>Zhang &amp; Yen, 2015)</w:t>
      </w:r>
      <w:r w:rsidR="00CC6743" w:rsidRPr="00160432">
        <w:rPr>
          <w:rFonts w:eastAsiaTheme="minorEastAsia" w:cstheme="minorBidi"/>
          <w:szCs w:val="22"/>
          <w:lang w:val="en-CA"/>
        </w:rPr>
        <w:t>.</w:t>
      </w:r>
      <w:r w:rsidR="000B5048" w:rsidRPr="00160432">
        <w:rPr>
          <w:rFonts w:eastAsiaTheme="minorEastAsia" w:cstheme="minorBidi"/>
          <w:szCs w:val="22"/>
          <w:lang w:val="en-CA"/>
        </w:rPr>
        <w:t xml:space="preserve"> </w:t>
      </w:r>
      <w:r w:rsidRPr="00160432">
        <w:rPr>
          <w:rFonts w:eastAsiaTheme="minorEastAsia" w:cstheme="minorBidi"/>
          <w:szCs w:val="22"/>
          <w:lang w:val="en-CA"/>
        </w:rPr>
        <w:t xml:space="preserve">Other </w:t>
      </w:r>
      <w:r w:rsidRPr="00377A39">
        <w:rPr>
          <w:rFonts w:eastAsiaTheme="minorEastAsia" w:cstheme="minorBidi"/>
          <w:szCs w:val="22"/>
          <w:lang w:val="en-CA"/>
        </w:rPr>
        <w:t xml:space="preserve">studies have shown that the risk of arterial disease and stroke is caused by low levels of physical activity (Housley et al., 1993). </w:t>
      </w:r>
    </w:p>
    <w:p w14:paraId="10F96884" w14:textId="77E385B9" w:rsidR="00377A39" w:rsidRPr="000857AB" w:rsidRDefault="000857AB" w:rsidP="000D316B">
      <w:pPr>
        <w:pStyle w:val="NormalWeb"/>
        <w:spacing w:line="360" w:lineRule="auto"/>
        <w:ind w:firstLine="567"/>
        <w:jc w:val="both"/>
        <w:rPr>
          <w:rFonts w:eastAsiaTheme="minorEastAsia" w:cstheme="minorBidi"/>
          <w:szCs w:val="22"/>
          <w:lang w:val="en-CA"/>
        </w:rPr>
      </w:pPr>
      <w:r w:rsidRPr="00377A39">
        <w:rPr>
          <w:rFonts w:eastAsiaTheme="minorEastAsia" w:cstheme="minorBidi"/>
          <w:szCs w:val="22"/>
          <w:lang w:val="en-CA"/>
        </w:rPr>
        <w:t>Physical exercise is not the only aspect of health.</w:t>
      </w:r>
      <w:r w:rsidR="00377A39" w:rsidRPr="00377A39">
        <w:rPr>
          <w:rFonts w:eastAsiaTheme="minorEastAsia" w:cstheme="minorBidi"/>
          <w:szCs w:val="22"/>
          <w:lang w:val="en-CA"/>
        </w:rPr>
        <w:t xml:space="preserve"> </w:t>
      </w:r>
      <w:r>
        <w:rPr>
          <w:rFonts w:eastAsiaTheme="minorEastAsia" w:cstheme="minorBidi"/>
          <w:szCs w:val="22"/>
          <w:lang w:val="en-CA"/>
        </w:rPr>
        <w:t>T</w:t>
      </w:r>
      <w:r w:rsidR="00377A39" w:rsidRPr="00377A39">
        <w:rPr>
          <w:rFonts w:eastAsiaTheme="minorEastAsia" w:cstheme="minorBidi"/>
          <w:szCs w:val="22"/>
          <w:lang w:val="en-CA"/>
        </w:rPr>
        <w:t xml:space="preserve">he relative importance of fitness </w:t>
      </w:r>
      <w:r w:rsidRPr="000857AB">
        <w:rPr>
          <w:rFonts w:eastAsiaTheme="minorEastAsia" w:cstheme="minorBidi"/>
          <w:szCs w:val="22"/>
          <w:lang w:val="en-CA"/>
        </w:rPr>
        <w:t>awareness</w:t>
      </w:r>
      <w:r>
        <w:rPr>
          <w:rFonts w:eastAsiaTheme="minorEastAsia" w:cstheme="minorBidi"/>
          <w:szCs w:val="22"/>
          <w:lang w:val="en-CA"/>
        </w:rPr>
        <w:t xml:space="preserve"> </w:t>
      </w:r>
      <w:r w:rsidR="00377A39" w:rsidRPr="00377A39">
        <w:rPr>
          <w:rFonts w:eastAsiaTheme="minorEastAsia" w:cstheme="minorBidi"/>
          <w:szCs w:val="22"/>
          <w:lang w:val="en-CA"/>
        </w:rPr>
        <w:t xml:space="preserve">seems more and more obvious over time. Yang et al. (1999) showed that health awareness is the ideal predictor of health because these people will regularly pay attention to their physical condition, and people who have received high levels of </w:t>
      </w:r>
      <w:r w:rsidR="00377A39" w:rsidRPr="0040485F">
        <w:rPr>
          <w:rFonts w:eastAsiaTheme="minorEastAsia" w:cstheme="minorBidi"/>
          <w:szCs w:val="22"/>
          <w:lang w:val="en-CA"/>
        </w:rPr>
        <w:t>education</w:t>
      </w:r>
      <w:r w:rsidR="00377A39" w:rsidRPr="00377A39">
        <w:rPr>
          <w:rFonts w:eastAsiaTheme="minorEastAsia" w:cstheme="minorBidi"/>
          <w:szCs w:val="22"/>
          <w:lang w:val="en-CA"/>
        </w:rPr>
        <w:t xml:space="preserve"> prefer to invest time in their health by doing exercise.</w:t>
      </w:r>
      <w:r w:rsidR="00834C96">
        <w:rPr>
          <w:rFonts w:eastAsiaTheme="minorEastAsia" w:cstheme="minorBidi"/>
          <w:szCs w:val="22"/>
          <w:lang w:val="en-CA"/>
        </w:rPr>
        <w:t xml:space="preserve"> </w:t>
      </w:r>
      <w:r w:rsidR="00834C96" w:rsidRPr="00FD6B13">
        <w:rPr>
          <w:color w:val="000000"/>
        </w:rPr>
        <w:t>Proper exercise is good for health because it can adjust weight and train cardiopulmonary function.</w:t>
      </w:r>
      <w:r>
        <w:rPr>
          <w:color w:val="000000"/>
        </w:rPr>
        <w:t xml:space="preserve"> It is worth to mention</w:t>
      </w:r>
      <w:r w:rsidR="00F90577">
        <w:rPr>
          <w:color w:val="000000"/>
        </w:rPr>
        <w:t>ing</w:t>
      </w:r>
      <w:r>
        <w:rPr>
          <w:color w:val="000000"/>
        </w:rPr>
        <w:t xml:space="preserve"> that people with a</w:t>
      </w:r>
      <w:r w:rsidRPr="00066D2B">
        <w:rPr>
          <w:color w:val="000000"/>
        </w:rPr>
        <w:t xml:space="preserve"> higher level of education </w:t>
      </w:r>
      <w:r>
        <w:rPr>
          <w:color w:val="000000"/>
        </w:rPr>
        <w:t xml:space="preserve">are </w:t>
      </w:r>
      <w:r w:rsidRPr="00066D2B">
        <w:rPr>
          <w:color w:val="000000"/>
        </w:rPr>
        <w:t xml:space="preserve">more patient and more willing to invest in something that does not have an immediate impact, such as </w:t>
      </w:r>
      <w:r>
        <w:rPr>
          <w:color w:val="000000"/>
        </w:rPr>
        <w:t xml:space="preserve">stock and </w:t>
      </w:r>
      <w:r w:rsidRPr="00066D2B">
        <w:rPr>
          <w:color w:val="000000"/>
        </w:rPr>
        <w:t>physical exercise</w:t>
      </w:r>
      <w:r>
        <w:rPr>
          <w:color w:val="000000"/>
        </w:rPr>
        <w:t xml:space="preserve"> because they have </w:t>
      </w:r>
      <w:r w:rsidR="00730ED7">
        <w:rPr>
          <w:color w:val="000000"/>
        </w:rPr>
        <w:t xml:space="preserve">a </w:t>
      </w:r>
      <w:r>
        <w:rPr>
          <w:color w:val="000000"/>
        </w:rPr>
        <w:t xml:space="preserve">long-term </w:t>
      </w:r>
      <w:r w:rsidRPr="000857AB">
        <w:rPr>
          <w:color w:val="000000"/>
        </w:rPr>
        <w:t>outlook</w:t>
      </w:r>
      <w:r>
        <w:rPr>
          <w:color w:val="000000"/>
        </w:rPr>
        <w:t xml:space="preserve"> and better time preference </w:t>
      </w:r>
      <w:r w:rsidRPr="000857AB">
        <w:rPr>
          <w:color w:val="000000"/>
        </w:rPr>
        <w:t>(Fuchs, 1982)</w:t>
      </w:r>
      <w:r>
        <w:rPr>
          <w:color w:val="000000"/>
        </w:rPr>
        <w:t xml:space="preserve">. </w:t>
      </w:r>
    </w:p>
    <w:p w14:paraId="0C933DB4" w14:textId="722F6ED1" w:rsidR="00377A39" w:rsidRDefault="00E37B29" w:rsidP="000D316B">
      <w:pPr>
        <w:pStyle w:val="NormalWeb"/>
        <w:spacing w:line="360" w:lineRule="auto"/>
        <w:ind w:firstLine="567"/>
        <w:jc w:val="both"/>
        <w:rPr>
          <w:color w:val="000000"/>
        </w:rPr>
      </w:pPr>
      <w:r>
        <w:rPr>
          <w:color w:val="000000"/>
        </w:rPr>
        <w:t xml:space="preserve">There is an extensive </w:t>
      </w:r>
      <w:r w:rsidR="002233C6" w:rsidRPr="008F492A">
        <w:t xml:space="preserve">literature on the </w:t>
      </w:r>
      <w:r>
        <w:rPr>
          <w:color w:val="000000"/>
        </w:rPr>
        <w:t xml:space="preserve">causal relationship between education and physical activity. Most of the health published articles, recommends </w:t>
      </w:r>
      <w:r w:rsidR="00515391">
        <w:rPr>
          <w:color w:val="000000"/>
        </w:rPr>
        <w:t xml:space="preserve">that </w:t>
      </w:r>
      <w:r>
        <w:rPr>
          <w:color w:val="000000"/>
        </w:rPr>
        <w:t>people to engage</w:t>
      </w:r>
      <w:r w:rsidR="0002102D">
        <w:rPr>
          <w:color w:val="000000"/>
        </w:rPr>
        <w:t xml:space="preserve"> </w:t>
      </w:r>
      <w:r>
        <w:rPr>
          <w:color w:val="000000"/>
        </w:rPr>
        <w:t>in physical activit</w:t>
      </w:r>
      <w:r w:rsidR="006002C9">
        <w:rPr>
          <w:color w:val="000000"/>
        </w:rPr>
        <w:t>y</w:t>
      </w:r>
      <w:r>
        <w:rPr>
          <w:color w:val="000000"/>
        </w:rPr>
        <w:t xml:space="preserve"> at least twice a day. By doing this, their bodies will improve immunity and thus not easily prone to diseases (</w:t>
      </w:r>
      <w:proofErr w:type="spellStart"/>
      <w:r>
        <w:rPr>
          <w:color w:val="000000"/>
        </w:rPr>
        <w:t>Bayu</w:t>
      </w:r>
      <w:proofErr w:type="spellEnd"/>
      <w:r>
        <w:rPr>
          <w:color w:val="000000"/>
        </w:rPr>
        <w:t xml:space="preserve"> &amp; </w:t>
      </w:r>
      <w:proofErr w:type="spellStart"/>
      <w:r>
        <w:rPr>
          <w:color w:val="000000"/>
        </w:rPr>
        <w:t>Hasmara</w:t>
      </w:r>
      <w:proofErr w:type="spellEnd"/>
      <w:r>
        <w:rPr>
          <w:color w:val="000000"/>
        </w:rPr>
        <w:t xml:space="preserve"> 2017). </w:t>
      </w:r>
      <w:r w:rsidR="00377A39" w:rsidRPr="00377A39">
        <w:rPr>
          <w:color w:val="000000"/>
        </w:rPr>
        <w:t>Moreover, Christiansen et al. (201</w:t>
      </w:r>
      <w:r w:rsidR="00CE4F19">
        <w:rPr>
          <w:color w:val="000000"/>
        </w:rPr>
        <w:t>5</w:t>
      </w:r>
      <w:r w:rsidR="00377A39" w:rsidRPr="00377A39">
        <w:rPr>
          <w:color w:val="000000"/>
        </w:rPr>
        <w:t xml:space="preserve">) suggested that education </w:t>
      </w:r>
      <w:r w:rsidR="00D24C3D">
        <w:rPr>
          <w:rFonts w:hint="eastAsia"/>
          <w:color w:val="000000"/>
        </w:rPr>
        <w:t>can</w:t>
      </w:r>
      <w:r w:rsidR="00D24C3D">
        <w:rPr>
          <w:color w:val="000000"/>
        </w:rPr>
        <w:t xml:space="preserve"> </w:t>
      </w:r>
      <w:r w:rsidR="00377A39" w:rsidRPr="00377A39">
        <w:rPr>
          <w:color w:val="000000"/>
        </w:rPr>
        <w:t>help most of the students to engage in physical exercises. The findings show that education plays a fundamental role in affecting physical activity. Most of the people were free from health disorders such as obesity and hypertension.</w:t>
      </w:r>
    </w:p>
    <w:p w14:paraId="7E363BCC" w14:textId="55F20AB2" w:rsidR="00775F91" w:rsidRPr="00B9492C" w:rsidRDefault="0002102D" w:rsidP="00B9492C">
      <w:pPr>
        <w:spacing w:line="360" w:lineRule="auto"/>
        <w:ind w:firstLine="567"/>
        <w:jc w:val="both"/>
      </w:pPr>
      <w:r>
        <w:t xml:space="preserve">The measure for physical activity used in this paper is dichotomous, it indicates whether the individuals usually are physically active. A physically active person is a person who does exercises and/or does any type of sports. The exercise variable includes activities such as walking, jogging, bodybuilding, and other activities and the sports variables includes activities such as football, basketball, ping pong, badminton, and other sports. Descriptive statistics in table 1, reveals that about 17% of individuals participate regularly in physical activity. </w:t>
      </w:r>
    </w:p>
    <w:p w14:paraId="485DCB82" w14:textId="5B70B007" w:rsidR="00937AA6" w:rsidRDefault="00CD42DA" w:rsidP="0068094C">
      <w:pPr>
        <w:pStyle w:val="Heading2"/>
        <w:spacing w:line="360" w:lineRule="auto"/>
      </w:pPr>
      <w:bookmarkStart w:id="13" w:name="_Toc41312365"/>
      <w:r>
        <w:lastRenderedPageBreak/>
        <w:t>3</w:t>
      </w:r>
      <w:r w:rsidR="00937AA6">
        <w:t xml:space="preserve">.3 </w:t>
      </w:r>
      <w:r w:rsidR="00A51CE8">
        <w:rPr>
          <w:rFonts w:hint="eastAsia"/>
        </w:rPr>
        <w:t>Independent</w:t>
      </w:r>
      <w:r w:rsidR="00A51CE8">
        <w:t xml:space="preserve"> </w:t>
      </w:r>
      <w:r w:rsidR="00937AA6">
        <w:t>Variables</w:t>
      </w:r>
      <w:bookmarkEnd w:id="13"/>
    </w:p>
    <w:p w14:paraId="0D1DD82F" w14:textId="4A2D156B" w:rsidR="0074581F" w:rsidRPr="0074581F" w:rsidRDefault="0074581F" w:rsidP="000D316B">
      <w:pPr>
        <w:spacing w:line="360" w:lineRule="auto"/>
        <w:ind w:firstLine="567"/>
        <w:jc w:val="both"/>
        <w:rPr>
          <w:color w:val="FF0000"/>
        </w:rPr>
      </w:pPr>
      <w:r>
        <w:t xml:space="preserve">We provide information on the main independent variable of this article. </w:t>
      </w:r>
      <w:r>
        <w:rPr>
          <w:rFonts w:hint="eastAsia"/>
        </w:rPr>
        <w:t>Pa</w:t>
      </w:r>
      <w:r>
        <w:t>nel B of Table 1 shows that the highest education period is 18 years.</w:t>
      </w:r>
      <w:r w:rsidRPr="009B68E4">
        <w:t xml:space="preserve"> All those</w:t>
      </w:r>
      <w:r w:rsidR="00020CFF" w:rsidRPr="009B68E4">
        <w:t xml:space="preserve"> with</w:t>
      </w:r>
      <w:r w:rsidRPr="009B68E4">
        <w:t xml:space="preserve"> over 18 years </w:t>
      </w:r>
      <w:r w:rsidR="00644D5D" w:rsidRPr="009B68E4">
        <w:rPr>
          <w:rFonts w:hint="eastAsia"/>
        </w:rPr>
        <w:t>of</w:t>
      </w:r>
      <w:r w:rsidR="00644D5D" w:rsidRPr="009B68E4">
        <w:t xml:space="preserve"> education </w:t>
      </w:r>
      <w:r w:rsidRPr="009B68E4">
        <w:t>will be expressed in 18 years</w:t>
      </w:r>
      <w:r w:rsidR="005619D5" w:rsidRPr="009B68E4">
        <w:t xml:space="preserve"> </w:t>
      </w:r>
      <w:r w:rsidR="005619D5" w:rsidRPr="009B68E4">
        <w:rPr>
          <w:rFonts w:hint="eastAsia"/>
        </w:rPr>
        <w:t>to</w:t>
      </w:r>
      <w:r w:rsidR="005619D5" w:rsidRPr="009B68E4">
        <w:t xml:space="preserve"> reduce outlier effect</w:t>
      </w:r>
      <w:r w:rsidR="00631EC3">
        <w:t>s</w:t>
      </w:r>
      <w:r w:rsidRPr="009B68E4">
        <w:t xml:space="preserve">. </w:t>
      </w:r>
      <w:r>
        <w:t>The average level of education is around 9.3 years, while the average level of education before CSL is about 8.5 years. The variables of exposure are calculated according to CSL. They indicate whether an individual is exposed to CSL and the average education level before CSL. They will be explained in detail in the following section.</w:t>
      </w:r>
    </w:p>
    <w:p w14:paraId="73880DA9" w14:textId="03B5FCB6" w:rsidR="00142BDC" w:rsidRDefault="00940507" w:rsidP="00623D93">
      <w:pPr>
        <w:spacing w:line="360" w:lineRule="auto"/>
        <w:ind w:firstLine="567"/>
        <w:jc w:val="both"/>
      </w:pPr>
      <w:bookmarkStart w:id="14" w:name="_Hlk34539828"/>
      <w:bookmarkEnd w:id="11"/>
      <w:r w:rsidRPr="00940507">
        <w:t xml:space="preserve"> </w:t>
      </w:r>
      <w:r w:rsidR="0002102D">
        <w:t>P</w:t>
      </w:r>
      <w:r w:rsidRPr="00940507">
        <w:t xml:space="preserve">anel </w:t>
      </w:r>
      <w:r w:rsidR="0074581F">
        <w:t>C</w:t>
      </w:r>
      <w:r w:rsidRPr="00940507">
        <w:t xml:space="preserve"> of Table </w:t>
      </w:r>
      <w:r w:rsidR="003F188C">
        <w:t>1</w:t>
      </w:r>
      <w:r w:rsidR="0002102D">
        <w:t xml:space="preserve"> contains </w:t>
      </w:r>
      <w:r w:rsidRPr="00940507">
        <w:t xml:space="preserve">the control variables that will be used in the </w:t>
      </w:r>
      <w:r w:rsidR="0002102D">
        <w:t>paper</w:t>
      </w:r>
      <w:r w:rsidRPr="00940507">
        <w:t xml:space="preserve">. </w:t>
      </w:r>
      <w:r w:rsidR="0002102D">
        <w:t>These</w:t>
      </w:r>
      <w:r w:rsidRPr="00940507">
        <w:t xml:space="preserve"> include demographic variables, such as gender, year of birth, age, area (urban/rural), household income per capita</w:t>
      </w:r>
      <w:r w:rsidR="0002102D">
        <w:t xml:space="preserve"> (in thousands)</w:t>
      </w:r>
      <w:r w:rsidRPr="00940507">
        <w:t xml:space="preserve"> and marital status. I control for an individual’s gender dummy which equals one for females</w:t>
      </w:r>
      <w:r w:rsidR="0002102D">
        <w:t xml:space="preserve"> and</w:t>
      </w:r>
      <w:r w:rsidRPr="00940507">
        <w:t xml:space="preserve"> include both age and age-square variables to control the quadratic age function relationship because young adults’ health is generally good, but as they get older, their physical condition declines as well as their productivity (Becker, 1962). If the individual lives in the urban area, the dummy variable of urban equals one, and it equals zero otherwise.</w:t>
      </w:r>
      <w:r w:rsidR="00457E79">
        <w:t xml:space="preserve"> </w:t>
      </w:r>
      <w:r w:rsidR="00457E79">
        <w:rPr>
          <w:rFonts w:hint="eastAsia"/>
        </w:rPr>
        <w:t>There</w:t>
      </w:r>
      <w:r w:rsidR="00457E79">
        <w:t xml:space="preserve"> are 30% </w:t>
      </w:r>
      <w:r w:rsidR="009503A5">
        <w:t xml:space="preserve">of </w:t>
      </w:r>
      <w:r w:rsidR="00457E79">
        <w:t>people living in urban.</w:t>
      </w:r>
      <w:r w:rsidR="0074581F">
        <w:t xml:space="preserve"> </w:t>
      </w:r>
      <w:r w:rsidRPr="00940507">
        <w:t xml:space="preserve">Household income per capita measure in thousand, and it’s adjusted by the consumer price index. </w:t>
      </w:r>
      <w:r w:rsidR="00C44AAF">
        <w:t xml:space="preserve">The average household income per capita is 15 thousand. </w:t>
      </w:r>
      <w:r w:rsidRPr="00940507">
        <w:t>Income is also an important control variable, as higher education predicts higher income, which enables people to live a higher quality of life because of a better living environment and a less financially stressful life (Hoffmann</w:t>
      </w:r>
      <w:r w:rsidR="00F4064D">
        <w:t xml:space="preserve"> &amp; Lutz</w:t>
      </w:r>
      <w:r w:rsidRPr="00940507">
        <w:t xml:space="preserve">, </w:t>
      </w:r>
      <w:r w:rsidRPr="003F188C">
        <w:t>2019).</w:t>
      </w:r>
      <w:r w:rsidR="00C44AAF">
        <w:t xml:space="preserve"> T</w:t>
      </w:r>
      <w:r w:rsidRPr="003F188C">
        <w:t>he average age of the sample is about 36 years, of which more than 80% are married</w:t>
      </w:r>
      <w:r w:rsidR="00D40BC4">
        <w:t xml:space="preserve">, </w:t>
      </w:r>
      <w:r w:rsidRPr="003F188C">
        <w:t>and nearly half of the sample is female.</w:t>
      </w:r>
      <w:bookmarkEnd w:id="9"/>
    </w:p>
    <w:p w14:paraId="77AC7F4C" w14:textId="77777777" w:rsidR="00623D93" w:rsidRDefault="00623D93" w:rsidP="00623D93">
      <w:pPr>
        <w:spacing w:line="360" w:lineRule="auto"/>
        <w:ind w:firstLine="567"/>
        <w:jc w:val="both"/>
      </w:pPr>
    </w:p>
    <w:bookmarkEnd w:id="14"/>
    <w:p w14:paraId="525B1431" w14:textId="77777777" w:rsidR="000421BD" w:rsidRDefault="000421BD">
      <w:pPr>
        <w:rPr>
          <w:rFonts w:asciiTheme="majorHAnsi" w:eastAsiaTheme="majorEastAsia" w:hAnsiTheme="majorHAnsi" w:cstheme="majorBidi"/>
          <w:b/>
          <w:bCs/>
          <w:color w:val="2F5496" w:themeColor="accent1" w:themeShade="BF"/>
          <w:sz w:val="32"/>
          <w:szCs w:val="32"/>
        </w:rPr>
      </w:pPr>
      <w:r>
        <w:rPr>
          <w:b/>
          <w:bCs/>
        </w:rPr>
        <w:br w:type="page"/>
      </w:r>
    </w:p>
    <w:p w14:paraId="2A9BF892" w14:textId="57EA4B64" w:rsidR="00937AA6" w:rsidRPr="002A5C39" w:rsidRDefault="00CD42DA" w:rsidP="00305568">
      <w:pPr>
        <w:pStyle w:val="Heading1"/>
        <w:spacing w:line="360" w:lineRule="auto"/>
        <w:rPr>
          <w:b/>
          <w:bCs/>
        </w:rPr>
      </w:pPr>
      <w:bookmarkStart w:id="15" w:name="_Toc41312366"/>
      <w:r w:rsidRPr="002A5C39">
        <w:rPr>
          <w:b/>
          <w:bCs/>
        </w:rPr>
        <w:lastRenderedPageBreak/>
        <w:t>4</w:t>
      </w:r>
      <w:r w:rsidR="00937AA6" w:rsidRPr="002A5C39">
        <w:rPr>
          <w:b/>
          <w:bCs/>
        </w:rPr>
        <w:t xml:space="preserve">. Empirical </w:t>
      </w:r>
      <w:r w:rsidR="00A01C68" w:rsidRPr="002A5C39">
        <w:rPr>
          <w:b/>
          <w:bCs/>
        </w:rPr>
        <w:t>Framework</w:t>
      </w:r>
      <w:bookmarkEnd w:id="15"/>
    </w:p>
    <w:p w14:paraId="15AD8C3B" w14:textId="5145BD9D" w:rsidR="00E53241" w:rsidRPr="00E53241" w:rsidRDefault="000E65A2" w:rsidP="00E53241">
      <w:pPr>
        <w:pStyle w:val="Heading2"/>
        <w:spacing w:line="360" w:lineRule="auto"/>
      </w:pPr>
      <w:bookmarkStart w:id="16" w:name="_Toc41312367"/>
      <w:r>
        <w:t>4.1 Compulsory Schooling Laws</w:t>
      </w:r>
      <w:bookmarkEnd w:id="16"/>
    </w:p>
    <w:p w14:paraId="4CC44089" w14:textId="10EC5FC1" w:rsidR="006B4002" w:rsidRDefault="0099666A" w:rsidP="000421BD">
      <w:pPr>
        <w:spacing w:line="360" w:lineRule="auto"/>
        <w:ind w:firstLine="567"/>
        <w:jc w:val="both"/>
      </w:pPr>
      <w:bookmarkStart w:id="17" w:name="_Hlk39098842"/>
      <w:bookmarkStart w:id="18" w:name="_Hlk36173195"/>
      <w:r>
        <w:rPr>
          <w:rFonts w:hint="eastAsia"/>
        </w:rPr>
        <w:t>T</w:t>
      </w:r>
      <w:r w:rsidR="000E65A2" w:rsidRPr="005D1952">
        <w:t>he Chinese government embarked on its first structural education reform</w:t>
      </w:r>
      <w:r>
        <w:t xml:space="preserve"> in </w:t>
      </w:r>
      <w:r w:rsidR="008E3F99">
        <w:t>decades ago</w:t>
      </w:r>
      <w:r w:rsidR="000E65A2" w:rsidRPr="005D1952">
        <w:t xml:space="preserve">, with the goal of </w:t>
      </w:r>
      <w:r w:rsidR="00AC698E">
        <w:t xml:space="preserve">improving people’s education and </w:t>
      </w:r>
      <w:r w:rsidR="00AC698E" w:rsidRPr="00AC698E">
        <w:t>social equity</w:t>
      </w:r>
      <w:r w:rsidR="00AC698E">
        <w:t xml:space="preserve">, </w:t>
      </w:r>
      <w:r w:rsidR="000E65A2" w:rsidRPr="005D1952">
        <w:t>making</w:t>
      </w:r>
      <w:r w:rsidR="003A25F5">
        <w:t xml:space="preserve"> free</w:t>
      </w:r>
      <w:r w:rsidR="000E65A2" w:rsidRPr="005D1952">
        <w:t xml:space="preserve"> nine-year compulsory education nationwide.</w:t>
      </w:r>
      <w:r w:rsidR="000E65A2">
        <w:t xml:space="preserve"> </w:t>
      </w:r>
      <w:r w:rsidR="000E65A2" w:rsidRPr="005D1952">
        <w:t xml:space="preserve">As an important part of this </w:t>
      </w:r>
      <w:r w:rsidR="008E3F99">
        <w:t>policy</w:t>
      </w:r>
      <w:r w:rsidR="000E65A2" w:rsidRPr="005D1952">
        <w:t xml:space="preserve">, the </w:t>
      </w:r>
      <w:r>
        <w:t>nine-year</w:t>
      </w:r>
      <w:r w:rsidR="000E65A2" w:rsidRPr="005D1952">
        <w:t xml:space="preserve"> compulsory </w:t>
      </w:r>
      <w:r w:rsidR="000E65A2">
        <w:t>schooling</w:t>
      </w:r>
      <w:r w:rsidR="000E65A2" w:rsidRPr="005D1952">
        <w:t xml:space="preserve"> </w:t>
      </w:r>
      <w:r w:rsidR="000E65A2">
        <w:t>law (CSL)</w:t>
      </w:r>
      <w:r w:rsidR="000E65A2" w:rsidRPr="005D1952">
        <w:t xml:space="preserve"> was passed on July 1, 1986.</w:t>
      </w:r>
      <w:r w:rsidR="000E65A2">
        <w:t xml:space="preserve"> China is t</w:t>
      </w:r>
      <w:r w:rsidR="000E65A2" w:rsidRPr="0017352B">
        <w:t>he first and only of the nine largest developing countries to achieve the goal of nine-year compulsory education</w:t>
      </w:r>
      <w:r w:rsidR="000E65A2">
        <w:t xml:space="preserve"> </w:t>
      </w:r>
      <w:r w:rsidR="000E65A2">
        <w:rPr>
          <w:rFonts w:hint="eastAsia"/>
        </w:rPr>
        <w:t>(</w:t>
      </w:r>
      <w:r w:rsidR="000E65A2" w:rsidRPr="00014DBD">
        <w:t>National Bureau of Statistics of China, 20</w:t>
      </w:r>
      <w:r w:rsidR="000E65A2">
        <w:t>10</w:t>
      </w:r>
      <w:r w:rsidR="008E3F99">
        <w:t>; Ma, 2019</w:t>
      </w:r>
      <w:r w:rsidR="000E65A2" w:rsidRPr="00014DBD">
        <w:t>)</w:t>
      </w:r>
      <w:r w:rsidR="000E65A2" w:rsidRPr="0017352B">
        <w:t>.</w:t>
      </w:r>
    </w:p>
    <w:bookmarkEnd w:id="17"/>
    <w:p w14:paraId="106B82C5" w14:textId="77777777" w:rsidR="00E53241" w:rsidRDefault="00E53241" w:rsidP="006B4002">
      <w:pPr>
        <w:rPr>
          <w:lang w:val="en-US"/>
        </w:rPr>
      </w:pPr>
      <w:r>
        <w:rPr>
          <w:lang w:val="en-US"/>
        </w:rPr>
        <w:t xml:space="preserve">Table 2. Compulsory Schooling Law effect year in each province </w:t>
      </w:r>
    </w:p>
    <w:tbl>
      <w:tblPr>
        <w:tblW w:w="8698" w:type="dxa"/>
        <w:tblLook w:val="04A0" w:firstRow="1" w:lastRow="0" w:firstColumn="1" w:lastColumn="0" w:noHBand="0" w:noVBand="1"/>
      </w:tblPr>
      <w:tblGrid>
        <w:gridCol w:w="2217"/>
        <w:gridCol w:w="2372"/>
        <w:gridCol w:w="2138"/>
        <w:gridCol w:w="1971"/>
      </w:tblGrid>
      <w:tr w:rsidR="00E53241" w:rsidRPr="00DA3013" w14:paraId="2816D057" w14:textId="77777777" w:rsidTr="00AF0010">
        <w:trPr>
          <w:trHeight w:val="511"/>
        </w:trPr>
        <w:tc>
          <w:tcPr>
            <w:tcW w:w="2217" w:type="dxa"/>
            <w:tcBorders>
              <w:top w:val="single" w:sz="4" w:space="0" w:color="auto"/>
              <w:left w:val="nil"/>
              <w:bottom w:val="single" w:sz="4" w:space="0" w:color="auto"/>
              <w:right w:val="nil"/>
            </w:tcBorders>
            <w:shd w:val="clear" w:color="auto" w:fill="auto"/>
            <w:noWrap/>
            <w:vAlign w:val="center"/>
            <w:hideMark/>
          </w:tcPr>
          <w:p w14:paraId="07846C4D"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Province</w:t>
            </w:r>
          </w:p>
        </w:tc>
        <w:tc>
          <w:tcPr>
            <w:tcW w:w="2372" w:type="dxa"/>
            <w:tcBorders>
              <w:top w:val="single" w:sz="4" w:space="0" w:color="auto"/>
              <w:left w:val="nil"/>
              <w:bottom w:val="single" w:sz="4" w:space="0" w:color="auto"/>
              <w:right w:val="nil"/>
            </w:tcBorders>
            <w:shd w:val="clear" w:color="auto" w:fill="auto"/>
            <w:vAlign w:val="center"/>
            <w:hideMark/>
          </w:tcPr>
          <w:p w14:paraId="7E3B8A4E"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Law effect year</w:t>
            </w:r>
          </w:p>
        </w:tc>
        <w:tc>
          <w:tcPr>
            <w:tcW w:w="2138" w:type="dxa"/>
            <w:tcBorders>
              <w:top w:val="single" w:sz="4" w:space="0" w:color="auto"/>
              <w:left w:val="nil"/>
              <w:bottom w:val="single" w:sz="4" w:space="0" w:color="auto"/>
              <w:right w:val="nil"/>
            </w:tcBorders>
            <w:shd w:val="clear" w:color="auto" w:fill="auto"/>
            <w:vAlign w:val="center"/>
            <w:hideMark/>
          </w:tcPr>
          <w:p w14:paraId="4D35C55A"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First affected birth cohort</w:t>
            </w:r>
          </w:p>
        </w:tc>
        <w:tc>
          <w:tcPr>
            <w:tcW w:w="1971" w:type="dxa"/>
            <w:tcBorders>
              <w:top w:val="single" w:sz="4" w:space="0" w:color="auto"/>
              <w:left w:val="nil"/>
              <w:bottom w:val="single" w:sz="4" w:space="0" w:color="auto"/>
              <w:right w:val="nil"/>
            </w:tcBorders>
            <w:shd w:val="clear" w:color="auto" w:fill="auto"/>
            <w:vAlign w:val="center"/>
            <w:hideMark/>
          </w:tcPr>
          <w:p w14:paraId="22E0E0A5"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Full affected birth cohort</w:t>
            </w:r>
          </w:p>
        </w:tc>
      </w:tr>
      <w:tr w:rsidR="00E53241" w:rsidRPr="00DA3013" w14:paraId="0AA0E66B" w14:textId="77777777" w:rsidTr="00AF0010">
        <w:trPr>
          <w:trHeight w:val="211"/>
        </w:trPr>
        <w:tc>
          <w:tcPr>
            <w:tcW w:w="2217" w:type="dxa"/>
            <w:tcBorders>
              <w:top w:val="nil"/>
              <w:left w:val="nil"/>
              <w:bottom w:val="nil"/>
              <w:right w:val="nil"/>
            </w:tcBorders>
            <w:shd w:val="clear" w:color="auto" w:fill="auto"/>
            <w:noWrap/>
            <w:vAlign w:val="center"/>
            <w:hideMark/>
          </w:tcPr>
          <w:p w14:paraId="0E436E81"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Beijing</w:t>
            </w:r>
          </w:p>
        </w:tc>
        <w:tc>
          <w:tcPr>
            <w:tcW w:w="2372" w:type="dxa"/>
            <w:tcBorders>
              <w:top w:val="nil"/>
              <w:left w:val="nil"/>
              <w:bottom w:val="nil"/>
              <w:right w:val="nil"/>
            </w:tcBorders>
            <w:shd w:val="clear" w:color="auto" w:fill="auto"/>
            <w:noWrap/>
            <w:vAlign w:val="center"/>
            <w:hideMark/>
          </w:tcPr>
          <w:p w14:paraId="4BF2F69F"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1986</w:t>
            </w:r>
          </w:p>
        </w:tc>
        <w:tc>
          <w:tcPr>
            <w:tcW w:w="2138" w:type="dxa"/>
            <w:tcBorders>
              <w:top w:val="nil"/>
              <w:left w:val="nil"/>
              <w:bottom w:val="nil"/>
              <w:right w:val="nil"/>
            </w:tcBorders>
            <w:shd w:val="clear" w:color="auto" w:fill="auto"/>
            <w:noWrap/>
            <w:vAlign w:val="center"/>
            <w:hideMark/>
          </w:tcPr>
          <w:p w14:paraId="42EC0E99"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1971</w:t>
            </w:r>
          </w:p>
        </w:tc>
        <w:tc>
          <w:tcPr>
            <w:tcW w:w="1971" w:type="dxa"/>
            <w:tcBorders>
              <w:top w:val="nil"/>
              <w:left w:val="nil"/>
              <w:bottom w:val="nil"/>
              <w:right w:val="nil"/>
            </w:tcBorders>
            <w:shd w:val="clear" w:color="auto" w:fill="auto"/>
            <w:noWrap/>
            <w:vAlign w:val="center"/>
            <w:hideMark/>
          </w:tcPr>
          <w:p w14:paraId="74F8DF71"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1980</w:t>
            </w:r>
          </w:p>
        </w:tc>
      </w:tr>
      <w:tr w:rsidR="00E53241" w:rsidRPr="00DA3013" w14:paraId="66F86333" w14:textId="77777777" w:rsidTr="00AF0010">
        <w:trPr>
          <w:trHeight w:val="211"/>
        </w:trPr>
        <w:tc>
          <w:tcPr>
            <w:tcW w:w="2217" w:type="dxa"/>
            <w:tcBorders>
              <w:top w:val="nil"/>
              <w:left w:val="nil"/>
              <w:bottom w:val="nil"/>
              <w:right w:val="nil"/>
            </w:tcBorders>
            <w:shd w:val="clear" w:color="auto" w:fill="auto"/>
            <w:noWrap/>
            <w:vAlign w:val="center"/>
            <w:hideMark/>
          </w:tcPr>
          <w:p w14:paraId="59B44DCB"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Chongqing</w:t>
            </w:r>
          </w:p>
        </w:tc>
        <w:tc>
          <w:tcPr>
            <w:tcW w:w="2372" w:type="dxa"/>
            <w:tcBorders>
              <w:top w:val="nil"/>
              <w:left w:val="nil"/>
              <w:bottom w:val="nil"/>
              <w:right w:val="nil"/>
            </w:tcBorders>
            <w:shd w:val="clear" w:color="auto" w:fill="auto"/>
            <w:noWrap/>
            <w:vAlign w:val="center"/>
            <w:hideMark/>
          </w:tcPr>
          <w:p w14:paraId="7519440D"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1986</w:t>
            </w:r>
          </w:p>
        </w:tc>
        <w:tc>
          <w:tcPr>
            <w:tcW w:w="2138" w:type="dxa"/>
            <w:tcBorders>
              <w:top w:val="nil"/>
              <w:left w:val="nil"/>
              <w:bottom w:val="nil"/>
              <w:right w:val="nil"/>
            </w:tcBorders>
            <w:shd w:val="clear" w:color="auto" w:fill="auto"/>
            <w:noWrap/>
            <w:vAlign w:val="center"/>
            <w:hideMark/>
          </w:tcPr>
          <w:p w14:paraId="6554A8B9"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1971</w:t>
            </w:r>
          </w:p>
        </w:tc>
        <w:tc>
          <w:tcPr>
            <w:tcW w:w="1971" w:type="dxa"/>
            <w:tcBorders>
              <w:top w:val="nil"/>
              <w:left w:val="nil"/>
              <w:bottom w:val="nil"/>
              <w:right w:val="nil"/>
            </w:tcBorders>
            <w:shd w:val="clear" w:color="auto" w:fill="auto"/>
            <w:noWrap/>
            <w:vAlign w:val="center"/>
            <w:hideMark/>
          </w:tcPr>
          <w:p w14:paraId="7BD9A0BD"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1980</w:t>
            </w:r>
          </w:p>
        </w:tc>
      </w:tr>
      <w:tr w:rsidR="00E53241" w:rsidRPr="00DA3013" w14:paraId="46B3A6E5" w14:textId="77777777" w:rsidTr="00AF0010">
        <w:trPr>
          <w:trHeight w:val="211"/>
        </w:trPr>
        <w:tc>
          <w:tcPr>
            <w:tcW w:w="2217" w:type="dxa"/>
            <w:tcBorders>
              <w:top w:val="nil"/>
              <w:left w:val="nil"/>
              <w:bottom w:val="nil"/>
              <w:right w:val="nil"/>
            </w:tcBorders>
            <w:shd w:val="clear" w:color="auto" w:fill="auto"/>
            <w:noWrap/>
            <w:vAlign w:val="center"/>
            <w:hideMark/>
          </w:tcPr>
          <w:p w14:paraId="62029522"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Guangxi</w:t>
            </w:r>
          </w:p>
        </w:tc>
        <w:tc>
          <w:tcPr>
            <w:tcW w:w="2372" w:type="dxa"/>
            <w:tcBorders>
              <w:top w:val="nil"/>
              <w:left w:val="nil"/>
              <w:bottom w:val="nil"/>
              <w:right w:val="nil"/>
            </w:tcBorders>
            <w:shd w:val="clear" w:color="auto" w:fill="auto"/>
            <w:noWrap/>
            <w:vAlign w:val="center"/>
            <w:hideMark/>
          </w:tcPr>
          <w:p w14:paraId="182031FD"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1991</w:t>
            </w:r>
          </w:p>
        </w:tc>
        <w:tc>
          <w:tcPr>
            <w:tcW w:w="2138" w:type="dxa"/>
            <w:tcBorders>
              <w:top w:val="nil"/>
              <w:left w:val="nil"/>
              <w:bottom w:val="nil"/>
              <w:right w:val="nil"/>
            </w:tcBorders>
            <w:shd w:val="clear" w:color="auto" w:fill="auto"/>
            <w:noWrap/>
            <w:vAlign w:val="center"/>
            <w:hideMark/>
          </w:tcPr>
          <w:p w14:paraId="262A7B52"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1976</w:t>
            </w:r>
          </w:p>
        </w:tc>
        <w:tc>
          <w:tcPr>
            <w:tcW w:w="1971" w:type="dxa"/>
            <w:tcBorders>
              <w:top w:val="nil"/>
              <w:left w:val="nil"/>
              <w:bottom w:val="nil"/>
              <w:right w:val="nil"/>
            </w:tcBorders>
            <w:shd w:val="clear" w:color="auto" w:fill="auto"/>
            <w:noWrap/>
            <w:vAlign w:val="center"/>
            <w:hideMark/>
          </w:tcPr>
          <w:p w14:paraId="46C9CC69"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1985</w:t>
            </w:r>
          </w:p>
        </w:tc>
      </w:tr>
      <w:tr w:rsidR="00E53241" w:rsidRPr="00DA3013" w14:paraId="50DF66E9" w14:textId="77777777" w:rsidTr="00AF0010">
        <w:trPr>
          <w:trHeight w:val="211"/>
        </w:trPr>
        <w:tc>
          <w:tcPr>
            <w:tcW w:w="2217" w:type="dxa"/>
            <w:tcBorders>
              <w:top w:val="nil"/>
              <w:left w:val="nil"/>
              <w:bottom w:val="nil"/>
              <w:right w:val="nil"/>
            </w:tcBorders>
            <w:shd w:val="clear" w:color="auto" w:fill="auto"/>
            <w:noWrap/>
            <w:vAlign w:val="center"/>
            <w:hideMark/>
          </w:tcPr>
          <w:p w14:paraId="7516755B"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Guizhou</w:t>
            </w:r>
          </w:p>
        </w:tc>
        <w:tc>
          <w:tcPr>
            <w:tcW w:w="2372" w:type="dxa"/>
            <w:tcBorders>
              <w:top w:val="nil"/>
              <w:left w:val="nil"/>
              <w:bottom w:val="nil"/>
              <w:right w:val="nil"/>
            </w:tcBorders>
            <w:shd w:val="clear" w:color="auto" w:fill="auto"/>
            <w:noWrap/>
            <w:vAlign w:val="center"/>
            <w:hideMark/>
          </w:tcPr>
          <w:p w14:paraId="79A11FE9"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1988</w:t>
            </w:r>
          </w:p>
        </w:tc>
        <w:tc>
          <w:tcPr>
            <w:tcW w:w="2138" w:type="dxa"/>
            <w:tcBorders>
              <w:top w:val="nil"/>
              <w:left w:val="nil"/>
              <w:bottom w:val="nil"/>
              <w:right w:val="nil"/>
            </w:tcBorders>
            <w:shd w:val="clear" w:color="auto" w:fill="auto"/>
            <w:noWrap/>
            <w:vAlign w:val="center"/>
            <w:hideMark/>
          </w:tcPr>
          <w:p w14:paraId="35523797"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1973</w:t>
            </w:r>
          </w:p>
        </w:tc>
        <w:tc>
          <w:tcPr>
            <w:tcW w:w="1971" w:type="dxa"/>
            <w:tcBorders>
              <w:top w:val="nil"/>
              <w:left w:val="nil"/>
              <w:bottom w:val="nil"/>
              <w:right w:val="nil"/>
            </w:tcBorders>
            <w:shd w:val="clear" w:color="auto" w:fill="auto"/>
            <w:noWrap/>
            <w:vAlign w:val="center"/>
            <w:hideMark/>
          </w:tcPr>
          <w:p w14:paraId="2E2B5EC5"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1982</w:t>
            </w:r>
          </w:p>
        </w:tc>
      </w:tr>
      <w:tr w:rsidR="00E53241" w:rsidRPr="00DA3013" w14:paraId="5C5E775D" w14:textId="77777777" w:rsidTr="00AF0010">
        <w:trPr>
          <w:trHeight w:val="211"/>
        </w:trPr>
        <w:tc>
          <w:tcPr>
            <w:tcW w:w="2217" w:type="dxa"/>
            <w:tcBorders>
              <w:top w:val="nil"/>
              <w:left w:val="nil"/>
              <w:bottom w:val="nil"/>
              <w:right w:val="nil"/>
            </w:tcBorders>
            <w:shd w:val="clear" w:color="auto" w:fill="auto"/>
            <w:noWrap/>
            <w:vAlign w:val="center"/>
            <w:hideMark/>
          </w:tcPr>
          <w:p w14:paraId="257BCD17"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Heilongjiang</w:t>
            </w:r>
          </w:p>
        </w:tc>
        <w:tc>
          <w:tcPr>
            <w:tcW w:w="2372" w:type="dxa"/>
            <w:tcBorders>
              <w:top w:val="nil"/>
              <w:left w:val="nil"/>
              <w:bottom w:val="nil"/>
              <w:right w:val="nil"/>
            </w:tcBorders>
            <w:shd w:val="clear" w:color="auto" w:fill="auto"/>
            <w:noWrap/>
            <w:vAlign w:val="center"/>
            <w:hideMark/>
          </w:tcPr>
          <w:p w14:paraId="1977BA08"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1986</w:t>
            </w:r>
          </w:p>
        </w:tc>
        <w:tc>
          <w:tcPr>
            <w:tcW w:w="2138" w:type="dxa"/>
            <w:tcBorders>
              <w:top w:val="nil"/>
              <w:left w:val="nil"/>
              <w:bottom w:val="nil"/>
              <w:right w:val="nil"/>
            </w:tcBorders>
            <w:shd w:val="clear" w:color="auto" w:fill="auto"/>
            <w:noWrap/>
            <w:vAlign w:val="center"/>
            <w:hideMark/>
          </w:tcPr>
          <w:p w14:paraId="2128941C"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1971</w:t>
            </w:r>
          </w:p>
        </w:tc>
        <w:tc>
          <w:tcPr>
            <w:tcW w:w="1971" w:type="dxa"/>
            <w:tcBorders>
              <w:top w:val="nil"/>
              <w:left w:val="nil"/>
              <w:bottom w:val="nil"/>
              <w:right w:val="nil"/>
            </w:tcBorders>
            <w:shd w:val="clear" w:color="auto" w:fill="auto"/>
            <w:noWrap/>
            <w:vAlign w:val="center"/>
            <w:hideMark/>
          </w:tcPr>
          <w:p w14:paraId="2CC6A96D"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1980</w:t>
            </w:r>
          </w:p>
        </w:tc>
      </w:tr>
      <w:tr w:rsidR="00E53241" w:rsidRPr="00DA3013" w14:paraId="6F1038FE" w14:textId="77777777" w:rsidTr="00AF0010">
        <w:trPr>
          <w:trHeight w:val="211"/>
        </w:trPr>
        <w:tc>
          <w:tcPr>
            <w:tcW w:w="2217" w:type="dxa"/>
            <w:tcBorders>
              <w:top w:val="nil"/>
              <w:left w:val="nil"/>
              <w:bottom w:val="nil"/>
              <w:right w:val="nil"/>
            </w:tcBorders>
            <w:shd w:val="clear" w:color="auto" w:fill="auto"/>
            <w:noWrap/>
            <w:vAlign w:val="center"/>
            <w:hideMark/>
          </w:tcPr>
          <w:p w14:paraId="2F16108A"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Henan</w:t>
            </w:r>
          </w:p>
        </w:tc>
        <w:tc>
          <w:tcPr>
            <w:tcW w:w="2372" w:type="dxa"/>
            <w:tcBorders>
              <w:top w:val="nil"/>
              <w:left w:val="nil"/>
              <w:bottom w:val="nil"/>
              <w:right w:val="nil"/>
            </w:tcBorders>
            <w:shd w:val="clear" w:color="auto" w:fill="auto"/>
            <w:noWrap/>
            <w:vAlign w:val="center"/>
            <w:hideMark/>
          </w:tcPr>
          <w:p w14:paraId="7C854B3B"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1987</w:t>
            </w:r>
          </w:p>
        </w:tc>
        <w:tc>
          <w:tcPr>
            <w:tcW w:w="2138" w:type="dxa"/>
            <w:tcBorders>
              <w:top w:val="nil"/>
              <w:left w:val="nil"/>
              <w:bottom w:val="nil"/>
              <w:right w:val="nil"/>
            </w:tcBorders>
            <w:shd w:val="clear" w:color="auto" w:fill="auto"/>
            <w:noWrap/>
            <w:vAlign w:val="center"/>
            <w:hideMark/>
          </w:tcPr>
          <w:p w14:paraId="20A4131E"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1972</w:t>
            </w:r>
          </w:p>
        </w:tc>
        <w:tc>
          <w:tcPr>
            <w:tcW w:w="1971" w:type="dxa"/>
            <w:tcBorders>
              <w:top w:val="nil"/>
              <w:left w:val="nil"/>
              <w:bottom w:val="nil"/>
              <w:right w:val="nil"/>
            </w:tcBorders>
            <w:shd w:val="clear" w:color="auto" w:fill="auto"/>
            <w:noWrap/>
            <w:vAlign w:val="center"/>
            <w:hideMark/>
          </w:tcPr>
          <w:p w14:paraId="517E22F7"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1981</w:t>
            </w:r>
          </w:p>
        </w:tc>
      </w:tr>
      <w:tr w:rsidR="00E53241" w:rsidRPr="00DA3013" w14:paraId="524DFD99" w14:textId="77777777" w:rsidTr="00AF0010">
        <w:trPr>
          <w:trHeight w:val="211"/>
        </w:trPr>
        <w:tc>
          <w:tcPr>
            <w:tcW w:w="2217" w:type="dxa"/>
            <w:tcBorders>
              <w:top w:val="nil"/>
              <w:left w:val="nil"/>
              <w:bottom w:val="nil"/>
              <w:right w:val="nil"/>
            </w:tcBorders>
            <w:shd w:val="clear" w:color="auto" w:fill="auto"/>
            <w:noWrap/>
            <w:vAlign w:val="center"/>
            <w:hideMark/>
          </w:tcPr>
          <w:p w14:paraId="5C674B41"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Hubei</w:t>
            </w:r>
          </w:p>
        </w:tc>
        <w:tc>
          <w:tcPr>
            <w:tcW w:w="2372" w:type="dxa"/>
            <w:tcBorders>
              <w:top w:val="nil"/>
              <w:left w:val="nil"/>
              <w:bottom w:val="nil"/>
              <w:right w:val="nil"/>
            </w:tcBorders>
            <w:shd w:val="clear" w:color="auto" w:fill="auto"/>
            <w:noWrap/>
            <w:vAlign w:val="center"/>
            <w:hideMark/>
          </w:tcPr>
          <w:p w14:paraId="01BED482"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1987</w:t>
            </w:r>
          </w:p>
        </w:tc>
        <w:tc>
          <w:tcPr>
            <w:tcW w:w="2138" w:type="dxa"/>
            <w:tcBorders>
              <w:top w:val="nil"/>
              <w:left w:val="nil"/>
              <w:bottom w:val="nil"/>
              <w:right w:val="nil"/>
            </w:tcBorders>
            <w:shd w:val="clear" w:color="auto" w:fill="auto"/>
            <w:noWrap/>
            <w:vAlign w:val="center"/>
            <w:hideMark/>
          </w:tcPr>
          <w:p w14:paraId="10EB352E"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1972</w:t>
            </w:r>
          </w:p>
        </w:tc>
        <w:tc>
          <w:tcPr>
            <w:tcW w:w="1971" w:type="dxa"/>
            <w:tcBorders>
              <w:top w:val="nil"/>
              <w:left w:val="nil"/>
              <w:bottom w:val="nil"/>
              <w:right w:val="nil"/>
            </w:tcBorders>
            <w:shd w:val="clear" w:color="auto" w:fill="auto"/>
            <w:noWrap/>
            <w:vAlign w:val="center"/>
            <w:hideMark/>
          </w:tcPr>
          <w:p w14:paraId="2A63D0CC"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1981</w:t>
            </w:r>
          </w:p>
        </w:tc>
      </w:tr>
      <w:tr w:rsidR="00E53241" w:rsidRPr="00DA3013" w14:paraId="7F8868E8" w14:textId="77777777" w:rsidTr="00AF0010">
        <w:trPr>
          <w:trHeight w:val="211"/>
        </w:trPr>
        <w:tc>
          <w:tcPr>
            <w:tcW w:w="2217" w:type="dxa"/>
            <w:tcBorders>
              <w:top w:val="nil"/>
              <w:left w:val="nil"/>
              <w:bottom w:val="nil"/>
              <w:right w:val="nil"/>
            </w:tcBorders>
            <w:shd w:val="clear" w:color="auto" w:fill="auto"/>
            <w:noWrap/>
            <w:vAlign w:val="center"/>
            <w:hideMark/>
          </w:tcPr>
          <w:p w14:paraId="1506A81B"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Hunan</w:t>
            </w:r>
          </w:p>
        </w:tc>
        <w:tc>
          <w:tcPr>
            <w:tcW w:w="2372" w:type="dxa"/>
            <w:tcBorders>
              <w:top w:val="nil"/>
              <w:left w:val="nil"/>
              <w:bottom w:val="nil"/>
              <w:right w:val="nil"/>
            </w:tcBorders>
            <w:shd w:val="clear" w:color="auto" w:fill="auto"/>
            <w:noWrap/>
            <w:vAlign w:val="center"/>
            <w:hideMark/>
          </w:tcPr>
          <w:p w14:paraId="3B6BDF43"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1991</w:t>
            </w:r>
          </w:p>
        </w:tc>
        <w:tc>
          <w:tcPr>
            <w:tcW w:w="2138" w:type="dxa"/>
            <w:tcBorders>
              <w:top w:val="nil"/>
              <w:left w:val="nil"/>
              <w:bottom w:val="nil"/>
              <w:right w:val="nil"/>
            </w:tcBorders>
            <w:shd w:val="clear" w:color="auto" w:fill="auto"/>
            <w:noWrap/>
            <w:vAlign w:val="center"/>
            <w:hideMark/>
          </w:tcPr>
          <w:p w14:paraId="3460E3CF"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1976</w:t>
            </w:r>
          </w:p>
        </w:tc>
        <w:tc>
          <w:tcPr>
            <w:tcW w:w="1971" w:type="dxa"/>
            <w:tcBorders>
              <w:top w:val="nil"/>
              <w:left w:val="nil"/>
              <w:bottom w:val="nil"/>
              <w:right w:val="nil"/>
            </w:tcBorders>
            <w:shd w:val="clear" w:color="auto" w:fill="auto"/>
            <w:noWrap/>
            <w:vAlign w:val="center"/>
            <w:hideMark/>
          </w:tcPr>
          <w:p w14:paraId="04104735"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1985</w:t>
            </w:r>
          </w:p>
        </w:tc>
      </w:tr>
      <w:tr w:rsidR="00E53241" w:rsidRPr="00DA3013" w14:paraId="53C557D8" w14:textId="77777777" w:rsidTr="00AF0010">
        <w:trPr>
          <w:trHeight w:val="211"/>
        </w:trPr>
        <w:tc>
          <w:tcPr>
            <w:tcW w:w="2217" w:type="dxa"/>
            <w:tcBorders>
              <w:top w:val="nil"/>
              <w:left w:val="nil"/>
              <w:bottom w:val="nil"/>
              <w:right w:val="nil"/>
            </w:tcBorders>
            <w:shd w:val="clear" w:color="auto" w:fill="auto"/>
            <w:noWrap/>
            <w:vAlign w:val="center"/>
            <w:hideMark/>
          </w:tcPr>
          <w:p w14:paraId="2F2D9660"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Jiangsu</w:t>
            </w:r>
          </w:p>
        </w:tc>
        <w:tc>
          <w:tcPr>
            <w:tcW w:w="2372" w:type="dxa"/>
            <w:tcBorders>
              <w:top w:val="nil"/>
              <w:left w:val="nil"/>
              <w:bottom w:val="nil"/>
              <w:right w:val="nil"/>
            </w:tcBorders>
            <w:shd w:val="clear" w:color="auto" w:fill="auto"/>
            <w:noWrap/>
            <w:vAlign w:val="center"/>
            <w:hideMark/>
          </w:tcPr>
          <w:p w14:paraId="02EEB1BA"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1987</w:t>
            </w:r>
          </w:p>
        </w:tc>
        <w:tc>
          <w:tcPr>
            <w:tcW w:w="2138" w:type="dxa"/>
            <w:tcBorders>
              <w:top w:val="nil"/>
              <w:left w:val="nil"/>
              <w:bottom w:val="nil"/>
              <w:right w:val="nil"/>
            </w:tcBorders>
            <w:shd w:val="clear" w:color="auto" w:fill="auto"/>
            <w:noWrap/>
            <w:vAlign w:val="center"/>
            <w:hideMark/>
          </w:tcPr>
          <w:p w14:paraId="1A24DFAD"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1972</w:t>
            </w:r>
          </w:p>
        </w:tc>
        <w:tc>
          <w:tcPr>
            <w:tcW w:w="1971" w:type="dxa"/>
            <w:tcBorders>
              <w:top w:val="nil"/>
              <w:left w:val="nil"/>
              <w:bottom w:val="nil"/>
              <w:right w:val="nil"/>
            </w:tcBorders>
            <w:shd w:val="clear" w:color="auto" w:fill="auto"/>
            <w:noWrap/>
            <w:vAlign w:val="center"/>
            <w:hideMark/>
          </w:tcPr>
          <w:p w14:paraId="13A59EAF"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1981</w:t>
            </w:r>
          </w:p>
        </w:tc>
      </w:tr>
      <w:tr w:rsidR="00E53241" w:rsidRPr="00DA3013" w14:paraId="2D6E1E0E" w14:textId="77777777" w:rsidTr="00AF0010">
        <w:trPr>
          <w:trHeight w:val="211"/>
        </w:trPr>
        <w:tc>
          <w:tcPr>
            <w:tcW w:w="2217" w:type="dxa"/>
            <w:tcBorders>
              <w:top w:val="nil"/>
              <w:left w:val="nil"/>
              <w:bottom w:val="nil"/>
              <w:right w:val="nil"/>
            </w:tcBorders>
            <w:shd w:val="clear" w:color="auto" w:fill="auto"/>
            <w:noWrap/>
            <w:vAlign w:val="center"/>
            <w:hideMark/>
          </w:tcPr>
          <w:p w14:paraId="54C7E31E"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Liaoning</w:t>
            </w:r>
          </w:p>
        </w:tc>
        <w:tc>
          <w:tcPr>
            <w:tcW w:w="2372" w:type="dxa"/>
            <w:tcBorders>
              <w:top w:val="nil"/>
              <w:left w:val="nil"/>
              <w:bottom w:val="nil"/>
              <w:right w:val="nil"/>
            </w:tcBorders>
            <w:shd w:val="clear" w:color="auto" w:fill="auto"/>
            <w:noWrap/>
            <w:vAlign w:val="center"/>
            <w:hideMark/>
          </w:tcPr>
          <w:p w14:paraId="1360D416"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1986</w:t>
            </w:r>
          </w:p>
        </w:tc>
        <w:tc>
          <w:tcPr>
            <w:tcW w:w="2138" w:type="dxa"/>
            <w:tcBorders>
              <w:top w:val="nil"/>
              <w:left w:val="nil"/>
              <w:bottom w:val="nil"/>
              <w:right w:val="nil"/>
            </w:tcBorders>
            <w:shd w:val="clear" w:color="auto" w:fill="auto"/>
            <w:noWrap/>
            <w:vAlign w:val="center"/>
            <w:hideMark/>
          </w:tcPr>
          <w:p w14:paraId="04B50FD6"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1971</w:t>
            </w:r>
          </w:p>
        </w:tc>
        <w:tc>
          <w:tcPr>
            <w:tcW w:w="1971" w:type="dxa"/>
            <w:tcBorders>
              <w:top w:val="nil"/>
              <w:left w:val="nil"/>
              <w:bottom w:val="nil"/>
              <w:right w:val="nil"/>
            </w:tcBorders>
            <w:shd w:val="clear" w:color="auto" w:fill="auto"/>
            <w:noWrap/>
            <w:vAlign w:val="center"/>
            <w:hideMark/>
          </w:tcPr>
          <w:p w14:paraId="312D2EEE"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1980</w:t>
            </w:r>
          </w:p>
        </w:tc>
      </w:tr>
      <w:tr w:rsidR="00E53241" w:rsidRPr="00DA3013" w14:paraId="6DF8D26E" w14:textId="77777777" w:rsidTr="00AF0010">
        <w:trPr>
          <w:trHeight w:val="211"/>
        </w:trPr>
        <w:tc>
          <w:tcPr>
            <w:tcW w:w="2217" w:type="dxa"/>
            <w:tcBorders>
              <w:top w:val="nil"/>
              <w:left w:val="nil"/>
              <w:bottom w:val="nil"/>
              <w:right w:val="nil"/>
            </w:tcBorders>
            <w:shd w:val="clear" w:color="auto" w:fill="auto"/>
            <w:noWrap/>
            <w:vAlign w:val="center"/>
            <w:hideMark/>
          </w:tcPr>
          <w:p w14:paraId="7483BE66"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Shandong</w:t>
            </w:r>
          </w:p>
        </w:tc>
        <w:tc>
          <w:tcPr>
            <w:tcW w:w="2372" w:type="dxa"/>
            <w:tcBorders>
              <w:top w:val="nil"/>
              <w:left w:val="nil"/>
              <w:bottom w:val="nil"/>
              <w:right w:val="nil"/>
            </w:tcBorders>
            <w:shd w:val="clear" w:color="auto" w:fill="auto"/>
            <w:noWrap/>
            <w:vAlign w:val="center"/>
            <w:hideMark/>
          </w:tcPr>
          <w:p w14:paraId="7D2C3B8C"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1987</w:t>
            </w:r>
          </w:p>
        </w:tc>
        <w:tc>
          <w:tcPr>
            <w:tcW w:w="2138" w:type="dxa"/>
            <w:tcBorders>
              <w:top w:val="nil"/>
              <w:left w:val="nil"/>
              <w:bottom w:val="nil"/>
              <w:right w:val="nil"/>
            </w:tcBorders>
            <w:shd w:val="clear" w:color="auto" w:fill="auto"/>
            <w:noWrap/>
            <w:vAlign w:val="center"/>
            <w:hideMark/>
          </w:tcPr>
          <w:p w14:paraId="24F56AAA"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1972</w:t>
            </w:r>
          </w:p>
        </w:tc>
        <w:tc>
          <w:tcPr>
            <w:tcW w:w="1971" w:type="dxa"/>
            <w:tcBorders>
              <w:top w:val="nil"/>
              <w:left w:val="nil"/>
              <w:bottom w:val="nil"/>
              <w:right w:val="nil"/>
            </w:tcBorders>
            <w:shd w:val="clear" w:color="auto" w:fill="auto"/>
            <w:noWrap/>
            <w:vAlign w:val="center"/>
            <w:hideMark/>
          </w:tcPr>
          <w:p w14:paraId="7609B886"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1981</w:t>
            </w:r>
          </w:p>
        </w:tc>
      </w:tr>
      <w:tr w:rsidR="00E53241" w:rsidRPr="00DA3013" w14:paraId="08336118" w14:textId="77777777" w:rsidTr="00AF0010">
        <w:trPr>
          <w:trHeight w:val="220"/>
        </w:trPr>
        <w:tc>
          <w:tcPr>
            <w:tcW w:w="2217" w:type="dxa"/>
            <w:tcBorders>
              <w:top w:val="nil"/>
              <w:left w:val="nil"/>
              <w:bottom w:val="double" w:sz="6" w:space="0" w:color="auto"/>
              <w:right w:val="nil"/>
            </w:tcBorders>
            <w:shd w:val="clear" w:color="auto" w:fill="auto"/>
            <w:noWrap/>
            <w:vAlign w:val="center"/>
            <w:hideMark/>
          </w:tcPr>
          <w:p w14:paraId="7DADB992"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Shanghai</w:t>
            </w:r>
          </w:p>
        </w:tc>
        <w:tc>
          <w:tcPr>
            <w:tcW w:w="2372" w:type="dxa"/>
            <w:tcBorders>
              <w:top w:val="nil"/>
              <w:left w:val="nil"/>
              <w:bottom w:val="double" w:sz="6" w:space="0" w:color="auto"/>
              <w:right w:val="nil"/>
            </w:tcBorders>
            <w:shd w:val="clear" w:color="auto" w:fill="auto"/>
            <w:noWrap/>
            <w:vAlign w:val="center"/>
            <w:hideMark/>
          </w:tcPr>
          <w:p w14:paraId="0CB520BC"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1987</w:t>
            </w:r>
          </w:p>
        </w:tc>
        <w:tc>
          <w:tcPr>
            <w:tcW w:w="2138" w:type="dxa"/>
            <w:tcBorders>
              <w:top w:val="nil"/>
              <w:left w:val="nil"/>
              <w:bottom w:val="double" w:sz="6" w:space="0" w:color="auto"/>
              <w:right w:val="nil"/>
            </w:tcBorders>
            <w:shd w:val="clear" w:color="auto" w:fill="auto"/>
            <w:noWrap/>
            <w:vAlign w:val="center"/>
            <w:hideMark/>
          </w:tcPr>
          <w:p w14:paraId="1BB5882B"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1972</w:t>
            </w:r>
          </w:p>
        </w:tc>
        <w:tc>
          <w:tcPr>
            <w:tcW w:w="1971" w:type="dxa"/>
            <w:tcBorders>
              <w:top w:val="nil"/>
              <w:left w:val="nil"/>
              <w:bottom w:val="double" w:sz="6" w:space="0" w:color="auto"/>
              <w:right w:val="nil"/>
            </w:tcBorders>
            <w:shd w:val="clear" w:color="auto" w:fill="auto"/>
            <w:noWrap/>
            <w:vAlign w:val="center"/>
            <w:hideMark/>
          </w:tcPr>
          <w:p w14:paraId="1E35921F" w14:textId="77777777" w:rsidR="00E53241" w:rsidRPr="00DA3013" w:rsidRDefault="00E53241" w:rsidP="00AF0010">
            <w:pPr>
              <w:spacing w:after="0" w:line="240" w:lineRule="auto"/>
              <w:jc w:val="center"/>
              <w:rPr>
                <w:rFonts w:ascii="Calibri" w:eastAsia="Times New Roman" w:hAnsi="Calibri" w:cs="Calibri"/>
                <w:color w:val="000000"/>
                <w:sz w:val="22"/>
              </w:rPr>
            </w:pPr>
            <w:r w:rsidRPr="00DA3013">
              <w:rPr>
                <w:rFonts w:ascii="Calibri" w:eastAsia="Times New Roman" w:hAnsi="Calibri" w:cs="Calibri"/>
                <w:color w:val="000000"/>
                <w:sz w:val="22"/>
              </w:rPr>
              <w:t>1981</w:t>
            </w:r>
          </w:p>
        </w:tc>
      </w:tr>
    </w:tbl>
    <w:p w14:paraId="2C9C4BCC" w14:textId="2042BC08" w:rsidR="00E53241" w:rsidRPr="000421BD" w:rsidRDefault="00E53241" w:rsidP="000421BD">
      <w:pPr>
        <w:spacing w:line="240" w:lineRule="auto"/>
        <w:rPr>
          <w:rFonts w:cs="Times New Roman"/>
          <w:szCs w:val="24"/>
          <w:lang w:val="en-US"/>
        </w:rPr>
      </w:pPr>
      <w:r w:rsidRPr="000421BD">
        <w:rPr>
          <w:rFonts w:cs="Times New Roman"/>
          <w:i/>
          <w:iCs/>
          <w:szCs w:val="24"/>
          <w:lang w:val="en-US"/>
        </w:rPr>
        <w:t>Notes</w:t>
      </w:r>
      <w:r w:rsidRPr="000421BD">
        <w:rPr>
          <w:rFonts w:cs="Times New Roman"/>
          <w:szCs w:val="24"/>
          <w:lang w:val="en-US"/>
        </w:rPr>
        <w:t xml:space="preserve">: (a) CSL information is retrieved from China’s National People’s Congress and Chinese Laws and Regulations Information Database. (b) The CHNS database only includes 12 </w:t>
      </w:r>
      <w:r w:rsidRPr="000421BD">
        <w:rPr>
          <w:rFonts w:cs="Times New Roman" w:hint="eastAsia"/>
          <w:szCs w:val="24"/>
          <w:lang w:val="en-US"/>
        </w:rPr>
        <w:t>province</w:t>
      </w:r>
      <w:r w:rsidRPr="000421BD">
        <w:rPr>
          <w:rFonts w:cs="Times New Roman"/>
          <w:szCs w:val="24"/>
          <w:lang w:val="en-US"/>
        </w:rPr>
        <w:t>s in China as listed above.</w:t>
      </w:r>
    </w:p>
    <w:p w14:paraId="3B344783" w14:textId="77777777" w:rsidR="000421BD" w:rsidRPr="000421BD" w:rsidRDefault="000421BD" w:rsidP="000421BD">
      <w:pPr>
        <w:spacing w:line="240" w:lineRule="auto"/>
        <w:rPr>
          <w:rFonts w:cs="Times New Roman"/>
          <w:sz w:val="22"/>
          <w:lang w:val="en-US"/>
        </w:rPr>
      </w:pPr>
    </w:p>
    <w:p w14:paraId="3E2AD74D" w14:textId="5FA846CD" w:rsidR="00585463" w:rsidRDefault="00E53241" w:rsidP="000421BD">
      <w:pPr>
        <w:spacing w:line="360" w:lineRule="auto"/>
        <w:ind w:firstLine="567"/>
        <w:jc w:val="both"/>
      </w:pPr>
      <w:r>
        <w:rPr>
          <w:rFonts w:hint="eastAsia"/>
        </w:rPr>
        <w:t>Given</w:t>
      </w:r>
      <w:r>
        <w:t xml:space="preserve"> that </w:t>
      </w:r>
      <w:r w:rsidRPr="009A235F">
        <w:t>there are inherent differences between the levels of economic development in different regions and between urban and rural areas</w:t>
      </w:r>
      <w:r>
        <w:t>, the</w:t>
      </w:r>
      <w:r w:rsidRPr="009A235F">
        <w:t xml:space="preserve"> local government is also permitted to have distinctive effective dates for the execution of the law because the national government recognized that not all provinces are ready to implement the law immediately (</w:t>
      </w:r>
      <w:proofErr w:type="spellStart"/>
      <w:r w:rsidRPr="009A235F">
        <w:t>Hannum</w:t>
      </w:r>
      <w:proofErr w:type="spellEnd"/>
      <w:r w:rsidRPr="009A235F">
        <w:t xml:space="preserve">, 1999). In </w:t>
      </w:r>
      <w:r>
        <w:t>T</w:t>
      </w:r>
      <w:r w:rsidRPr="009A235F">
        <w:t xml:space="preserve">able </w:t>
      </w:r>
      <w:r>
        <w:t>2</w:t>
      </w:r>
      <w:r w:rsidRPr="009A235F">
        <w:t xml:space="preserve">, most provinces started </w:t>
      </w:r>
      <w:r>
        <w:t xml:space="preserve">CSL </w:t>
      </w:r>
      <w:r w:rsidRPr="009A235F">
        <w:t>in 1986</w:t>
      </w:r>
      <w:r>
        <w:t xml:space="preserve"> and the latest provinces </w:t>
      </w:r>
      <w:r w:rsidRPr="00160432">
        <w:t>implement</w:t>
      </w:r>
      <w:r>
        <w:t>ed in 1991. T</w:t>
      </w:r>
      <w:r w:rsidRPr="009A235F">
        <w:t xml:space="preserve">he annual difference of gap in the sample </w:t>
      </w:r>
      <w:r>
        <w:t>is</w:t>
      </w:r>
      <w:r w:rsidRPr="009A235F">
        <w:t xml:space="preserve"> five years. This information lays the foundation for the province fixed effect that will be discussed in the following part. </w:t>
      </w:r>
    </w:p>
    <w:p w14:paraId="55B11AFC" w14:textId="77777777" w:rsidR="000421BD" w:rsidRDefault="000421BD" w:rsidP="000421BD">
      <w:pPr>
        <w:spacing w:line="360" w:lineRule="auto"/>
        <w:ind w:firstLine="567"/>
        <w:jc w:val="both"/>
      </w:pPr>
    </w:p>
    <w:p w14:paraId="524591A7" w14:textId="3B40C5E6" w:rsidR="003E639D" w:rsidRPr="00585463" w:rsidRDefault="003E639D" w:rsidP="00585463">
      <w:pPr>
        <w:rPr>
          <w:u w:val="single"/>
        </w:rPr>
      </w:pPr>
      <w:r w:rsidRPr="00585463">
        <w:rPr>
          <w:rFonts w:hint="eastAsia"/>
          <w:u w:val="single"/>
        </w:rPr>
        <w:lastRenderedPageBreak/>
        <w:t>Figure</w:t>
      </w:r>
      <w:r w:rsidRPr="00585463">
        <w:rPr>
          <w:u w:val="single"/>
        </w:rPr>
        <w:t xml:space="preserve"> 2. </w:t>
      </w:r>
      <w:r w:rsidR="00022334" w:rsidRPr="00585463">
        <w:rPr>
          <w:rFonts w:cs="Times New Roman"/>
          <w:u w:val="single"/>
          <w:lang w:val="en-US"/>
        </w:rPr>
        <w:t xml:space="preserve">Timeline of </w:t>
      </w:r>
      <w:r w:rsidRPr="00585463">
        <w:rPr>
          <w:u w:val="single"/>
        </w:rPr>
        <w:t>Exposure variable</w:t>
      </w:r>
    </w:p>
    <w:p w14:paraId="231B8F47" w14:textId="63304D09" w:rsidR="003E639D" w:rsidRDefault="003B63EC" w:rsidP="003E639D">
      <w:pPr>
        <w:spacing w:line="360" w:lineRule="auto"/>
        <w:jc w:val="both"/>
      </w:pPr>
      <w:r w:rsidRPr="003B63EC">
        <w:rPr>
          <w:noProof/>
        </w:rPr>
        <w:drawing>
          <wp:inline distT="0" distB="0" distL="0" distR="0" wp14:anchorId="79D5323B" wp14:editId="05CFB0EE">
            <wp:extent cx="5943600" cy="3051175"/>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5943600" cy="3051175"/>
                    </a:xfrm>
                    <a:prstGeom prst="rect">
                      <a:avLst/>
                    </a:prstGeom>
                    <a:noFill/>
                    <a:ln>
                      <a:noFill/>
                    </a:ln>
                  </pic:spPr>
                </pic:pic>
              </a:graphicData>
            </a:graphic>
          </wp:inline>
        </w:drawing>
      </w:r>
    </w:p>
    <w:p w14:paraId="588600AE" w14:textId="77777777" w:rsidR="0025266F" w:rsidRDefault="00022334" w:rsidP="00E53241">
      <w:pPr>
        <w:spacing w:line="360" w:lineRule="auto"/>
        <w:ind w:firstLine="567"/>
        <w:jc w:val="both"/>
        <w:rPr>
          <w:rFonts w:cs="Times New Roman"/>
          <w:szCs w:val="24"/>
          <w:lang w:val="en-US"/>
        </w:rPr>
      </w:pPr>
      <w:bookmarkStart w:id="19" w:name="_Hlk36173204"/>
      <w:bookmarkEnd w:id="18"/>
      <w:r>
        <w:rPr>
          <w:rFonts w:cs="Times New Roman"/>
          <w:szCs w:val="24"/>
          <w:lang w:val="en-US"/>
        </w:rPr>
        <w:t xml:space="preserve">Figure 2 presents the timeline of exposure variable. </w:t>
      </w:r>
      <w:r w:rsidR="005A4339" w:rsidRPr="005A4339">
        <w:rPr>
          <w:rFonts w:cs="Times New Roman"/>
          <w:szCs w:val="24"/>
          <w:lang w:val="en-US"/>
        </w:rPr>
        <w:t>The 9-year compulsory education refers to 9 years from primary school (grade 1) to the last term of middle school (grade 9)</w:t>
      </w:r>
      <w:r>
        <w:rPr>
          <w:rFonts w:cs="Times New Roman"/>
          <w:szCs w:val="24"/>
          <w:lang w:val="en-US"/>
        </w:rPr>
        <w:t>, which is from 6-year-old to 15-year-old age.</w:t>
      </w:r>
      <w:r w:rsidR="00BA3A13">
        <w:rPr>
          <w:rFonts w:cs="Times New Roman"/>
          <w:szCs w:val="24"/>
          <w:lang w:val="en-US"/>
        </w:rPr>
        <w:t xml:space="preserve"> H</w:t>
      </w:r>
      <w:r w:rsidR="005A4339" w:rsidRPr="005A4339">
        <w:rPr>
          <w:rFonts w:cs="Times New Roman"/>
          <w:szCs w:val="24"/>
          <w:lang w:val="en-US"/>
        </w:rPr>
        <w:t xml:space="preserve">igh school education is not covered by CSL. </w:t>
      </w:r>
    </w:p>
    <w:p w14:paraId="5FB00970" w14:textId="066520B3" w:rsidR="004B1073" w:rsidRDefault="00E53241" w:rsidP="00E53241">
      <w:pPr>
        <w:spacing w:line="360" w:lineRule="auto"/>
        <w:ind w:firstLine="567"/>
        <w:jc w:val="both"/>
        <w:rPr>
          <w:rFonts w:cs="Times New Roman"/>
          <w:szCs w:val="24"/>
          <w:lang w:val="en-US"/>
        </w:rPr>
      </w:pPr>
      <w:r>
        <w:rPr>
          <w:rFonts w:cs="Times New Roman"/>
          <w:szCs w:val="24"/>
          <w:lang w:val="en-US"/>
        </w:rPr>
        <w:t>For example, s</w:t>
      </w:r>
      <w:r w:rsidR="005A4339" w:rsidRPr="005A4339">
        <w:rPr>
          <w:rFonts w:cs="Times New Roman"/>
          <w:szCs w:val="24"/>
          <w:lang w:val="en-US"/>
        </w:rPr>
        <w:t xml:space="preserve">ince CSL was implemented in 1986 in most provinces, people before this period of time are not </w:t>
      </w:r>
      <w:r w:rsidR="000B0AC6">
        <w:rPr>
          <w:rFonts w:cs="Times New Roman"/>
          <w:szCs w:val="24"/>
          <w:lang w:val="en-US"/>
        </w:rPr>
        <w:t>restricted</w:t>
      </w:r>
      <w:r w:rsidR="005A4339" w:rsidRPr="005A4339">
        <w:rPr>
          <w:rFonts w:cs="Times New Roman"/>
          <w:szCs w:val="24"/>
          <w:lang w:val="en-US"/>
        </w:rPr>
        <w:t xml:space="preserve"> </w:t>
      </w:r>
      <w:r w:rsidR="000B0AC6">
        <w:rPr>
          <w:rFonts w:cs="Times New Roman"/>
          <w:szCs w:val="24"/>
          <w:lang w:val="en-US"/>
        </w:rPr>
        <w:t>by</w:t>
      </w:r>
      <w:r w:rsidR="005A4339" w:rsidRPr="005A4339">
        <w:rPr>
          <w:rFonts w:cs="Times New Roman"/>
          <w:szCs w:val="24"/>
          <w:lang w:val="en-US"/>
        </w:rPr>
        <w:t xml:space="preserve"> CSL. We can determine the cohort based on the year of birth. </w:t>
      </w:r>
      <w:r w:rsidR="00704138" w:rsidRPr="005A4339">
        <w:rPr>
          <w:rFonts w:cs="Times New Roman"/>
          <w:szCs w:val="24"/>
          <w:lang w:val="en-US"/>
        </w:rPr>
        <w:t xml:space="preserve">The age of entering primary school in China is </w:t>
      </w:r>
      <w:r w:rsidR="000B0AC6">
        <w:rPr>
          <w:rFonts w:cs="Times New Roman"/>
          <w:szCs w:val="24"/>
          <w:lang w:val="en-US"/>
        </w:rPr>
        <w:t xml:space="preserve">usually </w:t>
      </w:r>
      <w:r w:rsidR="00704138" w:rsidRPr="005A4339">
        <w:rPr>
          <w:rFonts w:cs="Times New Roman"/>
          <w:szCs w:val="24"/>
          <w:lang w:val="en-US"/>
        </w:rPr>
        <w:t xml:space="preserve">6 years old, and the age of entering the last term of middle school is </w:t>
      </w:r>
      <w:r w:rsidR="000B0AC6">
        <w:rPr>
          <w:rFonts w:cs="Times New Roman"/>
          <w:szCs w:val="24"/>
          <w:lang w:val="en-US"/>
        </w:rPr>
        <w:t xml:space="preserve">usually </w:t>
      </w:r>
      <w:r w:rsidR="00704138" w:rsidRPr="005A4339">
        <w:rPr>
          <w:rFonts w:cs="Times New Roman"/>
          <w:szCs w:val="24"/>
          <w:lang w:val="en-US"/>
        </w:rPr>
        <w:t xml:space="preserve">15 years old. </w:t>
      </w:r>
      <w:r w:rsidR="005A4339" w:rsidRPr="005A4339">
        <w:rPr>
          <w:rFonts w:cs="Times New Roman"/>
          <w:szCs w:val="24"/>
          <w:lang w:val="en-US"/>
        </w:rPr>
        <w:t>People born in 1980 can get the full effect of CSL, but people born before 1971 are not affected by CSL because they were 16 years old in 1986. Thus, the first affected birth cohort is 1971</w:t>
      </w:r>
      <w:r w:rsidR="005A4339" w:rsidRPr="00E226EE">
        <w:rPr>
          <w:rFonts w:cs="Times New Roman"/>
          <w:szCs w:val="24"/>
          <w:lang w:val="en-US"/>
        </w:rPr>
        <w:t xml:space="preserve">. </w:t>
      </w:r>
      <w:r w:rsidR="00BA3A13" w:rsidRPr="00E226EE">
        <w:rPr>
          <w:rFonts w:cs="Times New Roman"/>
          <w:szCs w:val="24"/>
          <w:lang w:val="en-US"/>
        </w:rPr>
        <w:t>The birth cohort between 1971 to 1980 will get partial effect by CSL.</w:t>
      </w:r>
      <w:r w:rsidR="00BA3A13" w:rsidRPr="0025266F">
        <w:rPr>
          <w:rFonts w:cs="Times New Roman"/>
          <w:color w:val="FF0000"/>
          <w:szCs w:val="24"/>
          <w:lang w:val="en-US"/>
        </w:rPr>
        <w:t xml:space="preserve"> </w:t>
      </w:r>
      <w:r w:rsidR="005A4339" w:rsidRPr="005A4339">
        <w:rPr>
          <w:rFonts w:cs="Times New Roman"/>
          <w:szCs w:val="24"/>
          <w:lang w:val="en-US"/>
        </w:rPr>
        <w:t>The specific calculation will be presented in later part of the methodology.</w:t>
      </w:r>
      <w:bookmarkEnd w:id="19"/>
    </w:p>
    <w:p w14:paraId="70A41CC2" w14:textId="77777777" w:rsidR="000421BD" w:rsidRPr="00E53241" w:rsidRDefault="000421BD" w:rsidP="00E53241">
      <w:pPr>
        <w:spacing w:line="360" w:lineRule="auto"/>
        <w:ind w:firstLine="567"/>
        <w:jc w:val="both"/>
        <w:rPr>
          <w:rFonts w:cs="Times New Roman"/>
          <w:szCs w:val="24"/>
          <w:lang w:val="en-US"/>
        </w:rPr>
      </w:pPr>
    </w:p>
    <w:p w14:paraId="2B05BCD3" w14:textId="5788D175" w:rsidR="00305568" w:rsidRPr="00305568" w:rsidRDefault="00AB548C" w:rsidP="006E16FC">
      <w:pPr>
        <w:pStyle w:val="Heading2"/>
        <w:spacing w:line="360" w:lineRule="auto"/>
      </w:pPr>
      <w:bookmarkStart w:id="20" w:name="_Toc41312368"/>
      <w:r>
        <w:t>4.</w:t>
      </w:r>
      <w:r w:rsidR="00234BFB">
        <w:t>2</w:t>
      </w:r>
      <w:r>
        <w:t xml:space="preserve"> </w:t>
      </w:r>
      <w:r w:rsidR="009C61AC">
        <w:t>Baseline</w:t>
      </w:r>
      <w:r w:rsidR="00B75B92">
        <w:t xml:space="preserve"> model</w:t>
      </w:r>
      <w:bookmarkEnd w:id="20"/>
    </w:p>
    <w:p w14:paraId="37F4FE69" w14:textId="7D9EE29A" w:rsidR="00CF3D2C" w:rsidRPr="00665DF3" w:rsidRDefault="00552562" w:rsidP="00024CD2">
      <w:pPr>
        <w:pStyle w:val="NormalWeb"/>
        <w:spacing w:after="240" w:line="360" w:lineRule="auto"/>
        <w:ind w:firstLine="0"/>
        <w:jc w:val="center"/>
        <w:rPr>
          <w:sz w:val="28"/>
        </w:rPr>
      </w:pPr>
      <m:oMath>
        <m:sSub>
          <m:sSubPr>
            <m:ctrlPr>
              <w:rPr>
                <w:rFonts w:ascii="Cambria Math" w:hAnsi="Cambria Math"/>
                <w:i/>
                <w:sz w:val="28"/>
                <w:vertAlign w:val="subscript"/>
              </w:rPr>
            </m:ctrlPr>
          </m:sSubPr>
          <m:e>
            <m:r>
              <w:rPr>
                <w:rFonts w:ascii="Cambria Math" w:hAnsi="Cambria Math"/>
                <w:sz w:val="28"/>
                <w:vertAlign w:val="subscript"/>
              </w:rPr>
              <m:t>H</m:t>
            </m:r>
          </m:e>
          <m:sub>
            <m:r>
              <w:rPr>
                <w:rFonts w:ascii="Cambria Math" w:hAnsi="Cambria Math"/>
                <w:sz w:val="28"/>
                <w:vertAlign w:val="subscript"/>
              </w:rPr>
              <m:t>ijk</m:t>
            </m:r>
          </m:sub>
        </m:sSub>
        <m:r>
          <w:rPr>
            <w:rFonts w:ascii="Cambria Math" w:hAnsi="Cambria Math"/>
            <w:sz w:val="28"/>
          </w:rPr>
          <m:t xml:space="preserve"> = </m:t>
        </m:r>
        <m:sSub>
          <m:sSubPr>
            <m:ctrlPr>
              <w:rPr>
                <w:rFonts w:ascii="Cambria Math" w:hAnsi="Cambria Math"/>
                <w:i/>
                <w:sz w:val="28"/>
                <w:vertAlign w:val="subscript"/>
              </w:rPr>
            </m:ctrlPr>
          </m:sSubPr>
          <m:e>
            <m:r>
              <m:rPr>
                <m:sty m:val="p"/>
              </m:rPr>
              <w:rPr>
                <w:rFonts w:ascii="Cambria Math" w:hAnsi="Cambria Math"/>
                <w:sz w:val="28"/>
              </w:rPr>
              <m:t>α</m:t>
            </m:r>
          </m:e>
          <m:sub>
            <m:r>
              <w:rPr>
                <w:rFonts w:ascii="Cambria Math" w:hAnsi="Cambria Math"/>
                <w:sz w:val="28"/>
                <w:vertAlign w:val="subscript"/>
              </w:rPr>
              <m:t>0</m:t>
            </m:r>
          </m:sub>
        </m:sSub>
        <m:r>
          <w:rPr>
            <w:rFonts w:ascii="Cambria Math" w:hAnsi="Cambria Math"/>
            <w:sz w:val="28"/>
          </w:rPr>
          <m:t xml:space="preserve"> + </m:t>
        </m:r>
        <m:sSub>
          <m:sSubPr>
            <m:ctrlPr>
              <w:rPr>
                <w:rFonts w:ascii="Cambria Math" w:hAnsi="Cambria Math"/>
                <w:i/>
                <w:sz w:val="28"/>
              </w:rPr>
            </m:ctrlPr>
          </m:sSubPr>
          <m:e>
            <m:r>
              <m:rPr>
                <m:sty m:val="p"/>
              </m:rPr>
              <w:rPr>
                <w:rFonts w:ascii="Cambria Math" w:hAnsi="Cambria Math"/>
                <w:sz w:val="28"/>
              </w:rPr>
              <m:t>α</m:t>
            </m:r>
          </m:e>
          <m:sub>
            <m:r>
              <w:rPr>
                <w:rFonts w:ascii="Cambria Math" w:hAnsi="Cambria Math"/>
                <w:sz w:val="28"/>
                <w:vertAlign w:val="subscript"/>
              </w:rPr>
              <m:t>1</m:t>
            </m:r>
          </m:sub>
        </m:sSub>
        <m:sSub>
          <m:sSubPr>
            <m:ctrlPr>
              <w:rPr>
                <w:rFonts w:ascii="Cambria Math" w:hAnsi="Cambria Math"/>
                <w:i/>
                <w:sz w:val="32"/>
                <w:szCs w:val="28"/>
              </w:rPr>
            </m:ctrlPr>
          </m:sSubPr>
          <m:e>
            <m:r>
              <w:rPr>
                <w:rFonts w:ascii="Cambria Math" w:hAnsi="Cambria Math"/>
                <w:sz w:val="32"/>
                <w:szCs w:val="28"/>
              </w:rPr>
              <m:t>edu</m:t>
            </m:r>
          </m:e>
          <m:sub>
            <m:r>
              <w:rPr>
                <w:rFonts w:ascii="Cambria Math" w:hAnsi="Cambria Math"/>
                <w:sz w:val="28"/>
                <w:vertAlign w:val="subscript"/>
              </w:rPr>
              <m:t>ijk</m:t>
            </m:r>
          </m:sub>
        </m:sSub>
        <m:r>
          <w:rPr>
            <w:rFonts w:ascii="Cambria Math" w:hAnsi="Cambria Math"/>
            <w:sz w:val="28"/>
          </w:rPr>
          <m:t xml:space="preserve">+ </m:t>
        </m:r>
        <m:sSub>
          <m:sSubPr>
            <m:ctrlPr>
              <w:rPr>
                <w:rFonts w:ascii="Cambria Math" w:hAnsi="Cambria Math"/>
                <w:i/>
                <w:sz w:val="28"/>
              </w:rPr>
            </m:ctrlPr>
          </m:sSubPr>
          <m:e>
            <m:r>
              <m:rPr>
                <m:sty m:val="p"/>
              </m:rPr>
              <w:rPr>
                <w:rFonts w:ascii="Cambria Math" w:hAnsi="Cambria Math"/>
                <w:sz w:val="28"/>
              </w:rPr>
              <m:t>α</m:t>
            </m:r>
          </m:e>
          <m:sub>
            <m:r>
              <w:rPr>
                <w:rFonts w:ascii="Cambria Math" w:hAnsi="Cambria Math"/>
                <w:sz w:val="28"/>
                <w:vertAlign w:val="subscript"/>
              </w:rPr>
              <m:t>2</m:t>
            </m:r>
          </m:sub>
        </m:sSub>
        <m:sSub>
          <m:sSubPr>
            <m:ctrlPr>
              <w:rPr>
                <w:rFonts w:ascii="Cambria Math" w:hAnsi="Cambria Math"/>
                <w:i/>
                <w:sz w:val="28"/>
              </w:rPr>
            </m:ctrlPr>
          </m:sSubPr>
          <m:e>
            <m:r>
              <w:rPr>
                <w:rFonts w:ascii="Cambria Math" w:hAnsi="Cambria Math"/>
                <w:sz w:val="28"/>
              </w:rPr>
              <m:t>X</m:t>
            </m:r>
          </m:e>
          <m:sub>
            <m:r>
              <w:rPr>
                <w:rFonts w:ascii="Cambria Math" w:hAnsi="Cambria Math"/>
                <w:sz w:val="28"/>
                <w:vertAlign w:val="subscript"/>
              </w:rPr>
              <m:t>ijk</m:t>
            </m:r>
          </m:sub>
        </m:sSub>
        <m:r>
          <w:rPr>
            <w:rFonts w:ascii="Cambria Math" w:hAnsi="Cambria Math"/>
            <w:sz w:val="28"/>
          </w:rPr>
          <m:t xml:space="preserve">+ </m:t>
        </m:r>
        <m:sSub>
          <m:sSubPr>
            <m:ctrlPr>
              <w:rPr>
                <w:rFonts w:ascii="Cambria Math" w:hAnsi="Cambria Math"/>
                <w:i/>
                <w:sz w:val="28"/>
                <w:szCs w:val="28"/>
              </w:rPr>
            </m:ctrlPr>
          </m:sSubPr>
          <m:e>
            <m:r>
              <w:rPr>
                <w:rFonts w:ascii="Cambria Math" w:hAnsi="Cambria Math"/>
                <w:sz w:val="28"/>
                <w:szCs w:val="28"/>
              </w:rPr>
              <m:t>λ</m:t>
            </m:r>
          </m:e>
          <m:sub>
            <m:r>
              <w:rPr>
                <w:rFonts w:ascii="Cambria Math" w:hAnsi="Cambria Math"/>
                <w:sz w:val="28"/>
                <w:vertAlign w:val="subscript"/>
              </w:rPr>
              <m:t>j</m:t>
            </m:r>
          </m:sub>
        </m:sSub>
        <m:r>
          <w:rPr>
            <w:rFonts w:ascii="Cambria Math" w:hAnsi="Cambria Math"/>
            <w:sz w:val="28"/>
          </w:rPr>
          <m:t xml:space="preserve"> + </m:t>
        </m:r>
        <w:bookmarkStart w:id="21" w:name="_Hlk37804634"/>
        <m:sSub>
          <m:sSubPr>
            <m:ctrlPr>
              <w:rPr>
                <w:rFonts w:ascii="Cambria Math" w:hAnsi="Cambria Math"/>
                <w:i/>
                <w:color w:val="282828"/>
                <w:sz w:val="26"/>
                <w:szCs w:val="26"/>
                <w:shd w:val="clear" w:color="auto" w:fill="FFFFFF"/>
              </w:rPr>
            </m:ctrlPr>
          </m:sSubPr>
          <m:e>
            <m:r>
              <w:rPr>
                <w:rFonts w:ascii="Cambria Math" w:hAnsi="Cambria Math"/>
                <w:color w:val="282828"/>
                <w:sz w:val="26"/>
                <w:szCs w:val="26"/>
                <w:shd w:val="clear" w:color="auto" w:fill="FFFFFF"/>
              </w:rPr>
              <m:t>θ</m:t>
            </m:r>
          </m:e>
          <m:sub>
            <m:r>
              <w:rPr>
                <w:rFonts w:ascii="Cambria Math" w:hAnsi="Cambria Math"/>
                <w:sz w:val="28"/>
                <w:vertAlign w:val="subscript"/>
              </w:rPr>
              <m:t>k</m:t>
            </m:r>
          </m:sub>
        </m:sSub>
        <w:bookmarkEnd w:id="21"/>
        <m:r>
          <w:rPr>
            <w:rFonts w:ascii="Cambria Math" w:hAnsi="Cambria Math"/>
            <w:sz w:val="28"/>
          </w:rPr>
          <m:t xml:space="preserve">+ </m:t>
        </m:r>
        <m:sSub>
          <m:sSubPr>
            <m:ctrlPr>
              <w:rPr>
                <w:rFonts w:ascii="Cambria Math" w:hAnsi="Cambria Math"/>
                <w:i/>
                <w:sz w:val="28"/>
              </w:rPr>
            </m:ctrlPr>
          </m:sSubPr>
          <m:e>
            <m:r>
              <w:rPr>
                <w:rFonts w:ascii="Cambria Math" w:hAnsi="Cambria Math"/>
                <w:sz w:val="28"/>
              </w:rPr>
              <m:t>e</m:t>
            </m:r>
          </m:e>
          <m:sub>
            <m:r>
              <w:rPr>
                <w:rFonts w:ascii="Cambria Math" w:hAnsi="Cambria Math"/>
                <w:sz w:val="28"/>
                <w:vertAlign w:val="subscript"/>
              </w:rPr>
              <m:t>ijk</m:t>
            </m:r>
          </m:sub>
        </m:sSub>
      </m:oMath>
      <w:r w:rsidR="00CF3D2C" w:rsidRPr="0052262B">
        <w:rPr>
          <w:sz w:val="28"/>
        </w:rPr>
        <w:t xml:space="preserve">      </w:t>
      </w:r>
      <w:r w:rsidR="00CF3D2C">
        <w:rPr>
          <w:sz w:val="28"/>
        </w:rPr>
        <w:tab/>
      </w:r>
      <w:r w:rsidR="00B46914" w:rsidRPr="0052262B">
        <w:rPr>
          <w:sz w:val="28"/>
        </w:rPr>
        <w:t>(</w:t>
      </w:r>
      <w:r w:rsidR="00B46914">
        <w:rPr>
          <w:sz w:val="28"/>
        </w:rPr>
        <w:t>1</w:t>
      </w:r>
      <w:r w:rsidR="00B46914" w:rsidRPr="0052262B">
        <w:rPr>
          <w:sz w:val="28"/>
        </w:rPr>
        <w:t>)</w:t>
      </w:r>
    </w:p>
    <w:p w14:paraId="0C72EE23" w14:textId="0874A665" w:rsidR="00700EE7" w:rsidRPr="009C61AC" w:rsidRDefault="009C61AC" w:rsidP="00A94E17">
      <w:pPr>
        <w:spacing w:line="360" w:lineRule="auto"/>
        <w:ind w:firstLine="567"/>
        <w:jc w:val="both"/>
      </w:pPr>
      <w:r>
        <w:rPr>
          <w:lang w:val="en-US"/>
        </w:rPr>
        <w:t xml:space="preserve">Equation (1) is a simple </w:t>
      </w:r>
      <w:r>
        <w:t>linear</w:t>
      </w:r>
      <w:r>
        <w:rPr>
          <w:lang w:val="en-US"/>
        </w:rPr>
        <w:t xml:space="preserve"> regression function that describes the relationship between education and health outcomes, </w:t>
      </w:r>
      <w:r>
        <w:rPr>
          <w:rFonts w:cs="Times New Roman"/>
          <w:szCs w:val="24"/>
          <w:lang w:val="en-US"/>
        </w:rPr>
        <w:t xml:space="preserve">where </w:t>
      </w:r>
      <w:proofErr w:type="spellStart"/>
      <w:r w:rsidRPr="00CD7A79">
        <w:rPr>
          <w:i/>
          <w:iCs/>
          <w:szCs w:val="20"/>
        </w:rPr>
        <w:t>H</w:t>
      </w:r>
      <w:r w:rsidRPr="00CD7A79">
        <w:rPr>
          <w:i/>
          <w:iCs/>
          <w:sz w:val="28"/>
          <w:vertAlign w:val="subscript"/>
        </w:rPr>
        <w:t>ij</w:t>
      </w:r>
      <w:r w:rsidR="00CD7A79" w:rsidRPr="00CD7A79">
        <w:rPr>
          <w:i/>
          <w:iCs/>
          <w:sz w:val="28"/>
          <w:vertAlign w:val="subscript"/>
        </w:rPr>
        <w:t>k</w:t>
      </w:r>
      <w:proofErr w:type="spellEnd"/>
      <w:r>
        <w:rPr>
          <w:rFonts w:cs="Times New Roman"/>
          <w:i/>
          <w:szCs w:val="24"/>
          <w:vertAlign w:val="subscript"/>
        </w:rPr>
        <w:t xml:space="preserve"> </w:t>
      </w:r>
      <w:r>
        <w:rPr>
          <w:rFonts w:cs="Times New Roman"/>
          <w:szCs w:val="24"/>
        </w:rPr>
        <w:t xml:space="preserve">indicates the outcomes of health behaviors for </w:t>
      </w:r>
      <w:r>
        <w:rPr>
          <w:rFonts w:cs="Times New Roman"/>
          <w:szCs w:val="24"/>
        </w:rPr>
        <w:lastRenderedPageBreak/>
        <w:t xml:space="preserve">individual </w:t>
      </w:r>
      <w:proofErr w:type="spellStart"/>
      <w:r>
        <w:rPr>
          <w:rFonts w:cs="Times New Roman"/>
          <w:szCs w:val="24"/>
        </w:rPr>
        <w:t>i</w:t>
      </w:r>
      <w:proofErr w:type="spellEnd"/>
      <w:r>
        <w:rPr>
          <w:rFonts w:cs="Times New Roman"/>
          <w:szCs w:val="24"/>
        </w:rPr>
        <w:t xml:space="preserve"> in province j</w:t>
      </w:r>
      <w:r w:rsidR="007D3D43">
        <w:rPr>
          <w:rFonts w:cs="Times New Roman"/>
          <w:szCs w:val="24"/>
        </w:rPr>
        <w:t xml:space="preserve"> for year </w:t>
      </w:r>
      <w:r w:rsidR="00CD7A79">
        <w:rPr>
          <w:rFonts w:cs="Times New Roman"/>
          <w:szCs w:val="24"/>
        </w:rPr>
        <w:t>k</w:t>
      </w:r>
      <w:r>
        <w:rPr>
          <w:rFonts w:cs="Times New Roman"/>
          <w:szCs w:val="24"/>
        </w:rPr>
        <w:t xml:space="preserve">. </w:t>
      </w:r>
      <w:r w:rsidR="00EF1B9D">
        <w:t xml:space="preserve">The variable </w:t>
      </w:r>
      <w:proofErr w:type="spellStart"/>
      <w:r w:rsidR="00EF1B9D" w:rsidRPr="00A47230">
        <w:rPr>
          <w:i/>
          <w:iCs/>
        </w:rPr>
        <w:t>edu</w:t>
      </w:r>
      <w:r w:rsidR="00EF1B9D" w:rsidRPr="00A47230">
        <w:rPr>
          <w:i/>
          <w:iCs/>
          <w:vertAlign w:val="subscript"/>
        </w:rPr>
        <w:t>ij</w:t>
      </w:r>
      <w:r w:rsidR="00CD7A79">
        <w:rPr>
          <w:i/>
          <w:iCs/>
          <w:vertAlign w:val="subscript"/>
        </w:rPr>
        <w:t>k</w:t>
      </w:r>
      <w:proofErr w:type="spellEnd"/>
      <w:r w:rsidR="00EF1B9D">
        <w:t xml:space="preserve"> denotes to the years of education of individual </w:t>
      </w:r>
      <w:proofErr w:type="spellStart"/>
      <w:r w:rsidR="00EF1B9D">
        <w:t>i</w:t>
      </w:r>
      <w:proofErr w:type="spellEnd"/>
      <w:r w:rsidR="00EF1B9D">
        <w:t xml:space="preserve">. </w:t>
      </w:r>
      <w:r>
        <w:rPr>
          <w:rFonts w:cs="Times New Roman"/>
          <w:szCs w:val="24"/>
        </w:rPr>
        <w:t>The set of individual demographic characteristics,</w:t>
      </w:r>
      <w:r>
        <w:rPr>
          <w:lang w:val="en-US"/>
        </w:rPr>
        <w:t xml:space="preserve"> </w:t>
      </w:r>
      <w:proofErr w:type="spellStart"/>
      <w:r>
        <w:rPr>
          <w:i/>
        </w:rPr>
        <w:t>X</w:t>
      </w:r>
      <w:r>
        <w:rPr>
          <w:i/>
          <w:vertAlign w:val="subscript"/>
        </w:rPr>
        <w:t>ij</w:t>
      </w:r>
      <w:r w:rsidR="00CD7A79">
        <w:rPr>
          <w:i/>
          <w:vertAlign w:val="subscript"/>
        </w:rPr>
        <w:t>k</w:t>
      </w:r>
      <w:proofErr w:type="spellEnd"/>
      <w:r>
        <w:t xml:space="preserve">, include gender, age, age-squared, urban area, household income per capita, and marital status. The province fixed effect is denoted by </w:t>
      </w:r>
      <w:proofErr w:type="spellStart"/>
      <w:r>
        <w:t>λ</w:t>
      </w:r>
      <w:r>
        <w:rPr>
          <w:vertAlign w:val="subscript"/>
        </w:rPr>
        <w:t>j</w:t>
      </w:r>
      <w:proofErr w:type="spellEnd"/>
      <w:r>
        <w:t xml:space="preserve">, and the birth cohort fixed effect </w:t>
      </w:r>
      <w:r w:rsidR="007D4584">
        <w:t xml:space="preserve">is </w:t>
      </w:r>
      <w:proofErr w:type="spellStart"/>
      <w:r>
        <w:rPr>
          <w:sz w:val="26"/>
          <w:szCs w:val="26"/>
          <w:shd w:val="clear" w:color="auto" w:fill="FFFFFF"/>
        </w:rPr>
        <w:t>θ</w:t>
      </w:r>
      <w:r w:rsidR="00CD7A79">
        <w:rPr>
          <w:sz w:val="26"/>
          <w:szCs w:val="26"/>
          <w:shd w:val="clear" w:color="auto" w:fill="FFFFFF"/>
          <w:vertAlign w:val="subscript"/>
        </w:rPr>
        <w:t>k</w:t>
      </w:r>
      <w:proofErr w:type="spellEnd"/>
      <w:r>
        <w:t xml:space="preserve">. </w:t>
      </w:r>
    </w:p>
    <w:p w14:paraId="699BE9E6" w14:textId="7298749D" w:rsidR="00D248E6" w:rsidRPr="00A94E17" w:rsidRDefault="00763E79" w:rsidP="00A94E17">
      <w:pPr>
        <w:spacing w:line="360" w:lineRule="auto"/>
        <w:ind w:firstLine="567"/>
        <w:jc w:val="both"/>
      </w:pPr>
      <w:r w:rsidRPr="000E5680">
        <w:t xml:space="preserve">An unobserved </w:t>
      </w:r>
      <w:r w:rsidR="00DF649D">
        <w:t xml:space="preserve">ability or </w:t>
      </w:r>
      <w:r w:rsidRPr="000E5680">
        <w:t xml:space="preserve">social </w:t>
      </w:r>
      <w:r w:rsidR="00DF649D">
        <w:t>and</w:t>
      </w:r>
      <w:r w:rsidRPr="000E5680">
        <w:t xml:space="preserve"> genetic background may promote physical health and better education. </w:t>
      </w:r>
      <w:r w:rsidR="00DF649D">
        <w:t xml:space="preserve">Such unobserved factor may generate a spurious relation between health and education. To address this identification issue, we need to have an exogenous variation on the years of education that is not correlated with individual health status. In the context of the CSL, </w:t>
      </w:r>
      <w:r w:rsidR="007043E0" w:rsidRPr="00D06F52">
        <w:t xml:space="preserve">Provincial characteristics are considered to be responsible for the regional </w:t>
      </w:r>
      <w:r w:rsidR="00DF649D">
        <w:t>variation in the years of education between similar cohorts</w:t>
      </w:r>
      <w:r w:rsidR="007043E0" w:rsidRPr="00D06F52">
        <w:t xml:space="preserve">. </w:t>
      </w:r>
      <w:r w:rsidR="0070653A">
        <w:t xml:space="preserve">Given that </w:t>
      </w:r>
      <w:r w:rsidR="007043E0" w:rsidRPr="00D06F52">
        <w:t>unobservable features of community life have a significant impact on health</w:t>
      </w:r>
      <w:r w:rsidR="0070653A">
        <w:t xml:space="preserve"> (Smith et al.,2013), </w:t>
      </w:r>
      <w:bookmarkStart w:id="22" w:name="_Hlk39098934"/>
      <w:r w:rsidR="0070653A">
        <w:t>I use province fixed effects to account for time-invariant heterogeneity across provinces. I also include a birth cohort fixed effects to capture the cohort specific heterogeneity</w:t>
      </w:r>
      <w:r w:rsidR="00BA3598">
        <w:t xml:space="preserve"> (Rawlings, 2015</w:t>
      </w:r>
      <w:r w:rsidR="0099666A">
        <w:t>; Ma, 2019</w:t>
      </w:r>
      <w:r w:rsidR="00BA3598">
        <w:t>)</w:t>
      </w:r>
      <w:r w:rsidR="0070653A">
        <w:t>.</w:t>
      </w:r>
      <w:r w:rsidR="000E5680">
        <w:t xml:space="preserve"> </w:t>
      </w:r>
      <w:bookmarkEnd w:id="22"/>
    </w:p>
    <w:p w14:paraId="3189A9F1" w14:textId="149E1533" w:rsidR="00F2148D" w:rsidRDefault="00A074F6" w:rsidP="00153E0F">
      <w:pPr>
        <w:spacing w:line="360" w:lineRule="auto"/>
        <w:ind w:firstLine="567"/>
        <w:jc w:val="both"/>
      </w:pPr>
      <w:r>
        <w:t xml:space="preserve">Estimating the relationship between education and health using this baseline regression allows us to depict correlations but not causation. However, </w:t>
      </w:r>
      <w:r w:rsidR="00153BF4">
        <w:t xml:space="preserve">the presence of a </w:t>
      </w:r>
      <w:r>
        <w:t xml:space="preserve">correlation does not </w:t>
      </w:r>
      <w:r w:rsidR="00153BF4">
        <w:t xml:space="preserve">necessarily </w:t>
      </w:r>
      <w:r>
        <w:t xml:space="preserve">imply </w:t>
      </w:r>
      <w:r w:rsidR="00153BF4">
        <w:t xml:space="preserve">that there is a causal relationship </w:t>
      </w:r>
      <w:r>
        <w:t>between education and health.</w:t>
      </w:r>
      <w:r w:rsidRPr="00763E79">
        <w:t xml:space="preserve"> </w:t>
      </w:r>
      <w:r w:rsidR="007E4399">
        <w:t xml:space="preserve">Given </w:t>
      </w:r>
      <w:r w:rsidR="00030FAC">
        <w:t>the presence of endogeneity issues</w:t>
      </w:r>
      <w:r w:rsidR="007E4399">
        <w:t xml:space="preserve">, estimating equation (1) presents </w:t>
      </w:r>
      <w:r w:rsidR="00030FAC">
        <w:t xml:space="preserve">identification challenges. We cannot separate the effect of education form the impact of unobserved factors that affect education and health at the same time. </w:t>
      </w:r>
      <w:r w:rsidRPr="00A074F6">
        <w:t>If unhealthy people are less educated because of their health vulnerability, the inverse causal effect can also be used to explain the relationship.</w:t>
      </w:r>
    </w:p>
    <w:p w14:paraId="7B5CDD99" w14:textId="5E157224" w:rsidR="00F2148D" w:rsidRPr="00153E0F" w:rsidRDefault="00030FAC" w:rsidP="00153E0F">
      <w:pPr>
        <w:spacing w:line="360" w:lineRule="auto"/>
        <w:ind w:firstLine="567"/>
        <w:jc w:val="both"/>
      </w:pPr>
      <w:r>
        <w:t xml:space="preserve">To address this issue, I will exploit an </w:t>
      </w:r>
      <w:r w:rsidR="00457063">
        <w:t>exogenous variation year of education</w:t>
      </w:r>
      <w:r>
        <w:rPr>
          <w:rFonts w:hint="eastAsia"/>
        </w:rPr>
        <w:t>.</w:t>
      </w:r>
      <w:r>
        <w:t xml:space="preserve"> </w:t>
      </w:r>
      <w:r w:rsidR="002716BB">
        <w:t xml:space="preserve">As mentioned earlier, </w:t>
      </w:r>
      <w:r w:rsidR="004037B3" w:rsidRPr="004037B3">
        <w:t>compulsory</w:t>
      </w:r>
      <w:r w:rsidR="004037B3">
        <w:t xml:space="preserve"> schooling</w:t>
      </w:r>
      <w:r w:rsidR="004037B3" w:rsidRPr="004037B3">
        <w:t xml:space="preserve"> law</w:t>
      </w:r>
      <w:r w:rsidR="004037B3">
        <w:t xml:space="preserve"> has</w:t>
      </w:r>
      <w:r w:rsidR="004037B3" w:rsidRPr="004037B3">
        <w:t xml:space="preserve"> </w:t>
      </w:r>
      <w:r w:rsidR="004037B3">
        <w:t>an</w:t>
      </w:r>
      <w:r w:rsidR="004037B3" w:rsidRPr="004037B3">
        <w:t xml:space="preserve"> exogenous feature</w:t>
      </w:r>
      <w:r w:rsidR="004037B3">
        <w:t xml:space="preserve">. This reform generates exogenous variation in years of education by different exposure because it is determined by </w:t>
      </w:r>
      <w:r w:rsidR="00394C06">
        <w:t>variation that some people born before the CSL implement while others born after the implement in a same province</w:t>
      </w:r>
      <w:r w:rsidR="004037B3">
        <w:t>.</w:t>
      </w:r>
      <w:r w:rsidR="00B44F2A">
        <w:t xml:space="preserve"> </w:t>
      </w:r>
      <w:r>
        <w:t xml:space="preserve">This exogenous variation will have a direct impact of the level of education achieved without having a direct effect on health itself. </w:t>
      </w:r>
    </w:p>
    <w:p w14:paraId="1408D158" w14:textId="62F04558" w:rsidR="00B70B36" w:rsidRPr="00B70B36" w:rsidRDefault="004D48BC" w:rsidP="000421BD">
      <w:pPr>
        <w:spacing w:line="360" w:lineRule="auto"/>
        <w:ind w:firstLine="567"/>
        <w:jc w:val="both"/>
      </w:pPr>
      <w:r>
        <w:t xml:space="preserve">To assess the causal relationship between education and health, I exploit the exclusion restriction and use changes in </w:t>
      </w:r>
      <w:r w:rsidR="00524FB1">
        <w:t>CS</w:t>
      </w:r>
      <w:r>
        <w:t xml:space="preserve">L as an instrument to address the </w:t>
      </w:r>
      <w:r w:rsidR="00E313EE">
        <w:t>endogeneity</w:t>
      </w:r>
      <w:r>
        <w:t xml:space="preserve"> of education.  This will allow me to </w:t>
      </w:r>
      <w:r w:rsidRPr="000A508C">
        <w:t>un</w:t>
      </w:r>
      <w:r w:rsidR="000A508C" w:rsidRPr="000A508C">
        <w:t>c</w:t>
      </w:r>
      <w:r w:rsidRPr="000A508C">
        <w:t>over</w:t>
      </w:r>
      <w:r w:rsidR="008D2BB4">
        <w:t xml:space="preserve"> </w:t>
      </w:r>
      <w:r>
        <w:t>the locate average treatment (LATE) for the compliers.</w:t>
      </w:r>
    </w:p>
    <w:p w14:paraId="4447D4B9" w14:textId="11E3EB15" w:rsidR="00EE48C1" w:rsidRDefault="00836269" w:rsidP="00C269CC">
      <w:pPr>
        <w:pStyle w:val="Heading2"/>
        <w:spacing w:line="360" w:lineRule="auto"/>
      </w:pPr>
      <w:bookmarkStart w:id="23" w:name="_Toc41312369"/>
      <w:r>
        <w:lastRenderedPageBreak/>
        <w:t>4.</w:t>
      </w:r>
      <w:r w:rsidR="00B70B36">
        <w:t>3</w:t>
      </w:r>
      <w:r>
        <w:t xml:space="preserve"> </w:t>
      </w:r>
      <w:r w:rsidR="003D49FA" w:rsidRPr="003D49FA">
        <w:t>Instrumental variable approach</w:t>
      </w:r>
      <w:bookmarkEnd w:id="23"/>
    </w:p>
    <w:p w14:paraId="6FBE4943" w14:textId="09BC421D" w:rsidR="00E226EE" w:rsidRPr="00E226EE" w:rsidRDefault="00E226EE" w:rsidP="00E226EE">
      <w:pPr>
        <w:pStyle w:val="NormalWeb"/>
        <w:spacing w:after="240" w:line="360" w:lineRule="auto"/>
        <w:ind w:firstLine="567"/>
        <w:jc w:val="both"/>
        <w:rPr>
          <w:lang w:val="en-CA"/>
        </w:rPr>
      </w:pPr>
      <w:r>
        <w:t xml:space="preserve">We can estimate the impact of education expressed in equation (1), using an instrumental variable approach using exposure and the interaction between </w:t>
      </w:r>
      <w:proofErr w:type="spellStart"/>
      <w:r>
        <w:rPr>
          <w:i/>
          <w:iCs/>
          <w:szCs w:val="22"/>
        </w:rPr>
        <w:t>avgIne</w:t>
      </w:r>
      <w:r w:rsidRPr="0088463E">
        <w:rPr>
          <w:i/>
          <w:iCs/>
          <w:szCs w:val="22"/>
          <w:vertAlign w:val="subscript"/>
        </w:rPr>
        <w:t>ij</w:t>
      </w:r>
      <w:r w:rsidRPr="0088463E">
        <w:rPr>
          <w:rFonts w:hint="eastAsia"/>
          <w:i/>
          <w:iCs/>
          <w:szCs w:val="22"/>
          <w:vertAlign w:val="subscript"/>
        </w:rPr>
        <w:t>h</w:t>
      </w:r>
      <w:proofErr w:type="spellEnd"/>
      <w:r>
        <w:t xml:space="preserve"> education level and </w:t>
      </w:r>
      <w:proofErr w:type="spellStart"/>
      <w:r w:rsidRPr="00D8726A">
        <w:rPr>
          <w:i/>
          <w:iCs/>
        </w:rPr>
        <w:t>exp</w:t>
      </w:r>
      <w:r w:rsidRPr="00E07086">
        <w:rPr>
          <w:i/>
          <w:iCs/>
          <w:sz w:val="28"/>
          <w:vertAlign w:val="subscript"/>
        </w:rPr>
        <w:t>ij</w:t>
      </w:r>
      <w:r>
        <w:rPr>
          <w:i/>
          <w:iCs/>
          <w:sz w:val="28"/>
          <w:vertAlign w:val="subscript"/>
        </w:rPr>
        <w:t>k</w:t>
      </w:r>
      <w:proofErr w:type="spellEnd"/>
      <w:r w:rsidRPr="00D8726A">
        <w:t xml:space="preserve"> </w:t>
      </w:r>
      <w:r>
        <w:t xml:space="preserve">as instruments. Thus, the first-stage regression function education will be instrumented with two instruments: </w:t>
      </w:r>
    </w:p>
    <w:p w14:paraId="366A9BAB" w14:textId="207B5A7D" w:rsidR="000C5415" w:rsidRDefault="00552562" w:rsidP="008C2DE4">
      <w:pPr>
        <w:pStyle w:val="NormalWeb"/>
        <w:spacing w:after="240" w:line="360" w:lineRule="auto"/>
        <w:ind w:firstLine="0"/>
        <w:jc w:val="center"/>
        <w:rPr>
          <w:sz w:val="28"/>
        </w:rPr>
      </w:pPr>
      <m:oMath>
        <m:sSub>
          <m:sSubPr>
            <m:ctrlPr>
              <w:rPr>
                <w:rFonts w:ascii="Cambria Math" w:hAnsi="Cambria Math"/>
                <w:i/>
                <w:sz w:val="28"/>
                <w:szCs w:val="28"/>
              </w:rPr>
            </m:ctrlPr>
          </m:sSubPr>
          <m:e>
            <m:r>
              <w:rPr>
                <w:rFonts w:ascii="Cambria Math" w:hAnsi="Cambria Math"/>
                <w:sz w:val="28"/>
                <w:szCs w:val="28"/>
              </w:rPr>
              <m:t>Edu</m:t>
            </m:r>
          </m:e>
          <m:sub>
            <m:r>
              <w:rPr>
                <w:rFonts w:ascii="Cambria Math" w:hAnsi="Cambria Math"/>
                <w:sz w:val="28"/>
                <w:szCs w:val="28"/>
                <w:vertAlign w:val="subscript"/>
              </w:rPr>
              <m:t>ijk</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γ</m:t>
            </m:r>
          </m:e>
          <m:sub>
            <m:r>
              <w:rPr>
                <w:rFonts w:ascii="Cambria Math" w:hAnsi="Cambria Math"/>
                <w:sz w:val="28"/>
                <w:szCs w:val="28"/>
              </w:rPr>
              <m:t>0</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γ</m:t>
            </m:r>
          </m:e>
          <m:sub>
            <m:r>
              <w:rPr>
                <w:rFonts w:ascii="Cambria Math" w:hAnsi="Cambria Math"/>
                <w:sz w:val="28"/>
                <w:szCs w:val="28"/>
              </w:rPr>
              <m:t>1</m:t>
            </m:r>
          </m:sub>
        </m:sSub>
        <m:sSub>
          <m:sSubPr>
            <m:ctrlPr>
              <w:rPr>
                <w:rFonts w:ascii="Cambria Math" w:hAnsi="Cambria Math"/>
                <w:i/>
                <w:sz w:val="28"/>
                <w:szCs w:val="28"/>
              </w:rPr>
            </m:ctrlPr>
          </m:sSubPr>
          <m:e>
            <m:r>
              <w:rPr>
                <w:rFonts w:ascii="Cambria Math" w:hAnsi="Cambria Math"/>
                <w:sz w:val="28"/>
                <w:szCs w:val="28"/>
              </w:rPr>
              <m:t>exp</m:t>
            </m:r>
          </m:e>
          <m:sub>
            <m:r>
              <w:rPr>
                <w:rFonts w:ascii="Cambria Math" w:hAnsi="Cambria Math"/>
                <w:sz w:val="28"/>
                <w:szCs w:val="28"/>
                <w:vertAlign w:val="subscript"/>
              </w:rPr>
              <m:t>ijk</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γ</m:t>
            </m:r>
          </m:e>
          <m:sub>
            <m:r>
              <w:rPr>
                <w:rFonts w:ascii="Cambria Math" w:hAnsi="Cambria Math"/>
                <w:sz w:val="28"/>
                <w:szCs w:val="28"/>
              </w:rPr>
              <m:t>2</m:t>
            </m:r>
          </m:sub>
        </m:sSub>
        <m:r>
          <w:rPr>
            <w:rFonts w:ascii="Cambria Math" w:hAnsi="Cambria Math"/>
            <w:sz w:val="28"/>
            <w:szCs w:val="28"/>
            <w:vertAlign w:val="subscript"/>
          </w:rPr>
          <m:t xml:space="preserve"> </m:t>
        </m:r>
        <m:sSub>
          <m:sSubPr>
            <m:ctrlPr>
              <w:rPr>
                <w:rFonts w:ascii="Cambria Math" w:hAnsi="Cambria Math"/>
                <w:i/>
                <w:sz w:val="28"/>
                <w:szCs w:val="28"/>
              </w:rPr>
            </m:ctrlPr>
          </m:sSubPr>
          <m:e>
            <m:r>
              <w:rPr>
                <w:rFonts w:ascii="Cambria Math" w:hAnsi="Cambria Math"/>
                <w:sz w:val="28"/>
                <w:szCs w:val="28"/>
              </w:rPr>
              <m:t>(</m:t>
            </m:r>
            <m:r>
              <w:rPr>
                <w:rFonts w:ascii="Cambria Math" w:hAnsi="Cambria Math"/>
                <w:szCs w:val="22"/>
              </w:rPr>
              <m:t>avgIne</m:t>
            </m:r>
          </m:e>
          <m:sub>
            <m:r>
              <w:rPr>
                <w:rFonts w:ascii="Cambria Math" w:hAnsi="Cambria Math"/>
                <w:sz w:val="28"/>
                <w:szCs w:val="28"/>
                <w:vertAlign w:val="subscript"/>
              </w:rPr>
              <m:t>ij</m:t>
            </m:r>
            <m:r>
              <w:rPr>
                <w:rFonts w:ascii="MS Gothic" w:eastAsia="MS Gothic" w:hAnsi="MS Gothic" w:cs="MS Gothic" w:hint="eastAsia"/>
                <w:sz w:val="28"/>
                <w:szCs w:val="28"/>
                <w:vertAlign w:val="subscript"/>
              </w:rPr>
              <m:t>h</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exp</m:t>
            </m:r>
          </m:e>
          <m:sub>
            <m:r>
              <w:rPr>
                <w:rFonts w:ascii="Cambria Math" w:hAnsi="Cambria Math"/>
                <w:sz w:val="28"/>
                <w:szCs w:val="28"/>
                <w:vertAlign w:val="subscript"/>
              </w:rPr>
              <m:t>ijk</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γ</m:t>
            </m:r>
          </m:e>
          <m:sub>
            <m:r>
              <w:rPr>
                <w:rFonts w:ascii="Cambria Math" w:hAnsi="Cambria Math"/>
                <w:sz w:val="28"/>
                <w:szCs w:val="28"/>
                <w:vertAlign w:val="subscript"/>
              </w:rPr>
              <m:t>3</m:t>
            </m:r>
          </m:sub>
        </m:sSub>
        <m:sSub>
          <m:sSubPr>
            <m:ctrlPr>
              <w:rPr>
                <w:rFonts w:ascii="Cambria Math" w:hAnsi="Cambria Math"/>
                <w:i/>
                <w:sz w:val="28"/>
                <w:szCs w:val="28"/>
              </w:rPr>
            </m:ctrlPr>
          </m:sSubPr>
          <m:e>
            <m:r>
              <w:rPr>
                <w:rFonts w:ascii="Cambria Math" w:hAnsi="Cambria Math"/>
                <w:sz w:val="28"/>
                <w:szCs w:val="28"/>
              </w:rPr>
              <m:t>X</m:t>
            </m:r>
          </m:e>
          <m:sub>
            <m:r>
              <w:rPr>
                <w:rFonts w:ascii="Cambria Math" w:hAnsi="Cambria Math"/>
                <w:sz w:val="28"/>
                <w:szCs w:val="28"/>
                <w:vertAlign w:val="subscript"/>
              </w:rPr>
              <m:t>ijk</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λ</m:t>
            </m:r>
          </m:e>
          <m:sub>
            <m:r>
              <w:rPr>
                <w:rFonts w:ascii="Cambria Math" w:hAnsi="Cambria Math"/>
                <w:sz w:val="28"/>
                <w:szCs w:val="28"/>
                <w:vertAlign w:val="subscript"/>
              </w:rPr>
              <m:t>j</m:t>
            </m:r>
          </m:sub>
        </m:sSub>
        <m:r>
          <w:rPr>
            <w:rFonts w:ascii="Cambria Math" w:hAnsi="Cambria Math"/>
            <w:sz w:val="28"/>
            <w:szCs w:val="28"/>
          </w:rPr>
          <m:t xml:space="preserve"> +</m:t>
        </m:r>
        <m:sSub>
          <m:sSubPr>
            <m:ctrlPr>
              <w:rPr>
                <w:rFonts w:ascii="Cambria Math" w:hAnsi="Cambria Math"/>
                <w:i/>
                <w:color w:val="282828"/>
                <w:sz w:val="28"/>
                <w:szCs w:val="28"/>
                <w:shd w:val="clear" w:color="auto" w:fill="FFFFFF"/>
              </w:rPr>
            </m:ctrlPr>
          </m:sSubPr>
          <m:e>
            <m:r>
              <w:rPr>
                <w:rFonts w:ascii="Cambria Math" w:hAnsi="Cambria Math"/>
                <w:color w:val="282828"/>
                <w:sz w:val="28"/>
                <w:szCs w:val="28"/>
                <w:shd w:val="clear" w:color="auto" w:fill="FFFFFF"/>
              </w:rPr>
              <m:t>θ</m:t>
            </m:r>
          </m:e>
          <m:sub>
            <m:r>
              <w:rPr>
                <w:rFonts w:ascii="Cambria Math" w:hAnsi="Cambria Math"/>
                <w:color w:val="282828"/>
                <w:sz w:val="28"/>
                <w:szCs w:val="28"/>
                <w:shd w:val="clear" w:color="auto" w:fill="FFFFFF"/>
              </w:rPr>
              <m:t>k</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vertAlign w:val="subscript"/>
              </w:rPr>
              <m:t>ijk</m:t>
            </m:r>
          </m:sub>
        </m:sSub>
        <m:r>
          <w:rPr>
            <w:rFonts w:ascii="Cambria Math" w:hAnsi="Cambria Math"/>
            <w:sz w:val="28"/>
            <w:szCs w:val="28"/>
          </w:rPr>
          <m:t xml:space="preserve"> </m:t>
        </m:r>
      </m:oMath>
      <w:r w:rsidR="00937AA6" w:rsidRPr="0052262B">
        <w:rPr>
          <w:sz w:val="28"/>
        </w:rPr>
        <w:t>(</w:t>
      </w:r>
      <w:r w:rsidR="00B70B36">
        <w:rPr>
          <w:sz w:val="28"/>
        </w:rPr>
        <w:t>2</w:t>
      </w:r>
      <w:r w:rsidR="00937AA6" w:rsidRPr="0052262B">
        <w:rPr>
          <w:sz w:val="28"/>
        </w:rPr>
        <w:t>)</w:t>
      </w:r>
    </w:p>
    <w:p w14:paraId="3BC14049" w14:textId="3153EA4C" w:rsidR="00B70B36" w:rsidRDefault="00B70B36" w:rsidP="00B70B36">
      <w:pPr>
        <w:spacing w:line="360" w:lineRule="auto"/>
        <w:ind w:firstLine="567"/>
        <w:jc w:val="both"/>
      </w:pPr>
      <w:r>
        <w:t xml:space="preserve">The first instrumental variable, </w:t>
      </w:r>
      <w:proofErr w:type="spellStart"/>
      <w:r>
        <w:rPr>
          <w:i/>
          <w:iCs/>
        </w:rPr>
        <w:t>exp</w:t>
      </w:r>
      <w:r>
        <w:rPr>
          <w:i/>
          <w:iCs/>
          <w:vertAlign w:val="subscript"/>
        </w:rPr>
        <w:t>ijk</w:t>
      </w:r>
      <w:proofErr w:type="spellEnd"/>
      <w:r>
        <w:t xml:space="preserve">, indicates the individual i’s exposure of compulsory schooling law in province j. Following closely Huang (2015) and </w:t>
      </w:r>
      <w:proofErr w:type="gramStart"/>
      <w:r>
        <w:t>Ma(</w:t>
      </w:r>
      <w:proofErr w:type="gramEnd"/>
      <w:r>
        <w:t xml:space="preserve">2019), I construct the exposure variable as follows. If the individual was born </w:t>
      </w:r>
      <w:r w:rsidRPr="00877881">
        <w:t xml:space="preserve">15 </w:t>
      </w:r>
      <w:r>
        <w:t xml:space="preserve">years before the implementation of CSL, then we consider that the individual was not exposed to CSL, and </w:t>
      </w:r>
      <w:proofErr w:type="spellStart"/>
      <w:r>
        <w:rPr>
          <w:i/>
          <w:iCs/>
        </w:rPr>
        <w:t>exp</w:t>
      </w:r>
      <w:r>
        <w:rPr>
          <w:i/>
          <w:iCs/>
          <w:sz w:val="28"/>
          <w:vertAlign w:val="subscript"/>
        </w:rPr>
        <w:t>ijk</w:t>
      </w:r>
      <w:proofErr w:type="spellEnd"/>
      <w:r>
        <w:t xml:space="preserve"> = 0. If the individual is born </w:t>
      </w:r>
      <w:r w:rsidRPr="00877881">
        <w:t xml:space="preserve">6 </w:t>
      </w:r>
      <w:r>
        <w:t xml:space="preserve">years before the implementation this means that the individual is fully exposed to CSL, and </w:t>
      </w:r>
      <w:proofErr w:type="spellStart"/>
      <w:r>
        <w:rPr>
          <w:i/>
          <w:iCs/>
        </w:rPr>
        <w:t>exp</w:t>
      </w:r>
      <w:r>
        <w:rPr>
          <w:i/>
          <w:iCs/>
          <w:sz w:val="28"/>
          <w:vertAlign w:val="subscript"/>
        </w:rPr>
        <w:t>ijk</w:t>
      </w:r>
      <w:proofErr w:type="spellEnd"/>
      <w:r>
        <w:t xml:space="preserve"> = 1. Since this is 9 years of compulsory education, there will be some children who are born within </w:t>
      </w:r>
      <w:r w:rsidRPr="00CB0DD1">
        <w:t>6</w:t>
      </w:r>
      <w:r>
        <w:t>-</w:t>
      </w:r>
      <w:r w:rsidRPr="00CB0DD1">
        <w:t xml:space="preserve">15 years </w:t>
      </w:r>
      <w:r>
        <w:t xml:space="preserve">before the implementation will be only partially exposed to CSL receive only partial education of compulsory education law. To account for this possibility, I distribute the children into ten birth cohorts in order to calculate their partial effect of exposure. </w:t>
      </w:r>
    </w:p>
    <w:p w14:paraId="5234B767" w14:textId="77777777" w:rsidR="00B70B36" w:rsidRDefault="00B70B36" w:rsidP="00B70B36">
      <w:pPr>
        <w:pStyle w:val="NormalWeb"/>
        <w:spacing w:after="240" w:line="360" w:lineRule="auto"/>
        <w:ind w:firstLine="567"/>
        <w:jc w:val="both"/>
      </w:pPr>
      <w:r>
        <w:t>To illustrate this clearly based on Table 2, f</w:t>
      </w:r>
      <w:r w:rsidRPr="007367AC">
        <w:t xml:space="preserve">or example, </w:t>
      </w:r>
      <w:r>
        <w:t xml:space="preserve">assuming the </w:t>
      </w:r>
      <w:r w:rsidRPr="007367AC">
        <w:t>law effect year is 198</w:t>
      </w:r>
      <w:r>
        <w:t>6,</w:t>
      </w:r>
      <w:r w:rsidRPr="007367AC">
        <w:t xml:space="preserve"> its</w:t>
      </w:r>
      <w:r>
        <w:t xml:space="preserve">, the person who </w:t>
      </w:r>
      <w:r w:rsidRPr="007367AC">
        <w:t xml:space="preserve">born </w:t>
      </w:r>
      <w:r>
        <w:t>in 1980</w:t>
      </w:r>
      <w:r w:rsidRPr="007367AC">
        <w:t xml:space="preserve"> </w:t>
      </w:r>
      <w:r>
        <w:t>would</w:t>
      </w:r>
      <w:r w:rsidRPr="007367AC">
        <w:t xml:space="preserve"> be </w:t>
      </w:r>
      <w:r>
        <w:t xml:space="preserve">fully </w:t>
      </w:r>
      <w:r w:rsidRPr="007367AC">
        <w:t>affected by CSL at the age of 6</w:t>
      </w:r>
      <w:r>
        <w:rPr>
          <w:lang w:val="en-CA"/>
        </w:rPr>
        <w:t xml:space="preserve"> (first grade), and </w:t>
      </w:r>
      <w:r w:rsidRPr="007367AC">
        <w:t xml:space="preserve">people </w:t>
      </w:r>
      <w:r>
        <w:t xml:space="preserve">who </w:t>
      </w:r>
      <w:r w:rsidRPr="007367AC">
        <w:t xml:space="preserve">born </w:t>
      </w:r>
      <w:r>
        <w:t>in 1970</w:t>
      </w:r>
      <w:r w:rsidRPr="007367AC">
        <w:t xml:space="preserve"> year </w:t>
      </w:r>
      <w:r>
        <w:t>were not affected by CSL</w:t>
      </w:r>
      <w:r w:rsidRPr="007367AC">
        <w:t xml:space="preserve"> </w:t>
      </w:r>
      <w:r>
        <w:t>(tent</w:t>
      </w:r>
      <w:r w:rsidRPr="00990813">
        <w:t>h grade</w:t>
      </w:r>
      <w:r>
        <w:rPr>
          <w:rFonts w:hint="eastAsia"/>
        </w:rPr>
        <w:t>)</w:t>
      </w:r>
      <w:r>
        <w:t>. So, p</w:t>
      </w:r>
      <w:r>
        <w:rPr>
          <w:rFonts w:hint="eastAsia"/>
        </w:rPr>
        <w:t>eople</w:t>
      </w:r>
      <w:r>
        <w:t xml:space="preserve"> </w:t>
      </w:r>
      <w:r w:rsidRPr="007367AC">
        <w:t>born in between 197</w:t>
      </w:r>
      <w:r>
        <w:t>1</w:t>
      </w:r>
      <w:r w:rsidRPr="007367AC">
        <w:t xml:space="preserve"> and 19</w:t>
      </w:r>
      <w:r>
        <w:t>79</w:t>
      </w:r>
      <w:r w:rsidRPr="007367AC">
        <w:t xml:space="preserve"> </w:t>
      </w:r>
      <w:r>
        <w:t>were</w:t>
      </w:r>
      <w:r w:rsidRPr="007367AC">
        <w:t xml:space="preserve"> partial</w:t>
      </w:r>
      <w:r>
        <w:t>ly</w:t>
      </w:r>
      <w:r w:rsidRPr="007367AC">
        <w:t xml:space="preserve"> affected by CSL.</w:t>
      </w:r>
      <w:r>
        <w:t xml:space="preserve"> </w:t>
      </w:r>
      <w:r w:rsidRPr="003664F3">
        <w:t xml:space="preserve">In order to calculate the partial effect, </w:t>
      </w:r>
      <w:proofErr w:type="gramStart"/>
      <w:r>
        <w:t>Ma(</w:t>
      </w:r>
      <w:proofErr w:type="gramEnd"/>
      <w:r>
        <w:t>2019) provides a pattern</w:t>
      </w:r>
      <w:r w:rsidRPr="003664F3">
        <w:t xml:space="preserve"> to </w:t>
      </w:r>
      <w:r>
        <w:t>calculate the</w:t>
      </w:r>
      <w:r w:rsidRPr="003664F3">
        <w:t xml:space="preserve"> exposure variable</w:t>
      </w:r>
      <w:r>
        <w:t xml:space="preserve">. </w:t>
      </w:r>
      <w:r w:rsidRPr="00D8726A">
        <w:t>Specifically, the exp</w:t>
      </w:r>
      <w:r>
        <w:t>osure variable</w:t>
      </w:r>
      <w:r w:rsidRPr="00D8726A">
        <w:t xml:space="preserve"> is </w:t>
      </w:r>
      <w:r>
        <w:t xml:space="preserve">defined </w:t>
      </w:r>
      <w:r w:rsidRPr="00D8726A">
        <w:t xml:space="preserve">as </w:t>
      </w:r>
      <w:r>
        <w:t>follow</w:t>
      </w:r>
      <w:r>
        <w:rPr>
          <w:rFonts w:hint="eastAsia"/>
        </w:rPr>
        <w:t>s</w:t>
      </w:r>
    </w:p>
    <w:p w14:paraId="4B6CCE72" w14:textId="77777777" w:rsidR="00B70B36" w:rsidRPr="00ED39D6" w:rsidRDefault="00552562" w:rsidP="00B70B36">
      <w:pPr>
        <w:pStyle w:val="NormalWeb"/>
        <w:spacing w:after="240" w:line="360" w:lineRule="auto"/>
        <w:ind w:firstLine="0"/>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Exp</m:t>
              </m:r>
            </m:e>
            <m:sub>
              <m:r>
                <w:rPr>
                  <w:rFonts w:ascii="Cambria Math" w:hAnsi="Cambria Math"/>
                  <w:sz w:val="28"/>
                  <w:szCs w:val="28"/>
                  <w:vertAlign w:val="subscript"/>
                </w:rPr>
                <m:t>ijk</m:t>
              </m:r>
            </m:sub>
          </m:sSub>
          <m:r>
            <w:rPr>
              <w:rFonts w:ascii="Cambria Math" w:hAnsi="Cambria Math"/>
              <w:sz w:val="28"/>
              <w:szCs w:val="28"/>
              <w:vertAlign w:val="subscript"/>
            </w:rPr>
            <m:t xml:space="preserve"> </m:t>
          </m:r>
          <m:r>
            <w:rPr>
              <w:rFonts w:ascii="Cambria Math" w:hAnsi="Cambria Math"/>
              <w:sz w:val="28"/>
              <w:szCs w:val="28"/>
            </w:rPr>
            <m:t xml:space="preserve">= </m:t>
          </m:r>
          <m:f>
            <m:fPr>
              <m:ctrlPr>
                <w:rPr>
                  <w:rFonts w:ascii="Cambria Math" w:hAnsi="Cambria Math"/>
                  <w:i/>
                  <w:sz w:val="28"/>
                  <w:szCs w:val="28"/>
                </w:rPr>
              </m:ctrlPr>
            </m:fPr>
            <m:num>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BirthCohort</m:t>
                  </m:r>
                </m:e>
                <m:sub>
                  <m:r>
                    <w:rPr>
                      <w:rFonts w:ascii="Cambria Math" w:hAnsi="Cambria Math"/>
                      <w:sz w:val="28"/>
                      <w:szCs w:val="28"/>
                    </w:rPr>
                    <m:t>j</m:t>
                  </m:r>
                </m:sub>
              </m:sSub>
              <m:r>
                <w:rPr>
                  <w:rFonts w:ascii="Cambria Math" w:hAnsi="Cambria Math"/>
                  <w:sz w:val="28"/>
                  <w:szCs w:val="28"/>
                </w:rPr>
                <m:t xml:space="preserve"> - </m:t>
              </m:r>
              <m:sSub>
                <m:sSubPr>
                  <m:ctrlPr>
                    <w:rPr>
                      <w:rFonts w:ascii="Cambria Math" w:hAnsi="Cambria Math"/>
                      <w:i/>
                      <w:sz w:val="28"/>
                      <w:szCs w:val="28"/>
                    </w:rPr>
                  </m:ctrlPr>
                </m:sSubPr>
                <m:e>
                  <m:r>
                    <w:rPr>
                      <w:rFonts w:ascii="Cambria Math" w:hAnsi="Cambria Math"/>
                      <w:sz w:val="28"/>
                      <w:szCs w:val="28"/>
                    </w:rPr>
                    <m:t>FirstCohort</m:t>
                  </m:r>
                </m:e>
                <m:sub>
                  <m:r>
                    <w:rPr>
                      <w:rFonts w:ascii="Cambria Math" w:hAnsi="Cambria Math"/>
                      <w:sz w:val="28"/>
                      <w:szCs w:val="28"/>
                    </w:rPr>
                    <m:t>j</m:t>
                  </m:r>
                </m:sub>
              </m:sSub>
              <m:r>
                <w:rPr>
                  <w:rFonts w:ascii="Cambria Math" w:hAnsi="Cambria Math"/>
                  <w:sz w:val="28"/>
                  <w:szCs w:val="28"/>
                </w:rPr>
                <m:t>+ 1)</m:t>
              </m:r>
            </m:num>
            <m:den>
              <m:r>
                <w:rPr>
                  <w:rFonts w:ascii="Cambria Math" w:hAnsi="Cambria Math"/>
                  <w:sz w:val="28"/>
                  <w:szCs w:val="28"/>
                </w:rPr>
                <m:t>10</m:t>
              </m:r>
            </m:den>
          </m:f>
        </m:oMath>
      </m:oMathPara>
    </w:p>
    <w:p w14:paraId="2838D810" w14:textId="77777777" w:rsidR="00B70B36" w:rsidRPr="00ED39D6" w:rsidRDefault="00B70B36" w:rsidP="00B70B36">
      <w:pPr>
        <w:pStyle w:val="NormalWeb"/>
        <w:spacing w:after="240" w:line="360" w:lineRule="auto"/>
        <w:ind w:firstLine="567"/>
        <w:jc w:val="both"/>
      </w:pPr>
      <w:r>
        <w:t>Since</w:t>
      </w:r>
      <w:r w:rsidRPr="007367AC">
        <w:t xml:space="preserve"> each province implements CSL in different years, the above formula has a </w:t>
      </w:r>
      <w:r>
        <w:rPr>
          <w:rFonts w:hint="eastAsia"/>
        </w:rPr>
        <w:t>co</w:t>
      </w:r>
      <w:r>
        <w:t>r</w:t>
      </w:r>
      <w:r>
        <w:rPr>
          <w:rFonts w:hint="eastAsia"/>
        </w:rPr>
        <w:t>ner</w:t>
      </w:r>
      <w:r>
        <w:t xml:space="preserve"> mark </w:t>
      </w:r>
      <w:r w:rsidRPr="007367AC">
        <w:t xml:space="preserve">j to indicate each province. </w:t>
      </w:r>
      <w:proofErr w:type="spellStart"/>
      <w:r w:rsidRPr="008370E6">
        <w:rPr>
          <w:rFonts w:hint="eastAsia"/>
          <w:i/>
          <w:iCs/>
        </w:rPr>
        <w:t>BirthCohort</w:t>
      </w:r>
      <w:r w:rsidRPr="008370E6">
        <w:rPr>
          <w:i/>
          <w:iCs/>
          <w:vertAlign w:val="subscript"/>
        </w:rPr>
        <w:t>j</w:t>
      </w:r>
      <w:proofErr w:type="spellEnd"/>
      <w:r>
        <w:t xml:space="preserve"> refers to the birth year of the individual in j province. </w:t>
      </w:r>
      <w:proofErr w:type="spellStart"/>
      <w:r w:rsidRPr="00A47230">
        <w:rPr>
          <w:i/>
          <w:iCs/>
        </w:rPr>
        <w:t>First</w:t>
      </w:r>
      <w:r w:rsidRPr="008370E6">
        <w:rPr>
          <w:i/>
          <w:iCs/>
        </w:rPr>
        <w:t>Cohort</w:t>
      </w:r>
      <w:r w:rsidRPr="00A47230">
        <w:rPr>
          <w:i/>
          <w:iCs/>
          <w:vertAlign w:val="subscript"/>
        </w:rPr>
        <w:t>j</w:t>
      </w:r>
      <w:proofErr w:type="spellEnd"/>
      <w:r w:rsidRPr="007367AC">
        <w:t xml:space="preserve"> refers to the </w:t>
      </w:r>
      <w:r>
        <w:t xml:space="preserve">birth </w:t>
      </w:r>
      <w:r w:rsidRPr="007367AC">
        <w:t xml:space="preserve">year </w:t>
      </w:r>
      <w:r>
        <w:t xml:space="preserve">of the </w:t>
      </w:r>
      <w:r w:rsidRPr="007367AC">
        <w:t xml:space="preserve">first </w:t>
      </w:r>
      <w:r>
        <w:t xml:space="preserve">cohort </w:t>
      </w:r>
      <w:r w:rsidRPr="007367AC">
        <w:t>in province j that qualified for CSL</w:t>
      </w:r>
      <w:r>
        <w:t xml:space="preserve"> as in Table 2. According to the example we have above, the full-affected individual</w:t>
      </w:r>
      <w:r w:rsidRPr="00B022F7">
        <w:rPr>
          <w:i/>
          <w:iCs/>
        </w:rPr>
        <w:t xml:space="preserve"> </w:t>
      </w:r>
      <w:proofErr w:type="spellStart"/>
      <w:r w:rsidRPr="00D8726A">
        <w:rPr>
          <w:i/>
          <w:iCs/>
        </w:rPr>
        <w:t>exp</w:t>
      </w:r>
      <w:r w:rsidRPr="00E07086">
        <w:rPr>
          <w:i/>
          <w:iCs/>
          <w:sz w:val="28"/>
          <w:vertAlign w:val="subscript"/>
        </w:rPr>
        <w:t>ij</w:t>
      </w:r>
      <w:r>
        <w:rPr>
          <w:i/>
          <w:iCs/>
          <w:sz w:val="28"/>
          <w:vertAlign w:val="subscript"/>
        </w:rPr>
        <w:t>k</w:t>
      </w:r>
      <w:proofErr w:type="spellEnd"/>
      <w:r>
        <w:rPr>
          <w:sz w:val="28"/>
        </w:rPr>
        <w:t xml:space="preserve"> </w:t>
      </w:r>
      <w:r>
        <w:rPr>
          <w:sz w:val="22"/>
          <w:szCs w:val="20"/>
        </w:rPr>
        <w:t xml:space="preserve">equals one, </w:t>
      </w:r>
      <w:r>
        <w:rPr>
          <w:sz w:val="22"/>
          <w:szCs w:val="20"/>
        </w:rPr>
        <w:lastRenderedPageBreak/>
        <w:t>and</w:t>
      </w:r>
      <w:r w:rsidRPr="00251E4C">
        <w:rPr>
          <w:sz w:val="22"/>
          <w:szCs w:val="20"/>
        </w:rPr>
        <w:t xml:space="preserve"> non-affected individual </w:t>
      </w:r>
      <w:proofErr w:type="spellStart"/>
      <w:r w:rsidRPr="00D8726A">
        <w:rPr>
          <w:i/>
          <w:iCs/>
        </w:rPr>
        <w:t>exp</w:t>
      </w:r>
      <w:r w:rsidRPr="00E07086">
        <w:rPr>
          <w:i/>
          <w:iCs/>
          <w:sz w:val="28"/>
          <w:vertAlign w:val="subscript"/>
        </w:rPr>
        <w:t>ij</w:t>
      </w:r>
      <w:r>
        <w:rPr>
          <w:i/>
          <w:iCs/>
          <w:sz w:val="28"/>
          <w:vertAlign w:val="subscript"/>
        </w:rPr>
        <w:t>k</w:t>
      </w:r>
      <w:proofErr w:type="spellEnd"/>
      <w:r>
        <w:rPr>
          <w:sz w:val="22"/>
          <w:szCs w:val="20"/>
        </w:rPr>
        <w:t xml:space="preserve"> equals </w:t>
      </w:r>
      <w:r w:rsidRPr="00251E4C">
        <w:rPr>
          <w:sz w:val="22"/>
          <w:szCs w:val="20"/>
        </w:rPr>
        <w:t>zero</w:t>
      </w:r>
      <w:r>
        <w:rPr>
          <w:sz w:val="22"/>
          <w:szCs w:val="20"/>
        </w:rPr>
        <w:t xml:space="preserve">. </w:t>
      </w:r>
      <w:r w:rsidRPr="00251E4C">
        <w:rPr>
          <w:sz w:val="22"/>
          <w:szCs w:val="20"/>
        </w:rPr>
        <w:t>Similarly,</w:t>
      </w:r>
      <w:r>
        <w:rPr>
          <w:sz w:val="22"/>
          <w:szCs w:val="20"/>
        </w:rPr>
        <w:t xml:space="preserve"> partial-affected individual </w:t>
      </w:r>
      <w:proofErr w:type="spellStart"/>
      <w:r w:rsidRPr="00D8726A">
        <w:rPr>
          <w:i/>
          <w:iCs/>
        </w:rPr>
        <w:t>exp</w:t>
      </w:r>
      <w:r w:rsidRPr="00E07086">
        <w:rPr>
          <w:i/>
          <w:iCs/>
          <w:sz w:val="28"/>
          <w:vertAlign w:val="subscript"/>
        </w:rPr>
        <w:t>ij</w:t>
      </w:r>
      <w:r>
        <w:rPr>
          <w:i/>
          <w:iCs/>
          <w:sz w:val="28"/>
          <w:vertAlign w:val="subscript"/>
        </w:rPr>
        <w:t>k</w:t>
      </w:r>
      <w:proofErr w:type="spellEnd"/>
      <w:r>
        <w:rPr>
          <w:sz w:val="22"/>
          <w:szCs w:val="20"/>
        </w:rPr>
        <w:t xml:space="preserve"> would be in the </w:t>
      </w:r>
      <w:r w:rsidRPr="00527791">
        <w:rPr>
          <w:sz w:val="22"/>
          <w:szCs w:val="20"/>
        </w:rPr>
        <w:t xml:space="preserve">discrete </w:t>
      </w:r>
      <w:r>
        <w:rPr>
          <w:sz w:val="22"/>
          <w:szCs w:val="20"/>
        </w:rPr>
        <w:t xml:space="preserve">range from 0.1 to 0.9, which represent the </w:t>
      </w:r>
      <w:r w:rsidRPr="00ED39D6">
        <w:rPr>
          <w:sz w:val="22"/>
          <w:szCs w:val="20"/>
        </w:rPr>
        <w:t xml:space="preserve">percentage </w:t>
      </w:r>
      <w:r>
        <w:rPr>
          <w:sz w:val="22"/>
          <w:szCs w:val="20"/>
        </w:rPr>
        <w:t xml:space="preserve">of CSL effect. </w:t>
      </w:r>
      <w:r>
        <w:rPr>
          <w:sz w:val="22"/>
          <w:szCs w:val="20"/>
          <w:lang w:val="en-CA"/>
        </w:rPr>
        <w:t xml:space="preserve">I also </w:t>
      </w:r>
      <w:r w:rsidRPr="00A6140A">
        <w:rPr>
          <w:sz w:val="22"/>
          <w:szCs w:val="20"/>
          <w:lang w:val="en-CA"/>
        </w:rPr>
        <w:t xml:space="preserve">convert </w:t>
      </w:r>
      <w:r>
        <w:rPr>
          <w:rFonts w:hint="eastAsia"/>
          <w:sz w:val="22"/>
          <w:szCs w:val="20"/>
          <w:lang w:val="en-CA"/>
        </w:rPr>
        <w:t>all</w:t>
      </w:r>
      <w:r>
        <w:rPr>
          <w:sz w:val="22"/>
          <w:szCs w:val="20"/>
          <w:lang w:val="en-CA"/>
        </w:rPr>
        <w:t xml:space="preserve"> negative exposure numbers to zero for people who born before the first cohort. </w:t>
      </w:r>
      <w:r>
        <w:rPr>
          <w:sz w:val="22"/>
          <w:szCs w:val="20"/>
        </w:rPr>
        <w:t xml:space="preserve">Therefore, </w:t>
      </w:r>
      <w:proofErr w:type="spellStart"/>
      <w:r w:rsidRPr="00806BEE">
        <w:rPr>
          <w:i/>
          <w:iCs/>
        </w:rPr>
        <w:t>exp</w:t>
      </w:r>
      <w:r w:rsidRPr="00806BEE">
        <w:rPr>
          <w:i/>
          <w:iCs/>
          <w:vertAlign w:val="subscript"/>
        </w:rPr>
        <w:t>ij</w:t>
      </w:r>
      <w:r>
        <w:rPr>
          <w:i/>
          <w:iCs/>
          <w:vertAlign w:val="subscript"/>
        </w:rPr>
        <w:t>k</w:t>
      </w:r>
      <w:proofErr w:type="spellEnd"/>
      <w:r>
        <w:t xml:space="preserve"> </w:t>
      </w:r>
      <w:proofErr w:type="gramStart"/>
      <w:r w:rsidRPr="00806BEE">
        <w:rPr>
          <w:rFonts w:ascii="Cambria Math" w:hAnsi="Cambria Math" w:cs="Cambria Math"/>
        </w:rPr>
        <w:t>∈</w:t>
      </w:r>
      <w:r w:rsidRPr="00806BEE">
        <w:t>[</w:t>
      </w:r>
      <w:proofErr w:type="gramEnd"/>
      <w:r w:rsidRPr="00806BEE">
        <w:t>0,1]</w:t>
      </w:r>
    </w:p>
    <w:p w14:paraId="27C59FD3" w14:textId="77777777" w:rsidR="00B70B36" w:rsidRPr="00251E4C" w:rsidRDefault="00552562" w:rsidP="00B70B36">
      <w:pPr>
        <w:pStyle w:val="NormalWeb"/>
        <w:spacing w:after="240" w:line="360" w:lineRule="auto"/>
        <w:ind w:firstLine="0"/>
        <w:rPr>
          <w:sz w:val="28"/>
          <w:szCs w:val="28"/>
        </w:rPr>
      </w:pPr>
      <m:oMathPara>
        <m:oMath>
          <m:sSub>
            <m:sSubPr>
              <m:ctrlPr>
                <w:rPr>
                  <w:rFonts w:ascii="Cambria Math" w:hAnsi="Cambria Math"/>
                  <w:i/>
                  <w:sz w:val="28"/>
                  <w:szCs w:val="28"/>
                </w:rPr>
              </m:ctrlPr>
            </m:sSubPr>
            <m:e>
              <m:r>
                <w:rPr>
                  <w:rFonts w:ascii="Cambria Math" w:hAnsi="Cambria Math"/>
                  <w:sz w:val="28"/>
                  <w:szCs w:val="28"/>
                </w:rPr>
                <m:t>Exp</m:t>
              </m:r>
            </m:e>
            <m:sub>
              <m:r>
                <w:rPr>
                  <w:rFonts w:ascii="Cambria Math" w:hAnsi="Cambria Math"/>
                  <w:sz w:val="28"/>
                  <w:szCs w:val="28"/>
                  <w:vertAlign w:val="subscript"/>
                </w:rPr>
                <m:t>ijk</m:t>
              </m:r>
            </m:sub>
          </m:sSub>
          <m:r>
            <w:rPr>
              <w:rFonts w:ascii="Cambria Math" w:hAnsi="Cambria Math"/>
              <w:sz w:val="28"/>
              <w:szCs w:val="28"/>
              <w:vertAlign w:val="subscript"/>
            </w:rPr>
            <m:t xml:space="preserve"> </m:t>
          </m:r>
          <m:r>
            <w:rPr>
              <w:rFonts w:ascii="Cambria Math" w:hAnsi="Cambria Math"/>
              <w:sz w:val="28"/>
              <w:szCs w:val="28"/>
            </w:rPr>
            <m:t xml:space="preserve">= </m:t>
          </m:r>
          <m:f>
            <m:fPr>
              <m:ctrlPr>
                <w:rPr>
                  <w:rFonts w:ascii="Cambria Math" w:hAnsi="Cambria Math"/>
                  <w:i/>
                  <w:sz w:val="28"/>
                  <w:szCs w:val="28"/>
                </w:rPr>
              </m:ctrlPr>
            </m:fPr>
            <m:num>
              <m:r>
                <w:rPr>
                  <w:rFonts w:ascii="Cambria Math" w:hAnsi="Cambria Math"/>
                  <w:sz w:val="28"/>
                  <w:szCs w:val="28"/>
                </w:rPr>
                <m:t>(1980 - 1971+ 1)</m:t>
              </m:r>
            </m:num>
            <m:den>
              <m:r>
                <w:rPr>
                  <w:rFonts w:ascii="Cambria Math" w:hAnsi="Cambria Math"/>
                  <w:sz w:val="28"/>
                  <w:szCs w:val="28"/>
                </w:rPr>
                <m:t>10</m:t>
              </m:r>
            </m:den>
          </m:f>
          <m:r>
            <w:rPr>
              <w:rFonts w:ascii="Cambria Math" w:hAnsi="Cambria Math"/>
              <w:sz w:val="28"/>
              <w:szCs w:val="28"/>
            </w:rPr>
            <m:t>=1</m:t>
          </m:r>
        </m:oMath>
      </m:oMathPara>
    </w:p>
    <w:p w14:paraId="63913C77" w14:textId="77777777" w:rsidR="00B70B36" w:rsidRPr="00ED39D6" w:rsidRDefault="00552562" w:rsidP="00B70B36">
      <w:pPr>
        <w:pStyle w:val="NormalWeb"/>
        <w:spacing w:after="240" w:line="360" w:lineRule="auto"/>
        <w:ind w:firstLine="0"/>
        <w:rPr>
          <w:sz w:val="28"/>
          <w:szCs w:val="28"/>
        </w:rPr>
      </w:pPr>
      <m:oMathPara>
        <m:oMath>
          <m:sSub>
            <m:sSubPr>
              <m:ctrlPr>
                <w:rPr>
                  <w:rFonts w:ascii="Cambria Math" w:hAnsi="Cambria Math"/>
                  <w:i/>
                  <w:sz w:val="28"/>
                  <w:szCs w:val="28"/>
                </w:rPr>
              </m:ctrlPr>
            </m:sSubPr>
            <m:e>
              <m:r>
                <w:rPr>
                  <w:rFonts w:ascii="Cambria Math" w:hAnsi="Cambria Math"/>
                  <w:sz w:val="28"/>
                  <w:szCs w:val="28"/>
                </w:rPr>
                <m:t>Exp</m:t>
              </m:r>
            </m:e>
            <m:sub>
              <m:r>
                <w:rPr>
                  <w:rFonts w:ascii="Cambria Math" w:hAnsi="Cambria Math"/>
                  <w:sz w:val="28"/>
                  <w:szCs w:val="28"/>
                  <w:vertAlign w:val="subscript"/>
                </w:rPr>
                <m:t>ijk</m:t>
              </m:r>
            </m:sub>
          </m:sSub>
          <m:r>
            <w:rPr>
              <w:rFonts w:ascii="Cambria Math" w:hAnsi="Cambria Math"/>
              <w:sz w:val="28"/>
              <w:szCs w:val="28"/>
              <w:vertAlign w:val="subscript"/>
            </w:rPr>
            <m:t xml:space="preserve"> </m:t>
          </m:r>
          <m:r>
            <w:rPr>
              <w:rFonts w:ascii="Cambria Math" w:hAnsi="Cambria Math"/>
              <w:sz w:val="28"/>
              <w:szCs w:val="28"/>
            </w:rPr>
            <m:t xml:space="preserve">= </m:t>
          </m:r>
          <m:f>
            <m:fPr>
              <m:ctrlPr>
                <w:rPr>
                  <w:rFonts w:ascii="Cambria Math" w:hAnsi="Cambria Math"/>
                  <w:i/>
                  <w:sz w:val="28"/>
                  <w:szCs w:val="28"/>
                </w:rPr>
              </m:ctrlPr>
            </m:fPr>
            <m:num>
              <m:r>
                <w:rPr>
                  <w:rFonts w:ascii="Cambria Math" w:hAnsi="Cambria Math"/>
                  <w:sz w:val="28"/>
                  <w:szCs w:val="28"/>
                </w:rPr>
                <m:t>(1970 - 1971+ 1)</m:t>
              </m:r>
            </m:num>
            <m:den>
              <m:r>
                <w:rPr>
                  <w:rFonts w:ascii="Cambria Math" w:hAnsi="Cambria Math"/>
                  <w:sz w:val="28"/>
                  <w:szCs w:val="28"/>
                </w:rPr>
                <m:t>10</m:t>
              </m:r>
            </m:den>
          </m:f>
          <m:r>
            <w:rPr>
              <w:rFonts w:ascii="Cambria Math" w:hAnsi="Cambria Math"/>
              <w:sz w:val="28"/>
              <w:szCs w:val="28"/>
            </w:rPr>
            <m:t>=0</m:t>
          </m:r>
        </m:oMath>
      </m:oMathPara>
    </w:p>
    <w:p w14:paraId="55C980C3" w14:textId="77777777" w:rsidR="00B70B36" w:rsidRDefault="00B70B36" w:rsidP="00B70B36">
      <w:pPr>
        <w:spacing w:line="360" w:lineRule="auto"/>
      </w:pPr>
    </w:p>
    <w:p w14:paraId="116CC4BA" w14:textId="77777777" w:rsidR="003743CE" w:rsidRDefault="003743CE" w:rsidP="006B4002">
      <w:r>
        <w:t>Table 3. The average education attainments of eligible and ineligible cohorts by different areas</w:t>
      </w:r>
    </w:p>
    <w:tbl>
      <w:tblPr>
        <w:tblW w:w="9030" w:type="dxa"/>
        <w:tblLook w:val="04A0" w:firstRow="1" w:lastRow="0" w:firstColumn="1" w:lastColumn="0" w:noHBand="0" w:noVBand="1"/>
      </w:tblPr>
      <w:tblGrid>
        <w:gridCol w:w="1688"/>
        <w:gridCol w:w="1777"/>
        <w:gridCol w:w="980"/>
        <w:gridCol w:w="914"/>
        <w:gridCol w:w="1777"/>
        <w:gridCol w:w="980"/>
        <w:gridCol w:w="914"/>
      </w:tblGrid>
      <w:tr w:rsidR="00BC0AC1" w:rsidRPr="00BC0AC1" w14:paraId="56678E1E" w14:textId="77777777" w:rsidTr="00BC0AC1">
        <w:trPr>
          <w:trHeight w:val="809"/>
        </w:trPr>
        <w:tc>
          <w:tcPr>
            <w:tcW w:w="1688" w:type="dxa"/>
            <w:vMerge w:val="restart"/>
            <w:tcBorders>
              <w:top w:val="single" w:sz="4" w:space="0" w:color="auto"/>
              <w:left w:val="nil"/>
              <w:bottom w:val="single" w:sz="4" w:space="0" w:color="000000"/>
              <w:right w:val="nil"/>
            </w:tcBorders>
            <w:shd w:val="clear" w:color="auto" w:fill="auto"/>
            <w:noWrap/>
            <w:vAlign w:val="center"/>
            <w:hideMark/>
          </w:tcPr>
          <w:p w14:paraId="07102698"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Province</w:t>
            </w:r>
          </w:p>
        </w:tc>
        <w:tc>
          <w:tcPr>
            <w:tcW w:w="3671" w:type="dxa"/>
            <w:gridSpan w:val="3"/>
            <w:tcBorders>
              <w:top w:val="single" w:sz="4" w:space="0" w:color="auto"/>
              <w:left w:val="nil"/>
              <w:bottom w:val="single" w:sz="4" w:space="0" w:color="auto"/>
              <w:right w:val="single" w:sz="4" w:space="0" w:color="000000"/>
            </w:tcBorders>
            <w:shd w:val="clear" w:color="auto" w:fill="auto"/>
            <w:vAlign w:val="center"/>
            <w:hideMark/>
          </w:tcPr>
          <w:p w14:paraId="11A54A6C"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 xml:space="preserve">Average years of schooling of ineligible cohorts (born before first cohorts) </w:t>
            </w:r>
          </w:p>
        </w:tc>
        <w:tc>
          <w:tcPr>
            <w:tcW w:w="3671" w:type="dxa"/>
            <w:gridSpan w:val="3"/>
            <w:tcBorders>
              <w:top w:val="single" w:sz="4" w:space="0" w:color="auto"/>
              <w:left w:val="nil"/>
              <w:bottom w:val="single" w:sz="4" w:space="0" w:color="auto"/>
              <w:right w:val="nil"/>
            </w:tcBorders>
            <w:shd w:val="clear" w:color="auto" w:fill="auto"/>
            <w:vAlign w:val="center"/>
            <w:hideMark/>
          </w:tcPr>
          <w:p w14:paraId="0D24C35D"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Average years of schooling of eligible cohorts (born after first cohorts)</w:t>
            </w:r>
          </w:p>
        </w:tc>
      </w:tr>
      <w:tr w:rsidR="00BC0AC1" w:rsidRPr="00BC0AC1" w14:paraId="6ABC10FC" w14:textId="77777777" w:rsidTr="00BC0AC1">
        <w:trPr>
          <w:trHeight w:val="438"/>
        </w:trPr>
        <w:tc>
          <w:tcPr>
            <w:tcW w:w="1688" w:type="dxa"/>
            <w:vMerge/>
            <w:tcBorders>
              <w:top w:val="single" w:sz="4" w:space="0" w:color="auto"/>
              <w:left w:val="nil"/>
              <w:bottom w:val="single" w:sz="4" w:space="0" w:color="000000"/>
              <w:right w:val="nil"/>
            </w:tcBorders>
            <w:vAlign w:val="center"/>
            <w:hideMark/>
          </w:tcPr>
          <w:p w14:paraId="5DC3EBBD" w14:textId="77777777" w:rsidR="00BC0AC1" w:rsidRPr="00BC0AC1" w:rsidRDefault="00BC0AC1" w:rsidP="00BC0AC1">
            <w:pPr>
              <w:spacing w:after="0" w:line="240" w:lineRule="auto"/>
              <w:rPr>
                <w:rFonts w:ascii="Calibri" w:eastAsia="Times New Roman" w:hAnsi="Calibri" w:cs="Calibri"/>
                <w:color w:val="000000"/>
                <w:sz w:val="22"/>
              </w:rPr>
            </w:pPr>
          </w:p>
        </w:tc>
        <w:tc>
          <w:tcPr>
            <w:tcW w:w="1777" w:type="dxa"/>
            <w:tcBorders>
              <w:top w:val="nil"/>
              <w:left w:val="nil"/>
              <w:bottom w:val="single" w:sz="4" w:space="0" w:color="auto"/>
              <w:right w:val="nil"/>
            </w:tcBorders>
            <w:shd w:val="clear" w:color="auto" w:fill="auto"/>
            <w:noWrap/>
            <w:vAlign w:val="center"/>
            <w:hideMark/>
          </w:tcPr>
          <w:p w14:paraId="40379F81"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Observations</w:t>
            </w:r>
          </w:p>
        </w:tc>
        <w:tc>
          <w:tcPr>
            <w:tcW w:w="980" w:type="dxa"/>
            <w:tcBorders>
              <w:top w:val="nil"/>
              <w:left w:val="nil"/>
              <w:bottom w:val="single" w:sz="4" w:space="0" w:color="auto"/>
              <w:right w:val="nil"/>
            </w:tcBorders>
            <w:shd w:val="clear" w:color="auto" w:fill="auto"/>
            <w:vAlign w:val="center"/>
            <w:hideMark/>
          </w:tcPr>
          <w:p w14:paraId="30EEFCA5"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Urban</w:t>
            </w:r>
          </w:p>
        </w:tc>
        <w:tc>
          <w:tcPr>
            <w:tcW w:w="913" w:type="dxa"/>
            <w:tcBorders>
              <w:top w:val="nil"/>
              <w:left w:val="nil"/>
              <w:bottom w:val="single" w:sz="4" w:space="0" w:color="auto"/>
              <w:right w:val="single" w:sz="4" w:space="0" w:color="auto"/>
            </w:tcBorders>
            <w:shd w:val="clear" w:color="auto" w:fill="auto"/>
            <w:noWrap/>
            <w:vAlign w:val="center"/>
            <w:hideMark/>
          </w:tcPr>
          <w:p w14:paraId="5B5F052E"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Rural</w:t>
            </w:r>
          </w:p>
        </w:tc>
        <w:tc>
          <w:tcPr>
            <w:tcW w:w="1777" w:type="dxa"/>
            <w:tcBorders>
              <w:top w:val="nil"/>
              <w:left w:val="nil"/>
              <w:bottom w:val="single" w:sz="4" w:space="0" w:color="auto"/>
              <w:right w:val="nil"/>
            </w:tcBorders>
            <w:shd w:val="clear" w:color="auto" w:fill="auto"/>
            <w:noWrap/>
            <w:vAlign w:val="center"/>
            <w:hideMark/>
          </w:tcPr>
          <w:p w14:paraId="67569B3D"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Observations</w:t>
            </w:r>
          </w:p>
        </w:tc>
        <w:tc>
          <w:tcPr>
            <w:tcW w:w="980" w:type="dxa"/>
            <w:tcBorders>
              <w:top w:val="nil"/>
              <w:left w:val="nil"/>
              <w:bottom w:val="single" w:sz="4" w:space="0" w:color="auto"/>
              <w:right w:val="nil"/>
            </w:tcBorders>
            <w:shd w:val="clear" w:color="auto" w:fill="auto"/>
            <w:vAlign w:val="center"/>
            <w:hideMark/>
          </w:tcPr>
          <w:p w14:paraId="008E51B9"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Urban</w:t>
            </w:r>
          </w:p>
        </w:tc>
        <w:tc>
          <w:tcPr>
            <w:tcW w:w="913" w:type="dxa"/>
            <w:tcBorders>
              <w:top w:val="nil"/>
              <w:left w:val="nil"/>
              <w:bottom w:val="single" w:sz="4" w:space="0" w:color="auto"/>
              <w:right w:val="nil"/>
            </w:tcBorders>
            <w:shd w:val="clear" w:color="auto" w:fill="auto"/>
            <w:noWrap/>
            <w:vAlign w:val="center"/>
            <w:hideMark/>
          </w:tcPr>
          <w:p w14:paraId="6EE1E286"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Rural</w:t>
            </w:r>
          </w:p>
        </w:tc>
      </w:tr>
      <w:tr w:rsidR="00BC0AC1" w:rsidRPr="00BC0AC1" w14:paraId="2F28CD62" w14:textId="77777777" w:rsidTr="00BC0AC1">
        <w:trPr>
          <w:trHeight w:val="269"/>
        </w:trPr>
        <w:tc>
          <w:tcPr>
            <w:tcW w:w="1688" w:type="dxa"/>
            <w:tcBorders>
              <w:top w:val="nil"/>
              <w:left w:val="nil"/>
              <w:bottom w:val="nil"/>
              <w:right w:val="nil"/>
            </w:tcBorders>
            <w:shd w:val="clear" w:color="auto" w:fill="auto"/>
            <w:noWrap/>
            <w:vAlign w:val="center"/>
            <w:hideMark/>
          </w:tcPr>
          <w:p w14:paraId="4BE484EA"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Beijing</w:t>
            </w:r>
          </w:p>
        </w:tc>
        <w:tc>
          <w:tcPr>
            <w:tcW w:w="1777" w:type="dxa"/>
            <w:tcBorders>
              <w:top w:val="nil"/>
              <w:left w:val="nil"/>
              <w:bottom w:val="nil"/>
              <w:right w:val="nil"/>
            </w:tcBorders>
            <w:shd w:val="clear" w:color="auto" w:fill="auto"/>
            <w:noWrap/>
            <w:vAlign w:val="center"/>
            <w:hideMark/>
          </w:tcPr>
          <w:p w14:paraId="18CBD808"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111</w:t>
            </w:r>
          </w:p>
        </w:tc>
        <w:tc>
          <w:tcPr>
            <w:tcW w:w="980" w:type="dxa"/>
            <w:tcBorders>
              <w:top w:val="nil"/>
              <w:left w:val="nil"/>
              <w:bottom w:val="nil"/>
              <w:right w:val="nil"/>
            </w:tcBorders>
            <w:shd w:val="clear" w:color="auto" w:fill="auto"/>
            <w:noWrap/>
            <w:vAlign w:val="center"/>
            <w:hideMark/>
          </w:tcPr>
          <w:p w14:paraId="5F2B6845"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13.04</w:t>
            </w:r>
          </w:p>
        </w:tc>
        <w:tc>
          <w:tcPr>
            <w:tcW w:w="913" w:type="dxa"/>
            <w:tcBorders>
              <w:top w:val="nil"/>
              <w:left w:val="nil"/>
              <w:bottom w:val="nil"/>
              <w:right w:val="single" w:sz="4" w:space="0" w:color="auto"/>
            </w:tcBorders>
            <w:shd w:val="clear" w:color="auto" w:fill="auto"/>
            <w:noWrap/>
            <w:vAlign w:val="center"/>
            <w:hideMark/>
          </w:tcPr>
          <w:p w14:paraId="1F4C1634"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10.37</w:t>
            </w:r>
          </w:p>
        </w:tc>
        <w:tc>
          <w:tcPr>
            <w:tcW w:w="1777" w:type="dxa"/>
            <w:tcBorders>
              <w:top w:val="nil"/>
              <w:left w:val="nil"/>
              <w:bottom w:val="nil"/>
              <w:right w:val="nil"/>
            </w:tcBorders>
            <w:shd w:val="clear" w:color="auto" w:fill="auto"/>
            <w:noWrap/>
            <w:vAlign w:val="center"/>
            <w:hideMark/>
          </w:tcPr>
          <w:p w14:paraId="44FC9B63"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266</w:t>
            </w:r>
          </w:p>
        </w:tc>
        <w:tc>
          <w:tcPr>
            <w:tcW w:w="980" w:type="dxa"/>
            <w:tcBorders>
              <w:top w:val="nil"/>
              <w:left w:val="nil"/>
              <w:bottom w:val="nil"/>
              <w:right w:val="nil"/>
            </w:tcBorders>
            <w:shd w:val="clear" w:color="auto" w:fill="auto"/>
            <w:noWrap/>
            <w:vAlign w:val="center"/>
            <w:hideMark/>
          </w:tcPr>
          <w:p w14:paraId="29E1FE48"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15.13</w:t>
            </w:r>
          </w:p>
        </w:tc>
        <w:tc>
          <w:tcPr>
            <w:tcW w:w="913" w:type="dxa"/>
            <w:tcBorders>
              <w:top w:val="nil"/>
              <w:left w:val="nil"/>
              <w:bottom w:val="nil"/>
              <w:right w:val="nil"/>
            </w:tcBorders>
            <w:shd w:val="clear" w:color="auto" w:fill="auto"/>
            <w:noWrap/>
            <w:vAlign w:val="center"/>
            <w:hideMark/>
          </w:tcPr>
          <w:p w14:paraId="5DE4D769"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12.00</w:t>
            </w:r>
          </w:p>
        </w:tc>
      </w:tr>
      <w:tr w:rsidR="00BC0AC1" w:rsidRPr="00BC0AC1" w14:paraId="091AE84A" w14:textId="77777777" w:rsidTr="00BC0AC1">
        <w:trPr>
          <w:trHeight w:val="269"/>
        </w:trPr>
        <w:tc>
          <w:tcPr>
            <w:tcW w:w="1688" w:type="dxa"/>
            <w:tcBorders>
              <w:top w:val="nil"/>
              <w:left w:val="nil"/>
              <w:bottom w:val="nil"/>
              <w:right w:val="nil"/>
            </w:tcBorders>
            <w:shd w:val="clear" w:color="auto" w:fill="auto"/>
            <w:noWrap/>
            <w:vAlign w:val="center"/>
            <w:hideMark/>
          </w:tcPr>
          <w:p w14:paraId="4B5BF434"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Liaoning</w:t>
            </w:r>
          </w:p>
        </w:tc>
        <w:tc>
          <w:tcPr>
            <w:tcW w:w="1777" w:type="dxa"/>
            <w:tcBorders>
              <w:top w:val="nil"/>
              <w:left w:val="nil"/>
              <w:bottom w:val="nil"/>
              <w:right w:val="nil"/>
            </w:tcBorders>
            <w:shd w:val="clear" w:color="auto" w:fill="auto"/>
            <w:noWrap/>
            <w:vAlign w:val="center"/>
            <w:hideMark/>
          </w:tcPr>
          <w:p w14:paraId="21B4534C"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607</w:t>
            </w:r>
          </w:p>
        </w:tc>
        <w:tc>
          <w:tcPr>
            <w:tcW w:w="980" w:type="dxa"/>
            <w:tcBorders>
              <w:top w:val="nil"/>
              <w:left w:val="nil"/>
              <w:bottom w:val="nil"/>
              <w:right w:val="nil"/>
            </w:tcBorders>
            <w:shd w:val="clear" w:color="auto" w:fill="auto"/>
            <w:noWrap/>
            <w:vAlign w:val="center"/>
            <w:hideMark/>
          </w:tcPr>
          <w:p w14:paraId="1DEC4D5F"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11.57</w:t>
            </w:r>
          </w:p>
        </w:tc>
        <w:tc>
          <w:tcPr>
            <w:tcW w:w="913" w:type="dxa"/>
            <w:tcBorders>
              <w:top w:val="nil"/>
              <w:left w:val="nil"/>
              <w:bottom w:val="nil"/>
              <w:right w:val="single" w:sz="4" w:space="0" w:color="auto"/>
            </w:tcBorders>
            <w:shd w:val="clear" w:color="auto" w:fill="auto"/>
            <w:noWrap/>
            <w:vAlign w:val="center"/>
            <w:hideMark/>
          </w:tcPr>
          <w:p w14:paraId="0D610949"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8.31</w:t>
            </w:r>
          </w:p>
        </w:tc>
        <w:tc>
          <w:tcPr>
            <w:tcW w:w="1777" w:type="dxa"/>
            <w:tcBorders>
              <w:top w:val="nil"/>
              <w:left w:val="nil"/>
              <w:bottom w:val="nil"/>
              <w:right w:val="nil"/>
            </w:tcBorders>
            <w:shd w:val="clear" w:color="auto" w:fill="auto"/>
            <w:noWrap/>
            <w:vAlign w:val="center"/>
            <w:hideMark/>
          </w:tcPr>
          <w:p w14:paraId="5EADEBD7"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348</w:t>
            </w:r>
          </w:p>
        </w:tc>
        <w:tc>
          <w:tcPr>
            <w:tcW w:w="980" w:type="dxa"/>
            <w:tcBorders>
              <w:top w:val="nil"/>
              <w:left w:val="nil"/>
              <w:bottom w:val="nil"/>
              <w:right w:val="nil"/>
            </w:tcBorders>
            <w:shd w:val="clear" w:color="auto" w:fill="auto"/>
            <w:noWrap/>
            <w:vAlign w:val="center"/>
            <w:hideMark/>
          </w:tcPr>
          <w:p w14:paraId="513D8B65"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13.26</w:t>
            </w:r>
          </w:p>
        </w:tc>
        <w:tc>
          <w:tcPr>
            <w:tcW w:w="913" w:type="dxa"/>
            <w:tcBorders>
              <w:top w:val="nil"/>
              <w:left w:val="nil"/>
              <w:bottom w:val="nil"/>
              <w:right w:val="nil"/>
            </w:tcBorders>
            <w:shd w:val="clear" w:color="auto" w:fill="auto"/>
            <w:noWrap/>
            <w:vAlign w:val="center"/>
            <w:hideMark/>
          </w:tcPr>
          <w:p w14:paraId="411977EF"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10.49</w:t>
            </w:r>
          </w:p>
        </w:tc>
      </w:tr>
      <w:tr w:rsidR="00BC0AC1" w:rsidRPr="00BC0AC1" w14:paraId="1C8A0F44" w14:textId="77777777" w:rsidTr="00BC0AC1">
        <w:trPr>
          <w:trHeight w:val="269"/>
        </w:trPr>
        <w:tc>
          <w:tcPr>
            <w:tcW w:w="1688" w:type="dxa"/>
            <w:tcBorders>
              <w:top w:val="nil"/>
              <w:left w:val="nil"/>
              <w:bottom w:val="nil"/>
              <w:right w:val="nil"/>
            </w:tcBorders>
            <w:shd w:val="clear" w:color="auto" w:fill="auto"/>
            <w:noWrap/>
            <w:vAlign w:val="center"/>
            <w:hideMark/>
          </w:tcPr>
          <w:p w14:paraId="684E17E7"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Heilongjiang</w:t>
            </w:r>
          </w:p>
        </w:tc>
        <w:tc>
          <w:tcPr>
            <w:tcW w:w="1777" w:type="dxa"/>
            <w:tcBorders>
              <w:top w:val="nil"/>
              <w:left w:val="nil"/>
              <w:bottom w:val="nil"/>
              <w:right w:val="nil"/>
            </w:tcBorders>
            <w:shd w:val="clear" w:color="auto" w:fill="auto"/>
            <w:noWrap/>
            <w:vAlign w:val="center"/>
            <w:hideMark/>
          </w:tcPr>
          <w:p w14:paraId="16F7DB87"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577</w:t>
            </w:r>
          </w:p>
        </w:tc>
        <w:tc>
          <w:tcPr>
            <w:tcW w:w="980" w:type="dxa"/>
            <w:tcBorders>
              <w:top w:val="nil"/>
              <w:left w:val="nil"/>
              <w:bottom w:val="nil"/>
              <w:right w:val="nil"/>
            </w:tcBorders>
            <w:shd w:val="clear" w:color="auto" w:fill="auto"/>
            <w:noWrap/>
            <w:vAlign w:val="center"/>
            <w:hideMark/>
          </w:tcPr>
          <w:p w14:paraId="3DAD7F05"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13.07</w:t>
            </w:r>
          </w:p>
        </w:tc>
        <w:tc>
          <w:tcPr>
            <w:tcW w:w="913" w:type="dxa"/>
            <w:tcBorders>
              <w:top w:val="nil"/>
              <w:left w:val="nil"/>
              <w:bottom w:val="nil"/>
              <w:right w:val="single" w:sz="4" w:space="0" w:color="auto"/>
            </w:tcBorders>
            <w:shd w:val="clear" w:color="auto" w:fill="auto"/>
            <w:noWrap/>
            <w:vAlign w:val="center"/>
            <w:hideMark/>
          </w:tcPr>
          <w:p w14:paraId="43EEA667"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7.115</w:t>
            </w:r>
          </w:p>
        </w:tc>
        <w:tc>
          <w:tcPr>
            <w:tcW w:w="1777" w:type="dxa"/>
            <w:tcBorders>
              <w:top w:val="nil"/>
              <w:left w:val="nil"/>
              <w:bottom w:val="nil"/>
              <w:right w:val="nil"/>
            </w:tcBorders>
            <w:shd w:val="clear" w:color="auto" w:fill="auto"/>
            <w:noWrap/>
            <w:vAlign w:val="center"/>
            <w:hideMark/>
          </w:tcPr>
          <w:p w14:paraId="3572911D"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475</w:t>
            </w:r>
          </w:p>
        </w:tc>
        <w:tc>
          <w:tcPr>
            <w:tcW w:w="980" w:type="dxa"/>
            <w:tcBorders>
              <w:top w:val="nil"/>
              <w:left w:val="nil"/>
              <w:bottom w:val="nil"/>
              <w:right w:val="nil"/>
            </w:tcBorders>
            <w:shd w:val="clear" w:color="auto" w:fill="auto"/>
            <w:noWrap/>
            <w:vAlign w:val="center"/>
            <w:hideMark/>
          </w:tcPr>
          <w:p w14:paraId="0735DB42"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13.52</w:t>
            </w:r>
          </w:p>
        </w:tc>
        <w:tc>
          <w:tcPr>
            <w:tcW w:w="913" w:type="dxa"/>
            <w:tcBorders>
              <w:top w:val="nil"/>
              <w:left w:val="nil"/>
              <w:bottom w:val="nil"/>
              <w:right w:val="nil"/>
            </w:tcBorders>
            <w:shd w:val="clear" w:color="auto" w:fill="auto"/>
            <w:noWrap/>
            <w:vAlign w:val="center"/>
            <w:hideMark/>
          </w:tcPr>
          <w:p w14:paraId="38291EA9"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8.83</w:t>
            </w:r>
          </w:p>
        </w:tc>
      </w:tr>
      <w:tr w:rsidR="00BC0AC1" w:rsidRPr="00BC0AC1" w14:paraId="49BBF57D" w14:textId="77777777" w:rsidTr="00BC0AC1">
        <w:trPr>
          <w:trHeight w:val="269"/>
        </w:trPr>
        <w:tc>
          <w:tcPr>
            <w:tcW w:w="1688" w:type="dxa"/>
            <w:tcBorders>
              <w:top w:val="nil"/>
              <w:left w:val="nil"/>
              <w:bottom w:val="nil"/>
              <w:right w:val="nil"/>
            </w:tcBorders>
            <w:shd w:val="clear" w:color="auto" w:fill="auto"/>
            <w:noWrap/>
            <w:vAlign w:val="center"/>
            <w:hideMark/>
          </w:tcPr>
          <w:p w14:paraId="77785D52"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Shanghai</w:t>
            </w:r>
          </w:p>
        </w:tc>
        <w:tc>
          <w:tcPr>
            <w:tcW w:w="1777" w:type="dxa"/>
            <w:tcBorders>
              <w:top w:val="nil"/>
              <w:left w:val="nil"/>
              <w:bottom w:val="nil"/>
              <w:right w:val="nil"/>
            </w:tcBorders>
            <w:shd w:val="clear" w:color="auto" w:fill="auto"/>
            <w:noWrap/>
            <w:vAlign w:val="center"/>
            <w:hideMark/>
          </w:tcPr>
          <w:p w14:paraId="5FA106C7"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94</w:t>
            </w:r>
          </w:p>
        </w:tc>
        <w:tc>
          <w:tcPr>
            <w:tcW w:w="980" w:type="dxa"/>
            <w:tcBorders>
              <w:top w:val="nil"/>
              <w:left w:val="nil"/>
              <w:bottom w:val="nil"/>
              <w:right w:val="nil"/>
            </w:tcBorders>
            <w:shd w:val="clear" w:color="auto" w:fill="auto"/>
            <w:noWrap/>
            <w:vAlign w:val="center"/>
            <w:hideMark/>
          </w:tcPr>
          <w:p w14:paraId="3F8DE107"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13.43</w:t>
            </w:r>
          </w:p>
        </w:tc>
        <w:tc>
          <w:tcPr>
            <w:tcW w:w="913" w:type="dxa"/>
            <w:tcBorders>
              <w:top w:val="nil"/>
              <w:left w:val="nil"/>
              <w:bottom w:val="nil"/>
              <w:right w:val="single" w:sz="4" w:space="0" w:color="auto"/>
            </w:tcBorders>
            <w:shd w:val="clear" w:color="auto" w:fill="auto"/>
            <w:noWrap/>
            <w:vAlign w:val="center"/>
            <w:hideMark/>
          </w:tcPr>
          <w:p w14:paraId="40FE9020"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8.833</w:t>
            </w:r>
          </w:p>
        </w:tc>
        <w:tc>
          <w:tcPr>
            <w:tcW w:w="1777" w:type="dxa"/>
            <w:tcBorders>
              <w:top w:val="nil"/>
              <w:left w:val="nil"/>
              <w:bottom w:val="nil"/>
              <w:right w:val="nil"/>
            </w:tcBorders>
            <w:shd w:val="clear" w:color="auto" w:fill="auto"/>
            <w:noWrap/>
            <w:vAlign w:val="center"/>
            <w:hideMark/>
          </w:tcPr>
          <w:p w14:paraId="00EBF984"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222</w:t>
            </w:r>
          </w:p>
        </w:tc>
        <w:tc>
          <w:tcPr>
            <w:tcW w:w="980" w:type="dxa"/>
            <w:tcBorders>
              <w:top w:val="nil"/>
              <w:left w:val="nil"/>
              <w:bottom w:val="nil"/>
              <w:right w:val="nil"/>
            </w:tcBorders>
            <w:shd w:val="clear" w:color="auto" w:fill="auto"/>
            <w:noWrap/>
            <w:vAlign w:val="center"/>
            <w:hideMark/>
          </w:tcPr>
          <w:p w14:paraId="77CFE0EA"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14.41</w:t>
            </w:r>
          </w:p>
        </w:tc>
        <w:tc>
          <w:tcPr>
            <w:tcW w:w="913" w:type="dxa"/>
            <w:tcBorders>
              <w:top w:val="nil"/>
              <w:left w:val="nil"/>
              <w:bottom w:val="nil"/>
              <w:right w:val="nil"/>
            </w:tcBorders>
            <w:shd w:val="clear" w:color="auto" w:fill="auto"/>
            <w:noWrap/>
            <w:vAlign w:val="center"/>
            <w:hideMark/>
          </w:tcPr>
          <w:p w14:paraId="7CF47867"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12.90</w:t>
            </w:r>
          </w:p>
        </w:tc>
      </w:tr>
      <w:tr w:rsidR="00BC0AC1" w:rsidRPr="00BC0AC1" w14:paraId="1E3F2945" w14:textId="77777777" w:rsidTr="00BC0AC1">
        <w:trPr>
          <w:trHeight w:val="269"/>
        </w:trPr>
        <w:tc>
          <w:tcPr>
            <w:tcW w:w="1688" w:type="dxa"/>
            <w:tcBorders>
              <w:top w:val="nil"/>
              <w:left w:val="nil"/>
              <w:bottom w:val="nil"/>
              <w:right w:val="nil"/>
            </w:tcBorders>
            <w:shd w:val="clear" w:color="auto" w:fill="auto"/>
            <w:noWrap/>
            <w:vAlign w:val="center"/>
            <w:hideMark/>
          </w:tcPr>
          <w:p w14:paraId="4AC58FCE"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Jiangsu</w:t>
            </w:r>
          </w:p>
        </w:tc>
        <w:tc>
          <w:tcPr>
            <w:tcW w:w="1777" w:type="dxa"/>
            <w:tcBorders>
              <w:top w:val="nil"/>
              <w:left w:val="nil"/>
              <w:bottom w:val="nil"/>
              <w:right w:val="nil"/>
            </w:tcBorders>
            <w:shd w:val="clear" w:color="auto" w:fill="auto"/>
            <w:noWrap/>
            <w:vAlign w:val="center"/>
            <w:hideMark/>
          </w:tcPr>
          <w:p w14:paraId="182AB20C"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606</w:t>
            </w:r>
          </w:p>
        </w:tc>
        <w:tc>
          <w:tcPr>
            <w:tcW w:w="980" w:type="dxa"/>
            <w:tcBorders>
              <w:top w:val="nil"/>
              <w:left w:val="nil"/>
              <w:bottom w:val="nil"/>
              <w:right w:val="nil"/>
            </w:tcBorders>
            <w:shd w:val="clear" w:color="auto" w:fill="auto"/>
            <w:noWrap/>
            <w:vAlign w:val="center"/>
            <w:hideMark/>
          </w:tcPr>
          <w:p w14:paraId="38FD3287"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11.04</w:t>
            </w:r>
          </w:p>
        </w:tc>
        <w:tc>
          <w:tcPr>
            <w:tcW w:w="913" w:type="dxa"/>
            <w:tcBorders>
              <w:top w:val="nil"/>
              <w:left w:val="nil"/>
              <w:bottom w:val="nil"/>
              <w:right w:val="single" w:sz="4" w:space="0" w:color="auto"/>
            </w:tcBorders>
            <w:shd w:val="clear" w:color="auto" w:fill="auto"/>
            <w:noWrap/>
            <w:vAlign w:val="center"/>
            <w:hideMark/>
          </w:tcPr>
          <w:p w14:paraId="64883969"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7.33</w:t>
            </w:r>
          </w:p>
        </w:tc>
        <w:tc>
          <w:tcPr>
            <w:tcW w:w="1777" w:type="dxa"/>
            <w:tcBorders>
              <w:top w:val="nil"/>
              <w:left w:val="nil"/>
              <w:bottom w:val="nil"/>
              <w:right w:val="nil"/>
            </w:tcBorders>
            <w:shd w:val="clear" w:color="auto" w:fill="auto"/>
            <w:noWrap/>
            <w:vAlign w:val="center"/>
            <w:hideMark/>
          </w:tcPr>
          <w:p w14:paraId="590F5F37"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411</w:t>
            </w:r>
          </w:p>
        </w:tc>
        <w:tc>
          <w:tcPr>
            <w:tcW w:w="980" w:type="dxa"/>
            <w:tcBorders>
              <w:top w:val="nil"/>
              <w:left w:val="nil"/>
              <w:bottom w:val="nil"/>
              <w:right w:val="nil"/>
            </w:tcBorders>
            <w:shd w:val="clear" w:color="auto" w:fill="auto"/>
            <w:noWrap/>
            <w:vAlign w:val="center"/>
            <w:hideMark/>
          </w:tcPr>
          <w:p w14:paraId="3DC4944D"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12.95</w:t>
            </w:r>
          </w:p>
        </w:tc>
        <w:tc>
          <w:tcPr>
            <w:tcW w:w="913" w:type="dxa"/>
            <w:tcBorders>
              <w:top w:val="nil"/>
              <w:left w:val="nil"/>
              <w:bottom w:val="nil"/>
              <w:right w:val="nil"/>
            </w:tcBorders>
            <w:shd w:val="clear" w:color="auto" w:fill="auto"/>
            <w:noWrap/>
            <w:vAlign w:val="center"/>
            <w:hideMark/>
          </w:tcPr>
          <w:p w14:paraId="397A2737"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10.83</w:t>
            </w:r>
          </w:p>
        </w:tc>
      </w:tr>
      <w:tr w:rsidR="00BC0AC1" w:rsidRPr="00BC0AC1" w14:paraId="0978E170" w14:textId="77777777" w:rsidTr="00BC0AC1">
        <w:trPr>
          <w:trHeight w:val="269"/>
        </w:trPr>
        <w:tc>
          <w:tcPr>
            <w:tcW w:w="1688" w:type="dxa"/>
            <w:tcBorders>
              <w:top w:val="nil"/>
              <w:left w:val="nil"/>
              <w:bottom w:val="nil"/>
              <w:right w:val="nil"/>
            </w:tcBorders>
            <w:shd w:val="clear" w:color="auto" w:fill="auto"/>
            <w:noWrap/>
            <w:vAlign w:val="center"/>
            <w:hideMark/>
          </w:tcPr>
          <w:p w14:paraId="781F100F"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Shandong</w:t>
            </w:r>
          </w:p>
        </w:tc>
        <w:tc>
          <w:tcPr>
            <w:tcW w:w="1777" w:type="dxa"/>
            <w:tcBorders>
              <w:top w:val="nil"/>
              <w:left w:val="nil"/>
              <w:bottom w:val="nil"/>
              <w:right w:val="nil"/>
            </w:tcBorders>
            <w:shd w:val="clear" w:color="auto" w:fill="auto"/>
            <w:noWrap/>
            <w:vAlign w:val="center"/>
            <w:hideMark/>
          </w:tcPr>
          <w:p w14:paraId="5AB8010A"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540</w:t>
            </w:r>
          </w:p>
        </w:tc>
        <w:tc>
          <w:tcPr>
            <w:tcW w:w="980" w:type="dxa"/>
            <w:tcBorders>
              <w:top w:val="nil"/>
              <w:left w:val="nil"/>
              <w:bottom w:val="nil"/>
              <w:right w:val="nil"/>
            </w:tcBorders>
            <w:shd w:val="clear" w:color="auto" w:fill="auto"/>
            <w:noWrap/>
            <w:vAlign w:val="center"/>
            <w:hideMark/>
          </w:tcPr>
          <w:p w14:paraId="600CC48F"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10.30</w:t>
            </w:r>
          </w:p>
        </w:tc>
        <w:tc>
          <w:tcPr>
            <w:tcW w:w="913" w:type="dxa"/>
            <w:tcBorders>
              <w:top w:val="nil"/>
              <w:left w:val="nil"/>
              <w:bottom w:val="nil"/>
              <w:right w:val="single" w:sz="4" w:space="0" w:color="auto"/>
            </w:tcBorders>
            <w:shd w:val="clear" w:color="auto" w:fill="auto"/>
            <w:noWrap/>
            <w:vAlign w:val="center"/>
            <w:hideMark/>
          </w:tcPr>
          <w:p w14:paraId="64DD7950"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8.19</w:t>
            </w:r>
          </w:p>
        </w:tc>
        <w:tc>
          <w:tcPr>
            <w:tcW w:w="1777" w:type="dxa"/>
            <w:tcBorders>
              <w:top w:val="nil"/>
              <w:left w:val="nil"/>
              <w:bottom w:val="nil"/>
              <w:right w:val="nil"/>
            </w:tcBorders>
            <w:shd w:val="clear" w:color="auto" w:fill="auto"/>
            <w:noWrap/>
            <w:vAlign w:val="center"/>
            <w:hideMark/>
          </w:tcPr>
          <w:p w14:paraId="1F83EA53"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413</w:t>
            </w:r>
          </w:p>
        </w:tc>
        <w:tc>
          <w:tcPr>
            <w:tcW w:w="980" w:type="dxa"/>
            <w:tcBorders>
              <w:top w:val="nil"/>
              <w:left w:val="nil"/>
              <w:bottom w:val="nil"/>
              <w:right w:val="nil"/>
            </w:tcBorders>
            <w:shd w:val="clear" w:color="auto" w:fill="auto"/>
            <w:noWrap/>
            <w:vAlign w:val="center"/>
            <w:hideMark/>
          </w:tcPr>
          <w:p w14:paraId="22C13A16"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12.27</w:t>
            </w:r>
          </w:p>
        </w:tc>
        <w:tc>
          <w:tcPr>
            <w:tcW w:w="913" w:type="dxa"/>
            <w:tcBorders>
              <w:top w:val="nil"/>
              <w:left w:val="nil"/>
              <w:bottom w:val="nil"/>
              <w:right w:val="nil"/>
            </w:tcBorders>
            <w:shd w:val="clear" w:color="auto" w:fill="auto"/>
            <w:noWrap/>
            <w:vAlign w:val="center"/>
            <w:hideMark/>
          </w:tcPr>
          <w:p w14:paraId="69DE1FDA"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10.62</w:t>
            </w:r>
          </w:p>
        </w:tc>
      </w:tr>
      <w:tr w:rsidR="00BC0AC1" w:rsidRPr="00BC0AC1" w14:paraId="30ED778D" w14:textId="77777777" w:rsidTr="00BC0AC1">
        <w:trPr>
          <w:trHeight w:val="269"/>
        </w:trPr>
        <w:tc>
          <w:tcPr>
            <w:tcW w:w="1688" w:type="dxa"/>
            <w:tcBorders>
              <w:top w:val="nil"/>
              <w:left w:val="nil"/>
              <w:bottom w:val="nil"/>
              <w:right w:val="nil"/>
            </w:tcBorders>
            <w:shd w:val="clear" w:color="auto" w:fill="auto"/>
            <w:noWrap/>
            <w:vAlign w:val="center"/>
            <w:hideMark/>
          </w:tcPr>
          <w:p w14:paraId="7D6D4719"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Henan</w:t>
            </w:r>
          </w:p>
        </w:tc>
        <w:tc>
          <w:tcPr>
            <w:tcW w:w="1777" w:type="dxa"/>
            <w:tcBorders>
              <w:top w:val="nil"/>
              <w:left w:val="nil"/>
              <w:bottom w:val="nil"/>
              <w:right w:val="nil"/>
            </w:tcBorders>
            <w:shd w:val="clear" w:color="auto" w:fill="auto"/>
            <w:noWrap/>
            <w:vAlign w:val="center"/>
            <w:hideMark/>
          </w:tcPr>
          <w:p w14:paraId="644D79E0"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613</w:t>
            </w:r>
          </w:p>
        </w:tc>
        <w:tc>
          <w:tcPr>
            <w:tcW w:w="980" w:type="dxa"/>
            <w:tcBorders>
              <w:top w:val="nil"/>
              <w:left w:val="nil"/>
              <w:bottom w:val="nil"/>
              <w:right w:val="nil"/>
            </w:tcBorders>
            <w:shd w:val="clear" w:color="auto" w:fill="auto"/>
            <w:noWrap/>
            <w:vAlign w:val="center"/>
            <w:hideMark/>
          </w:tcPr>
          <w:p w14:paraId="0B496084"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10.49</w:t>
            </w:r>
          </w:p>
        </w:tc>
        <w:tc>
          <w:tcPr>
            <w:tcW w:w="913" w:type="dxa"/>
            <w:tcBorders>
              <w:top w:val="nil"/>
              <w:left w:val="nil"/>
              <w:bottom w:val="nil"/>
              <w:right w:val="single" w:sz="4" w:space="0" w:color="auto"/>
            </w:tcBorders>
            <w:shd w:val="clear" w:color="auto" w:fill="auto"/>
            <w:noWrap/>
            <w:vAlign w:val="center"/>
            <w:hideMark/>
          </w:tcPr>
          <w:p w14:paraId="19086F23"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7.52</w:t>
            </w:r>
          </w:p>
        </w:tc>
        <w:tc>
          <w:tcPr>
            <w:tcW w:w="1777" w:type="dxa"/>
            <w:tcBorders>
              <w:top w:val="nil"/>
              <w:left w:val="nil"/>
              <w:bottom w:val="nil"/>
              <w:right w:val="nil"/>
            </w:tcBorders>
            <w:shd w:val="clear" w:color="auto" w:fill="auto"/>
            <w:noWrap/>
            <w:vAlign w:val="center"/>
            <w:hideMark/>
          </w:tcPr>
          <w:p w14:paraId="739C5A9E"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439</w:t>
            </w:r>
          </w:p>
        </w:tc>
        <w:tc>
          <w:tcPr>
            <w:tcW w:w="980" w:type="dxa"/>
            <w:tcBorders>
              <w:top w:val="nil"/>
              <w:left w:val="nil"/>
              <w:bottom w:val="nil"/>
              <w:right w:val="nil"/>
            </w:tcBorders>
            <w:shd w:val="clear" w:color="auto" w:fill="auto"/>
            <w:noWrap/>
            <w:vAlign w:val="center"/>
            <w:hideMark/>
          </w:tcPr>
          <w:p w14:paraId="504D557C"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11.90</w:t>
            </w:r>
          </w:p>
        </w:tc>
        <w:tc>
          <w:tcPr>
            <w:tcW w:w="913" w:type="dxa"/>
            <w:tcBorders>
              <w:top w:val="nil"/>
              <w:left w:val="nil"/>
              <w:bottom w:val="nil"/>
              <w:right w:val="nil"/>
            </w:tcBorders>
            <w:shd w:val="clear" w:color="auto" w:fill="auto"/>
            <w:noWrap/>
            <w:vAlign w:val="center"/>
            <w:hideMark/>
          </w:tcPr>
          <w:p w14:paraId="41D55A14"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9.62</w:t>
            </w:r>
          </w:p>
        </w:tc>
      </w:tr>
      <w:tr w:rsidR="00BC0AC1" w:rsidRPr="00BC0AC1" w14:paraId="634B3D9F" w14:textId="77777777" w:rsidTr="00BC0AC1">
        <w:trPr>
          <w:trHeight w:val="269"/>
        </w:trPr>
        <w:tc>
          <w:tcPr>
            <w:tcW w:w="1688" w:type="dxa"/>
            <w:tcBorders>
              <w:top w:val="nil"/>
              <w:left w:val="nil"/>
              <w:bottom w:val="nil"/>
              <w:right w:val="nil"/>
            </w:tcBorders>
            <w:shd w:val="clear" w:color="auto" w:fill="auto"/>
            <w:noWrap/>
            <w:vAlign w:val="center"/>
            <w:hideMark/>
          </w:tcPr>
          <w:p w14:paraId="21101E3D"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Hubei</w:t>
            </w:r>
          </w:p>
        </w:tc>
        <w:tc>
          <w:tcPr>
            <w:tcW w:w="1777" w:type="dxa"/>
            <w:tcBorders>
              <w:top w:val="nil"/>
              <w:left w:val="nil"/>
              <w:bottom w:val="nil"/>
              <w:right w:val="nil"/>
            </w:tcBorders>
            <w:shd w:val="clear" w:color="auto" w:fill="auto"/>
            <w:noWrap/>
            <w:vAlign w:val="center"/>
            <w:hideMark/>
          </w:tcPr>
          <w:p w14:paraId="0264BE9D"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628</w:t>
            </w:r>
          </w:p>
        </w:tc>
        <w:tc>
          <w:tcPr>
            <w:tcW w:w="980" w:type="dxa"/>
            <w:tcBorders>
              <w:top w:val="nil"/>
              <w:left w:val="nil"/>
              <w:bottom w:val="nil"/>
              <w:right w:val="nil"/>
            </w:tcBorders>
            <w:shd w:val="clear" w:color="auto" w:fill="auto"/>
            <w:noWrap/>
            <w:vAlign w:val="center"/>
            <w:hideMark/>
          </w:tcPr>
          <w:p w14:paraId="6DF14634"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10.45</w:t>
            </w:r>
          </w:p>
        </w:tc>
        <w:tc>
          <w:tcPr>
            <w:tcW w:w="913" w:type="dxa"/>
            <w:tcBorders>
              <w:top w:val="nil"/>
              <w:left w:val="nil"/>
              <w:bottom w:val="nil"/>
              <w:right w:val="single" w:sz="4" w:space="0" w:color="auto"/>
            </w:tcBorders>
            <w:shd w:val="clear" w:color="auto" w:fill="auto"/>
            <w:noWrap/>
            <w:vAlign w:val="center"/>
            <w:hideMark/>
          </w:tcPr>
          <w:p w14:paraId="5C1F296F"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7.77</w:t>
            </w:r>
          </w:p>
        </w:tc>
        <w:tc>
          <w:tcPr>
            <w:tcW w:w="1777" w:type="dxa"/>
            <w:tcBorders>
              <w:top w:val="nil"/>
              <w:left w:val="nil"/>
              <w:bottom w:val="nil"/>
              <w:right w:val="nil"/>
            </w:tcBorders>
            <w:shd w:val="clear" w:color="auto" w:fill="auto"/>
            <w:noWrap/>
            <w:vAlign w:val="center"/>
            <w:hideMark/>
          </w:tcPr>
          <w:p w14:paraId="32857180"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381</w:t>
            </w:r>
          </w:p>
        </w:tc>
        <w:tc>
          <w:tcPr>
            <w:tcW w:w="980" w:type="dxa"/>
            <w:tcBorders>
              <w:top w:val="nil"/>
              <w:left w:val="nil"/>
              <w:bottom w:val="nil"/>
              <w:right w:val="nil"/>
            </w:tcBorders>
            <w:shd w:val="clear" w:color="auto" w:fill="auto"/>
            <w:noWrap/>
            <w:vAlign w:val="center"/>
            <w:hideMark/>
          </w:tcPr>
          <w:p w14:paraId="445FFDBD"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12.13</w:t>
            </w:r>
          </w:p>
        </w:tc>
        <w:tc>
          <w:tcPr>
            <w:tcW w:w="913" w:type="dxa"/>
            <w:tcBorders>
              <w:top w:val="nil"/>
              <w:left w:val="nil"/>
              <w:bottom w:val="nil"/>
              <w:right w:val="nil"/>
            </w:tcBorders>
            <w:shd w:val="clear" w:color="auto" w:fill="auto"/>
            <w:noWrap/>
            <w:vAlign w:val="center"/>
            <w:hideMark/>
          </w:tcPr>
          <w:p w14:paraId="31960504"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10.20</w:t>
            </w:r>
          </w:p>
        </w:tc>
      </w:tr>
      <w:tr w:rsidR="00BC0AC1" w:rsidRPr="00BC0AC1" w14:paraId="4367F2F4" w14:textId="77777777" w:rsidTr="00BC0AC1">
        <w:trPr>
          <w:trHeight w:val="269"/>
        </w:trPr>
        <w:tc>
          <w:tcPr>
            <w:tcW w:w="1688" w:type="dxa"/>
            <w:tcBorders>
              <w:top w:val="nil"/>
              <w:left w:val="nil"/>
              <w:bottom w:val="nil"/>
              <w:right w:val="nil"/>
            </w:tcBorders>
            <w:shd w:val="clear" w:color="auto" w:fill="auto"/>
            <w:noWrap/>
            <w:vAlign w:val="center"/>
            <w:hideMark/>
          </w:tcPr>
          <w:p w14:paraId="5887EE6D"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Hunan</w:t>
            </w:r>
          </w:p>
        </w:tc>
        <w:tc>
          <w:tcPr>
            <w:tcW w:w="1777" w:type="dxa"/>
            <w:tcBorders>
              <w:top w:val="nil"/>
              <w:left w:val="nil"/>
              <w:bottom w:val="nil"/>
              <w:right w:val="nil"/>
            </w:tcBorders>
            <w:shd w:val="clear" w:color="auto" w:fill="auto"/>
            <w:noWrap/>
            <w:vAlign w:val="center"/>
            <w:hideMark/>
          </w:tcPr>
          <w:p w14:paraId="71D2BA7D"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711</w:t>
            </w:r>
          </w:p>
        </w:tc>
        <w:tc>
          <w:tcPr>
            <w:tcW w:w="980" w:type="dxa"/>
            <w:tcBorders>
              <w:top w:val="nil"/>
              <w:left w:val="nil"/>
              <w:bottom w:val="nil"/>
              <w:right w:val="nil"/>
            </w:tcBorders>
            <w:shd w:val="clear" w:color="auto" w:fill="auto"/>
            <w:noWrap/>
            <w:vAlign w:val="center"/>
            <w:hideMark/>
          </w:tcPr>
          <w:p w14:paraId="3C494705"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10.31</w:t>
            </w:r>
          </w:p>
        </w:tc>
        <w:tc>
          <w:tcPr>
            <w:tcW w:w="913" w:type="dxa"/>
            <w:tcBorders>
              <w:top w:val="nil"/>
              <w:left w:val="nil"/>
              <w:bottom w:val="nil"/>
              <w:right w:val="single" w:sz="4" w:space="0" w:color="auto"/>
            </w:tcBorders>
            <w:shd w:val="clear" w:color="auto" w:fill="auto"/>
            <w:noWrap/>
            <w:vAlign w:val="center"/>
            <w:hideMark/>
          </w:tcPr>
          <w:p w14:paraId="62365D29"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8.75</w:t>
            </w:r>
          </w:p>
        </w:tc>
        <w:tc>
          <w:tcPr>
            <w:tcW w:w="1777" w:type="dxa"/>
            <w:tcBorders>
              <w:top w:val="nil"/>
              <w:left w:val="nil"/>
              <w:bottom w:val="nil"/>
              <w:right w:val="nil"/>
            </w:tcBorders>
            <w:shd w:val="clear" w:color="auto" w:fill="auto"/>
            <w:noWrap/>
            <w:vAlign w:val="center"/>
            <w:hideMark/>
          </w:tcPr>
          <w:p w14:paraId="5AA0DFA2"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394</w:t>
            </w:r>
          </w:p>
        </w:tc>
        <w:tc>
          <w:tcPr>
            <w:tcW w:w="980" w:type="dxa"/>
            <w:tcBorders>
              <w:top w:val="nil"/>
              <w:left w:val="nil"/>
              <w:bottom w:val="nil"/>
              <w:right w:val="nil"/>
            </w:tcBorders>
            <w:shd w:val="clear" w:color="auto" w:fill="auto"/>
            <w:noWrap/>
            <w:vAlign w:val="center"/>
            <w:hideMark/>
          </w:tcPr>
          <w:p w14:paraId="68B03FB6"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12.91</w:t>
            </w:r>
          </w:p>
        </w:tc>
        <w:tc>
          <w:tcPr>
            <w:tcW w:w="913" w:type="dxa"/>
            <w:tcBorders>
              <w:top w:val="nil"/>
              <w:left w:val="nil"/>
              <w:bottom w:val="nil"/>
              <w:right w:val="nil"/>
            </w:tcBorders>
            <w:shd w:val="clear" w:color="auto" w:fill="auto"/>
            <w:noWrap/>
            <w:vAlign w:val="center"/>
            <w:hideMark/>
          </w:tcPr>
          <w:p w14:paraId="4C891E9B"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11.02</w:t>
            </w:r>
          </w:p>
        </w:tc>
      </w:tr>
      <w:tr w:rsidR="00BC0AC1" w:rsidRPr="00BC0AC1" w14:paraId="7BDEF9BA" w14:textId="77777777" w:rsidTr="00BC0AC1">
        <w:trPr>
          <w:trHeight w:val="269"/>
        </w:trPr>
        <w:tc>
          <w:tcPr>
            <w:tcW w:w="1688" w:type="dxa"/>
            <w:tcBorders>
              <w:top w:val="nil"/>
              <w:left w:val="nil"/>
              <w:bottom w:val="nil"/>
              <w:right w:val="nil"/>
            </w:tcBorders>
            <w:shd w:val="clear" w:color="auto" w:fill="auto"/>
            <w:noWrap/>
            <w:vAlign w:val="center"/>
            <w:hideMark/>
          </w:tcPr>
          <w:p w14:paraId="05E061E5"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Guangxi</w:t>
            </w:r>
          </w:p>
        </w:tc>
        <w:tc>
          <w:tcPr>
            <w:tcW w:w="1777" w:type="dxa"/>
            <w:tcBorders>
              <w:top w:val="nil"/>
              <w:left w:val="nil"/>
              <w:bottom w:val="nil"/>
              <w:right w:val="nil"/>
            </w:tcBorders>
            <w:shd w:val="clear" w:color="auto" w:fill="auto"/>
            <w:noWrap/>
            <w:vAlign w:val="center"/>
            <w:hideMark/>
          </w:tcPr>
          <w:p w14:paraId="0C184D36"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798</w:t>
            </w:r>
          </w:p>
        </w:tc>
        <w:tc>
          <w:tcPr>
            <w:tcW w:w="980" w:type="dxa"/>
            <w:tcBorders>
              <w:top w:val="nil"/>
              <w:left w:val="nil"/>
              <w:bottom w:val="nil"/>
              <w:right w:val="nil"/>
            </w:tcBorders>
            <w:shd w:val="clear" w:color="auto" w:fill="auto"/>
            <w:noWrap/>
            <w:vAlign w:val="center"/>
            <w:hideMark/>
          </w:tcPr>
          <w:p w14:paraId="1B56BAE1"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10.03</w:t>
            </w:r>
          </w:p>
        </w:tc>
        <w:tc>
          <w:tcPr>
            <w:tcW w:w="913" w:type="dxa"/>
            <w:tcBorders>
              <w:top w:val="nil"/>
              <w:left w:val="nil"/>
              <w:bottom w:val="nil"/>
              <w:right w:val="single" w:sz="4" w:space="0" w:color="auto"/>
            </w:tcBorders>
            <w:shd w:val="clear" w:color="auto" w:fill="auto"/>
            <w:noWrap/>
            <w:vAlign w:val="center"/>
            <w:hideMark/>
          </w:tcPr>
          <w:p w14:paraId="694C0E4C"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8.26</w:t>
            </w:r>
          </w:p>
        </w:tc>
        <w:tc>
          <w:tcPr>
            <w:tcW w:w="1777" w:type="dxa"/>
            <w:tcBorders>
              <w:top w:val="nil"/>
              <w:left w:val="nil"/>
              <w:bottom w:val="nil"/>
              <w:right w:val="nil"/>
            </w:tcBorders>
            <w:shd w:val="clear" w:color="auto" w:fill="auto"/>
            <w:noWrap/>
            <w:vAlign w:val="center"/>
            <w:hideMark/>
          </w:tcPr>
          <w:p w14:paraId="25CD5B2B"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387</w:t>
            </w:r>
          </w:p>
        </w:tc>
        <w:tc>
          <w:tcPr>
            <w:tcW w:w="980" w:type="dxa"/>
            <w:tcBorders>
              <w:top w:val="nil"/>
              <w:left w:val="nil"/>
              <w:bottom w:val="nil"/>
              <w:right w:val="nil"/>
            </w:tcBorders>
            <w:shd w:val="clear" w:color="auto" w:fill="auto"/>
            <w:noWrap/>
            <w:vAlign w:val="center"/>
            <w:hideMark/>
          </w:tcPr>
          <w:p w14:paraId="522F4721"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12.79</w:t>
            </w:r>
          </w:p>
        </w:tc>
        <w:tc>
          <w:tcPr>
            <w:tcW w:w="913" w:type="dxa"/>
            <w:tcBorders>
              <w:top w:val="nil"/>
              <w:left w:val="nil"/>
              <w:bottom w:val="nil"/>
              <w:right w:val="nil"/>
            </w:tcBorders>
            <w:shd w:val="clear" w:color="auto" w:fill="auto"/>
            <w:noWrap/>
            <w:vAlign w:val="center"/>
            <w:hideMark/>
          </w:tcPr>
          <w:p w14:paraId="7AC893E7"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10.04</w:t>
            </w:r>
          </w:p>
        </w:tc>
      </w:tr>
      <w:tr w:rsidR="00BC0AC1" w:rsidRPr="00BC0AC1" w14:paraId="596220BA" w14:textId="77777777" w:rsidTr="00BC0AC1">
        <w:trPr>
          <w:trHeight w:val="269"/>
        </w:trPr>
        <w:tc>
          <w:tcPr>
            <w:tcW w:w="1688" w:type="dxa"/>
            <w:tcBorders>
              <w:top w:val="nil"/>
              <w:left w:val="nil"/>
              <w:bottom w:val="nil"/>
              <w:right w:val="nil"/>
            </w:tcBorders>
            <w:shd w:val="clear" w:color="auto" w:fill="auto"/>
            <w:noWrap/>
            <w:vAlign w:val="center"/>
            <w:hideMark/>
          </w:tcPr>
          <w:p w14:paraId="341F5BAB"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Chongqing</w:t>
            </w:r>
          </w:p>
        </w:tc>
        <w:tc>
          <w:tcPr>
            <w:tcW w:w="1777" w:type="dxa"/>
            <w:tcBorders>
              <w:top w:val="nil"/>
              <w:left w:val="nil"/>
              <w:bottom w:val="nil"/>
              <w:right w:val="nil"/>
            </w:tcBorders>
            <w:shd w:val="clear" w:color="auto" w:fill="auto"/>
            <w:noWrap/>
            <w:vAlign w:val="center"/>
            <w:hideMark/>
          </w:tcPr>
          <w:p w14:paraId="320C75C8"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581</w:t>
            </w:r>
          </w:p>
        </w:tc>
        <w:tc>
          <w:tcPr>
            <w:tcW w:w="980" w:type="dxa"/>
            <w:tcBorders>
              <w:top w:val="nil"/>
              <w:left w:val="nil"/>
              <w:bottom w:val="nil"/>
              <w:right w:val="nil"/>
            </w:tcBorders>
            <w:shd w:val="clear" w:color="auto" w:fill="auto"/>
            <w:noWrap/>
            <w:vAlign w:val="center"/>
            <w:hideMark/>
          </w:tcPr>
          <w:p w14:paraId="230F3826"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10.92</w:t>
            </w:r>
          </w:p>
        </w:tc>
        <w:tc>
          <w:tcPr>
            <w:tcW w:w="913" w:type="dxa"/>
            <w:tcBorders>
              <w:top w:val="nil"/>
              <w:left w:val="nil"/>
              <w:bottom w:val="nil"/>
              <w:right w:val="single" w:sz="4" w:space="0" w:color="auto"/>
            </w:tcBorders>
            <w:shd w:val="clear" w:color="auto" w:fill="auto"/>
            <w:noWrap/>
            <w:vAlign w:val="center"/>
            <w:hideMark/>
          </w:tcPr>
          <w:p w14:paraId="19E9D004"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6.39</w:t>
            </w:r>
          </w:p>
        </w:tc>
        <w:tc>
          <w:tcPr>
            <w:tcW w:w="1777" w:type="dxa"/>
            <w:tcBorders>
              <w:top w:val="nil"/>
              <w:left w:val="nil"/>
              <w:bottom w:val="nil"/>
              <w:right w:val="nil"/>
            </w:tcBorders>
            <w:shd w:val="clear" w:color="auto" w:fill="auto"/>
            <w:noWrap/>
            <w:vAlign w:val="center"/>
            <w:hideMark/>
          </w:tcPr>
          <w:p w14:paraId="39DDE47F"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586</w:t>
            </w:r>
          </w:p>
        </w:tc>
        <w:tc>
          <w:tcPr>
            <w:tcW w:w="980" w:type="dxa"/>
            <w:tcBorders>
              <w:top w:val="nil"/>
              <w:left w:val="nil"/>
              <w:bottom w:val="nil"/>
              <w:right w:val="nil"/>
            </w:tcBorders>
            <w:shd w:val="clear" w:color="auto" w:fill="auto"/>
            <w:noWrap/>
            <w:vAlign w:val="center"/>
            <w:hideMark/>
          </w:tcPr>
          <w:p w14:paraId="1093BB13"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11.74</w:t>
            </w:r>
          </w:p>
        </w:tc>
        <w:tc>
          <w:tcPr>
            <w:tcW w:w="913" w:type="dxa"/>
            <w:tcBorders>
              <w:top w:val="nil"/>
              <w:left w:val="nil"/>
              <w:bottom w:val="nil"/>
              <w:right w:val="nil"/>
            </w:tcBorders>
            <w:shd w:val="clear" w:color="auto" w:fill="auto"/>
            <w:noWrap/>
            <w:vAlign w:val="center"/>
            <w:hideMark/>
          </w:tcPr>
          <w:p w14:paraId="0E7C80B4"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8.74</w:t>
            </w:r>
          </w:p>
        </w:tc>
      </w:tr>
      <w:tr w:rsidR="00BC0AC1" w:rsidRPr="00BC0AC1" w14:paraId="0B08E0F2" w14:textId="77777777" w:rsidTr="00BC0AC1">
        <w:trPr>
          <w:trHeight w:val="281"/>
        </w:trPr>
        <w:tc>
          <w:tcPr>
            <w:tcW w:w="1688" w:type="dxa"/>
            <w:tcBorders>
              <w:top w:val="nil"/>
              <w:left w:val="nil"/>
              <w:bottom w:val="double" w:sz="6" w:space="0" w:color="auto"/>
              <w:right w:val="nil"/>
            </w:tcBorders>
            <w:shd w:val="clear" w:color="auto" w:fill="auto"/>
            <w:noWrap/>
            <w:vAlign w:val="center"/>
            <w:hideMark/>
          </w:tcPr>
          <w:p w14:paraId="248E6746"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Guizhou</w:t>
            </w:r>
          </w:p>
        </w:tc>
        <w:tc>
          <w:tcPr>
            <w:tcW w:w="1777" w:type="dxa"/>
            <w:tcBorders>
              <w:top w:val="nil"/>
              <w:left w:val="nil"/>
              <w:bottom w:val="double" w:sz="6" w:space="0" w:color="auto"/>
              <w:right w:val="nil"/>
            </w:tcBorders>
            <w:shd w:val="clear" w:color="auto" w:fill="auto"/>
            <w:noWrap/>
            <w:vAlign w:val="center"/>
            <w:hideMark/>
          </w:tcPr>
          <w:p w14:paraId="061CAAE5"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114</w:t>
            </w:r>
          </w:p>
        </w:tc>
        <w:tc>
          <w:tcPr>
            <w:tcW w:w="980" w:type="dxa"/>
            <w:tcBorders>
              <w:top w:val="nil"/>
              <w:left w:val="nil"/>
              <w:bottom w:val="double" w:sz="6" w:space="0" w:color="auto"/>
              <w:right w:val="nil"/>
            </w:tcBorders>
            <w:shd w:val="clear" w:color="auto" w:fill="auto"/>
            <w:noWrap/>
            <w:vAlign w:val="center"/>
            <w:hideMark/>
          </w:tcPr>
          <w:p w14:paraId="14D4CB17"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9.29</w:t>
            </w:r>
          </w:p>
        </w:tc>
        <w:tc>
          <w:tcPr>
            <w:tcW w:w="913" w:type="dxa"/>
            <w:tcBorders>
              <w:top w:val="nil"/>
              <w:left w:val="nil"/>
              <w:bottom w:val="double" w:sz="6" w:space="0" w:color="auto"/>
              <w:right w:val="single" w:sz="4" w:space="0" w:color="auto"/>
            </w:tcBorders>
            <w:shd w:val="clear" w:color="auto" w:fill="auto"/>
            <w:noWrap/>
            <w:vAlign w:val="center"/>
            <w:hideMark/>
          </w:tcPr>
          <w:p w14:paraId="427FF82A"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7.15</w:t>
            </w:r>
          </w:p>
        </w:tc>
        <w:tc>
          <w:tcPr>
            <w:tcW w:w="1777" w:type="dxa"/>
            <w:tcBorders>
              <w:top w:val="nil"/>
              <w:left w:val="nil"/>
              <w:bottom w:val="double" w:sz="6" w:space="0" w:color="auto"/>
              <w:right w:val="nil"/>
            </w:tcBorders>
            <w:shd w:val="clear" w:color="auto" w:fill="auto"/>
            <w:noWrap/>
            <w:vAlign w:val="center"/>
            <w:hideMark/>
          </w:tcPr>
          <w:p w14:paraId="42602FAF"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187</w:t>
            </w:r>
          </w:p>
        </w:tc>
        <w:tc>
          <w:tcPr>
            <w:tcW w:w="980" w:type="dxa"/>
            <w:tcBorders>
              <w:top w:val="nil"/>
              <w:left w:val="nil"/>
              <w:bottom w:val="double" w:sz="6" w:space="0" w:color="auto"/>
              <w:right w:val="nil"/>
            </w:tcBorders>
            <w:shd w:val="clear" w:color="auto" w:fill="auto"/>
            <w:noWrap/>
            <w:vAlign w:val="center"/>
            <w:hideMark/>
          </w:tcPr>
          <w:p w14:paraId="7F1230E6"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12.62</w:t>
            </w:r>
          </w:p>
        </w:tc>
        <w:tc>
          <w:tcPr>
            <w:tcW w:w="913" w:type="dxa"/>
            <w:tcBorders>
              <w:top w:val="nil"/>
              <w:left w:val="nil"/>
              <w:bottom w:val="double" w:sz="6" w:space="0" w:color="auto"/>
              <w:right w:val="nil"/>
            </w:tcBorders>
            <w:shd w:val="clear" w:color="auto" w:fill="auto"/>
            <w:noWrap/>
            <w:vAlign w:val="center"/>
            <w:hideMark/>
          </w:tcPr>
          <w:p w14:paraId="77EAF012" w14:textId="77777777" w:rsidR="00BC0AC1" w:rsidRPr="00BC0AC1" w:rsidRDefault="00BC0AC1" w:rsidP="00BC0AC1">
            <w:pPr>
              <w:spacing w:after="0" w:line="240" w:lineRule="auto"/>
              <w:jc w:val="center"/>
              <w:rPr>
                <w:rFonts w:ascii="Calibri" w:eastAsia="Times New Roman" w:hAnsi="Calibri" w:cs="Calibri"/>
                <w:color w:val="000000"/>
                <w:sz w:val="22"/>
              </w:rPr>
            </w:pPr>
            <w:r w:rsidRPr="00BC0AC1">
              <w:rPr>
                <w:rFonts w:ascii="Calibri" w:eastAsia="Times New Roman" w:hAnsi="Calibri" w:cs="Calibri"/>
                <w:color w:val="000000"/>
                <w:sz w:val="22"/>
              </w:rPr>
              <w:t>9.25</w:t>
            </w:r>
          </w:p>
        </w:tc>
      </w:tr>
    </w:tbl>
    <w:p w14:paraId="673C5A9A" w14:textId="14C3DF67" w:rsidR="003743CE" w:rsidRDefault="003743CE" w:rsidP="003743CE"/>
    <w:p w14:paraId="395E1F00" w14:textId="77777777" w:rsidR="003743CE" w:rsidRPr="003743CE" w:rsidRDefault="003743CE" w:rsidP="003743CE"/>
    <w:p w14:paraId="5A37E7B2" w14:textId="43127CC6" w:rsidR="00B70B36" w:rsidRDefault="00B70B36" w:rsidP="00B70B36">
      <w:pPr>
        <w:pStyle w:val="NormalWeb"/>
        <w:spacing w:after="240" w:line="360" w:lineRule="auto"/>
        <w:ind w:firstLine="567"/>
        <w:jc w:val="both"/>
      </w:pPr>
      <w:r>
        <w:t>Recall that the goal of CSL is improving people’s education and social equity. D</w:t>
      </w:r>
      <w:r w:rsidRPr="0057404B">
        <w:t xml:space="preserve">ue to the large gap between urban and rural areas, </w:t>
      </w:r>
      <w:r>
        <w:t xml:space="preserve">the </w:t>
      </w:r>
      <w:r w:rsidRPr="0057404B">
        <w:t xml:space="preserve">second </w:t>
      </w:r>
      <w:r>
        <w:t>instrument variable</w:t>
      </w:r>
      <w:r w:rsidRPr="0057404B">
        <w:rPr>
          <w:i/>
          <w:iCs/>
          <w:szCs w:val="22"/>
        </w:rPr>
        <w:t xml:space="preserve"> </w:t>
      </w:r>
      <w:proofErr w:type="spellStart"/>
      <w:r w:rsidR="00020B81">
        <w:rPr>
          <w:i/>
          <w:iCs/>
          <w:szCs w:val="22"/>
        </w:rPr>
        <w:t>a</w:t>
      </w:r>
      <w:r>
        <w:rPr>
          <w:i/>
          <w:iCs/>
          <w:szCs w:val="22"/>
        </w:rPr>
        <w:t>vg</w:t>
      </w:r>
      <w:r w:rsidR="00C813A9">
        <w:rPr>
          <w:i/>
          <w:iCs/>
          <w:szCs w:val="22"/>
        </w:rPr>
        <w:t>i</w:t>
      </w:r>
      <w:r>
        <w:rPr>
          <w:i/>
          <w:iCs/>
          <w:szCs w:val="22"/>
        </w:rPr>
        <w:t>ne</w:t>
      </w:r>
      <w:r w:rsidRPr="0088463E">
        <w:rPr>
          <w:i/>
          <w:iCs/>
          <w:szCs w:val="22"/>
          <w:vertAlign w:val="subscript"/>
        </w:rPr>
        <w:t>ij</w:t>
      </w:r>
      <w:r w:rsidRPr="0088463E">
        <w:rPr>
          <w:rFonts w:hint="eastAsia"/>
          <w:i/>
          <w:iCs/>
          <w:szCs w:val="22"/>
          <w:vertAlign w:val="subscript"/>
        </w:rPr>
        <w:t>h</w:t>
      </w:r>
      <w:proofErr w:type="spellEnd"/>
      <w:r w:rsidRPr="0057404B">
        <w:t xml:space="preserve"> </w:t>
      </w:r>
      <w:r>
        <w:t>can</w:t>
      </w:r>
      <w:r w:rsidRPr="0057404B">
        <w:t xml:space="preserve"> indicate the education</w:t>
      </w:r>
      <w:r>
        <w:t xml:space="preserve"> </w:t>
      </w:r>
      <w:r w:rsidRPr="00ED49F2">
        <w:t>attainment</w:t>
      </w:r>
      <w:r w:rsidRPr="0057404B">
        <w:t xml:space="preserve"> </w:t>
      </w:r>
      <w:r>
        <w:t>difference</w:t>
      </w:r>
      <w:r w:rsidRPr="0057404B">
        <w:t xml:space="preserve"> </w:t>
      </w:r>
      <w:r>
        <w:t xml:space="preserve">and determine whether the CSL is </w:t>
      </w:r>
      <w:r w:rsidRPr="00F86CD1">
        <w:t>promot</w:t>
      </w:r>
      <w:r>
        <w:t xml:space="preserve">ing social equity </w:t>
      </w:r>
      <w:r w:rsidRPr="0057404B">
        <w:t>between urban and rural areas</w:t>
      </w:r>
      <w:r>
        <w:t xml:space="preserve">. </w:t>
      </w:r>
      <w:proofErr w:type="spellStart"/>
      <w:r w:rsidR="00020B81">
        <w:rPr>
          <w:i/>
          <w:iCs/>
          <w:szCs w:val="22"/>
        </w:rPr>
        <w:t>a</w:t>
      </w:r>
      <w:r>
        <w:rPr>
          <w:i/>
          <w:iCs/>
          <w:szCs w:val="22"/>
        </w:rPr>
        <w:t>vg</w:t>
      </w:r>
      <w:r w:rsidR="00C813A9">
        <w:rPr>
          <w:i/>
          <w:iCs/>
          <w:szCs w:val="22"/>
        </w:rPr>
        <w:t>i</w:t>
      </w:r>
      <w:r>
        <w:rPr>
          <w:i/>
          <w:iCs/>
          <w:szCs w:val="22"/>
        </w:rPr>
        <w:t>ne</w:t>
      </w:r>
      <w:r w:rsidRPr="0088463E">
        <w:rPr>
          <w:i/>
          <w:iCs/>
          <w:szCs w:val="22"/>
          <w:vertAlign w:val="subscript"/>
        </w:rPr>
        <w:t>ij</w:t>
      </w:r>
      <w:r w:rsidRPr="0088463E">
        <w:rPr>
          <w:rFonts w:hint="eastAsia"/>
          <w:i/>
          <w:iCs/>
          <w:szCs w:val="22"/>
          <w:vertAlign w:val="subscript"/>
        </w:rPr>
        <w:t>h</w:t>
      </w:r>
      <w:proofErr w:type="spellEnd"/>
      <w:r w:rsidRPr="0057404B">
        <w:t xml:space="preserve"> </w:t>
      </w:r>
      <w:r>
        <w:t>is calculated by</w:t>
      </w:r>
      <w:r w:rsidRPr="00D57997">
        <w:t xml:space="preserve"> the average level </w:t>
      </w:r>
      <w:r>
        <w:t xml:space="preserve">of </w:t>
      </w:r>
      <w:r w:rsidRPr="00D57997">
        <w:t xml:space="preserve">education </w:t>
      </w:r>
      <w:r>
        <w:t>in</w:t>
      </w:r>
      <w:r w:rsidRPr="00D57997">
        <w:t xml:space="preserve"> each province </w:t>
      </w:r>
      <w:r>
        <w:t xml:space="preserve">among ineligible </w:t>
      </w:r>
      <w:r w:rsidRPr="00E00B7A">
        <w:t xml:space="preserve">CSL </w:t>
      </w:r>
      <w:r w:rsidRPr="00E00B7A">
        <w:rPr>
          <w:rFonts w:hint="eastAsia"/>
        </w:rPr>
        <w:t>birth</w:t>
      </w:r>
      <w:r w:rsidRPr="00E00B7A">
        <w:t xml:space="preserve"> cohorts</w:t>
      </w:r>
      <w:r>
        <w:t xml:space="preserve">, </w:t>
      </w:r>
      <w:r w:rsidRPr="00D57997">
        <w:rPr>
          <w:i/>
          <w:iCs/>
        </w:rPr>
        <w:t>h</w:t>
      </w:r>
      <w:r>
        <w:t xml:space="preserve"> = {rural, urban},</w:t>
      </w:r>
      <w:r w:rsidRPr="00D57997">
        <w:t xml:space="preserve"> </w:t>
      </w:r>
      <w:r>
        <w:t xml:space="preserve">as </w:t>
      </w:r>
      <w:r w:rsidRPr="00F6448E">
        <w:t xml:space="preserve">shown in the left columns </w:t>
      </w:r>
      <w:r>
        <w:t xml:space="preserve">of Table </w:t>
      </w:r>
      <w:r w:rsidR="003743CE">
        <w:t>3</w:t>
      </w:r>
      <w:r w:rsidRPr="00D57997">
        <w:t xml:space="preserve">. </w:t>
      </w:r>
      <w:r>
        <w:t xml:space="preserve">It </w:t>
      </w:r>
      <w:r w:rsidRPr="00D57997">
        <w:t>can</w:t>
      </w:r>
      <w:r>
        <w:t xml:space="preserve"> </w:t>
      </w:r>
      <w:r>
        <w:rPr>
          <w:rFonts w:hint="eastAsia"/>
        </w:rPr>
        <w:t>measure</w:t>
      </w:r>
      <w:r>
        <w:t xml:space="preserve"> </w:t>
      </w:r>
      <w:r w:rsidRPr="00D57997">
        <w:t xml:space="preserve">the </w:t>
      </w:r>
      <w:r>
        <w:t xml:space="preserve">program intensity and </w:t>
      </w:r>
      <w:r w:rsidRPr="00D57997">
        <w:t>compare the difference</w:t>
      </w:r>
      <w:r>
        <w:t xml:space="preserve"> of law effectiveness</w:t>
      </w:r>
      <w:r w:rsidRPr="00D57997">
        <w:t xml:space="preserve"> between</w:t>
      </w:r>
      <w:r>
        <w:t xml:space="preserve"> the</w:t>
      </w:r>
      <w:r w:rsidRPr="00D57997">
        <w:t xml:space="preserve"> </w:t>
      </w:r>
      <w:r>
        <w:rPr>
          <w:rFonts w:hint="eastAsia"/>
        </w:rPr>
        <w:t>low</w:t>
      </w:r>
      <w:r>
        <w:t xml:space="preserve"> schooling</w:t>
      </w:r>
      <w:r w:rsidRPr="00D57997">
        <w:t xml:space="preserve"> </w:t>
      </w:r>
      <w:r>
        <w:t>region</w:t>
      </w:r>
      <w:r w:rsidRPr="00D57997">
        <w:t xml:space="preserve"> and </w:t>
      </w:r>
      <w:r>
        <w:t>the high</w:t>
      </w:r>
      <w:r w:rsidRPr="00D57997">
        <w:t xml:space="preserve"> </w:t>
      </w:r>
      <w:r>
        <w:t>schooling</w:t>
      </w:r>
      <w:r w:rsidRPr="00D57997">
        <w:t xml:space="preserve"> </w:t>
      </w:r>
      <w:r>
        <w:t>region (Rawlings, 2015; Ma, 2019)</w:t>
      </w:r>
      <w:r w:rsidRPr="00D57997">
        <w:t>.</w:t>
      </w:r>
      <w:r>
        <w:t xml:space="preserve"> </w:t>
      </w:r>
      <w:r w:rsidRPr="00A86D77">
        <w:lastRenderedPageBreak/>
        <w:t xml:space="preserve">Table </w:t>
      </w:r>
      <w:r w:rsidR="003743CE">
        <w:t>3</w:t>
      </w:r>
      <w:r w:rsidRPr="00A86D77">
        <w:t xml:space="preserve"> presents the average years of education in </w:t>
      </w:r>
      <w:r>
        <w:t>ineligible and eligible</w:t>
      </w:r>
      <w:r w:rsidRPr="00A86D77">
        <w:t xml:space="preserve"> </w:t>
      </w:r>
      <w:r>
        <w:t>cohorts. T</w:t>
      </w:r>
      <w:r w:rsidRPr="00A86D77">
        <w:t>here is a gap</w:t>
      </w:r>
      <w:r>
        <w:t xml:space="preserve"> </w:t>
      </w:r>
      <w:r w:rsidRPr="00A86D77">
        <w:t xml:space="preserve">and </w:t>
      </w:r>
      <w:r>
        <w:t xml:space="preserve">the </w:t>
      </w:r>
      <w:r w:rsidRPr="00A86D77">
        <w:t>average educational attainment increased over time</w:t>
      </w:r>
      <w:r>
        <w:t xml:space="preserve"> i</w:t>
      </w:r>
      <w:r w:rsidRPr="00A86D77">
        <w:t>n both area</w:t>
      </w:r>
      <w:r>
        <w:t>s</w:t>
      </w:r>
      <w:r w:rsidRPr="00A86D77">
        <w:t>.</w:t>
      </w:r>
      <w:r>
        <w:t xml:space="preserve"> If t</w:t>
      </w:r>
      <w:r w:rsidRPr="00681F28">
        <w:t xml:space="preserve">he </w:t>
      </w:r>
      <w:r>
        <w:t xml:space="preserve">coefficient of </w:t>
      </w:r>
      <w:r w:rsidRPr="00681F28">
        <w:t xml:space="preserve">interaction terms </w:t>
      </w:r>
      <w:r>
        <w:t xml:space="preserve">between </w:t>
      </w:r>
      <w:proofErr w:type="spellStart"/>
      <w:r w:rsidRPr="00D8726A">
        <w:rPr>
          <w:i/>
          <w:iCs/>
        </w:rPr>
        <w:t>exp</w:t>
      </w:r>
      <w:r w:rsidRPr="00E07086">
        <w:rPr>
          <w:i/>
          <w:iCs/>
          <w:sz w:val="28"/>
          <w:vertAlign w:val="subscript"/>
        </w:rPr>
        <w:t>ij</w:t>
      </w:r>
      <w:r>
        <w:rPr>
          <w:i/>
          <w:iCs/>
          <w:sz w:val="28"/>
          <w:vertAlign w:val="subscript"/>
        </w:rPr>
        <w:t>k</w:t>
      </w:r>
      <w:proofErr w:type="spellEnd"/>
      <w:r w:rsidRPr="00D8726A">
        <w:t xml:space="preserve"> </w:t>
      </w:r>
      <w:r>
        <w:t xml:space="preserve">and </w:t>
      </w:r>
      <w:proofErr w:type="spellStart"/>
      <w:r w:rsidR="00020B81">
        <w:rPr>
          <w:i/>
          <w:iCs/>
          <w:szCs w:val="22"/>
        </w:rPr>
        <w:t>a</w:t>
      </w:r>
      <w:r>
        <w:rPr>
          <w:i/>
          <w:iCs/>
          <w:szCs w:val="22"/>
        </w:rPr>
        <w:t>vg</w:t>
      </w:r>
      <w:r w:rsidR="00C813A9">
        <w:rPr>
          <w:i/>
          <w:iCs/>
          <w:szCs w:val="22"/>
        </w:rPr>
        <w:t>i</w:t>
      </w:r>
      <w:r>
        <w:rPr>
          <w:i/>
          <w:iCs/>
          <w:szCs w:val="22"/>
        </w:rPr>
        <w:t>ne</w:t>
      </w:r>
      <w:r w:rsidRPr="0088463E">
        <w:rPr>
          <w:i/>
          <w:iCs/>
          <w:szCs w:val="22"/>
          <w:vertAlign w:val="subscript"/>
        </w:rPr>
        <w:t>ij</w:t>
      </w:r>
      <w:r w:rsidRPr="0088463E">
        <w:rPr>
          <w:rFonts w:hint="eastAsia"/>
          <w:i/>
          <w:iCs/>
          <w:szCs w:val="22"/>
          <w:vertAlign w:val="subscript"/>
        </w:rPr>
        <w:t>h</w:t>
      </w:r>
      <w:proofErr w:type="spellEnd"/>
      <w:r w:rsidRPr="00D57997">
        <w:t xml:space="preserve"> </w:t>
      </w:r>
      <w:r w:rsidRPr="00681F28">
        <w:t>are negative</w:t>
      </w:r>
      <w:r>
        <w:t xml:space="preserve"> in the regression</w:t>
      </w:r>
      <w:r w:rsidRPr="00681F28">
        <w:t xml:space="preserve">, </w:t>
      </w:r>
      <w:r>
        <w:t>it</w:t>
      </w:r>
      <w:r w:rsidRPr="00681F28">
        <w:t xml:space="preserve"> implies the heterogeneous impact of </w:t>
      </w:r>
      <w:r>
        <w:t>CSL that</w:t>
      </w:r>
      <w:r w:rsidRPr="00681F28">
        <w:t xml:space="preserve"> </w:t>
      </w:r>
      <w:r>
        <w:t>individual</w:t>
      </w:r>
      <w:r w:rsidRPr="00681F28">
        <w:t xml:space="preserve"> born in </w:t>
      </w:r>
      <w:r>
        <w:t xml:space="preserve">low schooling </w:t>
      </w:r>
      <w:r w:rsidRPr="00681F28">
        <w:t xml:space="preserve">areas </w:t>
      </w:r>
      <w:r>
        <w:t xml:space="preserve">will </w:t>
      </w:r>
      <w:r w:rsidRPr="00681F28">
        <w:t xml:space="preserve">gain more from the </w:t>
      </w:r>
      <w:r>
        <w:t xml:space="preserve">CSL, </w:t>
      </w:r>
      <w:r>
        <w:rPr>
          <w:rFonts w:hint="eastAsia"/>
        </w:rPr>
        <w:t>which</w:t>
      </w:r>
      <w:r>
        <w:t xml:space="preserve"> </w:t>
      </w:r>
      <w:r w:rsidRPr="003E67EC">
        <w:t xml:space="preserve">is </w:t>
      </w:r>
      <w:r>
        <w:t>consistent</w:t>
      </w:r>
      <w:r w:rsidRPr="003E67EC">
        <w:t xml:space="preserve"> with goal of </w:t>
      </w:r>
      <w:r>
        <w:t>the policy.</w:t>
      </w:r>
    </w:p>
    <w:p w14:paraId="2B2CBFD0" w14:textId="512604F6" w:rsidR="00B70B36" w:rsidRPr="00E226EE" w:rsidRDefault="00E226EE" w:rsidP="00E226EE">
      <w:pPr>
        <w:spacing w:before="240" w:after="240" w:line="360" w:lineRule="auto"/>
        <w:ind w:firstLine="567"/>
        <w:jc w:val="both"/>
        <w:rPr>
          <w:rFonts w:cs="Times New Roman"/>
          <w:szCs w:val="24"/>
        </w:rPr>
      </w:pPr>
      <w:r>
        <w:rPr>
          <w:rFonts w:cs="Times New Roman"/>
          <w:szCs w:val="24"/>
        </w:rPr>
        <w:t xml:space="preserve">In the second stage, I use the predicted education and estimate the impact of education on health as follows: </w:t>
      </w:r>
    </w:p>
    <w:p w14:paraId="5D075B81" w14:textId="0E2F765A" w:rsidR="00937AA6" w:rsidRPr="0052262B" w:rsidRDefault="00552562" w:rsidP="008C2DE4">
      <w:pPr>
        <w:pStyle w:val="NormalWeb"/>
        <w:spacing w:after="240" w:line="360" w:lineRule="auto"/>
        <w:ind w:firstLine="0"/>
        <w:jc w:val="center"/>
        <w:rPr>
          <w:sz w:val="28"/>
        </w:rPr>
      </w:pPr>
      <m:oMath>
        <m:sSub>
          <m:sSubPr>
            <m:ctrlPr>
              <w:rPr>
                <w:rFonts w:ascii="Cambria Math" w:hAnsi="Cambria Math"/>
                <w:i/>
                <w:sz w:val="28"/>
                <w:vertAlign w:val="subscript"/>
              </w:rPr>
            </m:ctrlPr>
          </m:sSubPr>
          <m:e>
            <m:r>
              <w:rPr>
                <w:rFonts w:ascii="Cambria Math" w:hAnsi="Cambria Math"/>
                <w:sz w:val="28"/>
                <w:vertAlign w:val="subscript"/>
              </w:rPr>
              <m:t>H</m:t>
            </m:r>
          </m:e>
          <m:sub>
            <m:r>
              <w:rPr>
                <w:rFonts w:ascii="Cambria Math" w:hAnsi="Cambria Math"/>
                <w:sz w:val="28"/>
                <w:vertAlign w:val="subscript"/>
              </w:rPr>
              <m:t>ijk</m:t>
            </m:r>
          </m:sub>
        </m:sSub>
        <m:r>
          <w:rPr>
            <w:rFonts w:ascii="Cambria Math" w:hAnsi="Cambria Math"/>
            <w:sz w:val="28"/>
          </w:rPr>
          <m:t xml:space="preserve"> = </m:t>
        </m:r>
        <m:sSub>
          <m:sSubPr>
            <m:ctrlPr>
              <w:rPr>
                <w:rFonts w:ascii="Cambria Math" w:hAnsi="Cambria Math"/>
                <w:i/>
                <w:sz w:val="32"/>
                <w:szCs w:val="32"/>
              </w:rPr>
            </m:ctrlPr>
          </m:sSubPr>
          <m:e>
            <m:r>
              <w:rPr>
                <w:rFonts w:ascii="Cambria Math" w:hAnsi="Cambria Math"/>
                <w:sz w:val="32"/>
                <w:szCs w:val="32"/>
              </w:rPr>
              <m:t>δ</m:t>
            </m:r>
          </m:e>
          <m:sub>
            <m:r>
              <w:rPr>
                <w:rFonts w:ascii="Cambria Math" w:hAnsi="Cambria Math"/>
                <w:sz w:val="28"/>
                <w:vertAlign w:val="subscript"/>
              </w:rPr>
              <m:t>1</m:t>
            </m:r>
          </m:sub>
        </m:sSub>
        <m:r>
          <w:rPr>
            <w:rFonts w:ascii="Cambria Math" w:hAnsi="Cambria Math"/>
            <w:sz w:val="28"/>
          </w:rPr>
          <m:t xml:space="preserve">+ </m:t>
        </m:r>
        <m:sSub>
          <m:sSubPr>
            <m:ctrlPr>
              <w:rPr>
                <w:rFonts w:ascii="Cambria Math" w:hAnsi="Cambria Math"/>
                <w:i/>
                <w:sz w:val="32"/>
                <w:szCs w:val="32"/>
              </w:rPr>
            </m:ctrlPr>
          </m:sSubPr>
          <m:e>
            <m:r>
              <w:rPr>
                <w:rFonts w:ascii="Cambria Math" w:hAnsi="Cambria Math"/>
                <w:sz w:val="32"/>
                <w:szCs w:val="32"/>
              </w:rPr>
              <m:t>δ</m:t>
            </m:r>
          </m:e>
          <m:sub>
            <m:r>
              <w:rPr>
                <w:rFonts w:ascii="Cambria Math" w:hAnsi="Cambria Math"/>
                <w:sz w:val="28"/>
                <w:vertAlign w:val="subscript"/>
              </w:rPr>
              <m:t>2</m:t>
            </m:r>
          </m:sub>
        </m:sSub>
        <m:sSub>
          <m:sSubPr>
            <m:ctrlPr>
              <w:rPr>
                <w:rFonts w:ascii="Cambria Math" w:hAnsi="Cambria Math"/>
                <w:i/>
                <w:sz w:val="28"/>
              </w:rPr>
            </m:ctrlPr>
          </m:sSubPr>
          <m:e>
            <m:acc>
              <m:accPr>
                <m:ctrlPr>
                  <w:rPr>
                    <w:rFonts w:ascii="Cambria Math" w:hAnsi="Cambria Math"/>
                    <w:i/>
                    <w:sz w:val="28"/>
                  </w:rPr>
                </m:ctrlPr>
              </m:accPr>
              <m:e>
                <m:r>
                  <w:rPr>
                    <w:rFonts w:ascii="Cambria Math" w:hAnsi="Cambria Math"/>
                    <w:sz w:val="28"/>
                  </w:rPr>
                  <m:t>edu</m:t>
                </m:r>
              </m:e>
            </m:acc>
          </m:e>
          <m:sub>
            <m:r>
              <w:rPr>
                <w:rFonts w:ascii="Cambria Math" w:hAnsi="Cambria Math"/>
                <w:sz w:val="28"/>
                <w:vertAlign w:val="subscript"/>
              </w:rPr>
              <m:t>ijk</m:t>
            </m:r>
          </m:sub>
        </m:sSub>
        <m:r>
          <w:rPr>
            <w:rFonts w:ascii="Cambria Math" w:hAnsi="Cambria Math"/>
            <w:sz w:val="28"/>
          </w:rPr>
          <m:t xml:space="preserve">+ </m:t>
        </m:r>
        <m:sSub>
          <m:sSubPr>
            <m:ctrlPr>
              <w:rPr>
                <w:rFonts w:ascii="Cambria Math" w:hAnsi="Cambria Math"/>
                <w:i/>
                <w:sz w:val="32"/>
                <w:szCs w:val="32"/>
              </w:rPr>
            </m:ctrlPr>
          </m:sSubPr>
          <m:e>
            <m:r>
              <w:rPr>
                <w:rFonts w:ascii="Cambria Math" w:hAnsi="Cambria Math"/>
                <w:sz w:val="32"/>
                <w:szCs w:val="32"/>
              </w:rPr>
              <m:t>δ</m:t>
            </m:r>
          </m:e>
          <m:sub>
            <m:r>
              <w:rPr>
                <w:rFonts w:ascii="Cambria Math" w:hAnsi="Cambria Math"/>
                <w:sz w:val="28"/>
                <w:vertAlign w:val="subscript"/>
              </w:rPr>
              <m:t>3</m:t>
            </m:r>
          </m:sub>
        </m:sSub>
        <m:sSub>
          <m:sSubPr>
            <m:ctrlPr>
              <w:rPr>
                <w:rFonts w:ascii="Cambria Math" w:hAnsi="Cambria Math"/>
                <w:i/>
                <w:sz w:val="28"/>
              </w:rPr>
            </m:ctrlPr>
          </m:sSubPr>
          <m:e>
            <m:r>
              <w:rPr>
                <w:rFonts w:ascii="Cambria Math" w:hAnsi="Cambria Math"/>
                <w:sz w:val="28"/>
              </w:rPr>
              <m:t>X</m:t>
            </m:r>
          </m:e>
          <m:sub>
            <m:r>
              <w:rPr>
                <w:rFonts w:ascii="Cambria Math" w:hAnsi="Cambria Math"/>
                <w:sz w:val="28"/>
                <w:vertAlign w:val="subscript"/>
              </w:rPr>
              <m:t>ijk</m:t>
            </m:r>
          </m:sub>
        </m:sSub>
        <m:r>
          <w:rPr>
            <w:rFonts w:ascii="Cambria Math" w:hAnsi="Cambria Math"/>
            <w:sz w:val="28"/>
          </w:rPr>
          <m:t>+</m:t>
        </m:r>
        <m:sSub>
          <m:sSubPr>
            <m:ctrlPr>
              <w:rPr>
                <w:rFonts w:ascii="Cambria Math" w:hAnsi="Cambria Math"/>
                <w:i/>
                <w:sz w:val="28"/>
                <w:szCs w:val="28"/>
              </w:rPr>
            </m:ctrlPr>
          </m:sSubPr>
          <m:e>
            <m:r>
              <w:rPr>
                <w:rFonts w:ascii="Cambria Math" w:hAnsi="Cambria Math"/>
                <w:sz w:val="28"/>
                <w:szCs w:val="28"/>
              </w:rPr>
              <m:t>λ</m:t>
            </m:r>
          </m:e>
          <m:sub>
            <m:r>
              <w:rPr>
                <w:rFonts w:ascii="Cambria Math" w:hAnsi="Cambria Math"/>
                <w:sz w:val="28"/>
                <w:vertAlign w:val="subscript"/>
              </w:rPr>
              <m:t>j</m:t>
            </m:r>
          </m:sub>
        </m:sSub>
        <m:r>
          <w:rPr>
            <w:rFonts w:ascii="Cambria Math" w:hAnsi="Cambria Math"/>
            <w:sz w:val="28"/>
          </w:rPr>
          <m:t xml:space="preserve"> +</m:t>
        </m:r>
        <m:sSub>
          <m:sSubPr>
            <m:ctrlPr>
              <w:rPr>
                <w:rFonts w:ascii="Cambria Math" w:hAnsi="Cambria Math"/>
                <w:i/>
                <w:color w:val="282828"/>
                <w:sz w:val="26"/>
                <w:szCs w:val="26"/>
                <w:shd w:val="clear" w:color="auto" w:fill="FFFFFF"/>
              </w:rPr>
            </m:ctrlPr>
          </m:sSubPr>
          <m:e>
            <m:r>
              <w:rPr>
                <w:rFonts w:ascii="Cambria Math" w:hAnsi="Cambria Math"/>
                <w:color w:val="282828"/>
                <w:sz w:val="26"/>
                <w:szCs w:val="26"/>
                <w:shd w:val="clear" w:color="auto" w:fill="FFFFFF"/>
              </w:rPr>
              <m:t>θ</m:t>
            </m:r>
          </m:e>
          <m:sub>
            <m:r>
              <w:rPr>
                <w:rFonts w:ascii="Cambria Math" w:hAnsi="Cambria Math"/>
                <w:color w:val="282828"/>
                <w:sz w:val="26"/>
                <w:szCs w:val="26"/>
                <w:shd w:val="clear" w:color="auto" w:fill="FFFFFF"/>
              </w:rPr>
              <m:t>k</m:t>
            </m:r>
          </m:sub>
        </m:sSub>
        <m:r>
          <w:rPr>
            <w:rFonts w:ascii="Cambria Math" w:hAnsi="Cambria Math"/>
            <w:sz w:val="28"/>
          </w:rPr>
          <m:t>+</m:t>
        </m:r>
        <m:sSub>
          <m:sSubPr>
            <m:ctrlPr>
              <w:rPr>
                <w:rFonts w:ascii="Cambria Math" w:hAnsi="Cambria Math"/>
                <w:i/>
                <w:sz w:val="28"/>
              </w:rPr>
            </m:ctrlPr>
          </m:sSubPr>
          <m:e>
            <m:r>
              <w:rPr>
                <w:rFonts w:ascii="Cambria Math" w:hAnsi="Cambria Math"/>
                <w:sz w:val="28"/>
              </w:rPr>
              <m:t>v</m:t>
            </m:r>
          </m:e>
          <m:sub>
            <m:r>
              <w:rPr>
                <w:rFonts w:ascii="Cambria Math" w:hAnsi="Cambria Math"/>
                <w:sz w:val="28"/>
                <w:vertAlign w:val="subscript"/>
              </w:rPr>
              <m:t>ijk</m:t>
            </m:r>
          </m:sub>
        </m:sSub>
      </m:oMath>
      <w:r w:rsidR="00937AA6" w:rsidRPr="0052262B">
        <w:rPr>
          <w:sz w:val="28"/>
        </w:rPr>
        <w:t xml:space="preserve">      </w:t>
      </w:r>
      <w:r w:rsidR="00937AA6">
        <w:rPr>
          <w:sz w:val="28"/>
        </w:rPr>
        <w:tab/>
      </w:r>
      <w:r w:rsidR="00937AA6" w:rsidRPr="0052262B">
        <w:rPr>
          <w:sz w:val="28"/>
        </w:rPr>
        <w:t>(</w:t>
      </w:r>
      <w:r w:rsidR="00020B81">
        <w:rPr>
          <w:sz w:val="28"/>
        </w:rPr>
        <w:t>3</w:t>
      </w:r>
      <w:r w:rsidR="00937AA6" w:rsidRPr="0052262B">
        <w:rPr>
          <w:sz w:val="28"/>
        </w:rPr>
        <w:t>)</w:t>
      </w:r>
    </w:p>
    <w:p w14:paraId="5C5018C0" w14:textId="4B4F9B27" w:rsidR="00177753" w:rsidRDefault="00217CBE" w:rsidP="000350EF">
      <w:pPr>
        <w:spacing w:before="240" w:after="240" w:line="360" w:lineRule="auto"/>
        <w:ind w:firstLine="567"/>
        <w:jc w:val="both"/>
      </w:pPr>
      <w:r w:rsidRPr="00680207">
        <w:rPr>
          <w:rFonts w:cs="Times New Roman"/>
          <w:szCs w:val="24"/>
        </w:rPr>
        <w:t>The variable</w:t>
      </w:r>
      <w:r w:rsidRPr="00680207">
        <w:rPr>
          <w:rFonts w:cs="Times New Roman"/>
          <w:i/>
          <w:szCs w:val="24"/>
        </w:rPr>
        <w:t xml:space="preserve"> </w:t>
      </w:r>
      <m:oMath>
        <m:acc>
          <m:accPr>
            <m:ctrlPr>
              <w:rPr>
                <w:rFonts w:ascii="Cambria Math" w:eastAsia="宋体" w:hAnsi="Cambria Math" w:cs="Times New Roman"/>
                <w:i/>
                <w:lang w:val="en-US"/>
              </w:rPr>
            </m:ctrlPr>
          </m:accPr>
          <m:e>
            <m:r>
              <w:rPr>
                <w:rFonts w:ascii="Cambria Math" w:hAnsi="Cambria Math"/>
                <w:szCs w:val="20"/>
              </w:rPr>
              <m:t>edu</m:t>
            </m:r>
          </m:e>
        </m:acc>
      </m:oMath>
      <w:proofErr w:type="spellStart"/>
      <w:r w:rsidRPr="00680207">
        <w:rPr>
          <w:rFonts w:cs="Times New Roman"/>
          <w:i/>
          <w:szCs w:val="24"/>
          <w:vertAlign w:val="subscript"/>
        </w:rPr>
        <w:t>i</w:t>
      </w:r>
      <w:r>
        <w:rPr>
          <w:rFonts w:cs="Times New Roman"/>
          <w:i/>
          <w:szCs w:val="24"/>
          <w:vertAlign w:val="subscript"/>
        </w:rPr>
        <w:t>j</w:t>
      </w:r>
      <w:r w:rsidR="000041F2">
        <w:rPr>
          <w:rFonts w:cs="Times New Roman"/>
          <w:i/>
          <w:szCs w:val="24"/>
          <w:vertAlign w:val="subscript"/>
        </w:rPr>
        <w:t>k</w:t>
      </w:r>
      <w:proofErr w:type="spellEnd"/>
      <w:r w:rsidRPr="00680207">
        <w:rPr>
          <w:rFonts w:cs="Times New Roman"/>
          <w:szCs w:val="24"/>
        </w:rPr>
        <w:t xml:space="preserve"> </w:t>
      </w:r>
      <w:r>
        <w:rPr>
          <w:rFonts w:cs="Times New Roman"/>
          <w:szCs w:val="24"/>
        </w:rPr>
        <w:t>denotes</w:t>
      </w:r>
      <w:r w:rsidRPr="00680207">
        <w:rPr>
          <w:rFonts w:cs="Times New Roman"/>
          <w:szCs w:val="24"/>
        </w:rPr>
        <w:t xml:space="preserve"> </w:t>
      </w:r>
      <w:r>
        <w:rPr>
          <w:rFonts w:cs="Times New Roman"/>
          <w:szCs w:val="24"/>
        </w:rPr>
        <w:t xml:space="preserve">the </w:t>
      </w:r>
      <w:r w:rsidRPr="00B77F90">
        <w:rPr>
          <w:rFonts w:cs="Times New Roman"/>
          <w:szCs w:val="24"/>
        </w:rPr>
        <w:t xml:space="preserve">fitted </w:t>
      </w:r>
      <w:r>
        <w:rPr>
          <w:rFonts w:cs="Times New Roman"/>
          <w:szCs w:val="24"/>
        </w:rPr>
        <w:t xml:space="preserve">value of levels of education that base on the first-stage equation. </w:t>
      </w:r>
      <w:r w:rsidR="00775C96" w:rsidRPr="00775C96">
        <w:rPr>
          <w:rFonts w:cs="Times New Roman"/>
          <w:szCs w:val="24"/>
        </w:rPr>
        <w:t xml:space="preserve">In </w:t>
      </w:r>
      <w:r w:rsidR="00775C96">
        <w:rPr>
          <w:rFonts w:cs="Times New Roman"/>
          <w:szCs w:val="24"/>
        </w:rPr>
        <w:t>this case</w:t>
      </w:r>
      <w:r w:rsidR="00775C96" w:rsidRPr="00775C96">
        <w:rPr>
          <w:rFonts w:cs="Times New Roman"/>
          <w:szCs w:val="24"/>
        </w:rPr>
        <w:t xml:space="preserve">, </w:t>
      </w:r>
      <w:r w:rsidR="00775C96">
        <w:rPr>
          <w:rFonts w:cs="Times New Roman"/>
          <w:szCs w:val="24"/>
        </w:rPr>
        <w:t xml:space="preserve">the regression </w:t>
      </w:r>
      <w:r w:rsidR="00775C96" w:rsidRPr="00775C96">
        <w:rPr>
          <w:rFonts w:cs="Times New Roman"/>
          <w:szCs w:val="24"/>
        </w:rPr>
        <w:t xml:space="preserve">identifies the causal effect of one additional year of </w:t>
      </w:r>
      <w:r w:rsidR="00775C96">
        <w:rPr>
          <w:rFonts w:cs="Times New Roman"/>
          <w:szCs w:val="24"/>
        </w:rPr>
        <w:t xml:space="preserve">schooling </w:t>
      </w:r>
      <w:r w:rsidR="00775C96" w:rsidRPr="00775C96">
        <w:rPr>
          <w:rFonts w:cs="Times New Roman"/>
          <w:szCs w:val="24"/>
        </w:rPr>
        <w:t xml:space="preserve">on </w:t>
      </w:r>
      <w:r w:rsidR="00775C96">
        <w:rPr>
          <w:rFonts w:cs="Times New Roman"/>
          <w:szCs w:val="24"/>
        </w:rPr>
        <w:t>health outcomes</w:t>
      </w:r>
      <w:r w:rsidR="00775C96" w:rsidRPr="00775C96">
        <w:t xml:space="preserve"> </w:t>
      </w:r>
      <w:r w:rsidR="00775C96" w:rsidRPr="00775C96">
        <w:rPr>
          <w:rFonts w:cs="Times New Roman"/>
          <w:szCs w:val="24"/>
        </w:rPr>
        <w:t>among those</w:t>
      </w:r>
      <w:r w:rsidR="00775C96">
        <w:rPr>
          <w:rFonts w:cs="Times New Roman"/>
          <w:szCs w:val="24"/>
        </w:rPr>
        <w:t xml:space="preserve"> </w:t>
      </w:r>
      <w:r w:rsidR="00924241" w:rsidRPr="00924241">
        <w:rPr>
          <w:rFonts w:cs="Times New Roman"/>
          <w:szCs w:val="24"/>
        </w:rPr>
        <w:t>compliers</w:t>
      </w:r>
      <w:r w:rsidR="00775C96">
        <w:rPr>
          <w:rFonts w:cs="Times New Roman"/>
          <w:szCs w:val="24"/>
        </w:rPr>
        <w:t xml:space="preserve">. </w:t>
      </w:r>
      <w:r>
        <w:rPr>
          <w:rFonts w:cs="Times New Roman"/>
          <w:szCs w:val="24"/>
        </w:rPr>
        <w:t>The instrument variables (</w:t>
      </w:r>
      <w:r w:rsidRPr="003D324D">
        <w:rPr>
          <w:szCs w:val="24"/>
        </w:rPr>
        <w:t xml:space="preserve">i.e. </w:t>
      </w:r>
      <w:proofErr w:type="spellStart"/>
      <w:r w:rsidRPr="00F86CD1">
        <w:rPr>
          <w:i/>
          <w:iCs/>
          <w:szCs w:val="24"/>
        </w:rPr>
        <w:t>exp</w:t>
      </w:r>
      <w:r w:rsidRPr="00F86CD1">
        <w:rPr>
          <w:i/>
          <w:iCs/>
          <w:szCs w:val="24"/>
          <w:vertAlign w:val="subscript"/>
        </w:rPr>
        <w:t>ij</w:t>
      </w:r>
      <w:r w:rsidR="00F86CD1" w:rsidRPr="00F86CD1">
        <w:rPr>
          <w:i/>
          <w:iCs/>
          <w:szCs w:val="24"/>
          <w:vertAlign w:val="subscript"/>
        </w:rPr>
        <w:t>k</w:t>
      </w:r>
      <w:proofErr w:type="spellEnd"/>
      <w:r w:rsidRPr="003D324D">
        <w:rPr>
          <w:szCs w:val="24"/>
        </w:rPr>
        <w:t xml:space="preserve"> and </w:t>
      </w:r>
      <w:proofErr w:type="spellStart"/>
      <w:r w:rsidR="00020B81">
        <w:rPr>
          <w:i/>
          <w:iCs/>
        </w:rPr>
        <w:t>a</w:t>
      </w:r>
      <w:r w:rsidR="00F86CD1">
        <w:rPr>
          <w:i/>
          <w:iCs/>
        </w:rPr>
        <w:t>vgIne</w:t>
      </w:r>
      <w:r w:rsidR="00F86CD1" w:rsidRPr="0088463E">
        <w:rPr>
          <w:i/>
          <w:iCs/>
          <w:vertAlign w:val="subscript"/>
        </w:rPr>
        <w:t>ij</w:t>
      </w:r>
      <w:r w:rsidR="00F86CD1" w:rsidRPr="0088463E">
        <w:rPr>
          <w:rFonts w:hint="eastAsia"/>
          <w:i/>
          <w:iCs/>
          <w:vertAlign w:val="subscript"/>
        </w:rPr>
        <w:t>h</w:t>
      </w:r>
      <w:proofErr w:type="spellEnd"/>
      <w:r w:rsidRPr="003D324D">
        <w:rPr>
          <w:szCs w:val="24"/>
        </w:rPr>
        <w:t>*</w:t>
      </w:r>
      <w:proofErr w:type="spellStart"/>
      <w:proofErr w:type="gramStart"/>
      <w:r w:rsidRPr="00F86CD1">
        <w:rPr>
          <w:i/>
          <w:iCs/>
          <w:szCs w:val="24"/>
        </w:rPr>
        <w:t>exp</w:t>
      </w:r>
      <w:r w:rsidRPr="00F86CD1">
        <w:rPr>
          <w:i/>
          <w:iCs/>
          <w:szCs w:val="24"/>
          <w:vertAlign w:val="subscript"/>
        </w:rPr>
        <w:t>ij</w:t>
      </w:r>
      <w:r w:rsidR="00F86CD1" w:rsidRPr="00F86CD1">
        <w:rPr>
          <w:i/>
          <w:iCs/>
          <w:szCs w:val="24"/>
          <w:vertAlign w:val="subscript"/>
        </w:rPr>
        <w:t>k</w:t>
      </w:r>
      <w:proofErr w:type="spellEnd"/>
      <w:r w:rsidRPr="003D324D">
        <w:rPr>
          <w:szCs w:val="24"/>
          <w:vertAlign w:val="subscript"/>
        </w:rPr>
        <w:t xml:space="preserve"> </w:t>
      </w:r>
      <w:r w:rsidRPr="003D324D">
        <w:rPr>
          <w:szCs w:val="24"/>
        </w:rPr>
        <w:t>)</w:t>
      </w:r>
      <w:proofErr w:type="gramEnd"/>
      <w:r>
        <w:rPr>
          <w:szCs w:val="24"/>
        </w:rPr>
        <w:t xml:space="preserve"> are assumed to be </w:t>
      </w:r>
      <w:r w:rsidRPr="00217CBE">
        <w:rPr>
          <w:rFonts w:cs="Times New Roman" w:hint="eastAsia"/>
          <w:szCs w:val="24"/>
        </w:rPr>
        <w:t>uncorrelated</w:t>
      </w:r>
      <w:r>
        <w:rPr>
          <w:rFonts w:cs="Times New Roman"/>
          <w:szCs w:val="24"/>
        </w:rPr>
        <w:t xml:space="preserve"> with the unobservable value of health </w:t>
      </w:r>
      <w:r w:rsidR="003D3EE8" w:rsidRPr="003D3EE8">
        <w:rPr>
          <w:rFonts w:cs="Times New Roman"/>
          <w:szCs w:val="24"/>
        </w:rPr>
        <w:t xml:space="preserve">outcomes and correlated with the educational attainment. In other words, the </w:t>
      </w:r>
      <w:r w:rsidR="00D12654">
        <w:rPr>
          <w:rFonts w:cs="Times New Roman"/>
          <w:szCs w:val="24"/>
        </w:rPr>
        <w:t>IV</w:t>
      </w:r>
      <w:r w:rsidR="003D3EE8" w:rsidRPr="003D3EE8">
        <w:rPr>
          <w:rFonts w:cs="Times New Roman"/>
          <w:szCs w:val="24"/>
        </w:rPr>
        <w:t xml:space="preserve"> estimator assumes that reform affects health only through years of education, and the identification would be hazardous if there were some unobservable changes, such as the country reformed the quality of education (</w:t>
      </w:r>
      <w:proofErr w:type="spellStart"/>
      <w:r w:rsidR="003D3EE8" w:rsidRPr="003D3EE8">
        <w:rPr>
          <w:rFonts w:cs="Times New Roman"/>
          <w:szCs w:val="24"/>
        </w:rPr>
        <w:t>Gathmann</w:t>
      </w:r>
      <w:proofErr w:type="spellEnd"/>
      <w:r w:rsidR="003D3EE8" w:rsidRPr="003D3EE8">
        <w:rPr>
          <w:rFonts w:cs="Times New Roman"/>
          <w:szCs w:val="24"/>
        </w:rPr>
        <w:t xml:space="preserve"> et al., 2015). </w:t>
      </w:r>
      <w:bookmarkStart w:id="24" w:name="_Hlk34539991"/>
      <w:r w:rsidR="00B9492C" w:rsidRPr="00B9492C">
        <w:rPr>
          <w:rFonts w:cs="Times New Roman"/>
          <w:szCs w:val="24"/>
        </w:rPr>
        <w:t xml:space="preserve">In addition, since some of dependent variables (self-reported health, smoking, and physical activity) are binary, I also estimated a </w:t>
      </w:r>
      <w:proofErr w:type="spellStart"/>
      <w:r w:rsidR="00B9492C" w:rsidRPr="00B9492C">
        <w:rPr>
          <w:rFonts w:cs="Times New Roman"/>
          <w:szCs w:val="24"/>
        </w:rPr>
        <w:t>probit</w:t>
      </w:r>
      <w:proofErr w:type="spellEnd"/>
      <w:r w:rsidR="00B9492C" w:rsidRPr="00B9492C">
        <w:rPr>
          <w:rFonts w:cs="Times New Roman"/>
          <w:szCs w:val="24"/>
        </w:rPr>
        <w:t xml:space="preserve">. The marginal effects from the </w:t>
      </w:r>
      <w:proofErr w:type="spellStart"/>
      <w:r w:rsidR="00B9492C" w:rsidRPr="00B9492C">
        <w:rPr>
          <w:rFonts w:cs="Times New Roman"/>
          <w:szCs w:val="24"/>
        </w:rPr>
        <w:t>probit</w:t>
      </w:r>
      <w:proofErr w:type="spellEnd"/>
      <w:r w:rsidR="00B9492C" w:rsidRPr="00B9492C">
        <w:rPr>
          <w:rFonts w:cs="Times New Roman"/>
          <w:szCs w:val="24"/>
        </w:rPr>
        <w:t xml:space="preserve"> are fairly similar to the ones from the linear probability model (see, Appendix).</w:t>
      </w:r>
    </w:p>
    <w:p w14:paraId="6793DE3B" w14:textId="604A0F14" w:rsidR="00177753" w:rsidRDefault="00177753" w:rsidP="008F7BAD">
      <w:pPr>
        <w:spacing w:before="240" w:after="240" w:line="360" w:lineRule="auto"/>
        <w:ind w:firstLine="567"/>
        <w:jc w:val="both"/>
      </w:pPr>
    </w:p>
    <w:p w14:paraId="14315D31" w14:textId="2CD13E5C" w:rsidR="00D12654" w:rsidRDefault="00D12654" w:rsidP="008F7BAD">
      <w:pPr>
        <w:spacing w:before="240" w:after="240" w:line="360" w:lineRule="auto"/>
        <w:ind w:firstLine="567"/>
        <w:jc w:val="both"/>
      </w:pPr>
    </w:p>
    <w:p w14:paraId="72521DDE" w14:textId="77777777" w:rsidR="00D12654" w:rsidRDefault="00D12654" w:rsidP="008F7BAD">
      <w:pPr>
        <w:spacing w:before="240" w:after="240" w:line="360" w:lineRule="auto"/>
        <w:ind w:firstLine="567"/>
        <w:jc w:val="both"/>
      </w:pPr>
    </w:p>
    <w:p w14:paraId="70807DD2" w14:textId="77777777" w:rsidR="00E226EE" w:rsidRPr="008F7BAD" w:rsidRDefault="00E226EE" w:rsidP="008F7BAD">
      <w:pPr>
        <w:spacing w:before="240" w:after="240" w:line="360" w:lineRule="auto"/>
        <w:ind w:firstLine="567"/>
        <w:jc w:val="both"/>
      </w:pPr>
    </w:p>
    <w:p w14:paraId="533D4F24" w14:textId="77777777" w:rsidR="006B4002" w:rsidRDefault="006B4002">
      <w:pPr>
        <w:rPr>
          <w:rFonts w:asciiTheme="majorHAnsi" w:eastAsiaTheme="majorEastAsia" w:hAnsiTheme="majorHAnsi" w:cstheme="majorBidi"/>
          <w:b/>
          <w:bCs/>
          <w:color w:val="2F5496" w:themeColor="accent1" w:themeShade="BF"/>
          <w:sz w:val="32"/>
          <w:szCs w:val="32"/>
        </w:rPr>
      </w:pPr>
      <w:r>
        <w:rPr>
          <w:b/>
          <w:bCs/>
        </w:rPr>
        <w:br w:type="page"/>
      </w:r>
    </w:p>
    <w:p w14:paraId="4338154D" w14:textId="1FEC9C85" w:rsidR="008F7B1E" w:rsidRDefault="00CD42DA" w:rsidP="008F7B1E">
      <w:pPr>
        <w:pStyle w:val="Heading1"/>
        <w:spacing w:line="360" w:lineRule="auto"/>
        <w:rPr>
          <w:b/>
          <w:bCs/>
        </w:rPr>
      </w:pPr>
      <w:bookmarkStart w:id="25" w:name="_Toc41312370"/>
      <w:r w:rsidRPr="002A5C39">
        <w:rPr>
          <w:b/>
          <w:bCs/>
        </w:rPr>
        <w:lastRenderedPageBreak/>
        <w:t>5</w:t>
      </w:r>
      <w:r w:rsidR="00937AA6" w:rsidRPr="002A5C39">
        <w:rPr>
          <w:b/>
          <w:bCs/>
        </w:rPr>
        <w:t xml:space="preserve">. </w:t>
      </w:r>
      <w:r w:rsidR="008F7B1E" w:rsidRPr="002A5C39">
        <w:rPr>
          <w:b/>
          <w:bCs/>
        </w:rPr>
        <w:t>Empirical Results</w:t>
      </w:r>
      <w:bookmarkEnd w:id="25"/>
    </w:p>
    <w:p w14:paraId="63646132" w14:textId="4478E34C" w:rsidR="00C813A9" w:rsidRPr="000350EF" w:rsidRDefault="008F7B1E" w:rsidP="008F7B1E">
      <w:pPr>
        <w:pStyle w:val="Heading2"/>
        <w:spacing w:line="360" w:lineRule="auto"/>
      </w:pPr>
      <w:bookmarkStart w:id="26" w:name="_Toc41312371"/>
      <w:r>
        <w:t xml:space="preserve">5.1 </w:t>
      </w:r>
      <w:r w:rsidR="00937AA6" w:rsidRPr="002A5C39">
        <w:t xml:space="preserve">First-stage: Impact of CSL </w:t>
      </w:r>
      <w:r w:rsidR="00937AA6" w:rsidRPr="002A5C39">
        <w:rPr>
          <w:rFonts w:hint="eastAsia"/>
        </w:rPr>
        <w:t>on</w:t>
      </w:r>
      <w:r w:rsidR="00937AA6" w:rsidRPr="002A5C39">
        <w:t xml:space="preserve"> education</w:t>
      </w:r>
      <w:bookmarkEnd w:id="26"/>
      <w:r w:rsidR="00355636" w:rsidRPr="002A5C39">
        <w:t xml:space="preserve"> </w:t>
      </w:r>
    </w:p>
    <w:p w14:paraId="181B09E6" w14:textId="24576202" w:rsidR="00DD74AC" w:rsidRDefault="00DD74AC" w:rsidP="00792EC9">
      <w:r>
        <w:rPr>
          <w:rFonts w:hint="eastAsia"/>
        </w:rPr>
        <w:t>Table</w:t>
      </w:r>
      <w:r>
        <w:t xml:space="preserve"> </w:t>
      </w:r>
      <w:r w:rsidR="00093563">
        <w:t>4</w:t>
      </w:r>
      <w:r w:rsidR="00F005DC">
        <w:t>. First stage results of CSL on years of education</w:t>
      </w:r>
    </w:p>
    <w:tbl>
      <w:tblPr>
        <w:tblW w:w="9019" w:type="dxa"/>
        <w:tblLook w:val="04A0" w:firstRow="1" w:lastRow="0" w:firstColumn="1" w:lastColumn="0" w:noHBand="0" w:noVBand="1"/>
      </w:tblPr>
      <w:tblGrid>
        <w:gridCol w:w="3570"/>
        <w:gridCol w:w="1335"/>
        <w:gridCol w:w="1335"/>
        <w:gridCol w:w="1402"/>
        <w:gridCol w:w="1377"/>
      </w:tblGrid>
      <w:tr w:rsidR="00A96BBB" w:rsidRPr="00A96BBB" w14:paraId="0F928241" w14:textId="77777777" w:rsidTr="00A96BBB">
        <w:trPr>
          <w:trHeight w:val="231"/>
        </w:trPr>
        <w:tc>
          <w:tcPr>
            <w:tcW w:w="3570" w:type="dxa"/>
            <w:tcBorders>
              <w:top w:val="single" w:sz="4" w:space="0" w:color="auto"/>
              <w:left w:val="nil"/>
              <w:bottom w:val="nil"/>
              <w:right w:val="nil"/>
            </w:tcBorders>
            <w:shd w:val="clear" w:color="auto" w:fill="auto"/>
            <w:vAlign w:val="center"/>
            <w:hideMark/>
          </w:tcPr>
          <w:p w14:paraId="43FC33CD" w14:textId="77777777" w:rsidR="00A96BBB" w:rsidRPr="00A96BBB" w:rsidRDefault="00A96BBB" w:rsidP="00A96BBB">
            <w:pPr>
              <w:spacing w:after="0" w:line="240" w:lineRule="auto"/>
              <w:rPr>
                <w:rFonts w:ascii="Calibri" w:eastAsia="Times New Roman" w:hAnsi="Calibri" w:cs="Calibri"/>
                <w:color w:val="000000"/>
                <w:sz w:val="22"/>
              </w:rPr>
            </w:pPr>
            <w:r w:rsidRPr="00A96BBB">
              <w:rPr>
                <w:rFonts w:ascii="Calibri" w:eastAsia="Times New Roman" w:hAnsi="Calibri" w:cs="Calibri"/>
                <w:color w:val="000000"/>
                <w:sz w:val="22"/>
              </w:rPr>
              <w:t> </w:t>
            </w:r>
          </w:p>
        </w:tc>
        <w:tc>
          <w:tcPr>
            <w:tcW w:w="1335" w:type="dxa"/>
            <w:tcBorders>
              <w:top w:val="single" w:sz="4" w:space="0" w:color="auto"/>
              <w:left w:val="nil"/>
              <w:bottom w:val="nil"/>
              <w:right w:val="nil"/>
            </w:tcBorders>
            <w:shd w:val="clear" w:color="auto" w:fill="auto"/>
            <w:noWrap/>
            <w:vAlign w:val="center"/>
            <w:hideMark/>
          </w:tcPr>
          <w:p w14:paraId="3D5C1651"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(1)</w:t>
            </w:r>
          </w:p>
        </w:tc>
        <w:tc>
          <w:tcPr>
            <w:tcW w:w="1335" w:type="dxa"/>
            <w:tcBorders>
              <w:top w:val="single" w:sz="4" w:space="0" w:color="auto"/>
              <w:left w:val="nil"/>
              <w:bottom w:val="nil"/>
              <w:right w:val="nil"/>
            </w:tcBorders>
            <w:shd w:val="clear" w:color="auto" w:fill="auto"/>
            <w:noWrap/>
            <w:vAlign w:val="center"/>
            <w:hideMark/>
          </w:tcPr>
          <w:p w14:paraId="10D0E8E9"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(2)</w:t>
            </w:r>
          </w:p>
        </w:tc>
        <w:tc>
          <w:tcPr>
            <w:tcW w:w="1402" w:type="dxa"/>
            <w:tcBorders>
              <w:top w:val="single" w:sz="4" w:space="0" w:color="auto"/>
              <w:left w:val="nil"/>
              <w:bottom w:val="nil"/>
              <w:right w:val="nil"/>
            </w:tcBorders>
            <w:shd w:val="clear" w:color="auto" w:fill="auto"/>
            <w:noWrap/>
            <w:vAlign w:val="center"/>
            <w:hideMark/>
          </w:tcPr>
          <w:p w14:paraId="3983F10F"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(3)</w:t>
            </w:r>
          </w:p>
        </w:tc>
        <w:tc>
          <w:tcPr>
            <w:tcW w:w="1377" w:type="dxa"/>
            <w:tcBorders>
              <w:top w:val="single" w:sz="4" w:space="0" w:color="auto"/>
              <w:left w:val="nil"/>
              <w:bottom w:val="nil"/>
              <w:right w:val="nil"/>
            </w:tcBorders>
            <w:shd w:val="clear" w:color="auto" w:fill="auto"/>
            <w:noWrap/>
            <w:vAlign w:val="center"/>
            <w:hideMark/>
          </w:tcPr>
          <w:p w14:paraId="15C3B20E"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(4)</w:t>
            </w:r>
          </w:p>
        </w:tc>
      </w:tr>
      <w:tr w:rsidR="00A96BBB" w:rsidRPr="00A96BBB" w14:paraId="0BDAEC0D" w14:textId="77777777" w:rsidTr="00A96BBB">
        <w:trPr>
          <w:trHeight w:val="231"/>
        </w:trPr>
        <w:tc>
          <w:tcPr>
            <w:tcW w:w="3570" w:type="dxa"/>
            <w:tcBorders>
              <w:top w:val="nil"/>
              <w:left w:val="nil"/>
              <w:bottom w:val="single" w:sz="4" w:space="0" w:color="auto"/>
              <w:right w:val="nil"/>
            </w:tcBorders>
            <w:shd w:val="clear" w:color="auto" w:fill="auto"/>
            <w:vAlign w:val="center"/>
            <w:hideMark/>
          </w:tcPr>
          <w:p w14:paraId="029BAFD0" w14:textId="77777777" w:rsidR="00A96BBB" w:rsidRPr="00A96BBB" w:rsidRDefault="00A96BBB" w:rsidP="00A96BBB">
            <w:pPr>
              <w:spacing w:after="0" w:line="240" w:lineRule="auto"/>
              <w:rPr>
                <w:rFonts w:ascii="Calibri" w:eastAsia="Times New Roman" w:hAnsi="Calibri" w:cs="Calibri"/>
                <w:color w:val="000000"/>
                <w:sz w:val="22"/>
              </w:rPr>
            </w:pPr>
            <w:r w:rsidRPr="00A96BBB">
              <w:rPr>
                <w:rFonts w:ascii="Calibri" w:eastAsia="Times New Roman" w:hAnsi="Calibri" w:cs="Calibri"/>
                <w:color w:val="000000"/>
                <w:sz w:val="22"/>
              </w:rPr>
              <w:t>Variables</w:t>
            </w:r>
          </w:p>
        </w:tc>
        <w:tc>
          <w:tcPr>
            <w:tcW w:w="5449" w:type="dxa"/>
            <w:gridSpan w:val="4"/>
            <w:tcBorders>
              <w:top w:val="nil"/>
              <w:left w:val="nil"/>
              <w:bottom w:val="single" w:sz="4" w:space="0" w:color="auto"/>
              <w:right w:val="nil"/>
            </w:tcBorders>
            <w:shd w:val="clear" w:color="auto" w:fill="auto"/>
            <w:noWrap/>
            <w:vAlign w:val="center"/>
            <w:hideMark/>
          </w:tcPr>
          <w:p w14:paraId="29B47AE2"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Dependent variable: Years of education</w:t>
            </w:r>
          </w:p>
        </w:tc>
      </w:tr>
      <w:tr w:rsidR="00A96BBB" w:rsidRPr="00A96BBB" w14:paraId="7FCA8F6D" w14:textId="77777777" w:rsidTr="00A96BBB">
        <w:trPr>
          <w:trHeight w:val="231"/>
        </w:trPr>
        <w:tc>
          <w:tcPr>
            <w:tcW w:w="3570" w:type="dxa"/>
            <w:tcBorders>
              <w:top w:val="nil"/>
              <w:left w:val="nil"/>
              <w:bottom w:val="nil"/>
              <w:right w:val="nil"/>
            </w:tcBorders>
            <w:shd w:val="clear" w:color="auto" w:fill="auto"/>
            <w:vAlign w:val="center"/>
            <w:hideMark/>
          </w:tcPr>
          <w:p w14:paraId="689E5ED3" w14:textId="77777777" w:rsidR="00A96BBB" w:rsidRPr="00A96BBB" w:rsidRDefault="00A96BBB" w:rsidP="00A96BBB">
            <w:pPr>
              <w:spacing w:after="0" w:line="240" w:lineRule="auto"/>
              <w:jc w:val="center"/>
              <w:rPr>
                <w:rFonts w:ascii="Calibri" w:eastAsia="Times New Roman" w:hAnsi="Calibri" w:cs="Calibri"/>
                <w:color w:val="000000"/>
                <w:sz w:val="22"/>
              </w:rPr>
            </w:pPr>
          </w:p>
        </w:tc>
        <w:tc>
          <w:tcPr>
            <w:tcW w:w="1335" w:type="dxa"/>
            <w:tcBorders>
              <w:top w:val="nil"/>
              <w:left w:val="nil"/>
              <w:bottom w:val="nil"/>
              <w:right w:val="nil"/>
            </w:tcBorders>
            <w:shd w:val="clear" w:color="auto" w:fill="auto"/>
            <w:noWrap/>
            <w:vAlign w:val="center"/>
            <w:hideMark/>
          </w:tcPr>
          <w:p w14:paraId="1EA8B605" w14:textId="77777777" w:rsidR="00A96BBB" w:rsidRPr="00A96BBB" w:rsidRDefault="00A96BBB" w:rsidP="00A96BBB">
            <w:pPr>
              <w:spacing w:after="0" w:line="240" w:lineRule="auto"/>
              <w:rPr>
                <w:rFonts w:eastAsia="Times New Roman" w:cs="Times New Roman"/>
                <w:sz w:val="20"/>
                <w:szCs w:val="20"/>
              </w:rPr>
            </w:pPr>
          </w:p>
        </w:tc>
        <w:tc>
          <w:tcPr>
            <w:tcW w:w="1335" w:type="dxa"/>
            <w:tcBorders>
              <w:top w:val="nil"/>
              <w:left w:val="nil"/>
              <w:bottom w:val="nil"/>
              <w:right w:val="nil"/>
            </w:tcBorders>
            <w:shd w:val="clear" w:color="auto" w:fill="auto"/>
            <w:noWrap/>
            <w:vAlign w:val="center"/>
            <w:hideMark/>
          </w:tcPr>
          <w:p w14:paraId="495BB0D6" w14:textId="77777777" w:rsidR="00A96BBB" w:rsidRPr="00A96BBB" w:rsidRDefault="00A96BBB" w:rsidP="00A96BBB">
            <w:pPr>
              <w:spacing w:after="0" w:line="240" w:lineRule="auto"/>
              <w:jc w:val="center"/>
              <w:rPr>
                <w:rFonts w:eastAsia="Times New Roman" w:cs="Times New Roman"/>
                <w:sz w:val="20"/>
                <w:szCs w:val="20"/>
              </w:rPr>
            </w:pPr>
          </w:p>
        </w:tc>
        <w:tc>
          <w:tcPr>
            <w:tcW w:w="1402" w:type="dxa"/>
            <w:tcBorders>
              <w:top w:val="nil"/>
              <w:left w:val="nil"/>
              <w:bottom w:val="nil"/>
              <w:right w:val="nil"/>
            </w:tcBorders>
            <w:shd w:val="clear" w:color="auto" w:fill="auto"/>
            <w:noWrap/>
            <w:vAlign w:val="center"/>
            <w:hideMark/>
          </w:tcPr>
          <w:p w14:paraId="5D9BE578" w14:textId="77777777" w:rsidR="00A96BBB" w:rsidRPr="00A96BBB" w:rsidRDefault="00A96BBB" w:rsidP="00A96BBB">
            <w:pPr>
              <w:spacing w:after="0" w:line="240" w:lineRule="auto"/>
              <w:jc w:val="center"/>
              <w:rPr>
                <w:rFonts w:eastAsia="Times New Roman" w:cs="Times New Roman"/>
                <w:sz w:val="20"/>
                <w:szCs w:val="20"/>
              </w:rPr>
            </w:pPr>
          </w:p>
        </w:tc>
        <w:tc>
          <w:tcPr>
            <w:tcW w:w="1377" w:type="dxa"/>
            <w:tcBorders>
              <w:top w:val="nil"/>
              <w:left w:val="nil"/>
              <w:bottom w:val="nil"/>
              <w:right w:val="nil"/>
            </w:tcBorders>
            <w:shd w:val="clear" w:color="auto" w:fill="auto"/>
            <w:noWrap/>
            <w:vAlign w:val="center"/>
            <w:hideMark/>
          </w:tcPr>
          <w:p w14:paraId="40BF23BB" w14:textId="77777777" w:rsidR="00A96BBB" w:rsidRPr="00A96BBB" w:rsidRDefault="00A96BBB" w:rsidP="00A96BBB">
            <w:pPr>
              <w:spacing w:after="0" w:line="240" w:lineRule="auto"/>
              <w:jc w:val="center"/>
              <w:rPr>
                <w:rFonts w:eastAsia="Times New Roman" w:cs="Times New Roman"/>
                <w:sz w:val="20"/>
                <w:szCs w:val="20"/>
              </w:rPr>
            </w:pPr>
          </w:p>
        </w:tc>
      </w:tr>
      <w:tr w:rsidR="00A96BBB" w:rsidRPr="00A96BBB" w14:paraId="40091272" w14:textId="77777777" w:rsidTr="00A96BBB">
        <w:trPr>
          <w:trHeight w:val="231"/>
        </w:trPr>
        <w:tc>
          <w:tcPr>
            <w:tcW w:w="3570" w:type="dxa"/>
            <w:tcBorders>
              <w:top w:val="nil"/>
              <w:left w:val="nil"/>
              <w:bottom w:val="nil"/>
              <w:right w:val="nil"/>
            </w:tcBorders>
            <w:shd w:val="clear" w:color="auto" w:fill="auto"/>
            <w:vAlign w:val="center"/>
            <w:hideMark/>
          </w:tcPr>
          <w:p w14:paraId="18ED4847" w14:textId="77777777" w:rsidR="00A96BBB" w:rsidRPr="00A96BBB" w:rsidRDefault="00A96BBB" w:rsidP="00A96BBB">
            <w:pPr>
              <w:spacing w:after="0" w:line="240" w:lineRule="auto"/>
              <w:rPr>
                <w:rFonts w:ascii="Calibri" w:eastAsia="Times New Roman" w:hAnsi="Calibri" w:cs="Calibri"/>
                <w:i/>
                <w:iCs/>
                <w:color w:val="000000"/>
                <w:sz w:val="22"/>
              </w:rPr>
            </w:pPr>
            <w:r w:rsidRPr="00A96BBB">
              <w:rPr>
                <w:rFonts w:ascii="Calibri" w:eastAsia="Times New Roman" w:hAnsi="Calibri" w:cs="Calibri"/>
                <w:i/>
                <w:iCs/>
                <w:color w:val="000000"/>
                <w:sz w:val="22"/>
              </w:rPr>
              <w:t>CSL exposure</w:t>
            </w:r>
          </w:p>
        </w:tc>
        <w:tc>
          <w:tcPr>
            <w:tcW w:w="1335" w:type="dxa"/>
            <w:tcBorders>
              <w:top w:val="nil"/>
              <w:left w:val="nil"/>
              <w:bottom w:val="nil"/>
              <w:right w:val="nil"/>
            </w:tcBorders>
            <w:shd w:val="clear" w:color="auto" w:fill="auto"/>
            <w:noWrap/>
            <w:vAlign w:val="bottom"/>
            <w:hideMark/>
          </w:tcPr>
          <w:p w14:paraId="61FA930C"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 xml:space="preserve">3.419*** </w:t>
            </w:r>
          </w:p>
        </w:tc>
        <w:tc>
          <w:tcPr>
            <w:tcW w:w="1335" w:type="dxa"/>
            <w:tcBorders>
              <w:top w:val="nil"/>
              <w:left w:val="nil"/>
              <w:bottom w:val="nil"/>
              <w:right w:val="nil"/>
            </w:tcBorders>
            <w:shd w:val="clear" w:color="auto" w:fill="auto"/>
            <w:noWrap/>
            <w:vAlign w:val="bottom"/>
            <w:hideMark/>
          </w:tcPr>
          <w:p w14:paraId="64E82998"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1.011***</w:t>
            </w:r>
          </w:p>
        </w:tc>
        <w:tc>
          <w:tcPr>
            <w:tcW w:w="1402" w:type="dxa"/>
            <w:tcBorders>
              <w:top w:val="nil"/>
              <w:left w:val="nil"/>
              <w:bottom w:val="nil"/>
              <w:right w:val="nil"/>
            </w:tcBorders>
            <w:shd w:val="clear" w:color="auto" w:fill="auto"/>
            <w:noWrap/>
            <w:vAlign w:val="bottom"/>
            <w:hideMark/>
          </w:tcPr>
          <w:p w14:paraId="39909E2F"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2.285***</w:t>
            </w:r>
          </w:p>
        </w:tc>
        <w:tc>
          <w:tcPr>
            <w:tcW w:w="1377" w:type="dxa"/>
            <w:tcBorders>
              <w:top w:val="nil"/>
              <w:left w:val="nil"/>
              <w:bottom w:val="nil"/>
              <w:right w:val="nil"/>
            </w:tcBorders>
            <w:shd w:val="clear" w:color="auto" w:fill="auto"/>
            <w:noWrap/>
            <w:vAlign w:val="bottom"/>
            <w:hideMark/>
          </w:tcPr>
          <w:p w14:paraId="7C11557A"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2.708***</w:t>
            </w:r>
          </w:p>
        </w:tc>
      </w:tr>
      <w:tr w:rsidR="00A96BBB" w:rsidRPr="00A96BBB" w14:paraId="6C8209AA" w14:textId="77777777" w:rsidTr="00A96BBB">
        <w:trPr>
          <w:trHeight w:val="231"/>
        </w:trPr>
        <w:tc>
          <w:tcPr>
            <w:tcW w:w="3570" w:type="dxa"/>
            <w:tcBorders>
              <w:top w:val="nil"/>
              <w:left w:val="nil"/>
              <w:bottom w:val="nil"/>
              <w:right w:val="nil"/>
            </w:tcBorders>
            <w:shd w:val="clear" w:color="auto" w:fill="auto"/>
            <w:vAlign w:val="center"/>
            <w:hideMark/>
          </w:tcPr>
          <w:p w14:paraId="37157342" w14:textId="77777777" w:rsidR="00A96BBB" w:rsidRPr="00A96BBB" w:rsidRDefault="00A96BBB" w:rsidP="00A96BBB">
            <w:pPr>
              <w:spacing w:after="0" w:line="240" w:lineRule="auto"/>
              <w:jc w:val="center"/>
              <w:rPr>
                <w:rFonts w:ascii="Calibri" w:eastAsia="Times New Roman" w:hAnsi="Calibri" w:cs="Calibri"/>
                <w:color w:val="000000"/>
                <w:sz w:val="22"/>
              </w:rPr>
            </w:pPr>
          </w:p>
        </w:tc>
        <w:tc>
          <w:tcPr>
            <w:tcW w:w="1335" w:type="dxa"/>
            <w:tcBorders>
              <w:top w:val="nil"/>
              <w:left w:val="nil"/>
              <w:bottom w:val="nil"/>
              <w:right w:val="nil"/>
            </w:tcBorders>
            <w:shd w:val="clear" w:color="auto" w:fill="auto"/>
            <w:noWrap/>
            <w:vAlign w:val="bottom"/>
            <w:hideMark/>
          </w:tcPr>
          <w:p w14:paraId="4CF38EA1"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 xml:space="preserve">(0.121)  </w:t>
            </w:r>
          </w:p>
        </w:tc>
        <w:tc>
          <w:tcPr>
            <w:tcW w:w="1335" w:type="dxa"/>
            <w:tcBorders>
              <w:top w:val="nil"/>
              <w:left w:val="nil"/>
              <w:bottom w:val="nil"/>
              <w:right w:val="nil"/>
            </w:tcBorders>
            <w:shd w:val="clear" w:color="auto" w:fill="auto"/>
            <w:noWrap/>
            <w:vAlign w:val="bottom"/>
            <w:hideMark/>
          </w:tcPr>
          <w:p w14:paraId="36B3A6A8"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 xml:space="preserve">(0.387) </w:t>
            </w:r>
          </w:p>
        </w:tc>
        <w:tc>
          <w:tcPr>
            <w:tcW w:w="1402" w:type="dxa"/>
            <w:tcBorders>
              <w:top w:val="nil"/>
              <w:left w:val="nil"/>
              <w:bottom w:val="nil"/>
              <w:right w:val="nil"/>
            </w:tcBorders>
            <w:shd w:val="clear" w:color="auto" w:fill="auto"/>
            <w:noWrap/>
            <w:vAlign w:val="bottom"/>
            <w:hideMark/>
          </w:tcPr>
          <w:p w14:paraId="250D51A6"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 xml:space="preserve">(0.313) </w:t>
            </w:r>
          </w:p>
        </w:tc>
        <w:tc>
          <w:tcPr>
            <w:tcW w:w="1377" w:type="dxa"/>
            <w:tcBorders>
              <w:top w:val="nil"/>
              <w:left w:val="nil"/>
              <w:bottom w:val="nil"/>
              <w:right w:val="nil"/>
            </w:tcBorders>
            <w:shd w:val="clear" w:color="auto" w:fill="auto"/>
            <w:noWrap/>
            <w:vAlign w:val="bottom"/>
            <w:hideMark/>
          </w:tcPr>
          <w:p w14:paraId="0B022640"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 xml:space="preserve">(0.500) </w:t>
            </w:r>
          </w:p>
        </w:tc>
      </w:tr>
      <w:tr w:rsidR="00A96BBB" w:rsidRPr="00A96BBB" w14:paraId="6C968ABB" w14:textId="77777777" w:rsidTr="00A96BBB">
        <w:trPr>
          <w:trHeight w:val="231"/>
        </w:trPr>
        <w:tc>
          <w:tcPr>
            <w:tcW w:w="3570" w:type="dxa"/>
            <w:tcBorders>
              <w:top w:val="nil"/>
              <w:left w:val="nil"/>
              <w:bottom w:val="nil"/>
              <w:right w:val="nil"/>
            </w:tcBorders>
            <w:shd w:val="clear" w:color="auto" w:fill="auto"/>
            <w:vAlign w:val="center"/>
            <w:hideMark/>
          </w:tcPr>
          <w:p w14:paraId="53B9A33C" w14:textId="77777777" w:rsidR="00A96BBB" w:rsidRPr="00A96BBB" w:rsidRDefault="00A96BBB" w:rsidP="00A96BBB">
            <w:pPr>
              <w:spacing w:after="0" w:line="240" w:lineRule="auto"/>
              <w:jc w:val="center"/>
              <w:rPr>
                <w:rFonts w:ascii="Calibri" w:eastAsia="Times New Roman" w:hAnsi="Calibri" w:cs="Calibri"/>
                <w:color w:val="000000"/>
                <w:sz w:val="22"/>
              </w:rPr>
            </w:pPr>
          </w:p>
        </w:tc>
        <w:tc>
          <w:tcPr>
            <w:tcW w:w="1335" w:type="dxa"/>
            <w:tcBorders>
              <w:top w:val="nil"/>
              <w:left w:val="nil"/>
              <w:bottom w:val="nil"/>
              <w:right w:val="nil"/>
            </w:tcBorders>
            <w:shd w:val="clear" w:color="auto" w:fill="auto"/>
            <w:noWrap/>
            <w:vAlign w:val="bottom"/>
            <w:hideMark/>
          </w:tcPr>
          <w:p w14:paraId="13B824F8" w14:textId="77777777" w:rsidR="00A96BBB" w:rsidRPr="00A96BBB" w:rsidRDefault="00A96BBB" w:rsidP="00A96BBB">
            <w:pPr>
              <w:spacing w:after="0" w:line="240" w:lineRule="auto"/>
              <w:rPr>
                <w:rFonts w:eastAsia="Times New Roman" w:cs="Times New Roman"/>
                <w:sz w:val="20"/>
                <w:szCs w:val="20"/>
              </w:rPr>
            </w:pPr>
          </w:p>
        </w:tc>
        <w:tc>
          <w:tcPr>
            <w:tcW w:w="1335" w:type="dxa"/>
            <w:tcBorders>
              <w:top w:val="nil"/>
              <w:left w:val="nil"/>
              <w:bottom w:val="nil"/>
              <w:right w:val="nil"/>
            </w:tcBorders>
            <w:shd w:val="clear" w:color="auto" w:fill="auto"/>
            <w:noWrap/>
            <w:vAlign w:val="bottom"/>
            <w:hideMark/>
          </w:tcPr>
          <w:p w14:paraId="1A6EEE5A" w14:textId="77777777" w:rsidR="00A96BBB" w:rsidRPr="00A96BBB" w:rsidRDefault="00A96BBB" w:rsidP="00A96BBB">
            <w:pPr>
              <w:spacing w:after="0" w:line="240" w:lineRule="auto"/>
              <w:jc w:val="center"/>
              <w:rPr>
                <w:rFonts w:eastAsia="Times New Roman" w:cs="Times New Roman"/>
                <w:sz w:val="20"/>
                <w:szCs w:val="20"/>
              </w:rPr>
            </w:pPr>
          </w:p>
        </w:tc>
        <w:tc>
          <w:tcPr>
            <w:tcW w:w="1402" w:type="dxa"/>
            <w:tcBorders>
              <w:top w:val="nil"/>
              <w:left w:val="nil"/>
              <w:bottom w:val="nil"/>
              <w:right w:val="nil"/>
            </w:tcBorders>
            <w:shd w:val="clear" w:color="auto" w:fill="auto"/>
            <w:noWrap/>
            <w:vAlign w:val="bottom"/>
            <w:hideMark/>
          </w:tcPr>
          <w:p w14:paraId="2CBAA546" w14:textId="77777777" w:rsidR="00A96BBB" w:rsidRPr="00A96BBB" w:rsidRDefault="00A96BBB" w:rsidP="00A96BBB">
            <w:pPr>
              <w:spacing w:after="0" w:line="240" w:lineRule="auto"/>
              <w:jc w:val="center"/>
              <w:rPr>
                <w:rFonts w:eastAsia="Times New Roman" w:cs="Times New Roman"/>
                <w:sz w:val="20"/>
                <w:szCs w:val="20"/>
              </w:rPr>
            </w:pPr>
          </w:p>
        </w:tc>
        <w:tc>
          <w:tcPr>
            <w:tcW w:w="1377" w:type="dxa"/>
            <w:tcBorders>
              <w:top w:val="nil"/>
              <w:left w:val="nil"/>
              <w:bottom w:val="nil"/>
              <w:right w:val="nil"/>
            </w:tcBorders>
            <w:shd w:val="clear" w:color="auto" w:fill="auto"/>
            <w:noWrap/>
            <w:vAlign w:val="bottom"/>
            <w:hideMark/>
          </w:tcPr>
          <w:p w14:paraId="0F633936" w14:textId="77777777" w:rsidR="00A96BBB" w:rsidRPr="00A96BBB" w:rsidRDefault="00A96BBB" w:rsidP="00A96BBB">
            <w:pPr>
              <w:spacing w:after="0" w:line="240" w:lineRule="auto"/>
              <w:jc w:val="center"/>
              <w:rPr>
                <w:rFonts w:eastAsia="Times New Roman" w:cs="Times New Roman"/>
                <w:sz w:val="20"/>
                <w:szCs w:val="20"/>
              </w:rPr>
            </w:pPr>
          </w:p>
        </w:tc>
      </w:tr>
      <w:tr w:rsidR="00A96BBB" w:rsidRPr="00A96BBB" w14:paraId="0093A087" w14:textId="77777777" w:rsidTr="00A96BBB">
        <w:trPr>
          <w:trHeight w:val="212"/>
        </w:trPr>
        <w:tc>
          <w:tcPr>
            <w:tcW w:w="3570" w:type="dxa"/>
            <w:tcBorders>
              <w:top w:val="nil"/>
              <w:left w:val="nil"/>
              <w:bottom w:val="nil"/>
              <w:right w:val="nil"/>
            </w:tcBorders>
            <w:shd w:val="clear" w:color="auto" w:fill="auto"/>
            <w:vAlign w:val="center"/>
            <w:hideMark/>
          </w:tcPr>
          <w:p w14:paraId="66551806" w14:textId="77777777" w:rsidR="00A96BBB" w:rsidRPr="00A96BBB" w:rsidRDefault="00A96BBB" w:rsidP="00A96BBB">
            <w:pPr>
              <w:spacing w:after="0" w:line="240" w:lineRule="auto"/>
              <w:rPr>
                <w:rFonts w:ascii="Calibri" w:eastAsia="Times New Roman" w:hAnsi="Calibri" w:cs="Calibri"/>
                <w:i/>
                <w:iCs/>
                <w:color w:val="000000"/>
                <w:sz w:val="22"/>
              </w:rPr>
            </w:pPr>
            <w:r w:rsidRPr="00A96BBB">
              <w:rPr>
                <w:rFonts w:ascii="Calibri" w:eastAsia="Times New Roman" w:hAnsi="Calibri" w:cs="Calibri"/>
                <w:i/>
                <w:iCs/>
                <w:color w:val="000000"/>
                <w:sz w:val="22"/>
              </w:rPr>
              <w:t>CSL exposure*</w:t>
            </w:r>
            <w:proofErr w:type="spellStart"/>
            <w:r w:rsidRPr="00A96BBB">
              <w:rPr>
                <w:rFonts w:ascii="Calibri" w:eastAsia="Times New Roman" w:hAnsi="Calibri" w:cs="Calibri"/>
                <w:i/>
                <w:iCs/>
                <w:color w:val="000000"/>
                <w:sz w:val="22"/>
              </w:rPr>
              <w:t>avgIne</w:t>
            </w:r>
            <w:proofErr w:type="spellEnd"/>
          </w:p>
        </w:tc>
        <w:tc>
          <w:tcPr>
            <w:tcW w:w="1335" w:type="dxa"/>
            <w:tcBorders>
              <w:top w:val="nil"/>
              <w:left w:val="nil"/>
              <w:bottom w:val="nil"/>
              <w:right w:val="nil"/>
            </w:tcBorders>
            <w:shd w:val="clear" w:color="auto" w:fill="auto"/>
            <w:noWrap/>
            <w:vAlign w:val="bottom"/>
            <w:hideMark/>
          </w:tcPr>
          <w:p w14:paraId="69879431" w14:textId="77777777" w:rsidR="00A96BBB" w:rsidRPr="00A96BBB" w:rsidRDefault="00A96BBB" w:rsidP="00A96BBB">
            <w:pPr>
              <w:spacing w:after="0" w:line="240" w:lineRule="auto"/>
              <w:rPr>
                <w:rFonts w:ascii="Calibri" w:eastAsia="Times New Roman" w:hAnsi="Calibri" w:cs="Calibri"/>
                <w:i/>
                <w:iCs/>
                <w:color w:val="000000"/>
                <w:sz w:val="22"/>
              </w:rPr>
            </w:pPr>
          </w:p>
        </w:tc>
        <w:tc>
          <w:tcPr>
            <w:tcW w:w="1335" w:type="dxa"/>
            <w:tcBorders>
              <w:top w:val="nil"/>
              <w:left w:val="nil"/>
              <w:bottom w:val="nil"/>
              <w:right w:val="nil"/>
            </w:tcBorders>
            <w:shd w:val="clear" w:color="auto" w:fill="auto"/>
            <w:noWrap/>
            <w:vAlign w:val="bottom"/>
            <w:hideMark/>
          </w:tcPr>
          <w:p w14:paraId="114CF8DD" w14:textId="77777777" w:rsidR="00A96BBB" w:rsidRPr="00A96BBB" w:rsidRDefault="00A96BBB" w:rsidP="00A96BBB">
            <w:pPr>
              <w:spacing w:after="0" w:line="240" w:lineRule="auto"/>
              <w:jc w:val="center"/>
              <w:rPr>
                <w:rFonts w:eastAsia="Times New Roman" w:cs="Times New Roman"/>
                <w:sz w:val="20"/>
                <w:szCs w:val="20"/>
              </w:rPr>
            </w:pPr>
          </w:p>
        </w:tc>
        <w:tc>
          <w:tcPr>
            <w:tcW w:w="1402" w:type="dxa"/>
            <w:tcBorders>
              <w:top w:val="nil"/>
              <w:left w:val="nil"/>
              <w:bottom w:val="nil"/>
              <w:right w:val="nil"/>
            </w:tcBorders>
            <w:shd w:val="clear" w:color="auto" w:fill="auto"/>
            <w:noWrap/>
            <w:vAlign w:val="bottom"/>
            <w:hideMark/>
          </w:tcPr>
          <w:p w14:paraId="50F400B0"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 xml:space="preserve"> 0.124***  </w:t>
            </w:r>
          </w:p>
        </w:tc>
        <w:tc>
          <w:tcPr>
            <w:tcW w:w="1377" w:type="dxa"/>
            <w:tcBorders>
              <w:top w:val="nil"/>
              <w:left w:val="nil"/>
              <w:bottom w:val="nil"/>
              <w:right w:val="nil"/>
            </w:tcBorders>
            <w:shd w:val="clear" w:color="auto" w:fill="auto"/>
            <w:noWrap/>
            <w:vAlign w:val="bottom"/>
            <w:hideMark/>
          </w:tcPr>
          <w:p w14:paraId="3BCB47F0"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-0.196***</w:t>
            </w:r>
          </w:p>
        </w:tc>
      </w:tr>
      <w:tr w:rsidR="00A96BBB" w:rsidRPr="00A96BBB" w14:paraId="1E1EED39" w14:textId="77777777" w:rsidTr="00A96BBB">
        <w:trPr>
          <w:trHeight w:val="231"/>
        </w:trPr>
        <w:tc>
          <w:tcPr>
            <w:tcW w:w="3570" w:type="dxa"/>
            <w:tcBorders>
              <w:top w:val="nil"/>
              <w:left w:val="nil"/>
              <w:bottom w:val="nil"/>
              <w:right w:val="nil"/>
            </w:tcBorders>
            <w:shd w:val="clear" w:color="auto" w:fill="auto"/>
            <w:vAlign w:val="center"/>
            <w:hideMark/>
          </w:tcPr>
          <w:p w14:paraId="3A820275" w14:textId="77777777" w:rsidR="00A96BBB" w:rsidRPr="00A96BBB" w:rsidRDefault="00A96BBB" w:rsidP="00A96BBB">
            <w:pPr>
              <w:spacing w:after="0" w:line="240" w:lineRule="auto"/>
              <w:jc w:val="center"/>
              <w:rPr>
                <w:rFonts w:ascii="Calibri" w:eastAsia="Times New Roman" w:hAnsi="Calibri" w:cs="Calibri"/>
                <w:color w:val="000000"/>
                <w:sz w:val="22"/>
              </w:rPr>
            </w:pPr>
          </w:p>
        </w:tc>
        <w:tc>
          <w:tcPr>
            <w:tcW w:w="1335" w:type="dxa"/>
            <w:tcBorders>
              <w:top w:val="nil"/>
              <w:left w:val="nil"/>
              <w:bottom w:val="nil"/>
              <w:right w:val="nil"/>
            </w:tcBorders>
            <w:shd w:val="clear" w:color="auto" w:fill="auto"/>
            <w:noWrap/>
            <w:vAlign w:val="bottom"/>
            <w:hideMark/>
          </w:tcPr>
          <w:p w14:paraId="28A50AD0" w14:textId="77777777" w:rsidR="00A96BBB" w:rsidRPr="00A96BBB" w:rsidRDefault="00A96BBB" w:rsidP="00A96BBB">
            <w:pPr>
              <w:spacing w:after="0" w:line="240" w:lineRule="auto"/>
              <w:rPr>
                <w:rFonts w:eastAsia="Times New Roman" w:cs="Times New Roman"/>
                <w:sz w:val="20"/>
                <w:szCs w:val="20"/>
              </w:rPr>
            </w:pPr>
          </w:p>
        </w:tc>
        <w:tc>
          <w:tcPr>
            <w:tcW w:w="1335" w:type="dxa"/>
            <w:tcBorders>
              <w:top w:val="nil"/>
              <w:left w:val="nil"/>
              <w:bottom w:val="nil"/>
              <w:right w:val="nil"/>
            </w:tcBorders>
            <w:shd w:val="clear" w:color="auto" w:fill="auto"/>
            <w:noWrap/>
            <w:vAlign w:val="bottom"/>
            <w:hideMark/>
          </w:tcPr>
          <w:p w14:paraId="5E9C975E" w14:textId="77777777" w:rsidR="00A96BBB" w:rsidRPr="00A96BBB" w:rsidRDefault="00A96BBB" w:rsidP="00A96BBB">
            <w:pPr>
              <w:spacing w:after="0" w:line="240" w:lineRule="auto"/>
              <w:jc w:val="center"/>
              <w:rPr>
                <w:rFonts w:eastAsia="Times New Roman" w:cs="Times New Roman"/>
                <w:sz w:val="20"/>
                <w:szCs w:val="20"/>
              </w:rPr>
            </w:pPr>
          </w:p>
        </w:tc>
        <w:tc>
          <w:tcPr>
            <w:tcW w:w="1402" w:type="dxa"/>
            <w:tcBorders>
              <w:top w:val="nil"/>
              <w:left w:val="nil"/>
              <w:bottom w:val="nil"/>
              <w:right w:val="nil"/>
            </w:tcBorders>
            <w:shd w:val="clear" w:color="auto" w:fill="auto"/>
            <w:noWrap/>
            <w:vAlign w:val="bottom"/>
            <w:hideMark/>
          </w:tcPr>
          <w:p w14:paraId="3867C7C4"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 xml:space="preserve"> (0.0321) </w:t>
            </w:r>
          </w:p>
        </w:tc>
        <w:tc>
          <w:tcPr>
            <w:tcW w:w="1377" w:type="dxa"/>
            <w:tcBorders>
              <w:top w:val="nil"/>
              <w:left w:val="nil"/>
              <w:bottom w:val="nil"/>
              <w:right w:val="nil"/>
            </w:tcBorders>
            <w:shd w:val="clear" w:color="auto" w:fill="auto"/>
            <w:noWrap/>
            <w:vAlign w:val="bottom"/>
            <w:hideMark/>
          </w:tcPr>
          <w:p w14:paraId="00678326"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 xml:space="preserve">(0.0360) </w:t>
            </w:r>
          </w:p>
        </w:tc>
      </w:tr>
      <w:tr w:rsidR="00A96BBB" w:rsidRPr="00A96BBB" w14:paraId="1092D315" w14:textId="77777777" w:rsidTr="00A96BBB">
        <w:trPr>
          <w:trHeight w:val="231"/>
        </w:trPr>
        <w:tc>
          <w:tcPr>
            <w:tcW w:w="3570" w:type="dxa"/>
            <w:tcBorders>
              <w:top w:val="nil"/>
              <w:left w:val="nil"/>
              <w:bottom w:val="nil"/>
              <w:right w:val="nil"/>
            </w:tcBorders>
            <w:shd w:val="clear" w:color="auto" w:fill="auto"/>
            <w:vAlign w:val="center"/>
            <w:hideMark/>
          </w:tcPr>
          <w:p w14:paraId="237F61D3" w14:textId="77777777" w:rsidR="00A96BBB" w:rsidRPr="00A96BBB" w:rsidRDefault="00A96BBB" w:rsidP="00A96BBB">
            <w:pPr>
              <w:spacing w:after="0" w:line="240" w:lineRule="auto"/>
              <w:jc w:val="center"/>
              <w:rPr>
                <w:rFonts w:ascii="Calibri" w:eastAsia="Times New Roman" w:hAnsi="Calibri" w:cs="Calibri"/>
                <w:color w:val="000000"/>
                <w:sz w:val="22"/>
              </w:rPr>
            </w:pPr>
          </w:p>
        </w:tc>
        <w:tc>
          <w:tcPr>
            <w:tcW w:w="1335" w:type="dxa"/>
            <w:tcBorders>
              <w:top w:val="nil"/>
              <w:left w:val="nil"/>
              <w:bottom w:val="nil"/>
              <w:right w:val="nil"/>
            </w:tcBorders>
            <w:shd w:val="clear" w:color="auto" w:fill="auto"/>
            <w:noWrap/>
            <w:vAlign w:val="bottom"/>
            <w:hideMark/>
          </w:tcPr>
          <w:p w14:paraId="68D8B3C4" w14:textId="77777777" w:rsidR="00A96BBB" w:rsidRPr="00A96BBB" w:rsidRDefault="00A96BBB" w:rsidP="00A96BBB">
            <w:pPr>
              <w:spacing w:after="0" w:line="240" w:lineRule="auto"/>
              <w:rPr>
                <w:rFonts w:eastAsia="Times New Roman" w:cs="Times New Roman"/>
                <w:sz w:val="20"/>
                <w:szCs w:val="20"/>
              </w:rPr>
            </w:pPr>
          </w:p>
        </w:tc>
        <w:tc>
          <w:tcPr>
            <w:tcW w:w="1335" w:type="dxa"/>
            <w:tcBorders>
              <w:top w:val="nil"/>
              <w:left w:val="nil"/>
              <w:bottom w:val="nil"/>
              <w:right w:val="nil"/>
            </w:tcBorders>
            <w:shd w:val="clear" w:color="auto" w:fill="auto"/>
            <w:noWrap/>
            <w:vAlign w:val="bottom"/>
            <w:hideMark/>
          </w:tcPr>
          <w:p w14:paraId="5C75576B" w14:textId="77777777" w:rsidR="00A96BBB" w:rsidRPr="00A96BBB" w:rsidRDefault="00A96BBB" w:rsidP="00A96BBB">
            <w:pPr>
              <w:spacing w:after="0" w:line="240" w:lineRule="auto"/>
              <w:jc w:val="center"/>
              <w:rPr>
                <w:rFonts w:eastAsia="Times New Roman" w:cs="Times New Roman"/>
                <w:sz w:val="20"/>
                <w:szCs w:val="20"/>
              </w:rPr>
            </w:pPr>
          </w:p>
        </w:tc>
        <w:tc>
          <w:tcPr>
            <w:tcW w:w="1402" w:type="dxa"/>
            <w:tcBorders>
              <w:top w:val="nil"/>
              <w:left w:val="nil"/>
              <w:bottom w:val="nil"/>
              <w:right w:val="nil"/>
            </w:tcBorders>
            <w:shd w:val="clear" w:color="auto" w:fill="auto"/>
            <w:noWrap/>
            <w:vAlign w:val="bottom"/>
            <w:hideMark/>
          </w:tcPr>
          <w:p w14:paraId="1CA78F52" w14:textId="77777777" w:rsidR="00A96BBB" w:rsidRPr="00A96BBB" w:rsidRDefault="00A96BBB" w:rsidP="00A96BBB">
            <w:pPr>
              <w:spacing w:after="0" w:line="240" w:lineRule="auto"/>
              <w:jc w:val="center"/>
              <w:rPr>
                <w:rFonts w:eastAsia="Times New Roman" w:cs="Times New Roman"/>
                <w:sz w:val="20"/>
                <w:szCs w:val="20"/>
              </w:rPr>
            </w:pPr>
          </w:p>
        </w:tc>
        <w:tc>
          <w:tcPr>
            <w:tcW w:w="1377" w:type="dxa"/>
            <w:tcBorders>
              <w:top w:val="nil"/>
              <w:left w:val="nil"/>
              <w:bottom w:val="nil"/>
              <w:right w:val="nil"/>
            </w:tcBorders>
            <w:shd w:val="clear" w:color="auto" w:fill="auto"/>
            <w:noWrap/>
            <w:vAlign w:val="bottom"/>
            <w:hideMark/>
          </w:tcPr>
          <w:p w14:paraId="63320265" w14:textId="77777777" w:rsidR="00A96BBB" w:rsidRPr="00A96BBB" w:rsidRDefault="00A96BBB" w:rsidP="00A96BBB">
            <w:pPr>
              <w:spacing w:after="0" w:line="240" w:lineRule="auto"/>
              <w:jc w:val="center"/>
              <w:rPr>
                <w:rFonts w:eastAsia="Times New Roman" w:cs="Times New Roman"/>
                <w:sz w:val="20"/>
                <w:szCs w:val="20"/>
              </w:rPr>
            </w:pPr>
          </w:p>
        </w:tc>
      </w:tr>
      <w:tr w:rsidR="00A96BBB" w:rsidRPr="00A96BBB" w14:paraId="67980DC8" w14:textId="77777777" w:rsidTr="00A96BBB">
        <w:trPr>
          <w:trHeight w:val="231"/>
        </w:trPr>
        <w:tc>
          <w:tcPr>
            <w:tcW w:w="3570" w:type="dxa"/>
            <w:tcBorders>
              <w:top w:val="nil"/>
              <w:left w:val="nil"/>
              <w:bottom w:val="nil"/>
              <w:right w:val="nil"/>
            </w:tcBorders>
            <w:shd w:val="clear" w:color="auto" w:fill="auto"/>
            <w:vAlign w:val="center"/>
            <w:hideMark/>
          </w:tcPr>
          <w:p w14:paraId="6BB87FCD" w14:textId="77777777" w:rsidR="00A96BBB" w:rsidRPr="00A96BBB" w:rsidRDefault="00A96BBB" w:rsidP="00A96BBB">
            <w:pPr>
              <w:spacing w:after="0" w:line="240" w:lineRule="auto"/>
              <w:rPr>
                <w:rFonts w:ascii="Calibri" w:eastAsia="Times New Roman" w:hAnsi="Calibri" w:cs="Calibri"/>
                <w:color w:val="000000"/>
                <w:sz w:val="22"/>
              </w:rPr>
            </w:pPr>
            <w:r w:rsidRPr="00A96BBB">
              <w:rPr>
                <w:rFonts w:ascii="Calibri" w:eastAsia="Times New Roman" w:hAnsi="Calibri" w:cs="Calibri"/>
                <w:color w:val="000000"/>
                <w:sz w:val="22"/>
              </w:rPr>
              <w:t>Observation</w:t>
            </w:r>
          </w:p>
        </w:tc>
        <w:tc>
          <w:tcPr>
            <w:tcW w:w="1335" w:type="dxa"/>
            <w:tcBorders>
              <w:top w:val="nil"/>
              <w:left w:val="nil"/>
              <w:bottom w:val="nil"/>
              <w:right w:val="nil"/>
            </w:tcBorders>
            <w:shd w:val="clear" w:color="auto" w:fill="auto"/>
            <w:noWrap/>
            <w:vAlign w:val="bottom"/>
            <w:hideMark/>
          </w:tcPr>
          <w:p w14:paraId="200BDE00"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10489</w:t>
            </w:r>
          </w:p>
        </w:tc>
        <w:tc>
          <w:tcPr>
            <w:tcW w:w="1335" w:type="dxa"/>
            <w:tcBorders>
              <w:top w:val="nil"/>
              <w:left w:val="nil"/>
              <w:bottom w:val="nil"/>
              <w:right w:val="nil"/>
            </w:tcBorders>
            <w:shd w:val="clear" w:color="auto" w:fill="auto"/>
            <w:noWrap/>
            <w:vAlign w:val="bottom"/>
            <w:hideMark/>
          </w:tcPr>
          <w:p w14:paraId="025069AA"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10489</w:t>
            </w:r>
          </w:p>
        </w:tc>
        <w:tc>
          <w:tcPr>
            <w:tcW w:w="1402" w:type="dxa"/>
            <w:tcBorders>
              <w:top w:val="nil"/>
              <w:left w:val="nil"/>
              <w:bottom w:val="nil"/>
              <w:right w:val="nil"/>
            </w:tcBorders>
            <w:shd w:val="clear" w:color="auto" w:fill="auto"/>
            <w:noWrap/>
            <w:vAlign w:val="bottom"/>
            <w:hideMark/>
          </w:tcPr>
          <w:p w14:paraId="61F2530E"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10489</w:t>
            </w:r>
          </w:p>
        </w:tc>
        <w:tc>
          <w:tcPr>
            <w:tcW w:w="1377" w:type="dxa"/>
            <w:tcBorders>
              <w:top w:val="nil"/>
              <w:left w:val="nil"/>
              <w:bottom w:val="nil"/>
              <w:right w:val="nil"/>
            </w:tcBorders>
            <w:shd w:val="clear" w:color="auto" w:fill="auto"/>
            <w:noWrap/>
            <w:vAlign w:val="bottom"/>
            <w:hideMark/>
          </w:tcPr>
          <w:p w14:paraId="2869380D"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10489</w:t>
            </w:r>
          </w:p>
        </w:tc>
      </w:tr>
      <w:tr w:rsidR="00A96BBB" w:rsidRPr="00A96BBB" w14:paraId="7D8F6B5A" w14:textId="77777777" w:rsidTr="00A96BBB">
        <w:trPr>
          <w:trHeight w:val="231"/>
        </w:trPr>
        <w:tc>
          <w:tcPr>
            <w:tcW w:w="3570" w:type="dxa"/>
            <w:tcBorders>
              <w:top w:val="nil"/>
              <w:left w:val="nil"/>
              <w:bottom w:val="nil"/>
              <w:right w:val="nil"/>
            </w:tcBorders>
            <w:shd w:val="clear" w:color="auto" w:fill="auto"/>
            <w:vAlign w:val="center"/>
            <w:hideMark/>
          </w:tcPr>
          <w:p w14:paraId="4F55A14C" w14:textId="77777777" w:rsidR="00A96BBB" w:rsidRPr="00A96BBB" w:rsidRDefault="00A96BBB" w:rsidP="00A96BBB">
            <w:pPr>
              <w:spacing w:after="0" w:line="240" w:lineRule="auto"/>
              <w:rPr>
                <w:rFonts w:ascii="Calibri" w:eastAsia="Times New Roman" w:hAnsi="Calibri" w:cs="Calibri"/>
                <w:color w:val="000000"/>
                <w:sz w:val="22"/>
              </w:rPr>
            </w:pPr>
            <w:r w:rsidRPr="00A96BBB">
              <w:rPr>
                <w:rFonts w:ascii="Calibri" w:eastAsia="Times New Roman" w:hAnsi="Calibri" w:cs="Calibri"/>
                <w:color w:val="000000"/>
                <w:sz w:val="22"/>
              </w:rPr>
              <w:t>Adj. R-squared</w:t>
            </w:r>
          </w:p>
        </w:tc>
        <w:tc>
          <w:tcPr>
            <w:tcW w:w="1335" w:type="dxa"/>
            <w:tcBorders>
              <w:top w:val="nil"/>
              <w:left w:val="nil"/>
              <w:bottom w:val="nil"/>
              <w:right w:val="nil"/>
            </w:tcBorders>
            <w:shd w:val="clear" w:color="auto" w:fill="auto"/>
            <w:noWrap/>
            <w:vAlign w:val="bottom"/>
            <w:hideMark/>
          </w:tcPr>
          <w:p w14:paraId="2319D32D"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0.287</w:t>
            </w:r>
          </w:p>
        </w:tc>
        <w:tc>
          <w:tcPr>
            <w:tcW w:w="1335" w:type="dxa"/>
            <w:tcBorders>
              <w:top w:val="nil"/>
              <w:left w:val="nil"/>
              <w:bottom w:val="nil"/>
              <w:right w:val="nil"/>
            </w:tcBorders>
            <w:shd w:val="clear" w:color="auto" w:fill="auto"/>
            <w:noWrap/>
            <w:vAlign w:val="bottom"/>
            <w:hideMark/>
          </w:tcPr>
          <w:p w14:paraId="30C734C6"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 xml:space="preserve">0.330 </w:t>
            </w:r>
          </w:p>
        </w:tc>
        <w:tc>
          <w:tcPr>
            <w:tcW w:w="1402" w:type="dxa"/>
            <w:tcBorders>
              <w:top w:val="nil"/>
              <w:left w:val="nil"/>
              <w:bottom w:val="nil"/>
              <w:right w:val="nil"/>
            </w:tcBorders>
            <w:shd w:val="clear" w:color="auto" w:fill="auto"/>
            <w:noWrap/>
            <w:vAlign w:val="bottom"/>
            <w:hideMark/>
          </w:tcPr>
          <w:p w14:paraId="65405815"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 xml:space="preserve">0.288 </w:t>
            </w:r>
          </w:p>
        </w:tc>
        <w:tc>
          <w:tcPr>
            <w:tcW w:w="1377" w:type="dxa"/>
            <w:tcBorders>
              <w:top w:val="nil"/>
              <w:left w:val="nil"/>
              <w:bottom w:val="nil"/>
              <w:right w:val="nil"/>
            </w:tcBorders>
            <w:shd w:val="clear" w:color="auto" w:fill="auto"/>
            <w:noWrap/>
            <w:vAlign w:val="bottom"/>
            <w:hideMark/>
          </w:tcPr>
          <w:p w14:paraId="70801AC2"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 xml:space="preserve">0.331 </w:t>
            </w:r>
          </w:p>
        </w:tc>
      </w:tr>
      <w:tr w:rsidR="00A96BBB" w:rsidRPr="00A96BBB" w14:paraId="2D1CCB35" w14:textId="77777777" w:rsidTr="00A96BBB">
        <w:trPr>
          <w:trHeight w:val="231"/>
        </w:trPr>
        <w:tc>
          <w:tcPr>
            <w:tcW w:w="3570" w:type="dxa"/>
            <w:tcBorders>
              <w:top w:val="nil"/>
              <w:left w:val="nil"/>
              <w:bottom w:val="nil"/>
              <w:right w:val="nil"/>
            </w:tcBorders>
            <w:shd w:val="clear" w:color="auto" w:fill="auto"/>
            <w:vAlign w:val="center"/>
            <w:hideMark/>
          </w:tcPr>
          <w:p w14:paraId="021644AD" w14:textId="77777777" w:rsidR="00A96BBB" w:rsidRPr="00A96BBB" w:rsidRDefault="00A96BBB" w:rsidP="00A96BBB">
            <w:pPr>
              <w:spacing w:after="0" w:line="240" w:lineRule="auto"/>
              <w:jc w:val="center"/>
              <w:rPr>
                <w:rFonts w:ascii="Calibri" w:eastAsia="Times New Roman" w:hAnsi="Calibri" w:cs="Calibri"/>
                <w:color w:val="000000"/>
                <w:sz w:val="22"/>
              </w:rPr>
            </w:pPr>
          </w:p>
        </w:tc>
        <w:tc>
          <w:tcPr>
            <w:tcW w:w="1335" w:type="dxa"/>
            <w:tcBorders>
              <w:top w:val="nil"/>
              <w:left w:val="nil"/>
              <w:bottom w:val="nil"/>
              <w:right w:val="nil"/>
            </w:tcBorders>
            <w:shd w:val="clear" w:color="auto" w:fill="auto"/>
            <w:noWrap/>
            <w:vAlign w:val="bottom"/>
            <w:hideMark/>
          </w:tcPr>
          <w:p w14:paraId="2B554065" w14:textId="77777777" w:rsidR="00A96BBB" w:rsidRPr="00A96BBB" w:rsidRDefault="00A96BBB" w:rsidP="00A96BBB">
            <w:pPr>
              <w:spacing w:after="0" w:line="240" w:lineRule="auto"/>
              <w:rPr>
                <w:rFonts w:eastAsia="Times New Roman" w:cs="Times New Roman"/>
                <w:sz w:val="20"/>
                <w:szCs w:val="20"/>
              </w:rPr>
            </w:pPr>
          </w:p>
        </w:tc>
        <w:tc>
          <w:tcPr>
            <w:tcW w:w="1335" w:type="dxa"/>
            <w:tcBorders>
              <w:top w:val="nil"/>
              <w:left w:val="nil"/>
              <w:bottom w:val="nil"/>
              <w:right w:val="nil"/>
            </w:tcBorders>
            <w:shd w:val="clear" w:color="auto" w:fill="auto"/>
            <w:noWrap/>
            <w:vAlign w:val="bottom"/>
            <w:hideMark/>
          </w:tcPr>
          <w:p w14:paraId="0094283B" w14:textId="77777777" w:rsidR="00A96BBB" w:rsidRPr="00A96BBB" w:rsidRDefault="00A96BBB" w:rsidP="00A96BBB">
            <w:pPr>
              <w:spacing w:after="0" w:line="240" w:lineRule="auto"/>
              <w:jc w:val="center"/>
              <w:rPr>
                <w:rFonts w:eastAsia="Times New Roman" w:cs="Times New Roman"/>
                <w:sz w:val="20"/>
                <w:szCs w:val="20"/>
              </w:rPr>
            </w:pPr>
          </w:p>
        </w:tc>
        <w:tc>
          <w:tcPr>
            <w:tcW w:w="1402" w:type="dxa"/>
            <w:tcBorders>
              <w:top w:val="nil"/>
              <w:left w:val="nil"/>
              <w:bottom w:val="nil"/>
              <w:right w:val="nil"/>
            </w:tcBorders>
            <w:shd w:val="clear" w:color="auto" w:fill="auto"/>
            <w:noWrap/>
            <w:vAlign w:val="bottom"/>
            <w:hideMark/>
          </w:tcPr>
          <w:p w14:paraId="4ED81921" w14:textId="77777777" w:rsidR="00A96BBB" w:rsidRPr="00A96BBB" w:rsidRDefault="00A96BBB" w:rsidP="00A96BBB">
            <w:pPr>
              <w:spacing w:after="0" w:line="240" w:lineRule="auto"/>
              <w:jc w:val="center"/>
              <w:rPr>
                <w:rFonts w:eastAsia="Times New Roman" w:cs="Times New Roman"/>
                <w:sz w:val="20"/>
                <w:szCs w:val="20"/>
              </w:rPr>
            </w:pPr>
          </w:p>
        </w:tc>
        <w:tc>
          <w:tcPr>
            <w:tcW w:w="1377" w:type="dxa"/>
            <w:tcBorders>
              <w:top w:val="nil"/>
              <w:left w:val="nil"/>
              <w:bottom w:val="nil"/>
              <w:right w:val="nil"/>
            </w:tcBorders>
            <w:shd w:val="clear" w:color="auto" w:fill="auto"/>
            <w:noWrap/>
            <w:vAlign w:val="bottom"/>
            <w:hideMark/>
          </w:tcPr>
          <w:p w14:paraId="5348DB95" w14:textId="77777777" w:rsidR="00A96BBB" w:rsidRPr="00A96BBB" w:rsidRDefault="00A96BBB" w:rsidP="00A96BBB">
            <w:pPr>
              <w:spacing w:after="0" w:line="240" w:lineRule="auto"/>
              <w:jc w:val="center"/>
              <w:rPr>
                <w:rFonts w:eastAsia="Times New Roman" w:cs="Times New Roman"/>
                <w:sz w:val="20"/>
                <w:szCs w:val="20"/>
              </w:rPr>
            </w:pPr>
          </w:p>
        </w:tc>
      </w:tr>
      <w:tr w:rsidR="00A96BBB" w:rsidRPr="00A96BBB" w14:paraId="136C79AF" w14:textId="77777777" w:rsidTr="00A96BBB">
        <w:trPr>
          <w:trHeight w:val="231"/>
        </w:trPr>
        <w:tc>
          <w:tcPr>
            <w:tcW w:w="3570" w:type="dxa"/>
            <w:tcBorders>
              <w:top w:val="nil"/>
              <w:left w:val="nil"/>
              <w:bottom w:val="nil"/>
              <w:right w:val="nil"/>
            </w:tcBorders>
            <w:shd w:val="clear" w:color="auto" w:fill="auto"/>
            <w:noWrap/>
            <w:vAlign w:val="center"/>
            <w:hideMark/>
          </w:tcPr>
          <w:p w14:paraId="44AC6F32" w14:textId="77777777" w:rsidR="00A96BBB" w:rsidRPr="00A96BBB" w:rsidRDefault="00A96BBB" w:rsidP="00A96BBB">
            <w:pPr>
              <w:spacing w:after="0" w:line="240" w:lineRule="auto"/>
              <w:rPr>
                <w:rFonts w:ascii="Calibri" w:eastAsia="Times New Roman" w:hAnsi="Calibri" w:cs="Calibri"/>
                <w:color w:val="000000"/>
                <w:sz w:val="22"/>
              </w:rPr>
            </w:pPr>
            <w:r w:rsidRPr="00A96BBB">
              <w:rPr>
                <w:rFonts w:ascii="Calibri" w:eastAsia="Times New Roman" w:hAnsi="Calibri" w:cs="Calibri"/>
                <w:color w:val="000000"/>
                <w:sz w:val="22"/>
              </w:rPr>
              <w:t>Province and birth fixed effect</w:t>
            </w:r>
          </w:p>
        </w:tc>
        <w:tc>
          <w:tcPr>
            <w:tcW w:w="1335" w:type="dxa"/>
            <w:tcBorders>
              <w:top w:val="nil"/>
              <w:left w:val="nil"/>
              <w:bottom w:val="nil"/>
              <w:right w:val="nil"/>
            </w:tcBorders>
            <w:shd w:val="clear" w:color="auto" w:fill="auto"/>
            <w:noWrap/>
            <w:vAlign w:val="bottom"/>
            <w:hideMark/>
          </w:tcPr>
          <w:p w14:paraId="26329AD2"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No</w:t>
            </w:r>
          </w:p>
        </w:tc>
        <w:tc>
          <w:tcPr>
            <w:tcW w:w="1335" w:type="dxa"/>
            <w:tcBorders>
              <w:top w:val="nil"/>
              <w:left w:val="nil"/>
              <w:bottom w:val="nil"/>
              <w:right w:val="nil"/>
            </w:tcBorders>
            <w:shd w:val="clear" w:color="auto" w:fill="auto"/>
            <w:noWrap/>
            <w:vAlign w:val="bottom"/>
            <w:hideMark/>
          </w:tcPr>
          <w:p w14:paraId="7E6A32F7"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Yes</w:t>
            </w:r>
          </w:p>
        </w:tc>
        <w:tc>
          <w:tcPr>
            <w:tcW w:w="1402" w:type="dxa"/>
            <w:tcBorders>
              <w:top w:val="nil"/>
              <w:left w:val="nil"/>
              <w:bottom w:val="nil"/>
              <w:right w:val="nil"/>
            </w:tcBorders>
            <w:shd w:val="clear" w:color="auto" w:fill="auto"/>
            <w:noWrap/>
            <w:vAlign w:val="bottom"/>
            <w:hideMark/>
          </w:tcPr>
          <w:p w14:paraId="4B323547"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No</w:t>
            </w:r>
          </w:p>
        </w:tc>
        <w:tc>
          <w:tcPr>
            <w:tcW w:w="1377" w:type="dxa"/>
            <w:tcBorders>
              <w:top w:val="nil"/>
              <w:left w:val="nil"/>
              <w:bottom w:val="nil"/>
              <w:right w:val="nil"/>
            </w:tcBorders>
            <w:shd w:val="clear" w:color="auto" w:fill="auto"/>
            <w:noWrap/>
            <w:vAlign w:val="bottom"/>
            <w:hideMark/>
          </w:tcPr>
          <w:p w14:paraId="6032AEE5"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Yes</w:t>
            </w:r>
          </w:p>
        </w:tc>
      </w:tr>
      <w:tr w:rsidR="00A96BBB" w:rsidRPr="00A96BBB" w14:paraId="1711F4D9" w14:textId="77777777" w:rsidTr="00A96BBB">
        <w:trPr>
          <w:trHeight w:val="231"/>
        </w:trPr>
        <w:tc>
          <w:tcPr>
            <w:tcW w:w="3570" w:type="dxa"/>
            <w:tcBorders>
              <w:top w:val="nil"/>
              <w:left w:val="nil"/>
              <w:bottom w:val="nil"/>
              <w:right w:val="nil"/>
            </w:tcBorders>
            <w:shd w:val="clear" w:color="auto" w:fill="auto"/>
            <w:vAlign w:val="center"/>
            <w:hideMark/>
          </w:tcPr>
          <w:p w14:paraId="4384F708" w14:textId="77777777" w:rsidR="00A96BBB" w:rsidRPr="00A96BBB" w:rsidRDefault="00A96BBB" w:rsidP="00A96BBB">
            <w:pPr>
              <w:spacing w:after="0" w:line="240" w:lineRule="auto"/>
              <w:rPr>
                <w:rFonts w:ascii="Calibri" w:eastAsia="Times New Roman" w:hAnsi="Calibri" w:cs="Calibri"/>
                <w:color w:val="000000"/>
                <w:sz w:val="22"/>
              </w:rPr>
            </w:pPr>
            <w:r w:rsidRPr="00A96BBB">
              <w:rPr>
                <w:rFonts w:ascii="Calibri" w:eastAsia="Times New Roman" w:hAnsi="Calibri" w:cs="Calibri"/>
                <w:color w:val="000000"/>
                <w:sz w:val="22"/>
              </w:rPr>
              <w:t>F statistics for IV</w:t>
            </w:r>
          </w:p>
        </w:tc>
        <w:tc>
          <w:tcPr>
            <w:tcW w:w="1335" w:type="dxa"/>
            <w:tcBorders>
              <w:top w:val="nil"/>
              <w:left w:val="nil"/>
              <w:bottom w:val="nil"/>
              <w:right w:val="nil"/>
            </w:tcBorders>
            <w:shd w:val="clear" w:color="auto" w:fill="auto"/>
            <w:noWrap/>
            <w:vAlign w:val="bottom"/>
            <w:hideMark/>
          </w:tcPr>
          <w:p w14:paraId="5F05BA2F"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796.49</w:t>
            </w:r>
          </w:p>
        </w:tc>
        <w:tc>
          <w:tcPr>
            <w:tcW w:w="1335" w:type="dxa"/>
            <w:tcBorders>
              <w:top w:val="nil"/>
              <w:left w:val="nil"/>
              <w:bottom w:val="nil"/>
              <w:right w:val="nil"/>
            </w:tcBorders>
            <w:shd w:val="clear" w:color="auto" w:fill="auto"/>
            <w:noWrap/>
            <w:vAlign w:val="bottom"/>
            <w:hideMark/>
          </w:tcPr>
          <w:p w14:paraId="79C47377"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6.82</w:t>
            </w:r>
          </w:p>
        </w:tc>
        <w:tc>
          <w:tcPr>
            <w:tcW w:w="1402" w:type="dxa"/>
            <w:tcBorders>
              <w:top w:val="nil"/>
              <w:left w:val="nil"/>
              <w:bottom w:val="nil"/>
              <w:right w:val="nil"/>
            </w:tcBorders>
            <w:shd w:val="clear" w:color="auto" w:fill="auto"/>
            <w:noWrap/>
            <w:vAlign w:val="bottom"/>
            <w:hideMark/>
          </w:tcPr>
          <w:p w14:paraId="008E86A2"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418.08</w:t>
            </w:r>
          </w:p>
        </w:tc>
        <w:tc>
          <w:tcPr>
            <w:tcW w:w="1377" w:type="dxa"/>
            <w:tcBorders>
              <w:top w:val="nil"/>
              <w:left w:val="nil"/>
              <w:bottom w:val="nil"/>
              <w:right w:val="nil"/>
            </w:tcBorders>
            <w:shd w:val="clear" w:color="auto" w:fill="auto"/>
            <w:noWrap/>
            <w:vAlign w:val="bottom"/>
            <w:hideMark/>
          </w:tcPr>
          <w:p w14:paraId="76CFA5A0"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17.06</w:t>
            </w:r>
          </w:p>
        </w:tc>
      </w:tr>
      <w:tr w:rsidR="00A96BBB" w:rsidRPr="00A96BBB" w14:paraId="4B3AD6A8" w14:textId="77777777" w:rsidTr="00A96BBB">
        <w:trPr>
          <w:trHeight w:val="241"/>
        </w:trPr>
        <w:tc>
          <w:tcPr>
            <w:tcW w:w="3570" w:type="dxa"/>
            <w:tcBorders>
              <w:top w:val="nil"/>
              <w:left w:val="nil"/>
              <w:bottom w:val="double" w:sz="6" w:space="0" w:color="auto"/>
              <w:right w:val="nil"/>
            </w:tcBorders>
            <w:shd w:val="clear" w:color="auto" w:fill="auto"/>
            <w:vAlign w:val="center"/>
            <w:hideMark/>
          </w:tcPr>
          <w:p w14:paraId="26EAE24E" w14:textId="77777777" w:rsidR="00A96BBB" w:rsidRPr="00A96BBB" w:rsidRDefault="00A96BBB" w:rsidP="00A96BBB">
            <w:pPr>
              <w:spacing w:after="0" w:line="240" w:lineRule="auto"/>
              <w:rPr>
                <w:rFonts w:ascii="Calibri" w:eastAsia="Times New Roman" w:hAnsi="Calibri" w:cs="Calibri"/>
                <w:color w:val="000000"/>
                <w:sz w:val="22"/>
              </w:rPr>
            </w:pPr>
            <w:r w:rsidRPr="00A96BBB">
              <w:rPr>
                <w:rFonts w:ascii="Calibri" w:eastAsia="Times New Roman" w:hAnsi="Calibri" w:cs="Calibri"/>
                <w:color w:val="000000"/>
                <w:sz w:val="22"/>
              </w:rPr>
              <w:t>P-value for IV F tests</w:t>
            </w:r>
          </w:p>
        </w:tc>
        <w:tc>
          <w:tcPr>
            <w:tcW w:w="1335" w:type="dxa"/>
            <w:tcBorders>
              <w:top w:val="nil"/>
              <w:left w:val="nil"/>
              <w:bottom w:val="double" w:sz="6" w:space="0" w:color="auto"/>
              <w:right w:val="nil"/>
            </w:tcBorders>
            <w:shd w:val="clear" w:color="auto" w:fill="auto"/>
            <w:noWrap/>
            <w:vAlign w:val="bottom"/>
            <w:hideMark/>
          </w:tcPr>
          <w:p w14:paraId="1BF88A07"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0.000</w:t>
            </w:r>
          </w:p>
        </w:tc>
        <w:tc>
          <w:tcPr>
            <w:tcW w:w="1335" w:type="dxa"/>
            <w:tcBorders>
              <w:top w:val="nil"/>
              <w:left w:val="nil"/>
              <w:bottom w:val="double" w:sz="6" w:space="0" w:color="auto"/>
              <w:right w:val="nil"/>
            </w:tcBorders>
            <w:shd w:val="clear" w:color="auto" w:fill="auto"/>
            <w:noWrap/>
            <w:vAlign w:val="bottom"/>
            <w:hideMark/>
          </w:tcPr>
          <w:p w14:paraId="28D3F128"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0.009</w:t>
            </w:r>
          </w:p>
        </w:tc>
        <w:tc>
          <w:tcPr>
            <w:tcW w:w="1402" w:type="dxa"/>
            <w:tcBorders>
              <w:top w:val="nil"/>
              <w:left w:val="nil"/>
              <w:bottom w:val="double" w:sz="6" w:space="0" w:color="auto"/>
              <w:right w:val="nil"/>
            </w:tcBorders>
            <w:shd w:val="clear" w:color="auto" w:fill="auto"/>
            <w:noWrap/>
            <w:vAlign w:val="bottom"/>
            <w:hideMark/>
          </w:tcPr>
          <w:p w14:paraId="65D7515D"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0.000</w:t>
            </w:r>
          </w:p>
        </w:tc>
        <w:tc>
          <w:tcPr>
            <w:tcW w:w="1377" w:type="dxa"/>
            <w:tcBorders>
              <w:top w:val="nil"/>
              <w:left w:val="nil"/>
              <w:bottom w:val="double" w:sz="6" w:space="0" w:color="auto"/>
              <w:right w:val="nil"/>
            </w:tcBorders>
            <w:shd w:val="clear" w:color="auto" w:fill="auto"/>
            <w:noWrap/>
            <w:vAlign w:val="bottom"/>
            <w:hideMark/>
          </w:tcPr>
          <w:p w14:paraId="105941B8" w14:textId="77777777" w:rsidR="00A96BBB" w:rsidRPr="00A96BBB" w:rsidRDefault="00A96BBB" w:rsidP="00A96BBB">
            <w:pPr>
              <w:spacing w:after="0" w:line="240" w:lineRule="auto"/>
              <w:jc w:val="center"/>
              <w:rPr>
                <w:rFonts w:ascii="Calibri" w:eastAsia="Times New Roman" w:hAnsi="Calibri" w:cs="Calibri"/>
                <w:color w:val="000000"/>
                <w:sz w:val="22"/>
              </w:rPr>
            </w:pPr>
            <w:r w:rsidRPr="00A96BBB">
              <w:rPr>
                <w:rFonts w:ascii="Calibri" w:eastAsia="Times New Roman" w:hAnsi="Calibri" w:cs="Calibri"/>
                <w:color w:val="000000"/>
                <w:sz w:val="22"/>
              </w:rPr>
              <w:t>0.000</w:t>
            </w:r>
          </w:p>
        </w:tc>
      </w:tr>
    </w:tbl>
    <w:p w14:paraId="1E0E2351" w14:textId="17D0C428" w:rsidR="0020066E" w:rsidRDefault="00F005DC" w:rsidP="00F005DC">
      <w:r w:rsidRPr="00F005DC">
        <w:rPr>
          <w:i/>
          <w:iCs/>
        </w:rPr>
        <w:t>Notes</w:t>
      </w:r>
      <w:r>
        <w:t xml:space="preserve">: All columns control for all demographic characteristics. ***p&lt;0.01, **p&lt;0.05. *p&lt;0.1. </w:t>
      </w:r>
    </w:p>
    <w:p w14:paraId="7F7A44A8" w14:textId="77777777" w:rsidR="00C813A9" w:rsidRPr="00C813A9" w:rsidRDefault="00C813A9" w:rsidP="00F005DC">
      <w:pPr>
        <w:rPr>
          <w:rFonts w:cs="Times New Roman"/>
          <w:szCs w:val="24"/>
          <w:lang w:val="en-US"/>
        </w:rPr>
      </w:pPr>
    </w:p>
    <w:p w14:paraId="794CC346" w14:textId="168A1976" w:rsidR="00036CA7" w:rsidRDefault="00325184" w:rsidP="009218DB">
      <w:pPr>
        <w:spacing w:line="360" w:lineRule="auto"/>
        <w:ind w:firstLine="567"/>
        <w:jc w:val="both"/>
      </w:pPr>
      <w:r w:rsidRPr="0025090F">
        <w:rPr>
          <w:rFonts w:cs="Times New Roman"/>
        </w:rPr>
        <w:t xml:space="preserve">In table </w:t>
      </w:r>
      <w:r w:rsidR="001161E5">
        <w:rPr>
          <w:rFonts w:cs="Times New Roman"/>
        </w:rPr>
        <w:t>4</w:t>
      </w:r>
      <w:r w:rsidRPr="0025090F">
        <w:rPr>
          <w:rFonts w:cs="Times New Roman"/>
        </w:rPr>
        <w:t>, t</w:t>
      </w:r>
      <w:r w:rsidR="007C5BF5" w:rsidRPr="0025090F">
        <w:rPr>
          <w:rFonts w:cs="Times New Roman"/>
        </w:rPr>
        <w:t>he results are estimated from equation (</w:t>
      </w:r>
      <w:r w:rsidR="00CB2605">
        <w:rPr>
          <w:rFonts w:cs="Times New Roman"/>
        </w:rPr>
        <w:t>2</w:t>
      </w:r>
      <w:r w:rsidR="007C5BF5" w:rsidRPr="0025090F">
        <w:rPr>
          <w:rFonts w:cs="Times New Roman"/>
        </w:rPr>
        <w:t>), and</w:t>
      </w:r>
      <w:r w:rsidR="00937AA6" w:rsidRPr="0025090F">
        <w:rPr>
          <w:rFonts w:cs="Times New Roman"/>
        </w:rPr>
        <w:t xml:space="preserve"> </w:t>
      </w:r>
      <w:r w:rsidR="00DD74AC" w:rsidRPr="0025090F">
        <w:rPr>
          <w:rFonts w:cs="Times New Roman"/>
        </w:rPr>
        <w:t>t</w:t>
      </w:r>
      <w:r w:rsidR="00937AA6" w:rsidRPr="0025090F">
        <w:rPr>
          <w:rFonts w:cs="Times New Roman"/>
        </w:rPr>
        <w:t xml:space="preserve">he impact of CSL on the average level of education </w:t>
      </w:r>
      <w:r w:rsidR="001A152F" w:rsidRPr="00721E8E">
        <w:rPr>
          <w:rFonts w:cs="Times New Roman"/>
        </w:rPr>
        <w:t>γ</w:t>
      </w:r>
      <w:r w:rsidR="001A152F" w:rsidRPr="000A224C">
        <w:rPr>
          <w:rFonts w:cs="Times New Roman"/>
          <w:vertAlign w:val="subscript"/>
        </w:rPr>
        <w:t>1</w:t>
      </w:r>
      <w:r w:rsidR="001A152F" w:rsidRPr="0025090F">
        <w:rPr>
          <w:rFonts w:cs="Times New Roman"/>
        </w:rPr>
        <w:t>&gt;0</w:t>
      </w:r>
      <w:r w:rsidR="001A152F">
        <w:rPr>
          <w:rFonts w:cs="Times New Roman"/>
        </w:rPr>
        <w:t xml:space="preserve"> </w:t>
      </w:r>
      <w:r w:rsidR="00937AA6" w:rsidRPr="0025090F">
        <w:rPr>
          <w:rFonts w:cs="Times New Roman"/>
          <w:szCs w:val="24"/>
        </w:rPr>
        <w:t>(</w:t>
      </w:r>
      <w:proofErr w:type="spellStart"/>
      <w:r w:rsidR="008F7BAD" w:rsidRPr="00F86CD1">
        <w:rPr>
          <w:i/>
          <w:iCs/>
          <w:szCs w:val="24"/>
        </w:rPr>
        <w:t>exp</w:t>
      </w:r>
      <w:r w:rsidR="008F7BAD" w:rsidRPr="00F86CD1">
        <w:rPr>
          <w:i/>
          <w:iCs/>
          <w:szCs w:val="24"/>
          <w:vertAlign w:val="subscript"/>
        </w:rPr>
        <w:t>ijk</w:t>
      </w:r>
      <w:proofErr w:type="spellEnd"/>
      <w:r w:rsidR="0079700D" w:rsidRPr="0025090F">
        <w:rPr>
          <w:rFonts w:eastAsia="Times New Roman" w:cs="Times New Roman"/>
          <w:color w:val="000000"/>
          <w:szCs w:val="24"/>
        </w:rPr>
        <w:t>)</w:t>
      </w:r>
      <w:r w:rsidR="00937AA6" w:rsidRPr="0025090F">
        <w:rPr>
          <w:rFonts w:cs="Times New Roman"/>
          <w:szCs w:val="24"/>
        </w:rPr>
        <w:t xml:space="preserve"> is</w:t>
      </w:r>
      <w:r w:rsidR="00937AA6" w:rsidRPr="0025090F">
        <w:rPr>
          <w:rFonts w:cs="Times New Roman"/>
        </w:rPr>
        <w:t xml:space="preserve"> consistent with the estimates discussed above. </w:t>
      </w:r>
      <w:r w:rsidR="001A152F">
        <w:rPr>
          <w:rFonts w:cs="Times New Roman"/>
        </w:rPr>
        <w:t>T</w:t>
      </w:r>
      <w:r w:rsidR="00937AA6" w:rsidRPr="0025090F">
        <w:rPr>
          <w:rFonts w:cs="Times New Roman"/>
        </w:rPr>
        <w:t xml:space="preserve">he interaction coefficient </w:t>
      </w:r>
      <w:r w:rsidR="00721E8E" w:rsidRPr="00721E8E">
        <w:rPr>
          <w:rFonts w:cs="Times New Roman"/>
        </w:rPr>
        <w:t>γ</w:t>
      </w:r>
      <w:r w:rsidR="0025090F" w:rsidRPr="000A224C">
        <w:rPr>
          <w:rFonts w:cs="Times New Roman"/>
          <w:vertAlign w:val="subscript"/>
        </w:rPr>
        <w:t>2</w:t>
      </w:r>
      <w:r w:rsidR="0025090F" w:rsidRPr="0025090F">
        <w:rPr>
          <w:rFonts w:cs="Times New Roman"/>
        </w:rPr>
        <w:t xml:space="preserve"> </w:t>
      </w:r>
      <w:r w:rsidR="00937AA6" w:rsidRPr="0025090F">
        <w:rPr>
          <w:rFonts w:cs="Times New Roman"/>
        </w:rPr>
        <w:t>(</w:t>
      </w:r>
      <w:proofErr w:type="spellStart"/>
      <w:r w:rsidR="008F7BAD" w:rsidRPr="00F86CD1">
        <w:rPr>
          <w:i/>
          <w:iCs/>
          <w:szCs w:val="24"/>
        </w:rPr>
        <w:t>exp</w:t>
      </w:r>
      <w:r w:rsidR="008F7BAD" w:rsidRPr="00F86CD1">
        <w:rPr>
          <w:i/>
          <w:iCs/>
          <w:szCs w:val="24"/>
          <w:vertAlign w:val="subscript"/>
        </w:rPr>
        <w:t>ijk</w:t>
      </w:r>
      <w:proofErr w:type="spellEnd"/>
      <w:r w:rsidR="008F7BAD" w:rsidRPr="00F005DC">
        <w:rPr>
          <w:rFonts w:eastAsia="Times New Roman" w:cs="Times New Roman"/>
          <w:i/>
          <w:iCs/>
          <w:color w:val="000000"/>
          <w:szCs w:val="24"/>
        </w:rPr>
        <w:t xml:space="preserve"> </w:t>
      </w:r>
      <w:r w:rsidR="0079700D" w:rsidRPr="00F005DC">
        <w:rPr>
          <w:rFonts w:eastAsia="Times New Roman" w:cs="Times New Roman"/>
          <w:i/>
          <w:iCs/>
          <w:color w:val="000000"/>
          <w:szCs w:val="24"/>
        </w:rPr>
        <w:t>*</w:t>
      </w:r>
      <w:r w:rsidR="00F86CD1" w:rsidRPr="00F86CD1">
        <w:rPr>
          <w:i/>
          <w:iCs/>
        </w:rPr>
        <w:t xml:space="preserve"> </w:t>
      </w:r>
      <w:proofErr w:type="spellStart"/>
      <w:r w:rsidR="008F7BAD">
        <w:rPr>
          <w:i/>
          <w:iCs/>
        </w:rPr>
        <w:t>avgIne</w:t>
      </w:r>
      <w:r w:rsidR="008F7BAD" w:rsidRPr="0088463E">
        <w:rPr>
          <w:i/>
          <w:iCs/>
          <w:vertAlign w:val="subscript"/>
        </w:rPr>
        <w:t>ij</w:t>
      </w:r>
      <w:r w:rsidR="008F7BAD" w:rsidRPr="0088463E">
        <w:rPr>
          <w:rFonts w:hint="eastAsia"/>
          <w:i/>
          <w:iCs/>
          <w:vertAlign w:val="subscript"/>
        </w:rPr>
        <w:t>h</w:t>
      </w:r>
      <w:proofErr w:type="spellEnd"/>
      <w:r w:rsidR="00937AA6" w:rsidRPr="0025090F">
        <w:rPr>
          <w:rFonts w:cs="Times New Roman"/>
        </w:rPr>
        <w:t xml:space="preserve">) reflects the potential in education. </w:t>
      </w:r>
      <w:r w:rsidR="00FA31DB" w:rsidRPr="0025090F">
        <w:rPr>
          <w:rFonts w:cs="Times New Roman"/>
        </w:rPr>
        <w:t xml:space="preserve">According to the </w:t>
      </w:r>
      <w:r w:rsidR="001B1D12">
        <w:rPr>
          <w:rFonts w:cs="Times New Roman" w:hint="eastAsia"/>
        </w:rPr>
        <w:t>column</w:t>
      </w:r>
      <w:r w:rsidR="001B1D12">
        <w:rPr>
          <w:rFonts w:cs="Times New Roman"/>
        </w:rPr>
        <w:t xml:space="preserve"> (4)</w:t>
      </w:r>
      <w:r w:rsidR="00FA31DB" w:rsidRPr="0025090F">
        <w:rPr>
          <w:rFonts w:cs="Times New Roman"/>
        </w:rPr>
        <w:t xml:space="preserve">, </w:t>
      </w:r>
      <w:r w:rsidR="00721E8E" w:rsidRPr="00721E8E">
        <w:rPr>
          <w:rFonts w:cs="Times New Roman"/>
        </w:rPr>
        <w:t>γ</w:t>
      </w:r>
      <w:r w:rsidR="00937AA6" w:rsidRPr="000A224C">
        <w:rPr>
          <w:rFonts w:cs="Times New Roman"/>
          <w:vertAlign w:val="subscript"/>
        </w:rPr>
        <w:t>2</w:t>
      </w:r>
      <w:r w:rsidR="00937AA6" w:rsidRPr="0025090F">
        <w:rPr>
          <w:rFonts w:cs="Times New Roman"/>
        </w:rPr>
        <w:t xml:space="preserve"> </w:t>
      </w:r>
      <w:r w:rsidR="00EA352A">
        <w:rPr>
          <w:rFonts w:cs="Times New Roman"/>
        </w:rPr>
        <w:t>is</w:t>
      </w:r>
      <w:r w:rsidR="00937AA6" w:rsidRPr="0025090F">
        <w:rPr>
          <w:rFonts w:cs="Times New Roman"/>
        </w:rPr>
        <w:t xml:space="preserve"> significantly negative, meaning that </w:t>
      </w:r>
      <w:r w:rsidR="00FE5E73">
        <w:rPr>
          <w:rFonts w:cs="Times New Roman"/>
        </w:rPr>
        <w:t>individual</w:t>
      </w:r>
      <w:r w:rsidR="009218DB">
        <w:rPr>
          <w:rFonts w:cs="Times New Roman"/>
        </w:rPr>
        <w:t>s</w:t>
      </w:r>
      <w:r w:rsidR="00FE5E73">
        <w:rPr>
          <w:rFonts w:cs="Times New Roman"/>
        </w:rPr>
        <w:t xml:space="preserve"> </w:t>
      </w:r>
      <w:r w:rsidR="00592905">
        <w:rPr>
          <w:rFonts w:cs="Times New Roman" w:hint="eastAsia"/>
        </w:rPr>
        <w:t>living</w:t>
      </w:r>
      <w:r w:rsidR="00592905">
        <w:rPr>
          <w:rFonts w:cs="Times New Roman"/>
        </w:rPr>
        <w:t xml:space="preserve"> in </w:t>
      </w:r>
      <w:r w:rsidR="00937AA6" w:rsidRPr="0025090F">
        <w:rPr>
          <w:rFonts w:cs="Times New Roman"/>
        </w:rPr>
        <w:t xml:space="preserve">a </w:t>
      </w:r>
      <w:r w:rsidR="00592905" w:rsidRPr="0025090F">
        <w:rPr>
          <w:rFonts w:cs="Times New Roman"/>
        </w:rPr>
        <w:t xml:space="preserve">lower education </w:t>
      </w:r>
      <w:r w:rsidR="00592905">
        <w:rPr>
          <w:rFonts w:cs="Times New Roman"/>
        </w:rPr>
        <w:t xml:space="preserve">area </w:t>
      </w:r>
      <w:r w:rsidR="00937AA6" w:rsidRPr="0025090F">
        <w:rPr>
          <w:rFonts w:cs="Times New Roman"/>
        </w:rPr>
        <w:t xml:space="preserve">prior to CSL will </w:t>
      </w:r>
      <w:r w:rsidR="000A224C">
        <w:rPr>
          <w:rFonts w:cs="Times New Roman" w:hint="eastAsia"/>
        </w:rPr>
        <w:t>benefit</w:t>
      </w:r>
      <w:r w:rsidR="000A224C">
        <w:rPr>
          <w:rFonts w:cs="Times New Roman"/>
        </w:rPr>
        <w:t xml:space="preserve"> more from CSL</w:t>
      </w:r>
      <w:r w:rsidR="00937AA6" w:rsidRPr="0025090F">
        <w:rPr>
          <w:rFonts w:cs="Times New Roman"/>
        </w:rPr>
        <w:t xml:space="preserve">. </w:t>
      </w:r>
      <w:r w:rsidRPr="0025090F">
        <w:rPr>
          <w:rFonts w:cs="Times New Roman"/>
        </w:rPr>
        <w:t>In other words,</w:t>
      </w:r>
      <w:r w:rsidR="00937AA6" w:rsidRPr="0025090F">
        <w:rPr>
          <w:rFonts w:cs="Times New Roman"/>
        </w:rPr>
        <w:t xml:space="preserve"> </w:t>
      </w:r>
      <w:r w:rsidRPr="0025090F">
        <w:rPr>
          <w:rFonts w:cs="Times New Roman"/>
        </w:rPr>
        <w:t>the areas where</w:t>
      </w:r>
      <w:r w:rsidR="00937AA6" w:rsidRPr="0025090F">
        <w:rPr>
          <w:rFonts w:cs="Times New Roman"/>
        </w:rPr>
        <w:t xml:space="preserve"> lacking education before the CSL have increased their education more, which is meaningful for reducing regional inequality in China. </w:t>
      </w:r>
      <w:r w:rsidR="001B1D12">
        <w:rPr>
          <w:rFonts w:hint="eastAsia"/>
        </w:rPr>
        <w:t>All</w:t>
      </w:r>
      <w:r w:rsidR="001B1D12">
        <w:t xml:space="preserve"> </w:t>
      </w:r>
      <w:r w:rsidR="00E85F83" w:rsidRPr="00E85F83">
        <w:t xml:space="preserve">F statistics are high enough to reject the null hypothesis that </w:t>
      </w:r>
      <w:r w:rsidR="001B1D12">
        <w:t>instrument variable</w:t>
      </w:r>
      <w:r w:rsidR="00E85F83" w:rsidRPr="00E85F83">
        <w:t xml:space="preserve"> </w:t>
      </w:r>
      <w:r w:rsidR="00B36C6D">
        <w:rPr>
          <w:rFonts w:hint="eastAsia"/>
        </w:rPr>
        <w:t>is</w:t>
      </w:r>
      <w:r w:rsidR="00B36C6D">
        <w:t xml:space="preserve"> </w:t>
      </w:r>
      <w:r w:rsidR="00E85F83" w:rsidRPr="00E85F83">
        <w:t>zero</w:t>
      </w:r>
      <w:r w:rsidR="00C85648">
        <w:t xml:space="preserve"> at 1% significant level</w:t>
      </w:r>
      <w:r w:rsidR="00E85F83" w:rsidRPr="00E85F83">
        <w:t>.</w:t>
      </w:r>
      <w:r w:rsidR="00F95004">
        <w:t xml:space="preserve"> </w:t>
      </w:r>
      <w:r w:rsidR="00F95004" w:rsidRPr="00F95004">
        <w:t xml:space="preserve">To test whether the instrumental variable strategy does not suffer from weak instrument problem, we perform a weak identification F-test. As I am using two instruments the appropriate and correcting for heteroscedasticity the appropriate F-test is the Kleibergen-Paap </w:t>
      </w:r>
      <w:proofErr w:type="spellStart"/>
      <w:r w:rsidR="00F95004" w:rsidRPr="00F95004">
        <w:t>rk</w:t>
      </w:r>
      <w:proofErr w:type="spellEnd"/>
      <w:r w:rsidR="00F95004" w:rsidRPr="00F95004">
        <w:t>-statistic (reported in Table 4)</w:t>
      </w:r>
      <w:r w:rsidR="00892B4F">
        <w:t>.</w:t>
      </w:r>
    </w:p>
    <w:p w14:paraId="08DA1418" w14:textId="4EE95EB4" w:rsidR="00C813A9" w:rsidRDefault="00C813A9" w:rsidP="00C813A9">
      <w:pPr>
        <w:spacing w:line="360" w:lineRule="auto"/>
        <w:jc w:val="both"/>
        <w:rPr>
          <w:rFonts w:cs="Times New Roman"/>
        </w:rPr>
      </w:pPr>
    </w:p>
    <w:p w14:paraId="69E30404" w14:textId="451E0B7C" w:rsidR="00C813A9" w:rsidRDefault="00C813A9" w:rsidP="00C813A9">
      <w:pPr>
        <w:spacing w:line="360" w:lineRule="auto"/>
        <w:jc w:val="both"/>
        <w:rPr>
          <w:rFonts w:cs="Times New Roman"/>
        </w:rPr>
      </w:pPr>
    </w:p>
    <w:p w14:paraId="629DD7B1" w14:textId="77777777" w:rsidR="00C813A9" w:rsidRPr="0025090F" w:rsidRDefault="00C813A9" w:rsidP="00BB3239">
      <w:pPr>
        <w:spacing w:line="360" w:lineRule="auto"/>
        <w:jc w:val="both"/>
        <w:rPr>
          <w:rFonts w:cs="Times New Roman"/>
        </w:rPr>
      </w:pPr>
    </w:p>
    <w:bookmarkEnd w:id="24"/>
    <w:p w14:paraId="006EA58B" w14:textId="21405EFF" w:rsidR="007043E0" w:rsidRDefault="00036CA7" w:rsidP="00792EC9">
      <w:r>
        <w:lastRenderedPageBreak/>
        <w:t>Table 5</w:t>
      </w:r>
      <w:r w:rsidR="007043E0">
        <w:t xml:space="preserve">. The estimation of CSL effect on different </w:t>
      </w:r>
      <w:r>
        <w:t>levels</w:t>
      </w:r>
      <w:r w:rsidR="007043E0">
        <w:t xml:space="preserve"> of education</w:t>
      </w:r>
    </w:p>
    <w:tbl>
      <w:tblPr>
        <w:tblW w:w="8950" w:type="dxa"/>
        <w:tblLook w:val="04A0" w:firstRow="1" w:lastRow="0" w:firstColumn="1" w:lastColumn="0" w:noHBand="0" w:noVBand="1"/>
      </w:tblPr>
      <w:tblGrid>
        <w:gridCol w:w="3550"/>
        <w:gridCol w:w="2687"/>
        <w:gridCol w:w="2713"/>
      </w:tblGrid>
      <w:tr w:rsidR="00B36C6D" w:rsidRPr="00B36C6D" w14:paraId="761568F7" w14:textId="77777777" w:rsidTr="00B36C6D">
        <w:trPr>
          <w:trHeight w:val="231"/>
        </w:trPr>
        <w:tc>
          <w:tcPr>
            <w:tcW w:w="3550" w:type="dxa"/>
            <w:tcBorders>
              <w:top w:val="single" w:sz="4" w:space="0" w:color="auto"/>
              <w:left w:val="nil"/>
              <w:bottom w:val="nil"/>
              <w:right w:val="nil"/>
            </w:tcBorders>
            <w:shd w:val="clear" w:color="auto" w:fill="auto"/>
            <w:vAlign w:val="bottom"/>
            <w:hideMark/>
          </w:tcPr>
          <w:p w14:paraId="3E65F890" w14:textId="77777777" w:rsidR="00B36C6D" w:rsidRPr="00B36C6D" w:rsidRDefault="00B36C6D" w:rsidP="00B36C6D">
            <w:pPr>
              <w:spacing w:after="0" w:line="240" w:lineRule="auto"/>
              <w:rPr>
                <w:rFonts w:ascii="Calibri" w:eastAsia="Times New Roman" w:hAnsi="Calibri" w:cs="Calibri"/>
                <w:color w:val="000000"/>
                <w:sz w:val="22"/>
              </w:rPr>
            </w:pPr>
            <w:r w:rsidRPr="00B36C6D">
              <w:rPr>
                <w:rFonts w:ascii="Calibri" w:eastAsia="Times New Roman" w:hAnsi="Calibri" w:cs="Calibri"/>
                <w:color w:val="000000"/>
                <w:sz w:val="22"/>
              </w:rPr>
              <w:t> </w:t>
            </w:r>
          </w:p>
        </w:tc>
        <w:tc>
          <w:tcPr>
            <w:tcW w:w="2687" w:type="dxa"/>
            <w:tcBorders>
              <w:top w:val="single" w:sz="4" w:space="0" w:color="auto"/>
              <w:left w:val="nil"/>
              <w:bottom w:val="nil"/>
              <w:right w:val="nil"/>
            </w:tcBorders>
            <w:shd w:val="clear" w:color="auto" w:fill="auto"/>
            <w:noWrap/>
            <w:vAlign w:val="center"/>
            <w:hideMark/>
          </w:tcPr>
          <w:p w14:paraId="68FD90CA" w14:textId="77777777" w:rsidR="00B36C6D" w:rsidRPr="00B36C6D" w:rsidRDefault="00B36C6D" w:rsidP="00B36C6D">
            <w:pPr>
              <w:spacing w:after="0" w:line="240" w:lineRule="auto"/>
              <w:jc w:val="center"/>
              <w:rPr>
                <w:rFonts w:ascii="Calibri" w:eastAsia="Times New Roman" w:hAnsi="Calibri" w:cs="Calibri"/>
                <w:color w:val="000000"/>
                <w:sz w:val="22"/>
              </w:rPr>
            </w:pPr>
            <w:r w:rsidRPr="00B36C6D">
              <w:rPr>
                <w:rFonts w:ascii="Calibri" w:eastAsia="Times New Roman" w:hAnsi="Calibri" w:cs="Calibri"/>
                <w:color w:val="000000"/>
                <w:sz w:val="22"/>
              </w:rPr>
              <w:t>(1)</w:t>
            </w:r>
          </w:p>
        </w:tc>
        <w:tc>
          <w:tcPr>
            <w:tcW w:w="2713" w:type="dxa"/>
            <w:tcBorders>
              <w:top w:val="single" w:sz="4" w:space="0" w:color="auto"/>
              <w:left w:val="nil"/>
              <w:bottom w:val="nil"/>
              <w:right w:val="nil"/>
            </w:tcBorders>
            <w:shd w:val="clear" w:color="auto" w:fill="auto"/>
            <w:noWrap/>
            <w:vAlign w:val="center"/>
            <w:hideMark/>
          </w:tcPr>
          <w:p w14:paraId="62A88579" w14:textId="77777777" w:rsidR="00B36C6D" w:rsidRPr="00B36C6D" w:rsidRDefault="00B36C6D" w:rsidP="00B36C6D">
            <w:pPr>
              <w:spacing w:after="0" w:line="240" w:lineRule="auto"/>
              <w:jc w:val="center"/>
              <w:rPr>
                <w:rFonts w:ascii="Calibri" w:eastAsia="Times New Roman" w:hAnsi="Calibri" w:cs="Calibri"/>
                <w:color w:val="000000"/>
                <w:sz w:val="22"/>
              </w:rPr>
            </w:pPr>
            <w:r w:rsidRPr="00B36C6D">
              <w:rPr>
                <w:rFonts w:ascii="Calibri" w:eastAsia="Times New Roman" w:hAnsi="Calibri" w:cs="Calibri"/>
                <w:color w:val="000000"/>
                <w:sz w:val="22"/>
              </w:rPr>
              <w:t>(2)</w:t>
            </w:r>
          </w:p>
        </w:tc>
      </w:tr>
      <w:tr w:rsidR="00B36C6D" w:rsidRPr="00B36C6D" w14:paraId="51E73BC5" w14:textId="77777777" w:rsidTr="00B36C6D">
        <w:trPr>
          <w:trHeight w:val="231"/>
        </w:trPr>
        <w:tc>
          <w:tcPr>
            <w:tcW w:w="3550" w:type="dxa"/>
            <w:tcBorders>
              <w:top w:val="nil"/>
              <w:left w:val="nil"/>
              <w:bottom w:val="single" w:sz="4" w:space="0" w:color="auto"/>
              <w:right w:val="nil"/>
            </w:tcBorders>
            <w:shd w:val="clear" w:color="auto" w:fill="auto"/>
            <w:noWrap/>
            <w:vAlign w:val="center"/>
            <w:hideMark/>
          </w:tcPr>
          <w:p w14:paraId="2E68CF28" w14:textId="77777777" w:rsidR="00B36C6D" w:rsidRPr="00B36C6D" w:rsidRDefault="00B36C6D" w:rsidP="00B36C6D">
            <w:pPr>
              <w:spacing w:after="0" w:line="240" w:lineRule="auto"/>
              <w:rPr>
                <w:rFonts w:ascii="Calibri" w:eastAsia="Times New Roman" w:hAnsi="Calibri" w:cs="Calibri"/>
                <w:color w:val="000000"/>
                <w:sz w:val="22"/>
              </w:rPr>
            </w:pPr>
            <w:r w:rsidRPr="00B36C6D">
              <w:rPr>
                <w:rFonts w:ascii="Calibri" w:eastAsia="Times New Roman" w:hAnsi="Calibri" w:cs="Calibri"/>
                <w:color w:val="000000"/>
                <w:sz w:val="22"/>
              </w:rPr>
              <w:t>Variables</w:t>
            </w:r>
          </w:p>
        </w:tc>
        <w:tc>
          <w:tcPr>
            <w:tcW w:w="2687" w:type="dxa"/>
            <w:tcBorders>
              <w:top w:val="nil"/>
              <w:left w:val="nil"/>
              <w:bottom w:val="single" w:sz="4" w:space="0" w:color="auto"/>
              <w:right w:val="nil"/>
            </w:tcBorders>
            <w:shd w:val="clear" w:color="auto" w:fill="auto"/>
            <w:noWrap/>
            <w:vAlign w:val="center"/>
            <w:hideMark/>
          </w:tcPr>
          <w:p w14:paraId="05DFFC17" w14:textId="77777777" w:rsidR="00B36C6D" w:rsidRPr="00B36C6D" w:rsidRDefault="00B36C6D" w:rsidP="00B36C6D">
            <w:pPr>
              <w:spacing w:after="0" w:line="240" w:lineRule="auto"/>
              <w:jc w:val="center"/>
              <w:rPr>
                <w:rFonts w:ascii="Calibri" w:eastAsia="Times New Roman" w:hAnsi="Calibri" w:cs="Calibri"/>
                <w:color w:val="000000"/>
                <w:sz w:val="22"/>
              </w:rPr>
            </w:pPr>
            <w:r w:rsidRPr="00B36C6D">
              <w:rPr>
                <w:rFonts w:ascii="Calibri" w:eastAsia="Times New Roman" w:hAnsi="Calibri" w:cs="Calibri"/>
                <w:color w:val="000000"/>
                <w:sz w:val="22"/>
              </w:rPr>
              <w:t>Low level of education</w:t>
            </w:r>
          </w:p>
        </w:tc>
        <w:tc>
          <w:tcPr>
            <w:tcW w:w="2713" w:type="dxa"/>
            <w:tcBorders>
              <w:top w:val="nil"/>
              <w:left w:val="nil"/>
              <w:bottom w:val="single" w:sz="4" w:space="0" w:color="auto"/>
              <w:right w:val="nil"/>
            </w:tcBorders>
            <w:shd w:val="clear" w:color="auto" w:fill="auto"/>
            <w:noWrap/>
            <w:vAlign w:val="center"/>
            <w:hideMark/>
          </w:tcPr>
          <w:p w14:paraId="7CD6A790" w14:textId="77777777" w:rsidR="00B36C6D" w:rsidRPr="00B36C6D" w:rsidRDefault="00B36C6D" w:rsidP="00B36C6D">
            <w:pPr>
              <w:spacing w:after="0" w:line="240" w:lineRule="auto"/>
              <w:jc w:val="center"/>
              <w:rPr>
                <w:rFonts w:ascii="Calibri" w:eastAsia="Times New Roman" w:hAnsi="Calibri" w:cs="Calibri"/>
                <w:color w:val="000000"/>
                <w:sz w:val="22"/>
              </w:rPr>
            </w:pPr>
            <w:r w:rsidRPr="00B36C6D">
              <w:rPr>
                <w:rFonts w:ascii="Calibri" w:eastAsia="Times New Roman" w:hAnsi="Calibri" w:cs="Calibri"/>
                <w:color w:val="000000"/>
                <w:sz w:val="22"/>
              </w:rPr>
              <w:t>High level of education</w:t>
            </w:r>
          </w:p>
        </w:tc>
      </w:tr>
      <w:tr w:rsidR="00B36C6D" w:rsidRPr="00B36C6D" w14:paraId="530F8537" w14:textId="77777777" w:rsidTr="00B36C6D">
        <w:trPr>
          <w:trHeight w:val="231"/>
        </w:trPr>
        <w:tc>
          <w:tcPr>
            <w:tcW w:w="3550" w:type="dxa"/>
            <w:tcBorders>
              <w:top w:val="nil"/>
              <w:left w:val="nil"/>
              <w:bottom w:val="nil"/>
              <w:right w:val="nil"/>
            </w:tcBorders>
            <w:shd w:val="clear" w:color="auto" w:fill="auto"/>
            <w:vAlign w:val="bottom"/>
            <w:hideMark/>
          </w:tcPr>
          <w:p w14:paraId="2EECC32B" w14:textId="77777777" w:rsidR="00B36C6D" w:rsidRPr="00B36C6D" w:rsidRDefault="00B36C6D" w:rsidP="00B36C6D">
            <w:pPr>
              <w:spacing w:after="0" w:line="240" w:lineRule="auto"/>
              <w:jc w:val="center"/>
              <w:rPr>
                <w:rFonts w:ascii="Calibri" w:eastAsia="Times New Roman" w:hAnsi="Calibri" w:cs="Calibri"/>
                <w:color w:val="000000"/>
                <w:sz w:val="22"/>
              </w:rPr>
            </w:pPr>
          </w:p>
        </w:tc>
        <w:tc>
          <w:tcPr>
            <w:tcW w:w="2687" w:type="dxa"/>
            <w:tcBorders>
              <w:top w:val="nil"/>
              <w:left w:val="nil"/>
              <w:bottom w:val="nil"/>
              <w:right w:val="nil"/>
            </w:tcBorders>
            <w:shd w:val="clear" w:color="auto" w:fill="auto"/>
            <w:noWrap/>
            <w:vAlign w:val="center"/>
            <w:hideMark/>
          </w:tcPr>
          <w:p w14:paraId="4C0810DA" w14:textId="77777777" w:rsidR="00B36C6D" w:rsidRPr="00B36C6D" w:rsidRDefault="00B36C6D" w:rsidP="00B36C6D">
            <w:pPr>
              <w:spacing w:after="0" w:line="240" w:lineRule="auto"/>
              <w:rPr>
                <w:rFonts w:eastAsia="Times New Roman" w:cs="Times New Roman"/>
                <w:sz w:val="20"/>
                <w:szCs w:val="20"/>
              </w:rPr>
            </w:pPr>
          </w:p>
        </w:tc>
        <w:tc>
          <w:tcPr>
            <w:tcW w:w="2713" w:type="dxa"/>
            <w:tcBorders>
              <w:top w:val="nil"/>
              <w:left w:val="nil"/>
              <w:bottom w:val="nil"/>
              <w:right w:val="nil"/>
            </w:tcBorders>
            <w:shd w:val="clear" w:color="auto" w:fill="auto"/>
            <w:noWrap/>
            <w:vAlign w:val="center"/>
            <w:hideMark/>
          </w:tcPr>
          <w:p w14:paraId="6C7B58EE" w14:textId="77777777" w:rsidR="00B36C6D" w:rsidRPr="00B36C6D" w:rsidRDefault="00B36C6D" w:rsidP="00B36C6D">
            <w:pPr>
              <w:spacing w:after="0" w:line="240" w:lineRule="auto"/>
              <w:jc w:val="center"/>
              <w:rPr>
                <w:rFonts w:eastAsia="Times New Roman" w:cs="Times New Roman"/>
                <w:sz w:val="20"/>
                <w:szCs w:val="20"/>
              </w:rPr>
            </w:pPr>
          </w:p>
        </w:tc>
      </w:tr>
      <w:tr w:rsidR="00B36C6D" w:rsidRPr="00B36C6D" w14:paraId="2E7881F4" w14:textId="77777777" w:rsidTr="00B36C6D">
        <w:trPr>
          <w:trHeight w:val="231"/>
        </w:trPr>
        <w:tc>
          <w:tcPr>
            <w:tcW w:w="3550" w:type="dxa"/>
            <w:tcBorders>
              <w:top w:val="nil"/>
              <w:left w:val="nil"/>
              <w:bottom w:val="nil"/>
              <w:right w:val="nil"/>
            </w:tcBorders>
            <w:shd w:val="clear" w:color="auto" w:fill="auto"/>
            <w:vAlign w:val="center"/>
            <w:hideMark/>
          </w:tcPr>
          <w:p w14:paraId="15767868" w14:textId="77777777" w:rsidR="00B36C6D" w:rsidRPr="00B36C6D" w:rsidRDefault="00B36C6D" w:rsidP="00B36C6D">
            <w:pPr>
              <w:spacing w:after="0" w:line="240" w:lineRule="auto"/>
              <w:rPr>
                <w:rFonts w:ascii="Calibri" w:eastAsia="Times New Roman" w:hAnsi="Calibri" w:cs="Calibri"/>
                <w:i/>
                <w:iCs/>
                <w:color w:val="000000"/>
                <w:sz w:val="22"/>
              </w:rPr>
            </w:pPr>
            <w:r w:rsidRPr="00B36C6D">
              <w:rPr>
                <w:rFonts w:ascii="Calibri" w:eastAsia="Times New Roman" w:hAnsi="Calibri" w:cs="Calibri"/>
                <w:i/>
                <w:iCs/>
                <w:color w:val="000000"/>
                <w:sz w:val="22"/>
              </w:rPr>
              <w:t>CSL exposure</w:t>
            </w:r>
          </w:p>
        </w:tc>
        <w:tc>
          <w:tcPr>
            <w:tcW w:w="2687" w:type="dxa"/>
            <w:tcBorders>
              <w:top w:val="nil"/>
              <w:left w:val="nil"/>
              <w:bottom w:val="nil"/>
              <w:right w:val="nil"/>
            </w:tcBorders>
            <w:shd w:val="clear" w:color="auto" w:fill="auto"/>
            <w:noWrap/>
            <w:vAlign w:val="center"/>
            <w:hideMark/>
          </w:tcPr>
          <w:p w14:paraId="7CF5F70F" w14:textId="77777777" w:rsidR="00B36C6D" w:rsidRPr="00B36C6D" w:rsidRDefault="00B36C6D" w:rsidP="00B36C6D">
            <w:pPr>
              <w:spacing w:after="0" w:line="240" w:lineRule="auto"/>
              <w:jc w:val="center"/>
              <w:rPr>
                <w:rFonts w:ascii="Calibri" w:eastAsia="Times New Roman" w:hAnsi="Calibri" w:cs="Calibri"/>
                <w:color w:val="000000"/>
                <w:sz w:val="22"/>
              </w:rPr>
            </w:pPr>
            <w:r w:rsidRPr="00B36C6D">
              <w:rPr>
                <w:rFonts w:ascii="Calibri" w:eastAsia="Times New Roman" w:hAnsi="Calibri" w:cs="Calibri"/>
                <w:color w:val="000000"/>
                <w:sz w:val="22"/>
              </w:rPr>
              <w:t>3.868***</w:t>
            </w:r>
          </w:p>
        </w:tc>
        <w:tc>
          <w:tcPr>
            <w:tcW w:w="2713" w:type="dxa"/>
            <w:tcBorders>
              <w:top w:val="nil"/>
              <w:left w:val="nil"/>
              <w:bottom w:val="nil"/>
              <w:right w:val="nil"/>
            </w:tcBorders>
            <w:shd w:val="clear" w:color="auto" w:fill="auto"/>
            <w:noWrap/>
            <w:vAlign w:val="center"/>
            <w:hideMark/>
          </w:tcPr>
          <w:p w14:paraId="0313ED05" w14:textId="77777777" w:rsidR="00B36C6D" w:rsidRPr="00B36C6D" w:rsidRDefault="00B36C6D" w:rsidP="00B36C6D">
            <w:pPr>
              <w:spacing w:after="0" w:line="240" w:lineRule="auto"/>
              <w:jc w:val="center"/>
              <w:rPr>
                <w:rFonts w:ascii="Calibri" w:eastAsia="Times New Roman" w:hAnsi="Calibri" w:cs="Calibri"/>
                <w:color w:val="000000"/>
                <w:sz w:val="22"/>
              </w:rPr>
            </w:pPr>
            <w:r w:rsidRPr="00B36C6D">
              <w:rPr>
                <w:rFonts w:ascii="Calibri" w:eastAsia="Times New Roman" w:hAnsi="Calibri" w:cs="Calibri"/>
                <w:color w:val="000000"/>
                <w:sz w:val="22"/>
              </w:rPr>
              <w:t>0.460</w:t>
            </w:r>
          </w:p>
        </w:tc>
      </w:tr>
      <w:tr w:rsidR="00B36C6D" w:rsidRPr="00B36C6D" w14:paraId="73CDE871" w14:textId="77777777" w:rsidTr="00B36C6D">
        <w:trPr>
          <w:trHeight w:val="298"/>
        </w:trPr>
        <w:tc>
          <w:tcPr>
            <w:tcW w:w="3550" w:type="dxa"/>
            <w:tcBorders>
              <w:top w:val="nil"/>
              <w:left w:val="nil"/>
              <w:bottom w:val="nil"/>
              <w:right w:val="nil"/>
            </w:tcBorders>
            <w:shd w:val="clear" w:color="auto" w:fill="auto"/>
            <w:vAlign w:val="center"/>
            <w:hideMark/>
          </w:tcPr>
          <w:p w14:paraId="601E3CC4" w14:textId="77777777" w:rsidR="00B36C6D" w:rsidRPr="00B36C6D" w:rsidRDefault="00B36C6D" w:rsidP="00B36C6D">
            <w:pPr>
              <w:spacing w:after="0" w:line="240" w:lineRule="auto"/>
              <w:jc w:val="center"/>
              <w:rPr>
                <w:rFonts w:ascii="Calibri" w:eastAsia="Times New Roman" w:hAnsi="Calibri" w:cs="Calibri"/>
                <w:color w:val="000000"/>
                <w:sz w:val="22"/>
              </w:rPr>
            </w:pPr>
          </w:p>
        </w:tc>
        <w:tc>
          <w:tcPr>
            <w:tcW w:w="2687" w:type="dxa"/>
            <w:tcBorders>
              <w:top w:val="nil"/>
              <w:left w:val="nil"/>
              <w:bottom w:val="nil"/>
              <w:right w:val="nil"/>
            </w:tcBorders>
            <w:shd w:val="clear" w:color="auto" w:fill="auto"/>
            <w:noWrap/>
            <w:vAlign w:val="center"/>
            <w:hideMark/>
          </w:tcPr>
          <w:p w14:paraId="030E14DB" w14:textId="77777777" w:rsidR="00B36C6D" w:rsidRPr="00B36C6D" w:rsidRDefault="00B36C6D" w:rsidP="00B36C6D">
            <w:pPr>
              <w:spacing w:after="0" w:line="240" w:lineRule="auto"/>
              <w:jc w:val="center"/>
              <w:rPr>
                <w:rFonts w:ascii="Calibri" w:eastAsia="Times New Roman" w:hAnsi="Calibri" w:cs="Calibri"/>
                <w:color w:val="000000"/>
                <w:sz w:val="22"/>
              </w:rPr>
            </w:pPr>
            <w:r w:rsidRPr="00B36C6D">
              <w:rPr>
                <w:rFonts w:ascii="Calibri" w:eastAsia="Times New Roman" w:hAnsi="Calibri" w:cs="Calibri"/>
                <w:color w:val="000000"/>
                <w:sz w:val="22"/>
              </w:rPr>
              <w:t xml:space="preserve">(0.439) </w:t>
            </w:r>
          </w:p>
        </w:tc>
        <w:tc>
          <w:tcPr>
            <w:tcW w:w="2713" w:type="dxa"/>
            <w:tcBorders>
              <w:top w:val="nil"/>
              <w:left w:val="nil"/>
              <w:bottom w:val="nil"/>
              <w:right w:val="nil"/>
            </w:tcBorders>
            <w:shd w:val="clear" w:color="auto" w:fill="auto"/>
            <w:noWrap/>
            <w:vAlign w:val="center"/>
            <w:hideMark/>
          </w:tcPr>
          <w:p w14:paraId="4E42CD61" w14:textId="77777777" w:rsidR="00B36C6D" w:rsidRPr="00B36C6D" w:rsidRDefault="00B36C6D" w:rsidP="00B36C6D">
            <w:pPr>
              <w:spacing w:after="0" w:line="240" w:lineRule="auto"/>
              <w:jc w:val="center"/>
              <w:rPr>
                <w:rFonts w:ascii="Calibri" w:eastAsia="Times New Roman" w:hAnsi="Calibri" w:cs="Calibri"/>
                <w:color w:val="000000"/>
                <w:sz w:val="22"/>
              </w:rPr>
            </w:pPr>
            <w:r w:rsidRPr="00B36C6D">
              <w:rPr>
                <w:rFonts w:ascii="Calibri" w:eastAsia="Times New Roman" w:hAnsi="Calibri" w:cs="Calibri"/>
                <w:color w:val="000000"/>
                <w:sz w:val="22"/>
              </w:rPr>
              <w:t xml:space="preserve">(0.419) </w:t>
            </w:r>
          </w:p>
        </w:tc>
      </w:tr>
      <w:tr w:rsidR="00B36C6D" w:rsidRPr="00B36C6D" w14:paraId="022CD918" w14:textId="77777777" w:rsidTr="00B36C6D">
        <w:trPr>
          <w:trHeight w:val="231"/>
        </w:trPr>
        <w:tc>
          <w:tcPr>
            <w:tcW w:w="3550" w:type="dxa"/>
            <w:tcBorders>
              <w:top w:val="nil"/>
              <w:left w:val="nil"/>
              <w:bottom w:val="nil"/>
              <w:right w:val="nil"/>
            </w:tcBorders>
            <w:shd w:val="clear" w:color="auto" w:fill="auto"/>
            <w:vAlign w:val="center"/>
            <w:hideMark/>
          </w:tcPr>
          <w:p w14:paraId="3D5B1E9A" w14:textId="77777777" w:rsidR="00B36C6D" w:rsidRPr="00B36C6D" w:rsidRDefault="00B36C6D" w:rsidP="00B36C6D">
            <w:pPr>
              <w:spacing w:after="0" w:line="240" w:lineRule="auto"/>
              <w:jc w:val="center"/>
              <w:rPr>
                <w:rFonts w:ascii="Calibri" w:eastAsia="Times New Roman" w:hAnsi="Calibri" w:cs="Calibri"/>
                <w:color w:val="000000"/>
                <w:sz w:val="22"/>
              </w:rPr>
            </w:pPr>
          </w:p>
        </w:tc>
        <w:tc>
          <w:tcPr>
            <w:tcW w:w="2687" w:type="dxa"/>
            <w:tcBorders>
              <w:top w:val="nil"/>
              <w:left w:val="nil"/>
              <w:bottom w:val="nil"/>
              <w:right w:val="nil"/>
            </w:tcBorders>
            <w:shd w:val="clear" w:color="auto" w:fill="auto"/>
            <w:noWrap/>
            <w:vAlign w:val="center"/>
            <w:hideMark/>
          </w:tcPr>
          <w:p w14:paraId="6BB1D4FB" w14:textId="77777777" w:rsidR="00B36C6D" w:rsidRPr="00B36C6D" w:rsidRDefault="00B36C6D" w:rsidP="00B36C6D">
            <w:pPr>
              <w:spacing w:after="0" w:line="240" w:lineRule="auto"/>
              <w:rPr>
                <w:rFonts w:eastAsia="Times New Roman" w:cs="Times New Roman"/>
                <w:sz w:val="20"/>
                <w:szCs w:val="20"/>
              </w:rPr>
            </w:pPr>
          </w:p>
        </w:tc>
        <w:tc>
          <w:tcPr>
            <w:tcW w:w="2713" w:type="dxa"/>
            <w:tcBorders>
              <w:top w:val="nil"/>
              <w:left w:val="nil"/>
              <w:bottom w:val="nil"/>
              <w:right w:val="nil"/>
            </w:tcBorders>
            <w:shd w:val="clear" w:color="auto" w:fill="auto"/>
            <w:noWrap/>
            <w:vAlign w:val="center"/>
            <w:hideMark/>
          </w:tcPr>
          <w:p w14:paraId="204495A0" w14:textId="77777777" w:rsidR="00B36C6D" w:rsidRPr="00B36C6D" w:rsidRDefault="00B36C6D" w:rsidP="00B36C6D">
            <w:pPr>
              <w:spacing w:after="0" w:line="240" w:lineRule="auto"/>
              <w:jc w:val="center"/>
              <w:rPr>
                <w:rFonts w:eastAsia="Times New Roman" w:cs="Times New Roman"/>
                <w:sz w:val="20"/>
                <w:szCs w:val="20"/>
              </w:rPr>
            </w:pPr>
          </w:p>
        </w:tc>
      </w:tr>
      <w:tr w:rsidR="00B36C6D" w:rsidRPr="00B36C6D" w14:paraId="21B13062" w14:textId="77777777" w:rsidTr="00B36C6D">
        <w:trPr>
          <w:trHeight w:val="231"/>
        </w:trPr>
        <w:tc>
          <w:tcPr>
            <w:tcW w:w="3550" w:type="dxa"/>
            <w:tcBorders>
              <w:top w:val="nil"/>
              <w:left w:val="nil"/>
              <w:bottom w:val="nil"/>
              <w:right w:val="nil"/>
            </w:tcBorders>
            <w:shd w:val="clear" w:color="auto" w:fill="auto"/>
            <w:vAlign w:val="center"/>
            <w:hideMark/>
          </w:tcPr>
          <w:p w14:paraId="0D912984" w14:textId="77777777" w:rsidR="00B36C6D" w:rsidRPr="00B36C6D" w:rsidRDefault="00B36C6D" w:rsidP="00B36C6D">
            <w:pPr>
              <w:spacing w:after="0" w:line="240" w:lineRule="auto"/>
              <w:rPr>
                <w:rFonts w:ascii="Calibri" w:eastAsia="Times New Roman" w:hAnsi="Calibri" w:cs="Calibri"/>
                <w:i/>
                <w:iCs/>
                <w:color w:val="000000"/>
                <w:sz w:val="22"/>
              </w:rPr>
            </w:pPr>
            <w:r w:rsidRPr="00B36C6D">
              <w:rPr>
                <w:rFonts w:ascii="Calibri" w:eastAsia="Times New Roman" w:hAnsi="Calibri" w:cs="Calibri"/>
                <w:i/>
                <w:iCs/>
                <w:color w:val="000000"/>
                <w:sz w:val="22"/>
              </w:rPr>
              <w:t>CSL exposure*</w:t>
            </w:r>
            <w:proofErr w:type="spellStart"/>
            <w:r w:rsidRPr="00B36C6D">
              <w:rPr>
                <w:rFonts w:ascii="Calibri" w:eastAsia="Times New Roman" w:hAnsi="Calibri" w:cs="Calibri"/>
                <w:i/>
                <w:iCs/>
                <w:color w:val="000000"/>
                <w:sz w:val="22"/>
              </w:rPr>
              <w:t>avgIne</w:t>
            </w:r>
            <w:proofErr w:type="spellEnd"/>
          </w:p>
        </w:tc>
        <w:tc>
          <w:tcPr>
            <w:tcW w:w="2687" w:type="dxa"/>
            <w:tcBorders>
              <w:top w:val="nil"/>
              <w:left w:val="nil"/>
              <w:bottom w:val="nil"/>
              <w:right w:val="nil"/>
            </w:tcBorders>
            <w:shd w:val="clear" w:color="auto" w:fill="auto"/>
            <w:noWrap/>
            <w:vAlign w:val="center"/>
            <w:hideMark/>
          </w:tcPr>
          <w:p w14:paraId="14F25E7C" w14:textId="77777777" w:rsidR="00B36C6D" w:rsidRPr="00B36C6D" w:rsidRDefault="00B36C6D" w:rsidP="00B36C6D">
            <w:pPr>
              <w:spacing w:after="0" w:line="240" w:lineRule="auto"/>
              <w:jc w:val="center"/>
              <w:rPr>
                <w:rFonts w:ascii="Calibri" w:eastAsia="Times New Roman" w:hAnsi="Calibri" w:cs="Calibri"/>
                <w:color w:val="000000"/>
                <w:sz w:val="22"/>
              </w:rPr>
            </w:pPr>
            <w:r w:rsidRPr="00B36C6D">
              <w:rPr>
                <w:rFonts w:ascii="Calibri" w:eastAsia="Times New Roman" w:hAnsi="Calibri" w:cs="Calibri"/>
                <w:color w:val="000000"/>
                <w:sz w:val="22"/>
              </w:rPr>
              <w:t xml:space="preserve"> -0.336*** </w:t>
            </w:r>
          </w:p>
        </w:tc>
        <w:tc>
          <w:tcPr>
            <w:tcW w:w="2713" w:type="dxa"/>
            <w:tcBorders>
              <w:top w:val="nil"/>
              <w:left w:val="nil"/>
              <w:bottom w:val="nil"/>
              <w:right w:val="nil"/>
            </w:tcBorders>
            <w:shd w:val="clear" w:color="auto" w:fill="auto"/>
            <w:noWrap/>
            <w:vAlign w:val="center"/>
            <w:hideMark/>
          </w:tcPr>
          <w:p w14:paraId="311F8800" w14:textId="77777777" w:rsidR="00B36C6D" w:rsidRPr="00B36C6D" w:rsidRDefault="00B36C6D" w:rsidP="00B36C6D">
            <w:pPr>
              <w:spacing w:after="0" w:line="240" w:lineRule="auto"/>
              <w:jc w:val="center"/>
              <w:rPr>
                <w:rFonts w:ascii="Calibri" w:eastAsia="Times New Roman" w:hAnsi="Calibri" w:cs="Calibri"/>
                <w:color w:val="000000"/>
                <w:sz w:val="22"/>
              </w:rPr>
            </w:pPr>
            <w:r w:rsidRPr="00B36C6D">
              <w:rPr>
                <w:rFonts w:ascii="Calibri" w:eastAsia="Times New Roman" w:hAnsi="Calibri" w:cs="Calibri"/>
                <w:color w:val="000000"/>
                <w:sz w:val="22"/>
              </w:rPr>
              <w:t xml:space="preserve"> -0.0971***</w:t>
            </w:r>
          </w:p>
        </w:tc>
      </w:tr>
      <w:tr w:rsidR="00B36C6D" w:rsidRPr="00B36C6D" w14:paraId="39848B40" w14:textId="77777777" w:rsidTr="00B36C6D">
        <w:trPr>
          <w:trHeight w:val="289"/>
        </w:trPr>
        <w:tc>
          <w:tcPr>
            <w:tcW w:w="3550" w:type="dxa"/>
            <w:tcBorders>
              <w:top w:val="nil"/>
              <w:left w:val="nil"/>
              <w:bottom w:val="nil"/>
              <w:right w:val="nil"/>
            </w:tcBorders>
            <w:shd w:val="clear" w:color="auto" w:fill="auto"/>
            <w:vAlign w:val="center"/>
            <w:hideMark/>
          </w:tcPr>
          <w:p w14:paraId="2599E4EA" w14:textId="77777777" w:rsidR="00B36C6D" w:rsidRPr="00B36C6D" w:rsidRDefault="00B36C6D" w:rsidP="00B36C6D">
            <w:pPr>
              <w:spacing w:after="0" w:line="240" w:lineRule="auto"/>
              <w:jc w:val="center"/>
              <w:rPr>
                <w:rFonts w:ascii="Calibri" w:eastAsia="Times New Roman" w:hAnsi="Calibri" w:cs="Calibri"/>
                <w:color w:val="000000"/>
                <w:sz w:val="22"/>
              </w:rPr>
            </w:pPr>
          </w:p>
        </w:tc>
        <w:tc>
          <w:tcPr>
            <w:tcW w:w="2687" w:type="dxa"/>
            <w:tcBorders>
              <w:top w:val="nil"/>
              <w:left w:val="nil"/>
              <w:bottom w:val="nil"/>
              <w:right w:val="nil"/>
            </w:tcBorders>
            <w:shd w:val="clear" w:color="auto" w:fill="auto"/>
            <w:noWrap/>
            <w:vAlign w:val="center"/>
            <w:hideMark/>
          </w:tcPr>
          <w:p w14:paraId="1BEF9929" w14:textId="77777777" w:rsidR="00B36C6D" w:rsidRPr="00B36C6D" w:rsidRDefault="00B36C6D" w:rsidP="00B36C6D">
            <w:pPr>
              <w:spacing w:after="0" w:line="240" w:lineRule="auto"/>
              <w:jc w:val="center"/>
              <w:rPr>
                <w:rFonts w:ascii="Calibri" w:eastAsia="Times New Roman" w:hAnsi="Calibri" w:cs="Calibri"/>
                <w:color w:val="000000"/>
                <w:sz w:val="22"/>
              </w:rPr>
            </w:pPr>
            <w:r w:rsidRPr="00B36C6D">
              <w:rPr>
                <w:rFonts w:ascii="Calibri" w:eastAsia="Times New Roman" w:hAnsi="Calibri" w:cs="Calibri"/>
                <w:color w:val="000000"/>
                <w:sz w:val="22"/>
              </w:rPr>
              <w:t>(0.0353)</w:t>
            </w:r>
          </w:p>
        </w:tc>
        <w:tc>
          <w:tcPr>
            <w:tcW w:w="2713" w:type="dxa"/>
            <w:tcBorders>
              <w:top w:val="nil"/>
              <w:left w:val="nil"/>
              <w:bottom w:val="nil"/>
              <w:right w:val="nil"/>
            </w:tcBorders>
            <w:shd w:val="clear" w:color="auto" w:fill="auto"/>
            <w:noWrap/>
            <w:vAlign w:val="center"/>
            <w:hideMark/>
          </w:tcPr>
          <w:p w14:paraId="51D37D8E" w14:textId="77777777" w:rsidR="00B36C6D" w:rsidRPr="00B36C6D" w:rsidRDefault="00B36C6D" w:rsidP="00B36C6D">
            <w:pPr>
              <w:spacing w:after="0" w:line="240" w:lineRule="auto"/>
              <w:jc w:val="center"/>
              <w:rPr>
                <w:rFonts w:ascii="Calibri" w:eastAsia="Times New Roman" w:hAnsi="Calibri" w:cs="Calibri"/>
                <w:color w:val="000000"/>
                <w:sz w:val="22"/>
              </w:rPr>
            </w:pPr>
            <w:r w:rsidRPr="00B36C6D">
              <w:rPr>
                <w:rFonts w:ascii="Calibri" w:eastAsia="Times New Roman" w:hAnsi="Calibri" w:cs="Calibri"/>
                <w:color w:val="000000"/>
                <w:sz w:val="22"/>
              </w:rPr>
              <w:t xml:space="preserve">(0.0283)  </w:t>
            </w:r>
          </w:p>
        </w:tc>
      </w:tr>
      <w:tr w:rsidR="00B36C6D" w:rsidRPr="00B36C6D" w14:paraId="6E446DD1" w14:textId="77777777" w:rsidTr="00B36C6D">
        <w:trPr>
          <w:trHeight w:val="221"/>
        </w:trPr>
        <w:tc>
          <w:tcPr>
            <w:tcW w:w="3550" w:type="dxa"/>
            <w:tcBorders>
              <w:top w:val="nil"/>
              <w:left w:val="nil"/>
              <w:bottom w:val="nil"/>
              <w:right w:val="nil"/>
            </w:tcBorders>
            <w:shd w:val="clear" w:color="auto" w:fill="auto"/>
            <w:vAlign w:val="center"/>
            <w:hideMark/>
          </w:tcPr>
          <w:p w14:paraId="2CDEE7D9" w14:textId="77777777" w:rsidR="00B36C6D" w:rsidRPr="00B36C6D" w:rsidRDefault="00B36C6D" w:rsidP="00B36C6D">
            <w:pPr>
              <w:spacing w:after="0" w:line="240" w:lineRule="auto"/>
              <w:jc w:val="center"/>
              <w:rPr>
                <w:rFonts w:ascii="Calibri" w:eastAsia="Times New Roman" w:hAnsi="Calibri" w:cs="Calibri"/>
                <w:color w:val="000000"/>
                <w:sz w:val="22"/>
              </w:rPr>
            </w:pPr>
          </w:p>
        </w:tc>
        <w:tc>
          <w:tcPr>
            <w:tcW w:w="2687" w:type="dxa"/>
            <w:tcBorders>
              <w:top w:val="nil"/>
              <w:left w:val="nil"/>
              <w:bottom w:val="nil"/>
              <w:right w:val="nil"/>
            </w:tcBorders>
            <w:shd w:val="clear" w:color="auto" w:fill="auto"/>
            <w:noWrap/>
            <w:vAlign w:val="center"/>
            <w:hideMark/>
          </w:tcPr>
          <w:p w14:paraId="7E714240" w14:textId="77777777" w:rsidR="00B36C6D" w:rsidRPr="00B36C6D" w:rsidRDefault="00B36C6D" w:rsidP="00B36C6D">
            <w:pPr>
              <w:spacing w:after="0" w:line="240" w:lineRule="auto"/>
              <w:rPr>
                <w:rFonts w:eastAsia="Times New Roman" w:cs="Times New Roman"/>
                <w:sz w:val="20"/>
                <w:szCs w:val="20"/>
              </w:rPr>
            </w:pPr>
          </w:p>
        </w:tc>
        <w:tc>
          <w:tcPr>
            <w:tcW w:w="2713" w:type="dxa"/>
            <w:tcBorders>
              <w:top w:val="nil"/>
              <w:left w:val="nil"/>
              <w:bottom w:val="nil"/>
              <w:right w:val="nil"/>
            </w:tcBorders>
            <w:shd w:val="clear" w:color="auto" w:fill="auto"/>
            <w:noWrap/>
            <w:vAlign w:val="center"/>
            <w:hideMark/>
          </w:tcPr>
          <w:p w14:paraId="5A0789F5" w14:textId="77777777" w:rsidR="00B36C6D" w:rsidRPr="00B36C6D" w:rsidRDefault="00B36C6D" w:rsidP="00B36C6D">
            <w:pPr>
              <w:spacing w:after="0" w:line="240" w:lineRule="auto"/>
              <w:jc w:val="center"/>
              <w:rPr>
                <w:rFonts w:eastAsia="Times New Roman" w:cs="Times New Roman"/>
                <w:sz w:val="20"/>
                <w:szCs w:val="20"/>
              </w:rPr>
            </w:pPr>
          </w:p>
        </w:tc>
      </w:tr>
      <w:tr w:rsidR="00B36C6D" w:rsidRPr="00B36C6D" w14:paraId="3142560D" w14:textId="77777777" w:rsidTr="00B36C6D">
        <w:trPr>
          <w:trHeight w:val="289"/>
        </w:trPr>
        <w:tc>
          <w:tcPr>
            <w:tcW w:w="3550" w:type="dxa"/>
            <w:tcBorders>
              <w:top w:val="nil"/>
              <w:left w:val="nil"/>
              <w:bottom w:val="nil"/>
              <w:right w:val="nil"/>
            </w:tcBorders>
            <w:shd w:val="clear" w:color="auto" w:fill="auto"/>
            <w:vAlign w:val="center"/>
            <w:hideMark/>
          </w:tcPr>
          <w:p w14:paraId="5235E7C1" w14:textId="77777777" w:rsidR="00B36C6D" w:rsidRPr="00B36C6D" w:rsidRDefault="00B36C6D" w:rsidP="00B36C6D">
            <w:pPr>
              <w:spacing w:after="0" w:line="240" w:lineRule="auto"/>
              <w:rPr>
                <w:rFonts w:ascii="Calibri" w:eastAsia="Times New Roman" w:hAnsi="Calibri" w:cs="Calibri"/>
                <w:color w:val="000000"/>
                <w:sz w:val="22"/>
              </w:rPr>
            </w:pPr>
            <w:r w:rsidRPr="00B36C6D">
              <w:rPr>
                <w:rFonts w:ascii="Calibri" w:eastAsia="Times New Roman" w:hAnsi="Calibri" w:cs="Calibri"/>
                <w:color w:val="000000"/>
                <w:sz w:val="22"/>
              </w:rPr>
              <w:t>Observation</w:t>
            </w:r>
          </w:p>
        </w:tc>
        <w:tc>
          <w:tcPr>
            <w:tcW w:w="2687" w:type="dxa"/>
            <w:tcBorders>
              <w:top w:val="nil"/>
              <w:left w:val="nil"/>
              <w:bottom w:val="nil"/>
              <w:right w:val="nil"/>
            </w:tcBorders>
            <w:shd w:val="clear" w:color="auto" w:fill="auto"/>
            <w:noWrap/>
            <w:vAlign w:val="center"/>
            <w:hideMark/>
          </w:tcPr>
          <w:p w14:paraId="7908C8A0" w14:textId="77777777" w:rsidR="00B36C6D" w:rsidRPr="00B36C6D" w:rsidRDefault="00B36C6D" w:rsidP="00B36C6D">
            <w:pPr>
              <w:spacing w:after="0" w:line="240" w:lineRule="auto"/>
              <w:jc w:val="center"/>
              <w:rPr>
                <w:rFonts w:ascii="Calibri" w:eastAsia="Times New Roman" w:hAnsi="Calibri" w:cs="Calibri"/>
                <w:color w:val="000000"/>
                <w:sz w:val="22"/>
              </w:rPr>
            </w:pPr>
            <w:r w:rsidRPr="00B36C6D">
              <w:rPr>
                <w:rFonts w:ascii="Calibri" w:eastAsia="Times New Roman" w:hAnsi="Calibri" w:cs="Calibri"/>
                <w:color w:val="000000"/>
                <w:sz w:val="22"/>
              </w:rPr>
              <w:t xml:space="preserve">6376 </w:t>
            </w:r>
          </w:p>
        </w:tc>
        <w:tc>
          <w:tcPr>
            <w:tcW w:w="2713" w:type="dxa"/>
            <w:tcBorders>
              <w:top w:val="nil"/>
              <w:left w:val="nil"/>
              <w:bottom w:val="nil"/>
              <w:right w:val="nil"/>
            </w:tcBorders>
            <w:shd w:val="clear" w:color="auto" w:fill="auto"/>
            <w:noWrap/>
            <w:vAlign w:val="center"/>
            <w:hideMark/>
          </w:tcPr>
          <w:p w14:paraId="6105A972" w14:textId="77777777" w:rsidR="00B36C6D" w:rsidRPr="00B36C6D" w:rsidRDefault="00B36C6D" w:rsidP="00B36C6D">
            <w:pPr>
              <w:spacing w:after="0" w:line="240" w:lineRule="auto"/>
              <w:jc w:val="center"/>
              <w:rPr>
                <w:rFonts w:ascii="Calibri" w:eastAsia="Times New Roman" w:hAnsi="Calibri" w:cs="Calibri"/>
                <w:color w:val="000000"/>
                <w:sz w:val="22"/>
              </w:rPr>
            </w:pPr>
            <w:r w:rsidRPr="00B36C6D">
              <w:rPr>
                <w:rFonts w:ascii="Calibri" w:eastAsia="Times New Roman" w:hAnsi="Calibri" w:cs="Calibri"/>
                <w:color w:val="000000"/>
                <w:sz w:val="22"/>
              </w:rPr>
              <w:t>4113</w:t>
            </w:r>
          </w:p>
        </w:tc>
      </w:tr>
      <w:tr w:rsidR="00B36C6D" w:rsidRPr="00B36C6D" w14:paraId="67156F9E" w14:textId="77777777" w:rsidTr="00B36C6D">
        <w:trPr>
          <w:trHeight w:val="269"/>
        </w:trPr>
        <w:tc>
          <w:tcPr>
            <w:tcW w:w="3550" w:type="dxa"/>
            <w:tcBorders>
              <w:top w:val="nil"/>
              <w:left w:val="nil"/>
              <w:bottom w:val="nil"/>
              <w:right w:val="nil"/>
            </w:tcBorders>
            <w:shd w:val="clear" w:color="auto" w:fill="auto"/>
            <w:vAlign w:val="center"/>
            <w:hideMark/>
          </w:tcPr>
          <w:p w14:paraId="58EC102E" w14:textId="77777777" w:rsidR="00B36C6D" w:rsidRPr="00B36C6D" w:rsidRDefault="00B36C6D" w:rsidP="00B36C6D">
            <w:pPr>
              <w:spacing w:after="0" w:line="240" w:lineRule="auto"/>
              <w:rPr>
                <w:rFonts w:ascii="Calibri" w:eastAsia="Times New Roman" w:hAnsi="Calibri" w:cs="Calibri"/>
                <w:color w:val="000000"/>
                <w:sz w:val="22"/>
              </w:rPr>
            </w:pPr>
            <w:r w:rsidRPr="00B36C6D">
              <w:rPr>
                <w:rFonts w:ascii="Calibri" w:eastAsia="Times New Roman" w:hAnsi="Calibri" w:cs="Calibri"/>
                <w:color w:val="000000"/>
                <w:sz w:val="22"/>
              </w:rPr>
              <w:t>Adj. R-squared</w:t>
            </w:r>
          </w:p>
        </w:tc>
        <w:tc>
          <w:tcPr>
            <w:tcW w:w="2687" w:type="dxa"/>
            <w:tcBorders>
              <w:top w:val="nil"/>
              <w:left w:val="nil"/>
              <w:bottom w:val="nil"/>
              <w:right w:val="nil"/>
            </w:tcBorders>
            <w:shd w:val="clear" w:color="auto" w:fill="auto"/>
            <w:noWrap/>
            <w:vAlign w:val="center"/>
            <w:hideMark/>
          </w:tcPr>
          <w:p w14:paraId="73359E48" w14:textId="77777777" w:rsidR="00B36C6D" w:rsidRPr="00B36C6D" w:rsidRDefault="00B36C6D" w:rsidP="00B36C6D">
            <w:pPr>
              <w:spacing w:after="0" w:line="240" w:lineRule="auto"/>
              <w:jc w:val="center"/>
              <w:rPr>
                <w:rFonts w:ascii="Calibri" w:eastAsia="Times New Roman" w:hAnsi="Calibri" w:cs="Calibri"/>
                <w:color w:val="000000"/>
                <w:sz w:val="22"/>
              </w:rPr>
            </w:pPr>
            <w:r w:rsidRPr="00B36C6D">
              <w:rPr>
                <w:rFonts w:ascii="Calibri" w:eastAsia="Times New Roman" w:hAnsi="Calibri" w:cs="Calibri"/>
                <w:color w:val="000000"/>
                <w:sz w:val="22"/>
              </w:rPr>
              <w:t>0.177</w:t>
            </w:r>
          </w:p>
        </w:tc>
        <w:tc>
          <w:tcPr>
            <w:tcW w:w="2713" w:type="dxa"/>
            <w:tcBorders>
              <w:top w:val="nil"/>
              <w:left w:val="nil"/>
              <w:bottom w:val="nil"/>
              <w:right w:val="nil"/>
            </w:tcBorders>
            <w:shd w:val="clear" w:color="auto" w:fill="auto"/>
            <w:noWrap/>
            <w:vAlign w:val="center"/>
            <w:hideMark/>
          </w:tcPr>
          <w:p w14:paraId="6B062DBC" w14:textId="77777777" w:rsidR="00B36C6D" w:rsidRPr="00B36C6D" w:rsidRDefault="00B36C6D" w:rsidP="00B36C6D">
            <w:pPr>
              <w:spacing w:after="0" w:line="240" w:lineRule="auto"/>
              <w:jc w:val="center"/>
              <w:rPr>
                <w:rFonts w:ascii="Calibri" w:eastAsia="Times New Roman" w:hAnsi="Calibri" w:cs="Calibri"/>
                <w:color w:val="000000"/>
                <w:sz w:val="22"/>
              </w:rPr>
            </w:pPr>
            <w:r w:rsidRPr="00B36C6D">
              <w:rPr>
                <w:rFonts w:ascii="Calibri" w:eastAsia="Times New Roman" w:hAnsi="Calibri" w:cs="Calibri"/>
                <w:color w:val="000000"/>
                <w:sz w:val="22"/>
              </w:rPr>
              <w:t>0.321</w:t>
            </w:r>
          </w:p>
        </w:tc>
      </w:tr>
      <w:tr w:rsidR="00B36C6D" w:rsidRPr="00B36C6D" w14:paraId="557374BA" w14:textId="77777777" w:rsidTr="00B36C6D">
        <w:trPr>
          <w:trHeight w:val="269"/>
        </w:trPr>
        <w:tc>
          <w:tcPr>
            <w:tcW w:w="3550" w:type="dxa"/>
            <w:tcBorders>
              <w:top w:val="nil"/>
              <w:left w:val="nil"/>
              <w:bottom w:val="nil"/>
              <w:right w:val="nil"/>
            </w:tcBorders>
            <w:shd w:val="clear" w:color="auto" w:fill="auto"/>
            <w:vAlign w:val="center"/>
            <w:hideMark/>
          </w:tcPr>
          <w:p w14:paraId="3C67F703" w14:textId="77777777" w:rsidR="00B36C6D" w:rsidRPr="00B36C6D" w:rsidRDefault="00B36C6D" w:rsidP="00B36C6D">
            <w:pPr>
              <w:spacing w:after="0" w:line="240" w:lineRule="auto"/>
              <w:jc w:val="center"/>
              <w:rPr>
                <w:rFonts w:ascii="Calibri" w:eastAsia="Times New Roman" w:hAnsi="Calibri" w:cs="Calibri"/>
                <w:color w:val="000000"/>
                <w:sz w:val="22"/>
              </w:rPr>
            </w:pPr>
          </w:p>
        </w:tc>
        <w:tc>
          <w:tcPr>
            <w:tcW w:w="2687" w:type="dxa"/>
            <w:tcBorders>
              <w:top w:val="nil"/>
              <w:left w:val="nil"/>
              <w:bottom w:val="nil"/>
              <w:right w:val="nil"/>
            </w:tcBorders>
            <w:shd w:val="clear" w:color="auto" w:fill="auto"/>
            <w:noWrap/>
            <w:vAlign w:val="center"/>
            <w:hideMark/>
          </w:tcPr>
          <w:p w14:paraId="7B7BF62B" w14:textId="77777777" w:rsidR="00B36C6D" w:rsidRPr="00B36C6D" w:rsidRDefault="00B36C6D" w:rsidP="00B36C6D">
            <w:pPr>
              <w:spacing w:after="0" w:line="240" w:lineRule="auto"/>
              <w:rPr>
                <w:rFonts w:eastAsia="Times New Roman" w:cs="Times New Roman"/>
                <w:sz w:val="20"/>
                <w:szCs w:val="20"/>
              </w:rPr>
            </w:pPr>
          </w:p>
        </w:tc>
        <w:tc>
          <w:tcPr>
            <w:tcW w:w="2713" w:type="dxa"/>
            <w:tcBorders>
              <w:top w:val="nil"/>
              <w:left w:val="nil"/>
              <w:bottom w:val="nil"/>
              <w:right w:val="nil"/>
            </w:tcBorders>
            <w:shd w:val="clear" w:color="auto" w:fill="auto"/>
            <w:noWrap/>
            <w:vAlign w:val="center"/>
            <w:hideMark/>
          </w:tcPr>
          <w:p w14:paraId="5D9FC5C8" w14:textId="77777777" w:rsidR="00B36C6D" w:rsidRPr="00B36C6D" w:rsidRDefault="00B36C6D" w:rsidP="00B36C6D">
            <w:pPr>
              <w:spacing w:after="0" w:line="240" w:lineRule="auto"/>
              <w:jc w:val="center"/>
              <w:rPr>
                <w:rFonts w:eastAsia="Times New Roman" w:cs="Times New Roman"/>
                <w:sz w:val="20"/>
                <w:szCs w:val="20"/>
              </w:rPr>
            </w:pPr>
          </w:p>
        </w:tc>
      </w:tr>
      <w:tr w:rsidR="00B36C6D" w:rsidRPr="00B36C6D" w14:paraId="5C722140" w14:textId="77777777" w:rsidTr="00B36C6D">
        <w:trPr>
          <w:trHeight w:val="231"/>
        </w:trPr>
        <w:tc>
          <w:tcPr>
            <w:tcW w:w="3550" w:type="dxa"/>
            <w:tcBorders>
              <w:top w:val="nil"/>
              <w:left w:val="nil"/>
              <w:bottom w:val="nil"/>
              <w:right w:val="nil"/>
            </w:tcBorders>
            <w:shd w:val="clear" w:color="auto" w:fill="auto"/>
            <w:vAlign w:val="center"/>
            <w:hideMark/>
          </w:tcPr>
          <w:p w14:paraId="4951F310" w14:textId="77777777" w:rsidR="00B36C6D" w:rsidRPr="00B36C6D" w:rsidRDefault="00B36C6D" w:rsidP="00B36C6D">
            <w:pPr>
              <w:spacing w:after="0" w:line="240" w:lineRule="auto"/>
              <w:rPr>
                <w:rFonts w:ascii="Calibri" w:eastAsia="Times New Roman" w:hAnsi="Calibri" w:cs="Calibri"/>
                <w:color w:val="000000"/>
                <w:sz w:val="22"/>
              </w:rPr>
            </w:pPr>
            <w:r w:rsidRPr="00B36C6D">
              <w:rPr>
                <w:rFonts w:ascii="Calibri" w:eastAsia="Times New Roman" w:hAnsi="Calibri" w:cs="Calibri"/>
                <w:color w:val="000000"/>
                <w:sz w:val="22"/>
              </w:rPr>
              <w:t xml:space="preserve">F statistics for IV </w:t>
            </w:r>
          </w:p>
        </w:tc>
        <w:tc>
          <w:tcPr>
            <w:tcW w:w="2687" w:type="dxa"/>
            <w:tcBorders>
              <w:top w:val="nil"/>
              <w:left w:val="nil"/>
              <w:bottom w:val="nil"/>
              <w:right w:val="nil"/>
            </w:tcBorders>
            <w:shd w:val="clear" w:color="auto" w:fill="auto"/>
            <w:noWrap/>
            <w:vAlign w:val="center"/>
            <w:hideMark/>
          </w:tcPr>
          <w:p w14:paraId="67E69170" w14:textId="77777777" w:rsidR="00B36C6D" w:rsidRPr="00B36C6D" w:rsidRDefault="00B36C6D" w:rsidP="00B36C6D">
            <w:pPr>
              <w:spacing w:after="0" w:line="240" w:lineRule="auto"/>
              <w:jc w:val="center"/>
              <w:rPr>
                <w:rFonts w:ascii="Calibri" w:eastAsia="Times New Roman" w:hAnsi="Calibri" w:cs="Calibri"/>
                <w:color w:val="000000"/>
                <w:sz w:val="22"/>
              </w:rPr>
            </w:pPr>
            <w:r w:rsidRPr="00B36C6D">
              <w:rPr>
                <w:rFonts w:ascii="Calibri" w:eastAsia="Times New Roman" w:hAnsi="Calibri" w:cs="Calibri"/>
                <w:color w:val="000000"/>
                <w:sz w:val="22"/>
              </w:rPr>
              <w:t>50.83</w:t>
            </w:r>
          </w:p>
        </w:tc>
        <w:tc>
          <w:tcPr>
            <w:tcW w:w="2713" w:type="dxa"/>
            <w:tcBorders>
              <w:top w:val="nil"/>
              <w:left w:val="nil"/>
              <w:bottom w:val="nil"/>
              <w:right w:val="nil"/>
            </w:tcBorders>
            <w:shd w:val="clear" w:color="auto" w:fill="auto"/>
            <w:noWrap/>
            <w:vAlign w:val="center"/>
            <w:hideMark/>
          </w:tcPr>
          <w:p w14:paraId="136673B8" w14:textId="77777777" w:rsidR="00B36C6D" w:rsidRPr="00B36C6D" w:rsidRDefault="00B36C6D" w:rsidP="00B36C6D">
            <w:pPr>
              <w:spacing w:after="0" w:line="240" w:lineRule="auto"/>
              <w:jc w:val="center"/>
              <w:rPr>
                <w:rFonts w:ascii="Calibri" w:eastAsia="Times New Roman" w:hAnsi="Calibri" w:cs="Calibri"/>
                <w:color w:val="000000"/>
                <w:sz w:val="22"/>
              </w:rPr>
            </w:pPr>
            <w:r w:rsidRPr="00B36C6D">
              <w:rPr>
                <w:rFonts w:ascii="Calibri" w:eastAsia="Times New Roman" w:hAnsi="Calibri" w:cs="Calibri"/>
                <w:color w:val="000000"/>
                <w:sz w:val="22"/>
              </w:rPr>
              <w:t>7.36</w:t>
            </w:r>
          </w:p>
        </w:tc>
      </w:tr>
      <w:tr w:rsidR="00B36C6D" w:rsidRPr="00B36C6D" w14:paraId="632CF4CB" w14:textId="77777777" w:rsidTr="00B36C6D">
        <w:trPr>
          <w:trHeight w:val="241"/>
        </w:trPr>
        <w:tc>
          <w:tcPr>
            <w:tcW w:w="3550" w:type="dxa"/>
            <w:tcBorders>
              <w:top w:val="nil"/>
              <w:left w:val="nil"/>
              <w:bottom w:val="double" w:sz="6" w:space="0" w:color="auto"/>
              <w:right w:val="nil"/>
            </w:tcBorders>
            <w:shd w:val="clear" w:color="auto" w:fill="auto"/>
            <w:vAlign w:val="center"/>
            <w:hideMark/>
          </w:tcPr>
          <w:p w14:paraId="21727210" w14:textId="77777777" w:rsidR="00B36C6D" w:rsidRPr="00B36C6D" w:rsidRDefault="00B36C6D" w:rsidP="00B36C6D">
            <w:pPr>
              <w:spacing w:after="0" w:line="240" w:lineRule="auto"/>
              <w:rPr>
                <w:rFonts w:ascii="Calibri" w:eastAsia="Times New Roman" w:hAnsi="Calibri" w:cs="Calibri"/>
                <w:color w:val="000000"/>
                <w:sz w:val="22"/>
              </w:rPr>
            </w:pPr>
            <w:r w:rsidRPr="00B36C6D">
              <w:rPr>
                <w:rFonts w:ascii="Calibri" w:eastAsia="Times New Roman" w:hAnsi="Calibri" w:cs="Calibri"/>
                <w:color w:val="000000"/>
                <w:sz w:val="22"/>
              </w:rPr>
              <w:t>P-value for IV F tests</w:t>
            </w:r>
          </w:p>
        </w:tc>
        <w:tc>
          <w:tcPr>
            <w:tcW w:w="2687" w:type="dxa"/>
            <w:tcBorders>
              <w:top w:val="nil"/>
              <w:left w:val="nil"/>
              <w:bottom w:val="double" w:sz="6" w:space="0" w:color="auto"/>
              <w:right w:val="nil"/>
            </w:tcBorders>
            <w:shd w:val="clear" w:color="auto" w:fill="auto"/>
            <w:noWrap/>
            <w:vAlign w:val="center"/>
            <w:hideMark/>
          </w:tcPr>
          <w:p w14:paraId="3E8E932C" w14:textId="77777777" w:rsidR="00B36C6D" w:rsidRPr="00B36C6D" w:rsidRDefault="00B36C6D" w:rsidP="00B36C6D">
            <w:pPr>
              <w:spacing w:after="0" w:line="240" w:lineRule="auto"/>
              <w:jc w:val="center"/>
              <w:rPr>
                <w:rFonts w:ascii="Calibri" w:eastAsia="Times New Roman" w:hAnsi="Calibri" w:cs="Calibri"/>
                <w:color w:val="000000"/>
                <w:sz w:val="22"/>
              </w:rPr>
            </w:pPr>
            <w:r w:rsidRPr="00B36C6D">
              <w:rPr>
                <w:rFonts w:ascii="Calibri" w:eastAsia="Times New Roman" w:hAnsi="Calibri" w:cs="Calibri"/>
                <w:color w:val="000000"/>
                <w:sz w:val="22"/>
              </w:rPr>
              <w:t>0.000</w:t>
            </w:r>
          </w:p>
        </w:tc>
        <w:tc>
          <w:tcPr>
            <w:tcW w:w="2713" w:type="dxa"/>
            <w:tcBorders>
              <w:top w:val="nil"/>
              <w:left w:val="nil"/>
              <w:bottom w:val="double" w:sz="6" w:space="0" w:color="auto"/>
              <w:right w:val="nil"/>
            </w:tcBorders>
            <w:shd w:val="clear" w:color="auto" w:fill="auto"/>
            <w:noWrap/>
            <w:vAlign w:val="center"/>
            <w:hideMark/>
          </w:tcPr>
          <w:p w14:paraId="7EB0E422" w14:textId="77777777" w:rsidR="00B36C6D" w:rsidRPr="00B36C6D" w:rsidRDefault="00B36C6D" w:rsidP="00B36C6D">
            <w:pPr>
              <w:spacing w:after="0" w:line="240" w:lineRule="auto"/>
              <w:jc w:val="center"/>
              <w:rPr>
                <w:rFonts w:ascii="Calibri" w:eastAsia="Times New Roman" w:hAnsi="Calibri" w:cs="Calibri"/>
                <w:color w:val="000000"/>
                <w:sz w:val="22"/>
              </w:rPr>
            </w:pPr>
            <w:r w:rsidRPr="00B36C6D">
              <w:rPr>
                <w:rFonts w:ascii="Calibri" w:eastAsia="Times New Roman" w:hAnsi="Calibri" w:cs="Calibri"/>
                <w:color w:val="000000"/>
                <w:sz w:val="22"/>
              </w:rPr>
              <w:t>0.001</w:t>
            </w:r>
          </w:p>
        </w:tc>
      </w:tr>
    </w:tbl>
    <w:p w14:paraId="3F10C929" w14:textId="0A803865" w:rsidR="004C49E8" w:rsidRPr="004C49E8" w:rsidRDefault="00C813A9" w:rsidP="00C813A9">
      <w:pPr>
        <w:spacing w:line="240" w:lineRule="auto"/>
      </w:pPr>
      <w:r w:rsidRPr="004C49E8">
        <w:rPr>
          <w:i/>
          <w:iCs/>
        </w:rPr>
        <w:t>Notes</w:t>
      </w:r>
      <w:r w:rsidRPr="004C49E8">
        <w:t>: All columns control for all demographic characteristics</w:t>
      </w:r>
      <w:r w:rsidR="004C49E8" w:rsidRPr="004C49E8">
        <w:t xml:space="preserve"> and all fixed effects</w:t>
      </w:r>
      <w:r w:rsidRPr="004C49E8">
        <w:t>.</w:t>
      </w:r>
    </w:p>
    <w:p w14:paraId="7241F7C9" w14:textId="7EE1067C" w:rsidR="00036CA7" w:rsidRDefault="00C813A9" w:rsidP="00C813A9">
      <w:pPr>
        <w:spacing w:line="240" w:lineRule="auto"/>
      </w:pPr>
      <w:r w:rsidRPr="004C49E8">
        <w:t xml:space="preserve"> ***p&lt;0.01, **p&lt;0.05. *p&lt;0.1. </w:t>
      </w:r>
    </w:p>
    <w:p w14:paraId="19C2D097" w14:textId="77777777" w:rsidR="004C49E8" w:rsidRPr="004C49E8" w:rsidRDefault="004C49E8" w:rsidP="00C813A9">
      <w:pPr>
        <w:spacing w:line="240" w:lineRule="auto"/>
        <w:rPr>
          <w:rFonts w:cs="Times New Roman"/>
          <w:szCs w:val="24"/>
          <w:lang w:val="en-US"/>
        </w:rPr>
      </w:pPr>
    </w:p>
    <w:p w14:paraId="55AFBF41" w14:textId="7E8A2315" w:rsidR="00036CA7" w:rsidRDefault="00036CA7" w:rsidP="00C813A9">
      <w:pPr>
        <w:spacing w:line="360" w:lineRule="auto"/>
        <w:ind w:firstLine="567"/>
        <w:jc w:val="both"/>
      </w:pPr>
      <w:r>
        <w:t>Table 5</w:t>
      </w:r>
      <w:r w:rsidRPr="009218DB">
        <w:t xml:space="preserve"> illustrates that the impact of compulsory schooling law </w:t>
      </w:r>
      <w:r w:rsidR="00C813A9">
        <w:t>has significant effect in low level of education (&lt;=9 years) rather than high level of education (&gt;9 years)</w:t>
      </w:r>
      <w:r w:rsidRPr="009218DB">
        <w:t xml:space="preserve">. </w:t>
      </w:r>
      <w:r w:rsidR="00C813A9">
        <w:t xml:space="preserve">It </w:t>
      </w:r>
      <w:r w:rsidRPr="009218DB">
        <w:t xml:space="preserve">implies that the improvement in education identified in Table 4 should be </w:t>
      </w:r>
      <w:r w:rsidRPr="0042619A">
        <w:t>significant</w:t>
      </w:r>
      <w:r>
        <w:t xml:space="preserve">ly originated </w:t>
      </w:r>
      <w:r w:rsidRPr="009218DB">
        <w:t>from CSL and not other unobserved factors</w:t>
      </w:r>
      <w:r>
        <w:t xml:space="preserve"> such as </w:t>
      </w:r>
      <w:r>
        <w:rPr>
          <w:rFonts w:cs="Times New Roman"/>
          <w:szCs w:val="24"/>
        </w:rPr>
        <w:t>economic growth</w:t>
      </w:r>
      <w:r w:rsidRPr="009218DB">
        <w:t xml:space="preserve"> (Huang, 2015).</w:t>
      </w:r>
    </w:p>
    <w:p w14:paraId="76DF7BCD" w14:textId="020210B3" w:rsidR="008F7B1E" w:rsidRDefault="008F7B1E" w:rsidP="00C813A9">
      <w:pPr>
        <w:spacing w:line="360" w:lineRule="auto"/>
        <w:ind w:firstLine="567"/>
        <w:jc w:val="both"/>
      </w:pPr>
    </w:p>
    <w:p w14:paraId="24475E99" w14:textId="6104D692" w:rsidR="004C49E8" w:rsidRDefault="004C49E8" w:rsidP="00C813A9">
      <w:pPr>
        <w:spacing w:line="360" w:lineRule="auto"/>
        <w:ind w:firstLine="567"/>
        <w:jc w:val="both"/>
      </w:pPr>
    </w:p>
    <w:p w14:paraId="11A8785B" w14:textId="071E0252" w:rsidR="004C49E8" w:rsidRDefault="004C49E8" w:rsidP="00C813A9">
      <w:pPr>
        <w:spacing w:line="360" w:lineRule="auto"/>
        <w:ind w:firstLine="567"/>
        <w:jc w:val="both"/>
      </w:pPr>
    </w:p>
    <w:p w14:paraId="254BAD4D" w14:textId="63442E93" w:rsidR="004C49E8" w:rsidRDefault="004C49E8" w:rsidP="00C813A9">
      <w:pPr>
        <w:spacing w:line="360" w:lineRule="auto"/>
        <w:ind w:firstLine="567"/>
        <w:jc w:val="both"/>
      </w:pPr>
    </w:p>
    <w:p w14:paraId="49BBA1CE" w14:textId="3E3B44F6" w:rsidR="004C49E8" w:rsidRDefault="004C49E8" w:rsidP="00C813A9">
      <w:pPr>
        <w:spacing w:line="360" w:lineRule="auto"/>
        <w:ind w:firstLine="567"/>
        <w:jc w:val="both"/>
      </w:pPr>
    </w:p>
    <w:p w14:paraId="02D16524" w14:textId="3621CC67" w:rsidR="004C49E8" w:rsidRDefault="004C49E8" w:rsidP="00C813A9">
      <w:pPr>
        <w:spacing w:line="360" w:lineRule="auto"/>
        <w:ind w:firstLine="567"/>
        <w:jc w:val="both"/>
      </w:pPr>
    </w:p>
    <w:p w14:paraId="49AB5958" w14:textId="5F9D13F5" w:rsidR="004C49E8" w:rsidRDefault="004C49E8" w:rsidP="00C813A9">
      <w:pPr>
        <w:spacing w:line="360" w:lineRule="auto"/>
        <w:ind w:firstLine="567"/>
        <w:jc w:val="both"/>
      </w:pPr>
    </w:p>
    <w:p w14:paraId="2813858E" w14:textId="77777777" w:rsidR="00CD5B55" w:rsidRDefault="00CD5B55" w:rsidP="00C813A9">
      <w:pPr>
        <w:spacing w:line="360" w:lineRule="auto"/>
        <w:ind w:firstLine="567"/>
        <w:jc w:val="both"/>
      </w:pPr>
    </w:p>
    <w:p w14:paraId="131D7B61" w14:textId="6D12F215" w:rsidR="004C49E8" w:rsidRDefault="004C49E8" w:rsidP="00C813A9">
      <w:pPr>
        <w:spacing w:line="360" w:lineRule="auto"/>
        <w:ind w:firstLine="567"/>
        <w:jc w:val="both"/>
      </w:pPr>
    </w:p>
    <w:p w14:paraId="77A2D869" w14:textId="77777777" w:rsidR="004C49E8" w:rsidRDefault="004C49E8" w:rsidP="00C813A9">
      <w:pPr>
        <w:spacing w:line="360" w:lineRule="auto"/>
        <w:ind w:firstLine="567"/>
        <w:jc w:val="both"/>
      </w:pPr>
    </w:p>
    <w:p w14:paraId="08937CAB" w14:textId="50EAFB4C" w:rsidR="0043725D" w:rsidRDefault="0043725D" w:rsidP="00792EC9">
      <w:r>
        <w:rPr>
          <w:rFonts w:hint="eastAsia"/>
        </w:rPr>
        <w:lastRenderedPageBreak/>
        <w:t>Table</w:t>
      </w:r>
      <w:r>
        <w:t xml:space="preserve"> </w:t>
      </w:r>
      <w:r w:rsidR="00036CA7">
        <w:t>6</w:t>
      </w:r>
      <w:r w:rsidR="009356F3">
        <w:t>. First stage results of CSL on years of education by different subsamples</w:t>
      </w:r>
    </w:p>
    <w:tbl>
      <w:tblPr>
        <w:tblW w:w="9127" w:type="dxa"/>
        <w:tblLook w:val="04A0" w:firstRow="1" w:lastRow="0" w:firstColumn="1" w:lastColumn="0" w:noHBand="0" w:noVBand="1"/>
      </w:tblPr>
      <w:tblGrid>
        <w:gridCol w:w="2984"/>
        <w:gridCol w:w="1593"/>
        <w:gridCol w:w="1517"/>
        <w:gridCol w:w="1516"/>
        <w:gridCol w:w="1517"/>
      </w:tblGrid>
      <w:tr w:rsidR="00ED4E1A" w:rsidRPr="00ED4E1A" w14:paraId="4A1C8209" w14:textId="77777777" w:rsidTr="00ED4E1A">
        <w:trPr>
          <w:trHeight w:val="242"/>
        </w:trPr>
        <w:tc>
          <w:tcPr>
            <w:tcW w:w="2984" w:type="dxa"/>
            <w:tcBorders>
              <w:top w:val="single" w:sz="4" w:space="0" w:color="auto"/>
              <w:left w:val="nil"/>
              <w:bottom w:val="nil"/>
              <w:right w:val="nil"/>
            </w:tcBorders>
            <w:shd w:val="clear" w:color="auto" w:fill="auto"/>
            <w:vAlign w:val="bottom"/>
            <w:hideMark/>
          </w:tcPr>
          <w:p w14:paraId="08F4545D" w14:textId="77777777" w:rsidR="00ED4E1A" w:rsidRPr="00ED4E1A" w:rsidRDefault="00ED4E1A" w:rsidP="00ED4E1A">
            <w:pPr>
              <w:spacing w:after="0" w:line="240" w:lineRule="auto"/>
              <w:rPr>
                <w:rFonts w:ascii="Calibri" w:eastAsia="Times New Roman" w:hAnsi="Calibri" w:cs="Calibri"/>
                <w:color w:val="000000"/>
                <w:sz w:val="22"/>
              </w:rPr>
            </w:pPr>
            <w:r w:rsidRPr="00ED4E1A">
              <w:rPr>
                <w:rFonts w:ascii="Calibri" w:eastAsia="Times New Roman" w:hAnsi="Calibri" w:cs="Calibri"/>
                <w:color w:val="000000"/>
                <w:sz w:val="22"/>
              </w:rPr>
              <w:t> </w:t>
            </w:r>
          </w:p>
        </w:tc>
        <w:tc>
          <w:tcPr>
            <w:tcW w:w="1593" w:type="dxa"/>
            <w:tcBorders>
              <w:top w:val="single" w:sz="4" w:space="0" w:color="auto"/>
              <w:left w:val="nil"/>
              <w:bottom w:val="nil"/>
              <w:right w:val="nil"/>
            </w:tcBorders>
            <w:shd w:val="clear" w:color="auto" w:fill="auto"/>
            <w:noWrap/>
            <w:vAlign w:val="center"/>
            <w:hideMark/>
          </w:tcPr>
          <w:p w14:paraId="20551DAC"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(1)</w:t>
            </w:r>
          </w:p>
        </w:tc>
        <w:tc>
          <w:tcPr>
            <w:tcW w:w="1516" w:type="dxa"/>
            <w:tcBorders>
              <w:top w:val="single" w:sz="4" w:space="0" w:color="auto"/>
              <w:left w:val="nil"/>
              <w:bottom w:val="nil"/>
              <w:right w:val="nil"/>
            </w:tcBorders>
            <w:shd w:val="clear" w:color="auto" w:fill="auto"/>
            <w:noWrap/>
            <w:vAlign w:val="center"/>
            <w:hideMark/>
          </w:tcPr>
          <w:p w14:paraId="7C601790"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(2)</w:t>
            </w:r>
          </w:p>
        </w:tc>
        <w:tc>
          <w:tcPr>
            <w:tcW w:w="1516" w:type="dxa"/>
            <w:tcBorders>
              <w:top w:val="single" w:sz="4" w:space="0" w:color="auto"/>
              <w:left w:val="nil"/>
              <w:bottom w:val="nil"/>
              <w:right w:val="nil"/>
            </w:tcBorders>
            <w:shd w:val="clear" w:color="auto" w:fill="auto"/>
            <w:noWrap/>
            <w:vAlign w:val="center"/>
            <w:hideMark/>
          </w:tcPr>
          <w:p w14:paraId="0D74E57A"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(3)</w:t>
            </w:r>
          </w:p>
        </w:tc>
        <w:tc>
          <w:tcPr>
            <w:tcW w:w="1516" w:type="dxa"/>
            <w:tcBorders>
              <w:top w:val="single" w:sz="4" w:space="0" w:color="auto"/>
              <w:left w:val="nil"/>
              <w:bottom w:val="nil"/>
              <w:right w:val="nil"/>
            </w:tcBorders>
            <w:shd w:val="clear" w:color="auto" w:fill="auto"/>
            <w:noWrap/>
            <w:vAlign w:val="center"/>
            <w:hideMark/>
          </w:tcPr>
          <w:p w14:paraId="58943E07"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(4)</w:t>
            </w:r>
          </w:p>
        </w:tc>
      </w:tr>
      <w:tr w:rsidR="00ED4E1A" w:rsidRPr="00ED4E1A" w14:paraId="2354741E" w14:textId="77777777" w:rsidTr="00ED4E1A">
        <w:trPr>
          <w:trHeight w:val="242"/>
        </w:trPr>
        <w:tc>
          <w:tcPr>
            <w:tcW w:w="2984" w:type="dxa"/>
            <w:vMerge w:val="restart"/>
            <w:tcBorders>
              <w:top w:val="nil"/>
              <w:left w:val="nil"/>
              <w:bottom w:val="single" w:sz="4" w:space="0" w:color="000000"/>
              <w:right w:val="nil"/>
            </w:tcBorders>
            <w:shd w:val="clear" w:color="auto" w:fill="auto"/>
            <w:noWrap/>
            <w:vAlign w:val="center"/>
            <w:hideMark/>
          </w:tcPr>
          <w:p w14:paraId="42B577E6" w14:textId="77777777" w:rsidR="00ED4E1A" w:rsidRPr="00ED4E1A" w:rsidRDefault="00ED4E1A" w:rsidP="00ED4E1A">
            <w:pPr>
              <w:spacing w:after="0" w:line="240" w:lineRule="auto"/>
              <w:rPr>
                <w:rFonts w:ascii="Calibri" w:eastAsia="Times New Roman" w:hAnsi="Calibri" w:cs="Calibri"/>
                <w:color w:val="000000"/>
                <w:sz w:val="22"/>
              </w:rPr>
            </w:pPr>
            <w:r w:rsidRPr="00ED4E1A">
              <w:rPr>
                <w:rFonts w:ascii="Calibri" w:eastAsia="Times New Roman" w:hAnsi="Calibri" w:cs="Calibri"/>
                <w:color w:val="000000"/>
                <w:sz w:val="22"/>
              </w:rPr>
              <w:t>Variables</w:t>
            </w:r>
          </w:p>
        </w:tc>
        <w:tc>
          <w:tcPr>
            <w:tcW w:w="6143" w:type="dxa"/>
            <w:gridSpan w:val="4"/>
            <w:tcBorders>
              <w:top w:val="nil"/>
              <w:left w:val="nil"/>
              <w:bottom w:val="nil"/>
              <w:right w:val="nil"/>
            </w:tcBorders>
            <w:shd w:val="clear" w:color="auto" w:fill="auto"/>
            <w:noWrap/>
            <w:vAlign w:val="center"/>
            <w:hideMark/>
          </w:tcPr>
          <w:p w14:paraId="46C58A38"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 xml:space="preserve"> Years of education</w:t>
            </w:r>
          </w:p>
        </w:tc>
      </w:tr>
      <w:tr w:rsidR="00ED4E1A" w:rsidRPr="00ED4E1A" w14:paraId="536C6617" w14:textId="77777777" w:rsidTr="00ED4E1A">
        <w:trPr>
          <w:trHeight w:val="242"/>
        </w:trPr>
        <w:tc>
          <w:tcPr>
            <w:tcW w:w="2984" w:type="dxa"/>
            <w:vMerge/>
            <w:tcBorders>
              <w:top w:val="nil"/>
              <w:left w:val="nil"/>
              <w:bottom w:val="single" w:sz="4" w:space="0" w:color="000000"/>
              <w:right w:val="nil"/>
            </w:tcBorders>
            <w:vAlign w:val="center"/>
            <w:hideMark/>
          </w:tcPr>
          <w:p w14:paraId="79F75A58" w14:textId="77777777" w:rsidR="00ED4E1A" w:rsidRPr="00ED4E1A" w:rsidRDefault="00ED4E1A" w:rsidP="00ED4E1A">
            <w:pPr>
              <w:spacing w:after="0" w:line="240" w:lineRule="auto"/>
              <w:rPr>
                <w:rFonts w:ascii="Calibri" w:eastAsia="Times New Roman" w:hAnsi="Calibri" w:cs="Calibri"/>
                <w:color w:val="000000"/>
                <w:sz w:val="22"/>
              </w:rPr>
            </w:pPr>
          </w:p>
        </w:tc>
        <w:tc>
          <w:tcPr>
            <w:tcW w:w="3110" w:type="dxa"/>
            <w:gridSpan w:val="2"/>
            <w:tcBorders>
              <w:top w:val="nil"/>
              <w:left w:val="nil"/>
              <w:bottom w:val="nil"/>
              <w:right w:val="nil"/>
            </w:tcBorders>
            <w:shd w:val="clear" w:color="auto" w:fill="auto"/>
            <w:noWrap/>
            <w:vAlign w:val="center"/>
            <w:hideMark/>
          </w:tcPr>
          <w:p w14:paraId="2151CBB2"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Subsample by gender</w:t>
            </w:r>
          </w:p>
        </w:tc>
        <w:tc>
          <w:tcPr>
            <w:tcW w:w="3033" w:type="dxa"/>
            <w:gridSpan w:val="2"/>
            <w:tcBorders>
              <w:top w:val="nil"/>
              <w:left w:val="nil"/>
              <w:bottom w:val="nil"/>
              <w:right w:val="nil"/>
            </w:tcBorders>
            <w:shd w:val="clear" w:color="auto" w:fill="auto"/>
            <w:noWrap/>
            <w:vAlign w:val="center"/>
            <w:hideMark/>
          </w:tcPr>
          <w:p w14:paraId="5A002A87"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Subsample by area</w:t>
            </w:r>
          </w:p>
        </w:tc>
      </w:tr>
      <w:tr w:rsidR="00ED4E1A" w:rsidRPr="00ED4E1A" w14:paraId="48A7D965" w14:textId="77777777" w:rsidTr="00ED4E1A">
        <w:trPr>
          <w:trHeight w:val="242"/>
        </w:trPr>
        <w:tc>
          <w:tcPr>
            <w:tcW w:w="2984" w:type="dxa"/>
            <w:vMerge/>
            <w:tcBorders>
              <w:top w:val="nil"/>
              <w:left w:val="nil"/>
              <w:bottom w:val="single" w:sz="4" w:space="0" w:color="000000"/>
              <w:right w:val="nil"/>
            </w:tcBorders>
            <w:vAlign w:val="center"/>
            <w:hideMark/>
          </w:tcPr>
          <w:p w14:paraId="00957386" w14:textId="77777777" w:rsidR="00ED4E1A" w:rsidRPr="00ED4E1A" w:rsidRDefault="00ED4E1A" w:rsidP="00ED4E1A">
            <w:pPr>
              <w:spacing w:after="0" w:line="240" w:lineRule="auto"/>
              <w:rPr>
                <w:rFonts w:ascii="Calibri" w:eastAsia="Times New Roman" w:hAnsi="Calibri" w:cs="Calibri"/>
                <w:color w:val="000000"/>
                <w:sz w:val="22"/>
              </w:rPr>
            </w:pPr>
          </w:p>
        </w:tc>
        <w:tc>
          <w:tcPr>
            <w:tcW w:w="1593" w:type="dxa"/>
            <w:tcBorders>
              <w:top w:val="single" w:sz="4" w:space="0" w:color="auto"/>
              <w:left w:val="nil"/>
              <w:bottom w:val="single" w:sz="4" w:space="0" w:color="auto"/>
              <w:right w:val="nil"/>
            </w:tcBorders>
            <w:shd w:val="clear" w:color="auto" w:fill="auto"/>
            <w:noWrap/>
            <w:vAlign w:val="center"/>
            <w:hideMark/>
          </w:tcPr>
          <w:p w14:paraId="007D9621"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Male</w:t>
            </w:r>
          </w:p>
        </w:tc>
        <w:tc>
          <w:tcPr>
            <w:tcW w:w="1516" w:type="dxa"/>
            <w:tcBorders>
              <w:top w:val="single" w:sz="4" w:space="0" w:color="auto"/>
              <w:left w:val="nil"/>
              <w:bottom w:val="single" w:sz="4" w:space="0" w:color="auto"/>
              <w:right w:val="nil"/>
            </w:tcBorders>
            <w:shd w:val="clear" w:color="auto" w:fill="auto"/>
            <w:noWrap/>
            <w:vAlign w:val="center"/>
            <w:hideMark/>
          </w:tcPr>
          <w:p w14:paraId="6CF5172D"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Female</w:t>
            </w:r>
          </w:p>
        </w:tc>
        <w:tc>
          <w:tcPr>
            <w:tcW w:w="1516" w:type="dxa"/>
            <w:tcBorders>
              <w:top w:val="single" w:sz="4" w:space="0" w:color="auto"/>
              <w:left w:val="nil"/>
              <w:bottom w:val="single" w:sz="4" w:space="0" w:color="auto"/>
              <w:right w:val="nil"/>
            </w:tcBorders>
            <w:shd w:val="clear" w:color="auto" w:fill="auto"/>
            <w:noWrap/>
            <w:vAlign w:val="center"/>
            <w:hideMark/>
          </w:tcPr>
          <w:p w14:paraId="1186FE9D"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Urban</w:t>
            </w:r>
          </w:p>
        </w:tc>
        <w:tc>
          <w:tcPr>
            <w:tcW w:w="1516" w:type="dxa"/>
            <w:tcBorders>
              <w:top w:val="single" w:sz="4" w:space="0" w:color="auto"/>
              <w:left w:val="nil"/>
              <w:bottom w:val="single" w:sz="4" w:space="0" w:color="auto"/>
              <w:right w:val="nil"/>
            </w:tcBorders>
            <w:shd w:val="clear" w:color="auto" w:fill="auto"/>
            <w:noWrap/>
            <w:vAlign w:val="center"/>
            <w:hideMark/>
          </w:tcPr>
          <w:p w14:paraId="02E28F80"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Rural</w:t>
            </w:r>
          </w:p>
        </w:tc>
      </w:tr>
      <w:tr w:rsidR="00ED4E1A" w:rsidRPr="00ED4E1A" w14:paraId="2C5B57D6" w14:textId="77777777" w:rsidTr="00ED4E1A">
        <w:trPr>
          <w:trHeight w:val="242"/>
        </w:trPr>
        <w:tc>
          <w:tcPr>
            <w:tcW w:w="2984" w:type="dxa"/>
            <w:tcBorders>
              <w:top w:val="nil"/>
              <w:left w:val="nil"/>
              <w:bottom w:val="nil"/>
              <w:right w:val="nil"/>
            </w:tcBorders>
            <w:shd w:val="clear" w:color="auto" w:fill="auto"/>
            <w:vAlign w:val="bottom"/>
            <w:hideMark/>
          </w:tcPr>
          <w:p w14:paraId="6A4BE4DD" w14:textId="77777777" w:rsidR="00ED4E1A" w:rsidRPr="00ED4E1A" w:rsidRDefault="00ED4E1A" w:rsidP="00ED4E1A">
            <w:pPr>
              <w:spacing w:after="0" w:line="240" w:lineRule="auto"/>
              <w:jc w:val="center"/>
              <w:rPr>
                <w:rFonts w:ascii="Calibri" w:eastAsia="Times New Roman" w:hAnsi="Calibri" w:cs="Calibri"/>
                <w:color w:val="000000"/>
                <w:sz w:val="22"/>
              </w:rPr>
            </w:pPr>
          </w:p>
        </w:tc>
        <w:tc>
          <w:tcPr>
            <w:tcW w:w="1593" w:type="dxa"/>
            <w:tcBorders>
              <w:top w:val="nil"/>
              <w:left w:val="nil"/>
              <w:bottom w:val="nil"/>
              <w:right w:val="nil"/>
            </w:tcBorders>
            <w:shd w:val="clear" w:color="auto" w:fill="auto"/>
            <w:noWrap/>
            <w:vAlign w:val="center"/>
            <w:hideMark/>
          </w:tcPr>
          <w:p w14:paraId="7C97D5B6" w14:textId="77777777" w:rsidR="00ED4E1A" w:rsidRPr="00ED4E1A" w:rsidRDefault="00ED4E1A" w:rsidP="00ED4E1A">
            <w:pPr>
              <w:spacing w:after="0" w:line="240" w:lineRule="auto"/>
              <w:rPr>
                <w:rFonts w:eastAsia="Times New Roman" w:cs="Times New Roman"/>
                <w:sz w:val="20"/>
                <w:szCs w:val="20"/>
              </w:rPr>
            </w:pPr>
          </w:p>
        </w:tc>
        <w:tc>
          <w:tcPr>
            <w:tcW w:w="1516" w:type="dxa"/>
            <w:tcBorders>
              <w:top w:val="nil"/>
              <w:left w:val="nil"/>
              <w:bottom w:val="nil"/>
              <w:right w:val="nil"/>
            </w:tcBorders>
            <w:shd w:val="clear" w:color="auto" w:fill="auto"/>
            <w:noWrap/>
            <w:vAlign w:val="center"/>
            <w:hideMark/>
          </w:tcPr>
          <w:p w14:paraId="67EEA8BE" w14:textId="77777777" w:rsidR="00ED4E1A" w:rsidRPr="00ED4E1A" w:rsidRDefault="00ED4E1A" w:rsidP="00ED4E1A">
            <w:pPr>
              <w:spacing w:after="0" w:line="240" w:lineRule="auto"/>
              <w:jc w:val="center"/>
              <w:rPr>
                <w:rFonts w:eastAsia="Times New Roman" w:cs="Times New Roman"/>
                <w:sz w:val="20"/>
                <w:szCs w:val="20"/>
              </w:rPr>
            </w:pPr>
          </w:p>
        </w:tc>
        <w:tc>
          <w:tcPr>
            <w:tcW w:w="1516" w:type="dxa"/>
            <w:tcBorders>
              <w:top w:val="nil"/>
              <w:left w:val="nil"/>
              <w:bottom w:val="nil"/>
              <w:right w:val="nil"/>
            </w:tcBorders>
            <w:shd w:val="clear" w:color="auto" w:fill="auto"/>
            <w:noWrap/>
            <w:vAlign w:val="center"/>
            <w:hideMark/>
          </w:tcPr>
          <w:p w14:paraId="49CC6427" w14:textId="77777777" w:rsidR="00ED4E1A" w:rsidRPr="00ED4E1A" w:rsidRDefault="00ED4E1A" w:rsidP="00ED4E1A">
            <w:pPr>
              <w:spacing w:after="0" w:line="240" w:lineRule="auto"/>
              <w:jc w:val="center"/>
              <w:rPr>
                <w:rFonts w:eastAsia="Times New Roman" w:cs="Times New Roman"/>
                <w:sz w:val="20"/>
                <w:szCs w:val="20"/>
              </w:rPr>
            </w:pPr>
          </w:p>
        </w:tc>
        <w:tc>
          <w:tcPr>
            <w:tcW w:w="1516" w:type="dxa"/>
            <w:tcBorders>
              <w:top w:val="nil"/>
              <w:left w:val="nil"/>
              <w:bottom w:val="nil"/>
              <w:right w:val="nil"/>
            </w:tcBorders>
            <w:shd w:val="clear" w:color="auto" w:fill="auto"/>
            <w:noWrap/>
            <w:vAlign w:val="center"/>
            <w:hideMark/>
          </w:tcPr>
          <w:p w14:paraId="412B11EC" w14:textId="77777777" w:rsidR="00ED4E1A" w:rsidRPr="00ED4E1A" w:rsidRDefault="00ED4E1A" w:rsidP="00ED4E1A">
            <w:pPr>
              <w:spacing w:after="0" w:line="240" w:lineRule="auto"/>
              <w:jc w:val="center"/>
              <w:rPr>
                <w:rFonts w:eastAsia="Times New Roman" w:cs="Times New Roman"/>
                <w:sz w:val="20"/>
                <w:szCs w:val="20"/>
              </w:rPr>
            </w:pPr>
          </w:p>
        </w:tc>
      </w:tr>
      <w:tr w:rsidR="00ED4E1A" w:rsidRPr="00ED4E1A" w14:paraId="6B0EB057" w14:textId="77777777" w:rsidTr="00ED4E1A">
        <w:trPr>
          <w:trHeight w:val="242"/>
        </w:trPr>
        <w:tc>
          <w:tcPr>
            <w:tcW w:w="2984" w:type="dxa"/>
            <w:tcBorders>
              <w:top w:val="nil"/>
              <w:left w:val="nil"/>
              <w:bottom w:val="nil"/>
              <w:right w:val="nil"/>
            </w:tcBorders>
            <w:shd w:val="clear" w:color="auto" w:fill="auto"/>
            <w:vAlign w:val="center"/>
            <w:hideMark/>
          </w:tcPr>
          <w:p w14:paraId="4745830F" w14:textId="77777777" w:rsidR="00ED4E1A" w:rsidRPr="00ED4E1A" w:rsidRDefault="00ED4E1A" w:rsidP="00ED4E1A">
            <w:pPr>
              <w:spacing w:after="0" w:line="240" w:lineRule="auto"/>
              <w:rPr>
                <w:rFonts w:ascii="Calibri" w:eastAsia="Times New Roman" w:hAnsi="Calibri" w:cs="Calibri"/>
                <w:i/>
                <w:iCs/>
                <w:color w:val="000000"/>
                <w:sz w:val="22"/>
              </w:rPr>
            </w:pPr>
            <w:r w:rsidRPr="00ED4E1A">
              <w:rPr>
                <w:rFonts w:ascii="Calibri" w:eastAsia="Times New Roman" w:hAnsi="Calibri" w:cs="Calibri"/>
                <w:i/>
                <w:iCs/>
                <w:color w:val="000000"/>
                <w:sz w:val="22"/>
              </w:rPr>
              <w:t>CSL exposure</w:t>
            </w:r>
          </w:p>
        </w:tc>
        <w:tc>
          <w:tcPr>
            <w:tcW w:w="1593" w:type="dxa"/>
            <w:tcBorders>
              <w:top w:val="nil"/>
              <w:left w:val="nil"/>
              <w:bottom w:val="nil"/>
              <w:right w:val="nil"/>
            </w:tcBorders>
            <w:shd w:val="clear" w:color="auto" w:fill="auto"/>
            <w:noWrap/>
            <w:vAlign w:val="center"/>
            <w:hideMark/>
          </w:tcPr>
          <w:p w14:paraId="50C1B9E1"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1.587**</w:t>
            </w:r>
          </w:p>
        </w:tc>
        <w:tc>
          <w:tcPr>
            <w:tcW w:w="1516" w:type="dxa"/>
            <w:tcBorders>
              <w:top w:val="nil"/>
              <w:left w:val="nil"/>
              <w:bottom w:val="nil"/>
              <w:right w:val="nil"/>
            </w:tcBorders>
            <w:shd w:val="clear" w:color="auto" w:fill="auto"/>
            <w:noWrap/>
            <w:vAlign w:val="center"/>
            <w:hideMark/>
          </w:tcPr>
          <w:p w14:paraId="3304C801"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 xml:space="preserve">3.715*** </w:t>
            </w:r>
          </w:p>
        </w:tc>
        <w:tc>
          <w:tcPr>
            <w:tcW w:w="1516" w:type="dxa"/>
            <w:tcBorders>
              <w:top w:val="nil"/>
              <w:left w:val="nil"/>
              <w:bottom w:val="nil"/>
              <w:right w:val="nil"/>
            </w:tcBorders>
            <w:shd w:val="clear" w:color="auto" w:fill="auto"/>
            <w:noWrap/>
            <w:vAlign w:val="center"/>
            <w:hideMark/>
          </w:tcPr>
          <w:p w14:paraId="59798AFB"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 xml:space="preserve">4.421*** </w:t>
            </w:r>
          </w:p>
        </w:tc>
        <w:tc>
          <w:tcPr>
            <w:tcW w:w="1516" w:type="dxa"/>
            <w:tcBorders>
              <w:top w:val="nil"/>
              <w:left w:val="nil"/>
              <w:bottom w:val="nil"/>
              <w:right w:val="nil"/>
            </w:tcBorders>
            <w:shd w:val="clear" w:color="auto" w:fill="auto"/>
            <w:noWrap/>
            <w:vAlign w:val="center"/>
            <w:hideMark/>
          </w:tcPr>
          <w:p w14:paraId="26D59700"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4.960***</w:t>
            </w:r>
          </w:p>
        </w:tc>
      </w:tr>
      <w:tr w:rsidR="00ED4E1A" w:rsidRPr="00ED4E1A" w14:paraId="0F4906B7" w14:textId="77777777" w:rsidTr="00ED4E1A">
        <w:trPr>
          <w:trHeight w:val="242"/>
        </w:trPr>
        <w:tc>
          <w:tcPr>
            <w:tcW w:w="2984" w:type="dxa"/>
            <w:tcBorders>
              <w:top w:val="nil"/>
              <w:left w:val="nil"/>
              <w:bottom w:val="nil"/>
              <w:right w:val="nil"/>
            </w:tcBorders>
            <w:shd w:val="clear" w:color="auto" w:fill="auto"/>
            <w:vAlign w:val="center"/>
            <w:hideMark/>
          </w:tcPr>
          <w:p w14:paraId="2D8FF58A" w14:textId="77777777" w:rsidR="00ED4E1A" w:rsidRPr="00ED4E1A" w:rsidRDefault="00ED4E1A" w:rsidP="00ED4E1A">
            <w:pPr>
              <w:spacing w:after="0" w:line="240" w:lineRule="auto"/>
              <w:jc w:val="center"/>
              <w:rPr>
                <w:rFonts w:ascii="Calibri" w:eastAsia="Times New Roman" w:hAnsi="Calibri" w:cs="Calibri"/>
                <w:color w:val="000000"/>
                <w:sz w:val="22"/>
              </w:rPr>
            </w:pPr>
          </w:p>
        </w:tc>
        <w:tc>
          <w:tcPr>
            <w:tcW w:w="1593" w:type="dxa"/>
            <w:tcBorders>
              <w:top w:val="nil"/>
              <w:left w:val="nil"/>
              <w:bottom w:val="nil"/>
              <w:right w:val="nil"/>
            </w:tcBorders>
            <w:shd w:val="clear" w:color="auto" w:fill="auto"/>
            <w:noWrap/>
            <w:vAlign w:val="center"/>
            <w:hideMark/>
          </w:tcPr>
          <w:p w14:paraId="06CB7365"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 xml:space="preserve">(0.714)  </w:t>
            </w:r>
          </w:p>
        </w:tc>
        <w:tc>
          <w:tcPr>
            <w:tcW w:w="1516" w:type="dxa"/>
            <w:tcBorders>
              <w:top w:val="nil"/>
              <w:left w:val="nil"/>
              <w:bottom w:val="nil"/>
              <w:right w:val="nil"/>
            </w:tcBorders>
            <w:shd w:val="clear" w:color="auto" w:fill="auto"/>
            <w:noWrap/>
            <w:vAlign w:val="center"/>
            <w:hideMark/>
          </w:tcPr>
          <w:p w14:paraId="4616AF60"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 xml:space="preserve">(0.680)  </w:t>
            </w:r>
          </w:p>
        </w:tc>
        <w:tc>
          <w:tcPr>
            <w:tcW w:w="1516" w:type="dxa"/>
            <w:tcBorders>
              <w:top w:val="nil"/>
              <w:left w:val="nil"/>
              <w:bottom w:val="nil"/>
              <w:right w:val="nil"/>
            </w:tcBorders>
            <w:shd w:val="clear" w:color="auto" w:fill="auto"/>
            <w:noWrap/>
            <w:vAlign w:val="center"/>
            <w:hideMark/>
          </w:tcPr>
          <w:p w14:paraId="6F52CCDD"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 xml:space="preserve">(1.309) </w:t>
            </w:r>
          </w:p>
        </w:tc>
        <w:tc>
          <w:tcPr>
            <w:tcW w:w="1516" w:type="dxa"/>
            <w:tcBorders>
              <w:top w:val="nil"/>
              <w:left w:val="nil"/>
              <w:bottom w:val="nil"/>
              <w:right w:val="nil"/>
            </w:tcBorders>
            <w:shd w:val="clear" w:color="auto" w:fill="auto"/>
            <w:noWrap/>
            <w:vAlign w:val="center"/>
            <w:hideMark/>
          </w:tcPr>
          <w:p w14:paraId="568A3611"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 xml:space="preserve">(0.965)   </w:t>
            </w:r>
          </w:p>
        </w:tc>
      </w:tr>
      <w:tr w:rsidR="00ED4E1A" w:rsidRPr="00ED4E1A" w14:paraId="15830267" w14:textId="77777777" w:rsidTr="00ED4E1A">
        <w:trPr>
          <w:trHeight w:val="242"/>
        </w:trPr>
        <w:tc>
          <w:tcPr>
            <w:tcW w:w="2984" w:type="dxa"/>
            <w:tcBorders>
              <w:top w:val="nil"/>
              <w:left w:val="nil"/>
              <w:bottom w:val="nil"/>
              <w:right w:val="nil"/>
            </w:tcBorders>
            <w:shd w:val="clear" w:color="auto" w:fill="auto"/>
            <w:vAlign w:val="center"/>
            <w:hideMark/>
          </w:tcPr>
          <w:p w14:paraId="7F935A77" w14:textId="77777777" w:rsidR="00ED4E1A" w:rsidRPr="00ED4E1A" w:rsidRDefault="00ED4E1A" w:rsidP="00ED4E1A">
            <w:pPr>
              <w:spacing w:after="0" w:line="240" w:lineRule="auto"/>
              <w:jc w:val="center"/>
              <w:rPr>
                <w:rFonts w:ascii="Calibri" w:eastAsia="Times New Roman" w:hAnsi="Calibri" w:cs="Calibri"/>
                <w:color w:val="000000"/>
                <w:sz w:val="22"/>
              </w:rPr>
            </w:pPr>
          </w:p>
        </w:tc>
        <w:tc>
          <w:tcPr>
            <w:tcW w:w="1593" w:type="dxa"/>
            <w:tcBorders>
              <w:top w:val="nil"/>
              <w:left w:val="nil"/>
              <w:bottom w:val="nil"/>
              <w:right w:val="nil"/>
            </w:tcBorders>
            <w:shd w:val="clear" w:color="auto" w:fill="auto"/>
            <w:noWrap/>
            <w:vAlign w:val="center"/>
            <w:hideMark/>
          </w:tcPr>
          <w:p w14:paraId="53028C14" w14:textId="77777777" w:rsidR="00ED4E1A" w:rsidRPr="00ED4E1A" w:rsidRDefault="00ED4E1A" w:rsidP="00ED4E1A">
            <w:pPr>
              <w:spacing w:after="0" w:line="240" w:lineRule="auto"/>
              <w:rPr>
                <w:rFonts w:eastAsia="Times New Roman" w:cs="Times New Roman"/>
                <w:sz w:val="20"/>
                <w:szCs w:val="20"/>
              </w:rPr>
            </w:pPr>
          </w:p>
        </w:tc>
        <w:tc>
          <w:tcPr>
            <w:tcW w:w="1516" w:type="dxa"/>
            <w:tcBorders>
              <w:top w:val="nil"/>
              <w:left w:val="nil"/>
              <w:bottom w:val="nil"/>
              <w:right w:val="nil"/>
            </w:tcBorders>
            <w:shd w:val="clear" w:color="auto" w:fill="auto"/>
            <w:noWrap/>
            <w:vAlign w:val="center"/>
            <w:hideMark/>
          </w:tcPr>
          <w:p w14:paraId="23C4B70E" w14:textId="77777777" w:rsidR="00ED4E1A" w:rsidRPr="00ED4E1A" w:rsidRDefault="00ED4E1A" w:rsidP="00ED4E1A">
            <w:pPr>
              <w:spacing w:after="0" w:line="240" w:lineRule="auto"/>
              <w:jc w:val="center"/>
              <w:rPr>
                <w:rFonts w:eastAsia="Times New Roman" w:cs="Times New Roman"/>
                <w:sz w:val="20"/>
                <w:szCs w:val="20"/>
              </w:rPr>
            </w:pPr>
          </w:p>
        </w:tc>
        <w:tc>
          <w:tcPr>
            <w:tcW w:w="1516" w:type="dxa"/>
            <w:tcBorders>
              <w:top w:val="nil"/>
              <w:left w:val="nil"/>
              <w:bottom w:val="nil"/>
              <w:right w:val="nil"/>
            </w:tcBorders>
            <w:shd w:val="clear" w:color="auto" w:fill="auto"/>
            <w:noWrap/>
            <w:vAlign w:val="center"/>
            <w:hideMark/>
          </w:tcPr>
          <w:p w14:paraId="4CAF5B1E" w14:textId="77777777" w:rsidR="00ED4E1A" w:rsidRPr="00ED4E1A" w:rsidRDefault="00ED4E1A" w:rsidP="00ED4E1A">
            <w:pPr>
              <w:spacing w:after="0" w:line="240" w:lineRule="auto"/>
              <w:jc w:val="center"/>
              <w:rPr>
                <w:rFonts w:eastAsia="Times New Roman" w:cs="Times New Roman"/>
                <w:sz w:val="20"/>
                <w:szCs w:val="20"/>
              </w:rPr>
            </w:pPr>
          </w:p>
        </w:tc>
        <w:tc>
          <w:tcPr>
            <w:tcW w:w="1516" w:type="dxa"/>
            <w:tcBorders>
              <w:top w:val="nil"/>
              <w:left w:val="nil"/>
              <w:bottom w:val="nil"/>
              <w:right w:val="nil"/>
            </w:tcBorders>
            <w:shd w:val="clear" w:color="auto" w:fill="auto"/>
            <w:noWrap/>
            <w:vAlign w:val="center"/>
            <w:hideMark/>
          </w:tcPr>
          <w:p w14:paraId="7E476F3A" w14:textId="77777777" w:rsidR="00ED4E1A" w:rsidRPr="00ED4E1A" w:rsidRDefault="00ED4E1A" w:rsidP="00ED4E1A">
            <w:pPr>
              <w:spacing w:after="0" w:line="240" w:lineRule="auto"/>
              <w:jc w:val="center"/>
              <w:rPr>
                <w:rFonts w:eastAsia="Times New Roman" w:cs="Times New Roman"/>
                <w:sz w:val="20"/>
                <w:szCs w:val="20"/>
              </w:rPr>
            </w:pPr>
          </w:p>
        </w:tc>
      </w:tr>
      <w:tr w:rsidR="00ED4E1A" w:rsidRPr="00ED4E1A" w14:paraId="453B1508" w14:textId="77777777" w:rsidTr="00ED4E1A">
        <w:trPr>
          <w:trHeight w:val="484"/>
        </w:trPr>
        <w:tc>
          <w:tcPr>
            <w:tcW w:w="2984" w:type="dxa"/>
            <w:tcBorders>
              <w:top w:val="nil"/>
              <w:left w:val="nil"/>
              <w:bottom w:val="nil"/>
              <w:right w:val="nil"/>
            </w:tcBorders>
            <w:shd w:val="clear" w:color="auto" w:fill="auto"/>
            <w:vAlign w:val="center"/>
            <w:hideMark/>
          </w:tcPr>
          <w:p w14:paraId="5DFFE67C" w14:textId="77777777" w:rsidR="00ED4E1A" w:rsidRPr="00ED4E1A" w:rsidRDefault="00ED4E1A" w:rsidP="00ED4E1A">
            <w:pPr>
              <w:spacing w:after="0" w:line="240" w:lineRule="auto"/>
              <w:rPr>
                <w:rFonts w:ascii="Calibri" w:eastAsia="Times New Roman" w:hAnsi="Calibri" w:cs="Calibri"/>
                <w:i/>
                <w:iCs/>
                <w:color w:val="000000"/>
                <w:sz w:val="22"/>
              </w:rPr>
            </w:pPr>
            <w:r w:rsidRPr="00ED4E1A">
              <w:rPr>
                <w:rFonts w:ascii="Calibri" w:eastAsia="Times New Roman" w:hAnsi="Calibri" w:cs="Calibri"/>
                <w:i/>
                <w:iCs/>
                <w:color w:val="000000"/>
                <w:sz w:val="22"/>
              </w:rPr>
              <w:t>CSL exposure*</w:t>
            </w:r>
            <w:proofErr w:type="spellStart"/>
            <w:r w:rsidRPr="00ED4E1A">
              <w:rPr>
                <w:rFonts w:ascii="Calibri" w:eastAsia="Times New Roman" w:hAnsi="Calibri" w:cs="Calibri"/>
                <w:i/>
                <w:iCs/>
                <w:color w:val="000000"/>
                <w:sz w:val="22"/>
              </w:rPr>
              <w:t>avgIne</w:t>
            </w:r>
            <w:proofErr w:type="spellEnd"/>
          </w:p>
        </w:tc>
        <w:tc>
          <w:tcPr>
            <w:tcW w:w="1593" w:type="dxa"/>
            <w:tcBorders>
              <w:top w:val="nil"/>
              <w:left w:val="nil"/>
              <w:bottom w:val="nil"/>
              <w:right w:val="nil"/>
            </w:tcBorders>
            <w:shd w:val="clear" w:color="auto" w:fill="auto"/>
            <w:noWrap/>
            <w:vAlign w:val="center"/>
            <w:hideMark/>
          </w:tcPr>
          <w:p w14:paraId="3D39FE4F"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 xml:space="preserve"> -0.121** </w:t>
            </w:r>
          </w:p>
        </w:tc>
        <w:tc>
          <w:tcPr>
            <w:tcW w:w="1516" w:type="dxa"/>
            <w:tcBorders>
              <w:top w:val="nil"/>
              <w:left w:val="nil"/>
              <w:bottom w:val="nil"/>
              <w:right w:val="nil"/>
            </w:tcBorders>
            <w:shd w:val="clear" w:color="auto" w:fill="auto"/>
            <w:noWrap/>
            <w:vAlign w:val="center"/>
            <w:hideMark/>
          </w:tcPr>
          <w:p w14:paraId="74DDFFAD"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 xml:space="preserve">-0.265*** </w:t>
            </w:r>
          </w:p>
        </w:tc>
        <w:tc>
          <w:tcPr>
            <w:tcW w:w="1516" w:type="dxa"/>
            <w:tcBorders>
              <w:top w:val="nil"/>
              <w:left w:val="nil"/>
              <w:bottom w:val="nil"/>
              <w:right w:val="nil"/>
            </w:tcBorders>
            <w:shd w:val="clear" w:color="auto" w:fill="auto"/>
            <w:noWrap/>
            <w:vAlign w:val="center"/>
            <w:hideMark/>
          </w:tcPr>
          <w:p w14:paraId="03A68E08"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-0.425***</w:t>
            </w:r>
          </w:p>
        </w:tc>
        <w:tc>
          <w:tcPr>
            <w:tcW w:w="1516" w:type="dxa"/>
            <w:tcBorders>
              <w:top w:val="nil"/>
              <w:left w:val="nil"/>
              <w:bottom w:val="nil"/>
              <w:right w:val="nil"/>
            </w:tcBorders>
            <w:shd w:val="clear" w:color="auto" w:fill="auto"/>
            <w:noWrap/>
            <w:vAlign w:val="center"/>
            <w:hideMark/>
          </w:tcPr>
          <w:p w14:paraId="27A377E3"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-0.464***</w:t>
            </w:r>
          </w:p>
        </w:tc>
      </w:tr>
      <w:tr w:rsidR="00ED4E1A" w:rsidRPr="00ED4E1A" w14:paraId="590F180F" w14:textId="77777777" w:rsidTr="00ED4E1A">
        <w:trPr>
          <w:trHeight w:val="242"/>
        </w:trPr>
        <w:tc>
          <w:tcPr>
            <w:tcW w:w="2984" w:type="dxa"/>
            <w:tcBorders>
              <w:top w:val="nil"/>
              <w:left w:val="nil"/>
              <w:bottom w:val="nil"/>
              <w:right w:val="nil"/>
            </w:tcBorders>
            <w:shd w:val="clear" w:color="auto" w:fill="auto"/>
            <w:vAlign w:val="center"/>
            <w:hideMark/>
          </w:tcPr>
          <w:p w14:paraId="06A2BE62" w14:textId="77777777" w:rsidR="00ED4E1A" w:rsidRPr="00ED4E1A" w:rsidRDefault="00ED4E1A" w:rsidP="00ED4E1A">
            <w:pPr>
              <w:spacing w:after="0" w:line="240" w:lineRule="auto"/>
              <w:jc w:val="center"/>
              <w:rPr>
                <w:rFonts w:ascii="Calibri" w:eastAsia="Times New Roman" w:hAnsi="Calibri" w:cs="Calibri"/>
                <w:color w:val="000000"/>
                <w:sz w:val="22"/>
              </w:rPr>
            </w:pPr>
          </w:p>
        </w:tc>
        <w:tc>
          <w:tcPr>
            <w:tcW w:w="1593" w:type="dxa"/>
            <w:tcBorders>
              <w:top w:val="nil"/>
              <w:left w:val="nil"/>
              <w:bottom w:val="nil"/>
              <w:right w:val="nil"/>
            </w:tcBorders>
            <w:shd w:val="clear" w:color="auto" w:fill="auto"/>
            <w:noWrap/>
            <w:vAlign w:val="center"/>
            <w:hideMark/>
          </w:tcPr>
          <w:p w14:paraId="2C6E6D5A"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 xml:space="preserve">(0.0497)  </w:t>
            </w:r>
          </w:p>
        </w:tc>
        <w:tc>
          <w:tcPr>
            <w:tcW w:w="1516" w:type="dxa"/>
            <w:tcBorders>
              <w:top w:val="nil"/>
              <w:left w:val="nil"/>
              <w:bottom w:val="nil"/>
              <w:right w:val="nil"/>
            </w:tcBorders>
            <w:shd w:val="clear" w:color="auto" w:fill="auto"/>
            <w:noWrap/>
            <w:vAlign w:val="center"/>
            <w:hideMark/>
          </w:tcPr>
          <w:p w14:paraId="2365CE91"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 xml:space="preserve">(0.0510)  </w:t>
            </w:r>
          </w:p>
        </w:tc>
        <w:tc>
          <w:tcPr>
            <w:tcW w:w="1516" w:type="dxa"/>
            <w:tcBorders>
              <w:top w:val="nil"/>
              <w:left w:val="nil"/>
              <w:bottom w:val="nil"/>
              <w:right w:val="nil"/>
            </w:tcBorders>
            <w:shd w:val="clear" w:color="auto" w:fill="auto"/>
            <w:noWrap/>
            <w:vAlign w:val="center"/>
            <w:hideMark/>
          </w:tcPr>
          <w:p w14:paraId="13B26559"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 xml:space="preserve">(0.0945) </w:t>
            </w:r>
          </w:p>
        </w:tc>
        <w:tc>
          <w:tcPr>
            <w:tcW w:w="1516" w:type="dxa"/>
            <w:tcBorders>
              <w:top w:val="nil"/>
              <w:left w:val="nil"/>
              <w:bottom w:val="nil"/>
              <w:right w:val="nil"/>
            </w:tcBorders>
            <w:shd w:val="clear" w:color="auto" w:fill="auto"/>
            <w:noWrap/>
            <w:vAlign w:val="center"/>
            <w:hideMark/>
          </w:tcPr>
          <w:p w14:paraId="3DE6C48D"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(0.115)</w:t>
            </w:r>
          </w:p>
        </w:tc>
      </w:tr>
      <w:tr w:rsidR="00ED4E1A" w:rsidRPr="00ED4E1A" w14:paraId="4DF93164" w14:textId="77777777" w:rsidTr="00ED4E1A">
        <w:trPr>
          <w:trHeight w:val="242"/>
        </w:trPr>
        <w:tc>
          <w:tcPr>
            <w:tcW w:w="2984" w:type="dxa"/>
            <w:tcBorders>
              <w:top w:val="nil"/>
              <w:left w:val="nil"/>
              <w:bottom w:val="nil"/>
              <w:right w:val="nil"/>
            </w:tcBorders>
            <w:shd w:val="clear" w:color="auto" w:fill="auto"/>
            <w:vAlign w:val="center"/>
            <w:hideMark/>
          </w:tcPr>
          <w:p w14:paraId="331AD230" w14:textId="77777777" w:rsidR="00ED4E1A" w:rsidRPr="00ED4E1A" w:rsidRDefault="00ED4E1A" w:rsidP="00ED4E1A">
            <w:pPr>
              <w:spacing w:after="0" w:line="240" w:lineRule="auto"/>
              <w:jc w:val="center"/>
              <w:rPr>
                <w:rFonts w:ascii="Calibri" w:eastAsia="Times New Roman" w:hAnsi="Calibri" w:cs="Calibri"/>
                <w:color w:val="000000"/>
                <w:sz w:val="22"/>
              </w:rPr>
            </w:pPr>
          </w:p>
        </w:tc>
        <w:tc>
          <w:tcPr>
            <w:tcW w:w="1593" w:type="dxa"/>
            <w:tcBorders>
              <w:top w:val="nil"/>
              <w:left w:val="nil"/>
              <w:bottom w:val="nil"/>
              <w:right w:val="nil"/>
            </w:tcBorders>
            <w:shd w:val="clear" w:color="auto" w:fill="auto"/>
            <w:noWrap/>
            <w:vAlign w:val="center"/>
            <w:hideMark/>
          </w:tcPr>
          <w:p w14:paraId="26FE5401" w14:textId="77777777" w:rsidR="00ED4E1A" w:rsidRPr="00ED4E1A" w:rsidRDefault="00ED4E1A" w:rsidP="00ED4E1A">
            <w:pPr>
              <w:spacing w:after="0" w:line="240" w:lineRule="auto"/>
              <w:rPr>
                <w:rFonts w:eastAsia="Times New Roman" w:cs="Times New Roman"/>
                <w:sz w:val="20"/>
                <w:szCs w:val="20"/>
              </w:rPr>
            </w:pPr>
          </w:p>
        </w:tc>
        <w:tc>
          <w:tcPr>
            <w:tcW w:w="1516" w:type="dxa"/>
            <w:tcBorders>
              <w:top w:val="nil"/>
              <w:left w:val="nil"/>
              <w:bottom w:val="nil"/>
              <w:right w:val="nil"/>
            </w:tcBorders>
            <w:shd w:val="clear" w:color="auto" w:fill="auto"/>
            <w:noWrap/>
            <w:vAlign w:val="center"/>
            <w:hideMark/>
          </w:tcPr>
          <w:p w14:paraId="05E978AB" w14:textId="77777777" w:rsidR="00ED4E1A" w:rsidRPr="00ED4E1A" w:rsidRDefault="00ED4E1A" w:rsidP="00ED4E1A">
            <w:pPr>
              <w:spacing w:after="0" w:line="240" w:lineRule="auto"/>
              <w:jc w:val="center"/>
              <w:rPr>
                <w:rFonts w:eastAsia="Times New Roman" w:cs="Times New Roman"/>
                <w:sz w:val="20"/>
                <w:szCs w:val="20"/>
              </w:rPr>
            </w:pPr>
          </w:p>
        </w:tc>
        <w:tc>
          <w:tcPr>
            <w:tcW w:w="1516" w:type="dxa"/>
            <w:tcBorders>
              <w:top w:val="nil"/>
              <w:left w:val="nil"/>
              <w:bottom w:val="nil"/>
              <w:right w:val="nil"/>
            </w:tcBorders>
            <w:shd w:val="clear" w:color="auto" w:fill="auto"/>
            <w:noWrap/>
            <w:vAlign w:val="center"/>
            <w:hideMark/>
          </w:tcPr>
          <w:p w14:paraId="68C6E47A" w14:textId="77777777" w:rsidR="00ED4E1A" w:rsidRPr="00ED4E1A" w:rsidRDefault="00ED4E1A" w:rsidP="00ED4E1A">
            <w:pPr>
              <w:spacing w:after="0" w:line="240" w:lineRule="auto"/>
              <w:jc w:val="center"/>
              <w:rPr>
                <w:rFonts w:eastAsia="Times New Roman" w:cs="Times New Roman"/>
                <w:sz w:val="20"/>
                <w:szCs w:val="20"/>
              </w:rPr>
            </w:pPr>
          </w:p>
        </w:tc>
        <w:tc>
          <w:tcPr>
            <w:tcW w:w="1516" w:type="dxa"/>
            <w:tcBorders>
              <w:top w:val="nil"/>
              <w:left w:val="nil"/>
              <w:bottom w:val="nil"/>
              <w:right w:val="nil"/>
            </w:tcBorders>
            <w:shd w:val="clear" w:color="auto" w:fill="auto"/>
            <w:noWrap/>
            <w:vAlign w:val="center"/>
            <w:hideMark/>
          </w:tcPr>
          <w:p w14:paraId="31380A8B" w14:textId="77777777" w:rsidR="00ED4E1A" w:rsidRPr="00ED4E1A" w:rsidRDefault="00ED4E1A" w:rsidP="00ED4E1A">
            <w:pPr>
              <w:spacing w:after="0" w:line="240" w:lineRule="auto"/>
              <w:jc w:val="center"/>
              <w:rPr>
                <w:rFonts w:eastAsia="Times New Roman" w:cs="Times New Roman"/>
                <w:sz w:val="20"/>
                <w:szCs w:val="20"/>
              </w:rPr>
            </w:pPr>
          </w:p>
        </w:tc>
      </w:tr>
      <w:tr w:rsidR="00ED4E1A" w:rsidRPr="00ED4E1A" w14:paraId="0EA5C0DB" w14:textId="77777777" w:rsidTr="00ED4E1A">
        <w:trPr>
          <w:trHeight w:val="242"/>
        </w:trPr>
        <w:tc>
          <w:tcPr>
            <w:tcW w:w="2984" w:type="dxa"/>
            <w:tcBorders>
              <w:top w:val="nil"/>
              <w:left w:val="nil"/>
              <w:bottom w:val="nil"/>
              <w:right w:val="nil"/>
            </w:tcBorders>
            <w:shd w:val="clear" w:color="auto" w:fill="auto"/>
            <w:vAlign w:val="center"/>
            <w:hideMark/>
          </w:tcPr>
          <w:p w14:paraId="6BE89A53" w14:textId="77777777" w:rsidR="00ED4E1A" w:rsidRPr="00ED4E1A" w:rsidRDefault="00ED4E1A" w:rsidP="00ED4E1A">
            <w:pPr>
              <w:spacing w:after="0" w:line="240" w:lineRule="auto"/>
              <w:rPr>
                <w:rFonts w:ascii="Calibri" w:eastAsia="Times New Roman" w:hAnsi="Calibri" w:cs="Calibri"/>
                <w:color w:val="000000"/>
                <w:sz w:val="22"/>
              </w:rPr>
            </w:pPr>
            <w:r w:rsidRPr="00ED4E1A">
              <w:rPr>
                <w:rFonts w:ascii="Calibri" w:eastAsia="Times New Roman" w:hAnsi="Calibri" w:cs="Calibri"/>
                <w:color w:val="000000"/>
                <w:sz w:val="22"/>
              </w:rPr>
              <w:t>Observation</w:t>
            </w:r>
          </w:p>
        </w:tc>
        <w:tc>
          <w:tcPr>
            <w:tcW w:w="1593" w:type="dxa"/>
            <w:tcBorders>
              <w:top w:val="nil"/>
              <w:left w:val="nil"/>
              <w:bottom w:val="nil"/>
              <w:right w:val="nil"/>
            </w:tcBorders>
            <w:shd w:val="clear" w:color="auto" w:fill="auto"/>
            <w:noWrap/>
            <w:vAlign w:val="center"/>
            <w:hideMark/>
          </w:tcPr>
          <w:p w14:paraId="5575498D"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4942</w:t>
            </w:r>
          </w:p>
        </w:tc>
        <w:tc>
          <w:tcPr>
            <w:tcW w:w="1516" w:type="dxa"/>
            <w:tcBorders>
              <w:top w:val="nil"/>
              <w:left w:val="nil"/>
              <w:bottom w:val="nil"/>
              <w:right w:val="nil"/>
            </w:tcBorders>
            <w:shd w:val="clear" w:color="auto" w:fill="auto"/>
            <w:noWrap/>
            <w:vAlign w:val="center"/>
            <w:hideMark/>
          </w:tcPr>
          <w:p w14:paraId="0F93998A"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5547</w:t>
            </w:r>
          </w:p>
        </w:tc>
        <w:tc>
          <w:tcPr>
            <w:tcW w:w="1516" w:type="dxa"/>
            <w:tcBorders>
              <w:top w:val="nil"/>
              <w:left w:val="nil"/>
              <w:bottom w:val="nil"/>
              <w:right w:val="nil"/>
            </w:tcBorders>
            <w:shd w:val="clear" w:color="auto" w:fill="auto"/>
            <w:noWrap/>
            <w:vAlign w:val="center"/>
            <w:hideMark/>
          </w:tcPr>
          <w:p w14:paraId="2C760B84"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3603</w:t>
            </w:r>
          </w:p>
        </w:tc>
        <w:tc>
          <w:tcPr>
            <w:tcW w:w="1516" w:type="dxa"/>
            <w:tcBorders>
              <w:top w:val="nil"/>
              <w:left w:val="nil"/>
              <w:bottom w:val="nil"/>
              <w:right w:val="nil"/>
            </w:tcBorders>
            <w:shd w:val="clear" w:color="auto" w:fill="auto"/>
            <w:noWrap/>
            <w:vAlign w:val="center"/>
            <w:hideMark/>
          </w:tcPr>
          <w:p w14:paraId="47A48C43"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 xml:space="preserve">6886 </w:t>
            </w:r>
          </w:p>
        </w:tc>
      </w:tr>
      <w:tr w:rsidR="00ED4E1A" w:rsidRPr="00ED4E1A" w14:paraId="19C8EE35" w14:textId="77777777" w:rsidTr="00ED4E1A">
        <w:trPr>
          <w:trHeight w:val="242"/>
        </w:trPr>
        <w:tc>
          <w:tcPr>
            <w:tcW w:w="2984" w:type="dxa"/>
            <w:tcBorders>
              <w:top w:val="nil"/>
              <w:left w:val="nil"/>
              <w:bottom w:val="nil"/>
              <w:right w:val="nil"/>
            </w:tcBorders>
            <w:shd w:val="clear" w:color="auto" w:fill="auto"/>
            <w:vAlign w:val="center"/>
            <w:hideMark/>
          </w:tcPr>
          <w:p w14:paraId="07E45539" w14:textId="77777777" w:rsidR="00ED4E1A" w:rsidRPr="00ED4E1A" w:rsidRDefault="00ED4E1A" w:rsidP="00ED4E1A">
            <w:pPr>
              <w:spacing w:after="0" w:line="240" w:lineRule="auto"/>
              <w:rPr>
                <w:rFonts w:ascii="Calibri" w:eastAsia="Times New Roman" w:hAnsi="Calibri" w:cs="Calibri"/>
                <w:color w:val="000000"/>
                <w:sz w:val="22"/>
              </w:rPr>
            </w:pPr>
            <w:r w:rsidRPr="00ED4E1A">
              <w:rPr>
                <w:rFonts w:ascii="Calibri" w:eastAsia="Times New Roman" w:hAnsi="Calibri" w:cs="Calibri"/>
                <w:color w:val="000000"/>
                <w:sz w:val="22"/>
              </w:rPr>
              <w:t>Adj. R-squared</w:t>
            </w:r>
          </w:p>
        </w:tc>
        <w:tc>
          <w:tcPr>
            <w:tcW w:w="1593" w:type="dxa"/>
            <w:tcBorders>
              <w:top w:val="nil"/>
              <w:left w:val="nil"/>
              <w:bottom w:val="nil"/>
              <w:right w:val="nil"/>
            </w:tcBorders>
            <w:shd w:val="clear" w:color="auto" w:fill="auto"/>
            <w:noWrap/>
            <w:vAlign w:val="center"/>
            <w:hideMark/>
          </w:tcPr>
          <w:p w14:paraId="5DA62001"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0.289</w:t>
            </w:r>
          </w:p>
        </w:tc>
        <w:tc>
          <w:tcPr>
            <w:tcW w:w="1516" w:type="dxa"/>
            <w:tcBorders>
              <w:top w:val="nil"/>
              <w:left w:val="nil"/>
              <w:bottom w:val="nil"/>
              <w:right w:val="nil"/>
            </w:tcBorders>
            <w:shd w:val="clear" w:color="auto" w:fill="auto"/>
            <w:noWrap/>
            <w:vAlign w:val="center"/>
            <w:hideMark/>
          </w:tcPr>
          <w:p w14:paraId="4926BE53"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0.374</w:t>
            </w:r>
          </w:p>
        </w:tc>
        <w:tc>
          <w:tcPr>
            <w:tcW w:w="1516" w:type="dxa"/>
            <w:tcBorders>
              <w:top w:val="nil"/>
              <w:left w:val="nil"/>
              <w:bottom w:val="nil"/>
              <w:right w:val="nil"/>
            </w:tcBorders>
            <w:shd w:val="clear" w:color="auto" w:fill="auto"/>
            <w:noWrap/>
            <w:vAlign w:val="center"/>
            <w:hideMark/>
          </w:tcPr>
          <w:p w14:paraId="6E604892"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0.229</w:t>
            </w:r>
          </w:p>
        </w:tc>
        <w:tc>
          <w:tcPr>
            <w:tcW w:w="1516" w:type="dxa"/>
            <w:tcBorders>
              <w:top w:val="nil"/>
              <w:left w:val="nil"/>
              <w:bottom w:val="nil"/>
              <w:right w:val="nil"/>
            </w:tcBorders>
            <w:shd w:val="clear" w:color="auto" w:fill="auto"/>
            <w:noWrap/>
            <w:vAlign w:val="center"/>
            <w:hideMark/>
          </w:tcPr>
          <w:p w14:paraId="7ECD01BF"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0.233</w:t>
            </w:r>
          </w:p>
        </w:tc>
      </w:tr>
      <w:tr w:rsidR="00ED4E1A" w:rsidRPr="00ED4E1A" w14:paraId="04F7883F" w14:textId="77777777" w:rsidTr="00ED4E1A">
        <w:trPr>
          <w:trHeight w:val="242"/>
        </w:trPr>
        <w:tc>
          <w:tcPr>
            <w:tcW w:w="2984" w:type="dxa"/>
            <w:tcBorders>
              <w:top w:val="nil"/>
              <w:left w:val="nil"/>
              <w:bottom w:val="nil"/>
              <w:right w:val="nil"/>
            </w:tcBorders>
            <w:shd w:val="clear" w:color="auto" w:fill="auto"/>
            <w:vAlign w:val="center"/>
            <w:hideMark/>
          </w:tcPr>
          <w:p w14:paraId="4C67176F" w14:textId="77777777" w:rsidR="00ED4E1A" w:rsidRPr="00ED4E1A" w:rsidRDefault="00ED4E1A" w:rsidP="00ED4E1A">
            <w:pPr>
              <w:spacing w:after="0" w:line="240" w:lineRule="auto"/>
              <w:jc w:val="center"/>
              <w:rPr>
                <w:rFonts w:ascii="Calibri" w:eastAsia="Times New Roman" w:hAnsi="Calibri" w:cs="Calibri"/>
                <w:color w:val="000000"/>
                <w:sz w:val="22"/>
              </w:rPr>
            </w:pPr>
          </w:p>
        </w:tc>
        <w:tc>
          <w:tcPr>
            <w:tcW w:w="1593" w:type="dxa"/>
            <w:tcBorders>
              <w:top w:val="nil"/>
              <w:left w:val="nil"/>
              <w:bottom w:val="nil"/>
              <w:right w:val="nil"/>
            </w:tcBorders>
            <w:shd w:val="clear" w:color="auto" w:fill="auto"/>
            <w:noWrap/>
            <w:vAlign w:val="center"/>
            <w:hideMark/>
          </w:tcPr>
          <w:p w14:paraId="29FACF4C" w14:textId="77777777" w:rsidR="00ED4E1A" w:rsidRPr="00ED4E1A" w:rsidRDefault="00ED4E1A" w:rsidP="00ED4E1A">
            <w:pPr>
              <w:spacing w:after="0" w:line="240" w:lineRule="auto"/>
              <w:rPr>
                <w:rFonts w:eastAsia="Times New Roman" w:cs="Times New Roman"/>
                <w:sz w:val="20"/>
                <w:szCs w:val="20"/>
              </w:rPr>
            </w:pPr>
          </w:p>
        </w:tc>
        <w:tc>
          <w:tcPr>
            <w:tcW w:w="1516" w:type="dxa"/>
            <w:tcBorders>
              <w:top w:val="nil"/>
              <w:left w:val="nil"/>
              <w:bottom w:val="nil"/>
              <w:right w:val="nil"/>
            </w:tcBorders>
            <w:shd w:val="clear" w:color="auto" w:fill="auto"/>
            <w:noWrap/>
            <w:vAlign w:val="center"/>
            <w:hideMark/>
          </w:tcPr>
          <w:p w14:paraId="15EF6583" w14:textId="77777777" w:rsidR="00ED4E1A" w:rsidRPr="00ED4E1A" w:rsidRDefault="00ED4E1A" w:rsidP="00ED4E1A">
            <w:pPr>
              <w:spacing w:after="0" w:line="240" w:lineRule="auto"/>
              <w:jc w:val="center"/>
              <w:rPr>
                <w:rFonts w:eastAsia="Times New Roman" w:cs="Times New Roman"/>
                <w:sz w:val="20"/>
                <w:szCs w:val="20"/>
              </w:rPr>
            </w:pPr>
          </w:p>
        </w:tc>
        <w:tc>
          <w:tcPr>
            <w:tcW w:w="1516" w:type="dxa"/>
            <w:tcBorders>
              <w:top w:val="nil"/>
              <w:left w:val="nil"/>
              <w:bottom w:val="nil"/>
              <w:right w:val="nil"/>
            </w:tcBorders>
            <w:shd w:val="clear" w:color="auto" w:fill="auto"/>
            <w:noWrap/>
            <w:vAlign w:val="center"/>
            <w:hideMark/>
          </w:tcPr>
          <w:p w14:paraId="1C161055" w14:textId="77777777" w:rsidR="00ED4E1A" w:rsidRPr="00ED4E1A" w:rsidRDefault="00ED4E1A" w:rsidP="00ED4E1A">
            <w:pPr>
              <w:spacing w:after="0" w:line="240" w:lineRule="auto"/>
              <w:jc w:val="center"/>
              <w:rPr>
                <w:rFonts w:eastAsia="Times New Roman" w:cs="Times New Roman"/>
                <w:sz w:val="20"/>
                <w:szCs w:val="20"/>
              </w:rPr>
            </w:pPr>
          </w:p>
        </w:tc>
        <w:tc>
          <w:tcPr>
            <w:tcW w:w="1516" w:type="dxa"/>
            <w:tcBorders>
              <w:top w:val="nil"/>
              <w:left w:val="nil"/>
              <w:bottom w:val="nil"/>
              <w:right w:val="nil"/>
            </w:tcBorders>
            <w:shd w:val="clear" w:color="auto" w:fill="auto"/>
            <w:noWrap/>
            <w:vAlign w:val="center"/>
            <w:hideMark/>
          </w:tcPr>
          <w:p w14:paraId="157D5A22" w14:textId="77777777" w:rsidR="00ED4E1A" w:rsidRPr="00ED4E1A" w:rsidRDefault="00ED4E1A" w:rsidP="00ED4E1A">
            <w:pPr>
              <w:spacing w:after="0" w:line="240" w:lineRule="auto"/>
              <w:jc w:val="center"/>
              <w:rPr>
                <w:rFonts w:eastAsia="Times New Roman" w:cs="Times New Roman"/>
                <w:sz w:val="20"/>
                <w:szCs w:val="20"/>
              </w:rPr>
            </w:pPr>
          </w:p>
        </w:tc>
      </w:tr>
      <w:tr w:rsidR="00ED4E1A" w:rsidRPr="00ED4E1A" w14:paraId="61A2E76B" w14:textId="77777777" w:rsidTr="00ED4E1A">
        <w:trPr>
          <w:trHeight w:val="242"/>
        </w:trPr>
        <w:tc>
          <w:tcPr>
            <w:tcW w:w="2984" w:type="dxa"/>
            <w:tcBorders>
              <w:top w:val="nil"/>
              <w:left w:val="nil"/>
              <w:bottom w:val="nil"/>
              <w:right w:val="nil"/>
            </w:tcBorders>
            <w:shd w:val="clear" w:color="auto" w:fill="auto"/>
            <w:vAlign w:val="center"/>
            <w:hideMark/>
          </w:tcPr>
          <w:p w14:paraId="27328DB7" w14:textId="77777777" w:rsidR="00ED4E1A" w:rsidRPr="00ED4E1A" w:rsidRDefault="00ED4E1A" w:rsidP="00ED4E1A">
            <w:pPr>
              <w:spacing w:after="0" w:line="240" w:lineRule="auto"/>
              <w:rPr>
                <w:rFonts w:ascii="Calibri" w:eastAsia="Times New Roman" w:hAnsi="Calibri" w:cs="Calibri"/>
                <w:color w:val="000000"/>
                <w:sz w:val="22"/>
              </w:rPr>
            </w:pPr>
            <w:r w:rsidRPr="00ED4E1A">
              <w:rPr>
                <w:rFonts w:ascii="Calibri" w:eastAsia="Times New Roman" w:hAnsi="Calibri" w:cs="Calibri"/>
                <w:color w:val="000000"/>
                <w:sz w:val="22"/>
              </w:rPr>
              <w:t>F statistics for IV</w:t>
            </w:r>
          </w:p>
        </w:tc>
        <w:tc>
          <w:tcPr>
            <w:tcW w:w="1593" w:type="dxa"/>
            <w:tcBorders>
              <w:top w:val="nil"/>
              <w:left w:val="nil"/>
              <w:bottom w:val="nil"/>
              <w:right w:val="nil"/>
            </w:tcBorders>
            <w:shd w:val="clear" w:color="auto" w:fill="auto"/>
            <w:noWrap/>
            <w:vAlign w:val="center"/>
            <w:hideMark/>
          </w:tcPr>
          <w:p w14:paraId="59735B21"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3.23</w:t>
            </w:r>
          </w:p>
        </w:tc>
        <w:tc>
          <w:tcPr>
            <w:tcW w:w="1516" w:type="dxa"/>
            <w:tcBorders>
              <w:top w:val="nil"/>
              <w:left w:val="nil"/>
              <w:bottom w:val="nil"/>
              <w:right w:val="nil"/>
            </w:tcBorders>
            <w:shd w:val="clear" w:color="auto" w:fill="auto"/>
            <w:noWrap/>
            <w:vAlign w:val="center"/>
            <w:hideMark/>
          </w:tcPr>
          <w:p w14:paraId="397BDCED"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16.50</w:t>
            </w:r>
          </w:p>
        </w:tc>
        <w:tc>
          <w:tcPr>
            <w:tcW w:w="1516" w:type="dxa"/>
            <w:tcBorders>
              <w:top w:val="nil"/>
              <w:left w:val="nil"/>
              <w:bottom w:val="nil"/>
              <w:right w:val="nil"/>
            </w:tcBorders>
            <w:shd w:val="clear" w:color="auto" w:fill="auto"/>
            <w:noWrap/>
            <w:vAlign w:val="center"/>
            <w:hideMark/>
          </w:tcPr>
          <w:p w14:paraId="5FD74511"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10.77</w:t>
            </w:r>
          </w:p>
        </w:tc>
        <w:tc>
          <w:tcPr>
            <w:tcW w:w="1516" w:type="dxa"/>
            <w:tcBorders>
              <w:top w:val="nil"/>
              <w:left w:val="nil"/>
              <w:bottom w:val="nil"/>
              <w:right w:val="nil"/>
            </w:tcBorders>
            <w:shd w:val="clear" w:color="auto" w:fill="auto"/>
            <w:noWrap/>
            <w:vAlign w:val="center"/>
            <w:hideMark/>
          </w:tcPr>
          <w:p w14:paraId="60817644"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13.95</w:t>
            </w:r>
          </w:p>
        </w:tc>
      </w:tr>
      <w:tr w:rsidR="00ED4E1A" w:rsidRPr="00ED4E1A" w14:paraId="6FAC76F7" w14:textId="77777777" w:rsidTr="00ED4E1A">
        <w:trPr>
          <w:trHeight w:val="252"/>
        </w:trPr>
        <w:tc>
          <w:tcPr>
            <w:tcW w:w="2984" w:type="dxa"/>
            <w:tcBorders>
              <w:top w:val="nil"/>
              <w:left w:val="nil"/>
              <w:bottom w:val="double" w:sz="6" w:space="0" w:color="auto"/>
              <w:right w:val="nil"/>
            </w:tcBorders>
            <w:shd w:val="clear" w:color="auto" w:fill="auto"/>
            <w:vAlign w:val="center"/>
            <w:hideMark/>
          </w:tcPr>
          <w:p w14:paraId="4194D01C" w14:textId="77777777" w:rsidR="00ED4E1A" w:rsidRPr="00ED4E1A" w:rsidRDefault="00ED4E1A" w:rsidP="00ED4E1A">
            <w:pPr>
              <w:spacing w:after="0" w:line="240" w:lineRule="auto"/>
              <w:rPr>
                <w:rFonts w:ascii="Calibri" w:eastAsia="Times New Roman" w:hAnsi="Calibri" w:cs="Calibri"/>
                <w:color w:val="000000"/>
                <w:sz w:val="22"/>
              </w:rPr>
            </w:pPr>
            <w:r w:rsidRPr="00ED4E1A">
              <w:rPr>
                <w:rFonts w:ascii="Calibri" w:eastAsia="Times New Roman" w:hAnsi="Calibri" w:cs="Calibri"/>
                <w:color w:val="000000"/>
                <w:sz w:val="22"/>
              </w:rPr>
              <w:t>P-value for IV F tests</w:t>
            </w:r>
          </w:p>
        </w:tc>
        <w:tc>
          <w:tcPr>
            <w:tcW w:w="1593" w:type="dxa"/>
            <w:tcBorders>
              <w:top w:val="nil"/>
              <w:left w:val="nil"/>
              <w:bottom w:val="double" w:sz="6" w:space="0" w:color="auto"/>
              <w:right w:val="nil"/>
            </w:tcBorders>
            <w:shd w:val="clear" w:color="auto" w:fill="auto"/>
            <w:noWrap/>
            <w:vAlign w:val="center"/>
            <w:hideMark/>
          </w:tcPr>
          <w:p w14:paraId="05008CA8"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0.034</w:t>
            </w:r>
          </w:p>
        </w:tc>
        <w:tc>
          <w:tcPr>
            <w:tcW w:w="1516" w:type="dxa"/>
            <w:tcBorders>
              <w:top w:val="nil"/>
              <w:left w:val="nil"/>
              <w:bottom w:val="double" w:sz="6" w:space="0" w:color="auto"/>
              <w:right w:val="nil"/>
            </w:tcBorders>
            <w:shd w:val="clear" w:color="auto" w:fill="auto"/>
            <w:noWrap/>
            <w:vAlign w:val="center"/>
            <w:hideMark/>
          </w:tcPr>
          <w:p w14:paraId="0120AB47"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0.000</w:t>
            </w:r>
          </w:p>
        </w:tc>
        <w:tc>
          <w:tcPr>
            <w:tcW w:w="1516" w:type="dxa"/>
            <w:tcBorders>
              <w:top w:val="nil"/>
              <w:left w:val="nil"/>
              <w:bottom w:val="double" w:sz="6" w:space="0" w:color="auto"/>
              <w:right w:val="nil"/>
            </w:tcBorders>
            <w:shd w:val="clear" w:color="auto" w:fill="auto"/>
            <w:noWrap/>
            <w:vAlign w:val="center"/>
            <w:hideMark/>
          </w:tcPr>
          <w:p w14:paraId="5D5776A4"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0.000</w:t>
            </w:r>
          </w:p>
        </w:tc>
        <w:tc>
          <w:tcPr>
            <w:tcW w:w="1516" w:type="dxa"/>
            <w:tcBorders>
              <w:top w:val="nil"/>
              <w:left w:val="nil"/>
              <w:bottom w:val="double" w:sz="6" w:space="0" w:color="auto"/>
              <w:right w:val="nil"/>
            </w:tcBorders>
            <w:shd w:val="clear" w:color="auto" w:fill="auto"/>
            <w:noWrap/>
            <w:vAlign w:val="center"/>
            <w:hideMark/>
          </w:tcPr>
          <w:p w14:paraId="7F6F6617" w14:textId="77777777" w:rsidR="00ED4E1A" w:rsidRPr="00ED4E1A" w:rsidRDefault="00ED4E1A" w:rsidP="00ED4E1A">
            <w:pPr>
              <w:spacing w:after="0" w:line="240" w:lineRule="auto"/>
              <w:jc w:val="center"/>
              <w:rPr>
                <w:rFonts w:ascii="Calibri" w:eastAsia="Times New Roman" w:hAnsi="Calibri" w:cs="Calibri"/>
                <w:color w:val="000000"/>
                <w:sz w:val="22"/>
              </w:rPr>
            </w:pPr>
            <w:r w:rsidRPr="00ED4E1A">
              <w:rPr>
                <w:rFonts w:ascii="Calibri" w:eastAsia="Times New Roman" w:hAnsi="Calibri" w:cs="Calibri"/>
                <w:color w:val="000000"/>
                <w:sz w:val="22"/>
              </w:rPr>
              <w:t>0.000</w:t>
            </w:r>
          </w:p>
        </w:tc>
      </w:tr>
    </w:tbl>
    <w:p w14:paraId="308524C9" w14:textId="11480D6C" w:rsidR="004C49E8" w:rsidRDefault="00FF01AE" w:rsidP="0043725D">
      <w:r w:rsidRPr="00F005DC">
        <w:rPr>
          <w:i/>
          <w:iCs/>
        </w:rPr>
        <w:t>Notes</w:t>
      </w:r>
      <w:r>
        <w:t>: All columns control for all demographic characteristics</w:t>
      </w:r>
      <w:r w:rsidR="004C49E8">
        <w:t xml:space="preserve"> and all fixed effects</w:t>
      </w:r>
      <w:r>
        <w:t xml:space="preserve">. </w:t>
      </w:r>
    </w:p>
    <w:p w14:paraId="41F4B658" w14:textId="05733A02" w:rsidR="0025090F" w:rsidRDefault="00C813A9" w:rsidP="0043725D">
      <w:r>
        <w:t xml:space="preserve">***p&lt;0.01, **p&lt;0.05. *p&lt;0.1. </w:t>
      </w:r>
    </w:p>
    <w:p w14:paraId="08EE4A46" w14:textId="77777777" w:rsidR="004C49E8" w:rsidRPr="00C813A9" w:rsidRDefault="004C49E8" w:rsidP="003F1164">
      <w:pPr>
        <w:spacing w:line="360" w:lineRule="auto"/>
        <w:ind w:firstLine="567"/>
        <w:rPr>
          <w:rFonts w:cs="Times New Roman"/>
          <w:szCs w:val="24"/>
          <w:lang w:val="en-US"/>
        </w:rPr>
      </w:pPr>
    </w:p>
    <w:p w14:paraId="0C363BDE" w14:textId="5008D966" w:rsidR="0025090F" w:rsidRDefault="003F1164" w:rsidP="004A6FA2">
      <w:pPr>
        <w:spacing w:line="360" w:lineRule="auto"/>
        <w:ind w:firstLine="567"/>
        <w:jc w:val="both"/>
        <w:rPr>
          <w:rFonts w:asciiTheme="majorHAnsi" w:eastAsiaTheme="majorEastAsia" w:hAnsiTheme="majorHAnsi" w:cstheme="majorBidi"/>
          <w:color w:val="2F5496" w:themeColor="accent1" w:themeShade="BF"/>
          <w:sz w:val="32"/>
          <w:szCs w:val="32"/>
        </w:rPr>
      </w:pPr>
      <w:bookmarkStart w:id="27" w:name="_Hlk34540051"/>
      <w:r w:rsidRPr="003F1164">
        <w:t xml:space="preserve">The samples are divided by gender and areas to check the heterogeneous impact of CSL on education. Table 6 suggests that CSL has a significant impact on both male and female, and women have about two times higher effect than men, which indicates that CSL may improve gender equality, it’s consistent with the results in Huang’s (2015) paper. According to the perspective of </w:t>
      </w:r>
      <w:proofErr w:type="spellStart"/>
      <w:r w:rsidRPr="003F1164">
        <w:t>Becchio</w:t>
      </w:r>
      <w:proofErr w:type="spellEnd"/>
      <w:r w:rsidRPr="003F1164">
        <w:t xml:space="preserve"> (2019), society should not ignore women's capabilities, and women can also create the equivalent labor force, purchasing power, and productivity which have made great contributions to the entire country and society. On the other hand, columns (3) and (4) reveals that rural areas have slightly higher impacts in this case, which meets the purpose of CSL that support lower education area.</w:t>
      </w:r>
      <w:r w:rsidR="0025090F">
        <w:br w:type="page"/>
      </w:r>
    </w:p>
    <w:p w14:paraId="040E2C16" w14:textId="00AF2A98" w:rsidR="00F976CB" w:rsidRPr="002A5C39" w:rsidRDefault="008F7B1E" w:rsidP="003F1164">
      <w:pPr>
        <w:pStyle w:val="Heading2"/>
        <w:spacing w:line="360" w:lineRule="auto"/>
      </w:pPr>
      <w:bookmarkStart w:id="28" w:name="_Toc41312372"/>
      <w:r>
        <w:lastRenderedPageBreak/>
        <w:t>5</w:t>
      </w:r>
      <w:r w:rsidR="00937AA6" w:rsidRPr="002A5C39">
        <w:t>.</w:t>
      </w:r>
      <w:r>
        <w:t xml:space="preserve">2 </w:t>
      </w:r>
      <w:r w:rsidR="00937AA6" w:rsidRPr="002A5C39">
        <w:t>Impact of education on health variables</w:t>
      </w:r>
      <w:bookmarkEnd w:id="28"/>
      <w:r w:rsidR="00355636" w:rsidRPr="002A5C39">
        <w:t xml:space="preserve"> </w:t>
      </w:r>
    </w:p>
    <w:bookmarkEnd w:id="27"/>
    <w:p w14:paraId="220D6325" w14:textId="0CA10BAD" w:rsidR="00BB3239" w:rsidRDefault="00FF1ED6" w:rsidP="004A6FA2">
      <w:pPr>
        <w:spacing w:line="360" w:lineRule="auto"/>
        <w:ind w:firstLine="567"/>
        <w:jc w:val="both"/>
      </w:pPr>
      <w:r w:rsidRPr="00FF1ED6">
        <w:t>This section compares the results from OLS estimation (Panel A) and 2SLS estimation (Panel B) and explains the impact of education on health outcomes across different specifications.</w:t>
      </w:r>
      <w:r w:rsidR="00C2090A">
        <w:rPr>
          <w:szCs w:val="24"/>
          <w:highlight w:val="yellow"/>
        </w:rPr>
        <w:t xml:space="preserve"> </w:t>
      </w:r>
      <w:r w:rsidR="00F8191E" w:rsidRPr="00F8191E">
        <w:t xml:space="preserve">I also divide the subsamples of gender and area to detect that the overall sample is whether mainly driven by an individual gender or area of residence. </w:t>
      </w:r>
      <w:r w:rsidRPr="00FF1ED6">
        <w:t>For statistical inference, I will report the statistics, standard errors between parenthesis, the weak instrumental variable F tests, and p-values for the Hansen over-identification J test.</w:t>
      </w:r>
      <w:r w:rsidR="00C2090A">
        <w:t xml:space="preserve"> </w:t>
      </w:r>
      <w:r w:rsidR="00F8191E" w:rsidRPr="00F8191E">
        <w:rPr>
          <w:szCs w:val="24"/>
        </w:rPr>
        <w:t xml:space="preserve">In the Appendix, I also present the </w:t>
      </w:r>
      <w:proofErr w:type="spellStart"/>
      <w:r w:rsidR="00F8191E" w:rsidRPr="00F8191E">
        <w:rPr>
          <w:szCs w:val="24"/>
        </w:rPr>
        <w:t>probit</w:t>
      </w:r>
      <w:proofErr w:type="spellEnd"/>
      <w:r w:rsidR="00F8191E" w:rsidRPr="00F8191E">
        <w:rPr>
          <w:szCs w:val="24"/>
        </w:rPr>
        <w:t xml:space="preserve"> results, which is the appropriate way to estimate the impact on binary variables.  Since the estimates from </w:t>
      </w:r>
      <w:proofErr w:type="spellStart"/>
      <w:r w:rsidR="00F8191E" w:rsidRPr="00F8191E">
        <w:rPr>
          <w:szCs w:val="24"/>
        </w:rPr>
        <w:t>probit</w:t>
      </w:r>
      <w:proofErr w:type="spellEnd"/>
      <w:r w:rsidR="00F8191E" w:rsidRPr="00F8191E">
        <w:rPr>
          <w:szCs w:val="24"/>
        </w:rPr>
        <w:t xml:space="preserve"> and linear probability model are comparable, I will present in the main text the linear probability model estimates to maintain comparability across different outcome measures.</w:t>
      </w:r>
    </w:p>
    <w:p w14:paraId="553BD1CD" w14:textId="77777777" w:rsidR="00FF1ED6" w:rsidRPr="00A8469A" w:rsidRDefault="00FF1ED6" w:rsidP="00BB3239">
      <w:pPr>
        <w:spacing w:line="360" w:lineRule="auto"/>
        <w:ind w:firstLine="567"/>
      </w:pPr>
    </w:p>
    <w:p w14:paraId="7FA102DF" w14:textId="5B434CC5" w:rsidR="00937AA6" w:rsidRDefault="008F7B1E" w:rsidP="008F7B1E">
      <w:pPr>
        <w:pStyle w:val="Heading3"/>
        <w:spacing w:line="360" w:lineRule="auto"/>
      </w:pPr>
      <w:bookmarkStart w:id="29" w:name="_Toc41312373"/>
      <w:r>
        <w:t>5</w:t>
      </w:r>
      <w:r w:rsidR="00937AA6">
        <w:t>.</w:t>
      </w:r>
      <w:r>
        <w:t>2.1</w:t>
      </w:r>
      <w:r w:rsidR="00937AA6">
        <w:t xml:space="preserve"> Effect of education on health status</w:t>
      </w:r>
      <w:bookmarkEnd w:id="29"/>
    </w:p>
    <w:p w14:paraId="6AFD846A" w14:textId="75B15D8C" w:rsidR="00135FC1" w:rsidRPr="00135FC1" w:rsidRDefault="00135FC1" w:rsidP="008F7B1E">
      <w:r>
        <w:rPr>
          <w:rFonts w:hint="eastAsia"/>
        </w:rPr>
        <w:t>Ta</w:t>
      </w:r>
      <w:r>
        <w:t xml:space="preserve">ble </w:t>
      </w:r>
      <w:r w:rsidR="00283BCE">
        <w:t>7</w:t>
      </w:r>
      <w:r>
        <w:t xml:space="preserve">. </w:t>
      </w:r>
      <w:bookmarkStart w:id="30" w:name="_Hlk40833553"/>
      <w:r w:rsidR="00462BC5">
        <w:t xml:space="preserve">Results </w:t>
      </w:r>
      <w:r>
        <w:t>of education on health status</w:t>
      </w:r>
      <w:bookmarkEnd w:id="30"/>
    </w:p>
    <w:tbl>
      <w:tblPr>
        <w:tblW w:w="9260" w:type="dxa"/>
        <w:tblLook w:val="04A0" w:firstRow="1" w:lastRow="0" w:firstColumn="1" w:lastColumn="0" w:noHBand="0" w:noVBand="1"/>
      </w:tblPr>
      <w:tblGrid>
        <w:gridCol w:w="2260"/>
        <w:gridCol w:w="1400"/>
        <w:gridCol w:w="1420"/>
        <w:gridCol w:w="1460"/>
        <w:gridCol w:w="1360"/>
        <w:gridCol w:w="1360"/>
      </w:tblGrid>
      <w:tr w:rsidR="00585463" w:rsidRPr="00585463" w14:paraId="4B728ECC" w14:textId="77777777" w:rsidTr="00585463">
        <w:trPr>
          <w:trHeight w:val="288"/>
        </w:trPr>
        <w:tc>
          <w:tcPr>
            <w:tcW w:w="2260" w:type="dxa"/>
            <w:tcBorders>
              <w:top w:val="single" w:sz="4" w:space="0" w:color="auto"/>
              <w:left w:val="nil"/>
              <w:bottom w:val="nil"/>
              <w:right w:val="nil"/>
            </w:tcBorders>
            <w:shd w:val="clear" w:color="auto" w:fill="auto"/>
            <w:noWrap/>
            <w:vAlign w:val="bottom"/>
            <w:hideMark/>
          </w:tcPr>
          <w:p w14:paraId="378CB2CA"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 </w:t>
            </w:r>
          </w:p>
        </w:tc>
        <w:tc>
          <w:tcPr>
            <w:tcW w:w="1400" w:type="dxa"/>
            <w:tcBorders>
              <w:top w:val="single" w:sz="4" w:space="0" w:color="auto"/>
              <w:left w:val="nil"/>
              <w:bottom w:val="nil"/>
              <w:right w:val="nil"/>
            </w:tcBorders>
            <w:shd w:val="clear" w:color="auto" w:fill="auto"/>
            <w:noWrap/>
            <w:vAlign w:val="center"/>
            <w:hideMark/>
          </w:tcPr>
          <w:p w14:paraId="2BB3D2D0"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(1)</w:t>
            </w:r>
          </w:p>
        </w:tc>
        <w:tc>
          <w:tcPr>
            <w:tcW w:w="1420" w:type="dxa"/>
            <w:tcBorders>
              <w:top w:val="single" w:sz="4" w:space="0" w:color="auto"/>
              <w:left w:val="nil"/>
              <w:bottom w:val="nil"/>
              <w:right w:val="nil"/>
            </w:tcBorders>
            <w:shd w:val="clear" w:color="auto" w:fill="auto"/>
            <w:noWrap/>
            <w:vAlign w:val="center"/>
            <w:hideMark/>
          </w:tcPr>
          <w:p w14:paraId="2CAB50D4"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(2)</w:t>
            </w:r>
          </w:p>
        </w:tc>
        <w:tc>
          <w:tcPr>
            <w:tcW w:w="1460" w:type="dxa"/>
            <w:tcBorders>
              <w:top w:val="single" w:sz="4" w:space="0" w:color="auto"/>
              <w:left w:val="nil"/>
              <w:bottom w:val="nil"/>
              <w:right w:val="nil"/>
            </w:tcBorders>
            <w:shd w:val="clear" w:color="auto" w:fill="auto"/>
            <w:noWrap/>
            <w:vAlign w:val="center"/>
            <w:hideMark/>
          </w:tcPr>
          <w:p w14:paraId="434891A2"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(3)</w:t>
            </w:r>
          </w:p>
        </w:tc>
        <w:tc>
          <w:tcPr>
            <w:tcW w:w="1360" w:type="dxa"/>
            <w:tcBorders>
              <w:top w:val="single" w:sz="4" w:space="0" w:color="auto"/>
              <w:left w:val="nil"/>
              <w:bottom w:val="nil"/>
              <w:right w:val="nil"/>
            </w:tcBorders>
            <w:shd w:val="clear" w:color="auto" w:fill="auto"/>
            <w:noWrap/>
            <w:vAlign w:val="center"/>
            <w:hideMark/>
          </w:tcPr>
          <w:p w14:paraId="5207CBAB"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(4)</w:t>
            </w:r>
          </w:p>
        </w:tc>
        <w:tc>
          <w:tcPr>
            <w:tcW w:w="1360" w:type="dxa"/>
            <w:tcBorders>
              <w:top w:val="single" w:sz="4" w:space="0" w:color="auto"/>
              <w:left w:val="nil"/>
              <w:bottom w:val="nil"/>
              <w:right w:val="nil"/>
            </w:tcBorders>
            <w:shd w:val="clear" w:color="auto" w:fill="auto"/>
            <w:noWrap/>
            <w:vAlign w:val="center"/>
            <w:hideMark/>
          </w:tcPr>
          <w:p w14:paraId="101D3478"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(5)</w:t>
            </w:r>
          </w:p>
        </w:tc>
      </w:tr>
      <w:tr w:rsidR="00585463" w:rsidRPr="00585463" w14:paraId="26284F65" w14:textId="77777777" w:rsidTr="00585463">
        <w:trPr>
          <w:trHeight w:val="372"/>
        </w:trPr>
        <w:tc>
          <w:tcPr>
            <w:tcW w:w="2260" w:type="dxa"/>
            <w:vMerge w:val="restart"/>
            <w:tcBorders>
              <w:top w:val="nil"/>
              <w:left w:val="nil"/>
              <w:bottom w:val="single" w:sz="4" w:space="0" w:color="000000"/>
              <w:right w:val="nil"/>
            </w:tcBorders>
            <w:shd w:val="clear" w:color="auto" w:fill="auto"/>
            <w:noWrap/>
            <w:vAlign w:val="center"/>
            <w:hideMark/>
          </w:tcPr>
          <w:p w14:paraId="04DD1296"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Variables</w:t>
            </w:r>
          </w:p>
        </w:tc>
        <w:tc>
          <w:tcPr>
            <w:tcW w:w="7000" w:type="dxa"/>
            <w:gridSpan w:val="5"/>
            <w:tcBorders>
              <w:top w:val="nil"/>
              <w:left w:val="nil"/>
              <w:bottom w:val="single" w:sz="4" w:space="0" w:color="auto"/>
              <w:right w:val="nil"/>
            </w:tcBorders>
            <w:shd w:val="clear" w:color="auto" w:fill="auto"/>
            <w:noWrap/>
            <w:vAlign w:val="center"/>
            <w:hideMark/>
          </w:tcPr>
          <w:p w14:paraId="301EBC3D"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Self-reported Health</w:t>
            </w:r>
          </w:p>
        </w:tc>
      </w:tr>
      <w:tr w:rsidR="00585463" w:rsidRPr="00585463" w14:paraId="0D1DB93E" w14:textId="77777777" w:rsidTr="00585463">
        <w:trPr>
          <w:trHeight w:val="480"/>
        </w:trPr>
        <w:tc>
          <w:tcPr>
            <w:tcW w:w="2260" w:type="dxa"/>
            <w:vMerge/>
            <w:tcBorders>
              <w:top w:val="nil"/>
              <w:left w:val="nil"/>
              <w:bottom w:val="single" w:sz="4" w:space="0" w:color="000000"/>
              <w:right w:val="nil"/>
            </w:tcBorders>
            <w:vAlign w:val="center"/>
            <w:hideMark/>
          </w:tcPr>
          <w:p w14:paraId="737AAA5C" w14:textId="77777777" w:rsidR="00585463" w:rsidRPr="00585463" w:rsidRDefault="00585463" w:rsidP="00585463">
            <w:pPr>
              <w:spacing w:after="0" w:line="240" w:lineRule="auto"/>
              <w:rPr>
                <w:rFonts w:ascii="Calibri" w:eastAsia="Times New Roman" w:hAnsi="Calibri" w:cs="Calibri"/>
                <w:color w:val="000000"/>
                <w:sz w:val="22"/>
              </w:rPr>
            </w:pPr>
          </w:p>
        </w:tc>
        <w:tc>
          <w:tcPr>
            <w:tcW w:w="1400" w:type="dxa"/>
            <w:tcBorders>
              <w:top w:val="nil"/>
              <w:left w:val="nil"/>
              <w:bottom w:val="single" w:sz="4" w:space="0" w:color="auto"/>
              <w:right w:val="nil"/>
            </w:tcBorders>
            <w:shd w:val="clear" w:color="auto" w:fill="auto"/>
            <w:noWrap/>
            <w:vAlign w:val="center"/>
            <w:hideMark/>
          </w:tcPr>
          <w:p w14:paraId="43E66F00"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All Sample</w:t>
            </w:r>
          </w:p>
        </w:tc>
        <w:tc>
          <w:tcPr>
            <w:tcW w:w="1420" w:type="dxa"/>
            <w:tcBorders>
              <w:top w:val="nil"/>
              <w:left w:val="nil"/>
              <w:bottom w:val="single" w:sz="4" w:space="0" w:color="auto"/>
              <w:right w:val="nil"/>
            </w:tcBorders>
            <w:shd w:val="clear" w:color="auto" w:fill="auto"/>
            <w:noWrap/>
            <w:vAlign w:val="center"/>
            <w:hideMark/>
          </w:tcPr>
          <w:p w14:paraId="7A3D3C45"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Male</w:t>
            </w:r>
          </w:p>
        </w:tc>
        <w:tc>
          <w:tcPr>
            <w:tcW w:w="1460" w:type="dxa"/>
            <w:tcBorders>
              <w:top w:val="nil"/>
              <w:left w:val="nil"/>
              <w:bottom w:val="single" w:sz="4" w:space="0" w:color="auto"/>
              <w:right w:val="nil"/>
            </w:tcBorders>
            <w:shd w:val="clear" w:color="auto" w:fill="auto"/>
            <w:noWrap/>
            <w:vAlign w:val="center"/>
            <w:hideMark/>
          </w:tcPr>
          <w:p w14:paraId="1A3E2B24"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Female</w:t>
            </w:r>
          </w:p>
        </w:tc>
        <w:tc>
          <w:tcPr>
            <w:tcW w:w="1360" w:type="dxa"/>
            <w:tcBorders>
              <w:top w:val="nil"/>
              <w:left w:val="nil"/>
              <w:bottom w:val="single" w:sz="4" w:space="0" w:color="auto"/>
              <w:right w:val="nil"/>
            </w:tcBorders>
            <w:shd w:val="clear" w:color="auto" w:fill="auto"/>
            <w:noWrap/>
            <w:vAlign w:val="center"/>
            <w:hideMark/>
          </w:tcPr>
          <w:p w14:paraId="5E09B228"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Urban</w:t>
            </w:r>
          </w:p>
        </w:tc>
        <w:tc>
          <w:tcPr>
            <w:tcW w:w="1360" w:type="dxa"/>
            <w:tcBorders>
              <w:top w:val="nil"/>
              <w:left w:val="nil"/>
              <w:bottom w:val="single" w:sz="4" w:space="0" w:color="auto"/>
              <w:right w:val="nil"/>
            </w:tcBorders>
            <w:shd w:val="clear" w:color="auto" w:fill="auto"/>
            <w:noWrap/>
            <w:vAlign w:val="center"/>
            <w:hideMark/>
          </w:tcPr>
          <w:p w14:paraId="35049D92"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Rural</w:t>
            </w:r>
          </w:p>
        </w:tc>
      </w:tr>
      <w:tr w:rsidR="00585463" w:rsidRPr="00585463" w14:paraId="49D14E12" w14:textId="77777777" w:rsidTr="00585463">
        <w:trPr>
          <w:trHeight w:val="288"/>
        </w:trPr>
        <w:tc>
          <w:tcPr>
            <w:tcW w:w="3660" w:type="dxa"/>
            <w:gridSpan w:val="2"/>
            <w:tcBorders>
              <w:top w:val="single" w:sz="4" w:space="0" w:color="auto"/>
              <w:left w:val="nil"/>
              <w:bottom w:val="nil"/>
              <w:right w:val="nil"/>
            </w:tcBorders>
            <w:shd w:val="clear" w:color="auto" w:fill="auto"/>
            <w:noWrap/>
            <w:vAlign w:val="center"/>
            <w:hideMark/>
          </w:tcPr>
          <w:p w14:paraId="485832C6" w14:textId="77777777" w:rsidR="00585463" w:rsidRPr="00585463" w:rsidRDefault="00585463" w:rsidP="00585463">
            <w:pPr>
              <w:spacing w:after="0" w:line="240" w:lineRule="auto"/>
              <w:rPr>
                <w:rFonts w:ascii="Calibri" w:eastAsia="Times New Roman" w:hAnsi="Calibri" w:cs="Calibri"/>
                <w:b/>
                <w:bCs/>
                <w:color w:val="000000"/>
                <w:sz w:val="22"/>
              </w:rPr>
            </w:pPr>
            <w:r w:rsidRPr="00585463">
              <w:rPr>
                <w:rFonts w:ascii="Calibri" w:eastAsia="Times New Roman" w:hAnsi="Calibri" w:cs="Calibri"/>
                <w:b/>
                <w:bCs/>
                <w:color w:val="000000"/>
                <w:sz w:val="22"/>
              </w:rPr>
              <w:t>Panel A. OLS Estimation</w:t>
            </w:r>
          </w:p>
        </w:tc>
        <w:tc>
          <w:tcPr>
            <w:tcW w:w="1420" w:type="dxa"/>
            <w:tcBorders>
              <w:top w:val="nil"/>
              <w:left w:val="nil"/>
              <w:bottom w:val="nil"/>
              <w:right w:val="nil"/>
            </w:tcBorders>
            <w:shd w:val="clear" w:color="auto" w:fill="auto"/>
            <w:noWrap/>
            <w:vAlign w:val="center"/>
            <w:hideMark/>
          </w:tcPr>
          <w:p w14:paraId="7AA0B90E" w14:textId="77777777" w:rsidR="00585463" w:rsidRPr="00585463" w:rsidRDefault="00585463" w:rsidP="00585463">
            <w:pPr>
              <w:spacing w:after="0" w:line="240" w:lineRule="auto"/>
              <w:rPr>
                <w:rFonts w:ascii="Calibri" w:eastAsia="Times New Roman" w:hAnsi="Calibri" w:cs="Calibri"/>
                <w:b/>
                <w:bCs/>
                <w:color w:val="000000"/>
                <w:sz w:val="22"/>
              </w:rPr>
            </w:pPr>
          </w:p>
        </w:tc>
        <w:tc>
          <w:tcPr>
            <w:tcW w:w="1460" w:type="dxa"/>
            <w:tcBorders>
              <w:top w:val="nil"/>
              <w:left w:val="nil"/>
              <w:bottom w:val="nil"/>
              <w:right w:val="nil"/>
            </w:tcBorders>
            <w:shd w:val="clear" w:color="auto" w:fill="auto"/>
            <w:noWrap/>
            <w:vAlign w:val="center"/>
            <w:hideMark/>
          </w:tcPr>
          <w:p w14:paraId="02E85A35" w14:textId="77777777" w:rsidR="00585463" w:rsidRPr="00585463" w:rsidRDefault="00585463" w:rsidP="00585463">
            <w:pPr>
              <w:spacing w:after="0" w:line="240" w:lineRule="auto"/>
              <w:rPr>
                <w:rFonts w:eastAsia="Times New Roman" w:cs="Times New Roman"/>
                <w:sz w:val="20"/>
                <w:szCs w:val="20"/>
              </w:rPr>
            </w:pPr>
          </w:p>
        </w:tc>
        <w:tc>
          <w:tcPr>
            <w:tcW w:w="1360" w:type="dxa"/>
            <w:tcBorders>
              <w:top w:val="nil"/>
              <w:left w:val="nil"/>
              <w:bottom w:val="nil"/>
              <w:right w:val="nil"/>
            </w:tcBorders>
            <w:shd w:val="clear" w:color="auto" w:fill="auto"/>
            <w:noWrap/>
            <w:vAlign w:val="center"/>
            <w:hideMark/>
          </w:tcPr>
          <w:p w14:paraId="26D94A25"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w:t>
            </w:r>
          </w:p>
        </w:tc>
        <w:tc>
          <w:tcPr>
            <w:tcW w:w="1360" w:type="dxa"/>
            <w:tcBorders>
              <w:top w:val="nil"/>
              <w:left w:val="nil"/>
              <w:bottom w:val="nil"/>
              <w:right w:val="nil"/>
            </w:tcBorders>
            <w:shd w:val="clear" w:color="auto" w:fill="auto"/>
            <w:noWrap/>
            <w:vAlign w:val="center"/>
            <w:hideMark/>
          </w:tcPr>
          <w:p w14:paraId="78FE2B55"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w:t>
            </w:r>
          </w:p>
        </w:tc>
      </w:tr>
      <w:tr w:rsidR="00585463" w:rsidRPr="00585463" w14:paraId="2721E473" w14:textId="77777777" w:rsidTr="00585463">
        <w:trPr>
          <w:trHeight w:val="288"/>
        </w:trPr>
        <w:tc>
          <w:tcPr>
            <w:tcW w:w="2260" w:type="dxa"/>
            <w:tcBorders>
              <w:top w:val="nil"/>
              <w:left w:val="nil"/>
              <w:bottom w:val="nil"/>
              <w:right w:val="nil"/>
            </w:tcBorders>
            <w:shd w:val="clear" w:color="auto" w:fill="auto"/>
            <w:noWrap/>
            <w:vAlign w:val="center"/>
            <w:hideMark/>
          </w:tcPr>
          <w:p w14:paraId="7DACDB7B"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Years of education</w:t>
            </w:r>
          </w:p>
        </w:tc>
        <w:tc>
          <w:tcPr>
            <w:tcW w:w="1400" w:type="dxa"/>
            <w:tcBorders>
              <w:top w:val="nil"/>
              <w:left w:val="nil"/>
              <w:bottom w:val="nil"/>
              <w:right w:val="nil"/>
            </w:tcBorders>
            <w:shd w:val="clear" w:color="auto" w:fill="auto"/>
            <w:noWrap/>
            <w:vAlign w:val="center"/>
            <w:hideMark/>
          </w:tcPr>
          <w:p w14:paraId="6B6D00CE"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0.00841***  </w:t>
            </w:r>
          </w:p>
        </w:tc>
        <w:tc>
          <w:tcPr>
            <w:tcW w:w="1420" w:type="dxa"/>
            <w:tcBorders>
              <w:top w:val="nil"/>
              <w:left w:val="nil"/>
              <w:bottom w:val="nil"/>
              <w:right w:val="nil"/>
            </w:tcBorders>
            <w:shd w:val="clear" w:color="auto" w:fill="auto"/>
            <w:noWrap/>
            <w:vAlign w:val="center"/>
            <w:hideMark/>
          </w:tcPr>
          <w:p w14:paraId="4FC4DA3E"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0.00982*** </w:t>
            </w:r>
          </w:p>
        </w:tc>
        <w:tc>
          <w:tcPr>
            <w:tcW w:w="1460" w:type="dxa"/>
            <w:tcBorders>
              <w:top w:val="nil"/>
              <w:left w:val="nil"/>
              <w:bottom w:val="nil"/>
              <w:right w:val="nil"/>
            </w:tcBorders>
            <w:shd w:val="clear" w:color="auto" w:fill="auto"/>
            <w:noWrap/>
            <w:vAlign w:val="center"/>
            <w:hideMark/>
          </w:tcPr>
          <w:p w14:paraId="4DF55CA8"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0.00787***  </w:t>
            </w:r>
          </w:p>
        </w:tc>
        <w:tc>
          <w:tcPr>
            <w:tcW w:w="1360" w:type="dxa"/>
            <w:tcBorders>
              <w:top w:val="nil"/>
              <w:left w:val="nil"/>
              <w:bottom w:val="nil"/>
              <w:right w:val="nil"/>
            </w:tcBorders>
            <w:shd w:val="clear" w:color="auto" w:fill="auto"/>
            <w:noWrap/>
            <w:vAlign w:val="center"/>
            <w:hideMark/>
          </w:tcPr>
          <w:p w14:paraId="58F07498"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0.0102*** </w:t>
            </w:r>
          </w:p>
        </w:tc>
        <w:tc>
          <w:tcPr>
            <w:tcW w:w="1360" w:type="dxa"/>
            <w:tcBorders>
              <w:top w:val="nil"/>
              <w:left w:val="nil"/>
              <w:bottom w:val="nil"/>
              <w:right w:val="nil"/>
            </w:tcBorders>
            <w:shd w:val="clear" w:color="auto" w:fill="auto"/>
            <w:noWrap/>
            <w:vAlign w:val="center"/>
            <w:hideMark/>
          </w:tcPr>
          <w:p w14:paraId="1BB5C3B6"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0.00734*** </w:t>
            </w:r>
          </w:p>
        </w:tc>
      </w:tr>
      <w:tr w:rsidR="00585463" w:rsidRPr="00585463" w14:paraId="564F327F" w14:textId="77777777" w:rsidTr="00585463">
        <w:trPr>
          <w:trHeight w:val="288"/>
        </w:trPr>
        <w:tc>
          <w:tcPr>
            <w:tcW w:w="2260" w:type="dxa"/>
            <w:tcBorders>
              <w:top w:val="nil"/>
              <w:left w:val="nil"/>
              <w:bottom w:val="nil"/>
              <w:right w:val="nil"/>
            </w:tcBorders>
            <w:shd w:val="clear" w:color="auto" w:fill="auto"/>
            <w:noWrap/>
            <w:vAlign w:val="center"/>
            <w:hideMark/>
          </w:tcPr>
          <w:p w14:paraId="5A45E69E" w14:textId="77777777" w:rsidR="00585463" w:rsidRPr="00585463" w:rsidRDefault="00585463" w:rsidP="00585463">
            <w:pPr>
              <w:spacing w:after="0" w:line="240" w:lineRule="auto"/>
              <w:jc w:val="center"/>
              <w:rPr>
                <w:rFonts w:ascii="Calibri" w:eastAsia="Times New Roman" w:hAnsi="Calibri" w:cs="Calibri"/>
                <w:color w:val="000000"/>
                <w:sz w:val="22"/>
              </w:rPr>
            </w:pPr>
          </w:p>
        </w:tc>
        <w:tc>
          <w:tcPr>
            <w:tcW w:w="1400" w:type="dxa"/>
            <w:tcBorders>
              <w:top w:val="nil"/>
              <w:left w:val="nil"/>
              <w:bottom w:val="nil"/>
              <w:right w:val="nil"/>
            </w:tcBorders>
            <w:shd w:val="clear" w:color="auto" w:fill="auto"/>
            <w:noWrap/>
            <w:vAlign w:val="center"/>
            <w:hideMark/>
          </w:tcPr>
          <w:p w14:paraId="46AD293E"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(0.00145) </w:t>
            </w:r>
          </w:p>
        </w:tc>
        <w:tc>
          <w:tcPr>
            <w:tcW w:w="1420" w:type="dxa"/>
            <w:tcBorders>
              <w:top w:val="nil"/>
              <w:left w:val="nil"/>
              <w:bottom w:val="nil"/>
              <w:right w:val="nil"/>
            </w:tcBorders>
            <w:shd w:val="clear" w:color="auto" w:fill="auto"/>
            <w:noWrap/>
            <w:vAlign w:val="center"/>
            <w:hideMark/>
          </w:tcPr>
          <w:p w14:paraId="7C14144C"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(0.00219) </w:t>
            </w:r>
          </w:p>
        </w:tc>
        <w:tc>
          <w:tcPr>
            <w:tcW w:w="1460" w:type="dxa"/>
            <w:tcBorders>
              <w:top w:val="nil"/>
              <w:left w:val="nil"/>
              <w:bottom w:val="nil"/>
              <w:right w:val="nil"/>
            </w:tcBorders>
            <w:shd w:val="clear" w:color="auto" w:fill="auto"/>
            <w:noWrap/>
            <w:vAlign w:val="center"/>
            <w:hideMark/>
          </w:tcPr>
          <w:p w14:paraId="295BB394"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(0.00196)</w:t>
            </w:r>
          </w:p>
        </w:tc>
        <w:tc>
          <w:tcPr>
            <w:tcW w:w="1360" w:type="dxa"/>
            <w:tcBorders>
              <w:top w:val="nil"/>
              <w:left w:val="nil"/>
              <w:bottom w:val="nil"/>
              <w:right w:val="nil"/>
            </w:tcBorders>
            <w:shd w:val="clear" w:color="auto" w:fill="auto"/>
            <w:noWrap/>
            <w:vAlign w:val="center"/>
            <w:hideMark/>
          </w:tcPr>
          <w:p w14:paraId="3E04F3EE"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(0.00259) </w:t>
            </w:r>
          </w:p>
        </w:tc>
        <w:tc>
          <w:tcPr>
            <w:tcW w:w="1360" w:type="dxa"/>
            <w:tcBorders>
              <w:top w:val="nil"/>
              <w:left w:val="nil"/>
              <w:bottom w:val="nil"/>
              <w:right w:val="nil"/>
            </w:tcBorders>
            <w:shd w:val="clear" w:color="auto" w:fill="auto"/>
            <w:noWrap/>
            <w:vAlign w:val="center"/>
            <w:hideMark/>
          </w:tcPr>
          <w:p w14:paraId="5F0ED005"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(0.00179) </w:t>
            </w:r>
          </w:p>
        </w:tc>
      </w:tr>
      <w:tr w:rsidR="00585463" w:rsidRPr="00585463" w14:paraId="3183251D" w14:textId="77777777" w:rsidTr="00585463">
        <w:trPr>
          <w:trHeight w:val="288"/>
        </w:trPr>
        <w:tc>
          <w:tcPr>
            <w:tcW w:w="2260" w:type="dxa"/>
            <w:tcBorders>
              <w:top w:val="nil"/>
              <w:left w:val="nil"/>
              <w:bottom w:val="nil"/>
              <w:right w:val="nil"/>
            </w:tcBorders>
            <w:shd w:val="clear" w:color="auto" w:fill="auto"/>
            <w:noWrap/>
            <w:vAlign w:val="center"/>
            <w:hideMark/>
          </w:tcPr>
          <w:p w14:paraId="37511472" w14:textId="77777777" w:rsidR="00585463" w:rsidRPr="00585463" w:rsidRDefault="00585463" w:rsidP="00585463">
            <w:pPr>
              <w:spacing w:after="0" w:line="240" w:lineRule="auto"/>
              <w:jc w:val="center"/>
              <w:rPr>
                <w:rFonts w:ascii="Calibri" w:eastAsia="Times New Roman" w:hAnsi="Calibri" w:cs="Calibri"/>
                <w:color w:val="000000"/>
                <w:sz w:val="22"/>
              </w:rPr>
            </w:pPr>
          </w:p>
        </w:tc>
        <w:tc>
          <w:tcPr>
            <w:tcW w:w="1400" w:type="dxa"/>
            <w:tcBorders>
              <w:top w:val="nil"/>
              <w:left w:val="nil"/>
              <w:bottom w:val="nil"/>
              <w:right w:val="nil"/>
            </w:tcBorders>
            <w:shd w:val="clear" w:color="auto" w:fill="auto"/>
            <w:noWrap/>
            <w:vAlign w:val="center"/>
            <w:hideMark/>
          </w:tcPr>
          <w:p w14:paraId="3C8A18E1" w14:textId="77777777" w:rsidR="00585463" w:rsidRPr="00585463" w:rsidRDefault="00585463" w:rsidP="00585463">
            <w:pPr>
              <w:spacing w:after="0" w:line="240" w:lineRule="auto"/>
              <w:rPr>
                <w:rFonts w:eastAsia="Times New Roman" w:cs="Times New Roman"/>
                <w:sz w:val="20"/>
                <w:szCs w:val="20"/>
              </w:rPr>
            </w:pPr>
          </w:p>
        </w:tc>
        <w:tc>
          <w:tcPr>
            <w:tcW w:w="1420" w:type="dxa"/>
            <w:tcBorders>
              <w:top w:val="nil"/>
              <w:left w:val="nil"/>
              <w:bottom w:val="nil"/>
              <w:right w:val="nil"/>
            </w:tcBorders>
            <w:shd w:val="clear" w:color="auto" w:fill="auto"/>
            <w:noWrap/>
            <w:vAlign w:val="center"/>
            <w:hideMark/>
          </w:tcPr>
          <w:p w14:paraId="18E943CF" w14:textId="77777777" w:rsidR="00585463" w:rsidRPr="00585463" w:rsidRDefault="00585463" w:rsidP="00585463">
            <w:pPr>
              <w:spacing w:after="0" w:line="240" w:lineRule="auto"/>
              <w:jc w:val="center"/>
              <w:rPr>
                <w:rFonts w:eastAsia="Times New Roman" w:cs="Times New Roman"/>
                <w:sz w:val="20"/>
                <w:szCs w:val="20"/>
              </w:rPr>
            </w:pPr>
          </w:p>
        </w:tc>
        <w:tc>
          <w:tcPr>
            <w:tcW w:w="1460" w:type="dxa"/>
            <w:tcBorders>
              <w:top w:val="nil"/>
              <w:left w:val="nil"/>
              <w:bottom w:val="nil"/>
              <w:right w:val="nil"/>
            </w:tcBorders>
            <w:shd w:val="clear" w:color="auto" w:fill="auto"/>
            <w:noWrap/>
            <w:vAlign w:val="center"/>
            <w:hideMark/>
          </w:tcPr>
          <w:p w14:paraId="47DB2E65" w14:textId="77777777" w:rsidR="00585463" w:rsidRPr="00585463" w:rsidRDefault="00585463" w:rsidP="00585463">
            <w:pPr>
              <w:spacing w:after="0" w:line="240" w:lineRule="auto"/>
              <w:jc w:val="center"/>
              <w:rPr>
                <w:rFonts w:eastAsia="Times New Roman" w:cs="Times New Roman"/>
                <w:sz w:val="20"/>
                <w:szCs w:val="20"/>
              </w:rPr>
            </w:pPr>
          </w:p>
        </w:tc>
        <w:tc>
          <w:tcPr>
            <w:tcW w:w="1360" w:type="dxa"/>
            <w:tcBorders>
              <w:top w:val="nil"/>
              <w:left w:val="nil"/>
              <w:bottom w:val="nil"/>
              <w:right w:val="nil"/>
            </w:tcBorders>
            <w:shd w:val="clear" w:color="auto" w:fill="auto"/>
            <w:noWrap/>
            <w:vAlign w:val="center"/>
            <w:hideMark/>
          </w:tcPr>
          <w:p w14:paraId="3E8FBC7F" w14:textId="77777777" w:rsidR="00585463" w:rsidRPr="00585463" w:rsidRDefault="00585463" w:rsidP="00585463">
            <w:pPr>
              <w:spacing w:after="0" w:line="240" w:lineRule="auto"/>
              <w:jc w:val="center"/>
              <w:rPr>
                <w:rFonts w:eastAsia="Times New Roman" w:cs="Times New Roman"/>
                <w:sz w:val="20"/>
                <w:szCs w:val="20"/>
              </w:rPr>
            </w:pPr>
          </w:p>
        </w:tc>
        <w:tc>
          <w:tcPr>
            <w:tcW w:w="1360" w:type="dxa"/>
            <w:tcBorders>
              <w:top w:val="nil"/>
              <w:left w:val="nil"/>
              <w:bottom w:val="nil"/>
              <w:right w:val="nil"/>
            </w:tcBorders>
            <w:shd w:val="clear" w:color="auto" w:fill="auto"/>
            <w:noWrap/>
            <w:vAlign w:val="center"/>
            <w:hideMark/>
          </w:tcPr>
          <w:p w14:paraId="2B3F2BE1" w14:textId="77777777" w:rsidR="00585463" w:rsidRPr="00585463" w:rsidRDefault="00585463" w:rsidP="00585463">
            <w:pPr>
              <w:spacing w:after="0" w:line="240" w:lineRule="auto"/>
              <w:jc w:val="center"/>
              <w:rPr>
                <w:rFonts w:eastAsia="Times New Roman" w:cs="Times New Roman"/>
                <w:sz w:val="20"/>
                <w:szCs w:val="20"/>
              </w:rPr>
            </w:pPr>
          </w:p>
        </w:tc>
      </w:tr>
      <w:tr w:rsidR="00585463" w:rsidRPr="00585463" w14:paraId="07527C51" w14:textId="77777777" w:rsidTr="00585463">
        <w:trPr>
          <w:trHeight w:val="288"/>
        </w:trPr>
        <w:tc>
          <w:tcPr>
            <w:tcW w:w="2260" w:type="dxa"/>
            <w:tcBorders>
              <w:top w:val="nil"/>
              <w:left w:val="nil"/>
              <w:bottom w:val="nil"/>
              <w:right w:val="nil"/>
            </w:tcBorders>
            <w:shd w:val="clear" w:color="auto" w:fill="auto"/>
            <w:noWrap/>
            <w:vAlign w:val="center"/>
            <w:hideMark/>
          </w:tcPr>
          <w:p w14:paraId="0F33A33A"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Adj. R-squared</w:t>
            </w:r>
          </w:p>
        </w:tc>
        <w:tc>
          <w:tcPr>
            <w:tcW w:w="1400" w:type="dxa"/>
            <w:tcBorders>
              <w:top w:val="nil"/>
              <w:left w:val="nil"/>
              <w:bottom w:val="nil"/>
              <w:right w:val="nil"/>
            </w:tcBorders>
            <w:shd w:val="clear" w:color="auto" w:fill="auto"/>
            <w:noWrap/>
            <w:vAlign w:val="center"/>
            <w:hideMark/>
          </w:tcPr>
          <w:p w14:paraId="4B09ABCE"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0.069 </w:t>
            </w:r>
          </w:p>
        </w:tc>
        <w:tc>
          <w:tcPr>
            <w:tcW w:w="1420" w:type="dxa"/>
            <w:tcBorders>
              <w:top w:val="nil"/>
              <w:left w:val="nil"/>
              <w:bottom w:val="nil"/>
              <w:right w:val="nil"/>
            </w:tcBorders>
            <w:shd w:val="clear" w:color="auto" w:fill="auto"/>
            <w:noWrap/>
            <w:vAlign w:val="center"/>
            <w:hideMark/>
          </w:tcPr>
          <w:p w14:paraId="4D10DF78"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0.064 </w:t>
            </w:r>
          </w:p>
        </w:tc>
        <w:tc>
          <w:tcPr>
            <w:tcW w:w="1460" w:type="dxa"/>
            <w:tcBorders>
              <w:top w:val="nil"/>
              <w:left w:val="nil"/>
              <w:bottom w:val="nil"/>
              <w:right w:val="nil"/>
            </w:tcBorders>
            <w:shd w:val="clear" w:color="auto" w:fill="auto"/>
            <w:noWrap/>
            <w:vAlign w:val="center"/>
            <w:hideMark/>
          </w:tcPr>
          <w:p w14:paraId="1B59CC12"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0.062 </w:t>
            </w:r>
          </w:p>
        </w:tc>
        <w:tc>
          <w:tcPr>
            <w:tcW w:w="1360" w:type="dxa"/>
            <w:tcBorders>
              <w:top w:val="nil"/>
              <w:left w:val="nil"/>
              <w:bottom w:val="nil"/>
              <w:right w:val="nil"/>
            </w:tcBorders>
            <w:shd w:val="clear" w:color="auto" w:fill="auto"/>
            <w:noWrap/>
            <w:vAlign w:val="center"/>
            <w:hideMark/>
          </w:tcPr>
          <w:p w14:paraId="5EF6A155"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0.055 </w:t>
            </w:r>
          </w:p>
        </w:tc>
        <w:tc>
          <w:tcPr>
            <w:tcW w:w="1360" w:type="dxa"/>
            <w:tcBorders>
              <w:top w:val="nil"/>
              <w:left w:val="nil"/>
              <w:bottom w:val="nil"/>
              <w:right w:val="nil"/>
            </w:tcBorders>
            <w:shd w:val="clear" w:color="auto" w:fill="auto"/>
            <w:noWrap/>
            <w:vAlign w:val="center"/>
            <w:hideMark/>
          </w:tcPr>
          <w:p w14:paraId="36982F11"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0.072 </w:t>
            </w:r>
          </w:p>
        </w:tc>
      </w:tr>
      <w:tr w:rsidR="00585463" w:rsidRPr="00585463" w14:paraId="5A4A1CF1" w14:textId="77777777" w:rsidTr="00585463">
        <w:trPr>
          <w:trHeight w:val="288"/>
        </w:trPr>
        <w:tc>
          <w:tcPr>
            <w:tcW w:w="3660" w:type="dxa"/>
            <w:gridSpan w:val="2"/>
            <w:tcBorders>
              <w:top w:val="single" w:sz="4" w:space="0" w:color="auto"/>
              <w:left w:val="nil"/>
              <w:bottom w:val="nil"/>
              <w:right w:val="nil"/>
            </w:tcBorders>
            <w:shd w:val="clear" w:color="auto" w:fill="auto"/>
            <w:noWrap/>
            <w:vAlign w:val="center"/>
            <w:hideMark/>
          </w:tcPr>
          <w:p w14:paraId="0277DA70" w14:textId="77777777" w:rsidR="00585463" w:rsidRPr="00585463" w:rsidRDefault="00585463" w:rsidP="00585463">
            <w:pPr>
              <w:spacing w:after="0" w:line="240" w:lineRule="auto"/>
              <w:rPr>
                <w:rFonts w:ascii="Calibri" w:eastAsia="Times New Roman" w:hAnsi="Calibri" w:cs="Calibri"/>
                <w:b/>
                <w:bCs/>
                <w:color w:val="000000"/>
                <w:sz w:val="22"/>
              </w:rPr>
            </w:pPr>
            <w:r w:rsidRPr="00585463">
              <w:rPr>
                <w:rFonts w:ascii="Calibri" w:eastAsia="Times New Roman" w:hAnsi="Calibri" w:cs="Calibri"/>
                <w:b/>
                <w:bCs/>
                <w:color w:val="000000"/>
                <w:sz w:val="22"/>
              </w:rPr>
              <w:t>Panel B. 2SLS Estimation</w:t>
            </w:r>
          </w:p>
        </w:tc>
        <w:tc>
          <w:tcPr>
            <w:tcW w:w="1420" w:type="dxa"/>
            <w:tcBorders>
              <w:top w:val="single" w:sz="4" w:space="0" w:color="auto"/>
              <w:left w:val="nil"/>
              <w:bottom w:val="nil"/>
              <w:right w:val="nil"/>
            </w:tcBorders>
            <w:shd w:val="clear" w:color="auto" w:fill="auto"/>
            <w:noWrap/>
            <w:vAlign w:val="center"/>
            <w:hideMark/>
          </w:tcPr>
          <w:p w14:paraId="4B03B834"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w:t>
            </w:r>
          </w:p>
        </w:tc>
        <w:tc>
          <w:tcPr>
            <w:tcW w:w="1460" w:type="dxa"/>
            <w:tcBorders>
              <w:top w:val="single" w:sz="4" w:space="0" w:color="auto"/>
              <w:left w:val="nil"/>
              <w:bottom w:val="nil"/>
              <w:right w:val="nil"/>
            </w:tcBorders>
            <w:shd w:val="clear" w:color="auto" w:fill="auto"/>
            <w:noWrap/>
            <w:vAlign w:val="center"/>
            <w:hideMark/>
          </w:tcPr>
          <w:p w14:paraId="68BE819A"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w:t>
            </w:r>
          </w:p>
        </w:tc>
        <w:tc>
          <w:tcPr>
            <w:tcW w:w="1360" w:type="dxa"/>
            <w:tcBorders>
              <w:top w:val="single" w:sz="4" w:space="0" w:color="auto"/>
              <w:left w:val="nil"/>
              <w:bottom w:val="nil"/>
              <w:right w:val="nil"/>
            </w:tcBorders>
            <w:shd w:val="clear" w:color="auto" w:fill="auto"/>
            <w:noWrap/>
            <w:vAlign w:val="center"/>
            <w:hideMark/>
          </w:tcPr>
          <w:p w14:paraId="6F7ED233"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w:t>
            </w:r>
          </w:p>
        </w:tc>
        <w:tc>
          <w:tcPr>
            <w:tcW w:w="1360" w:type="dxa"/>
            <w:tcBorders>
              <w:top w:val="single" w:sz="4" w:space="0" w:color="auto"/>
              <w:left w:val="nil"/>
              <w:bottom w:val="nil"/>
              <w:right w:val="nil"/>
            </w:tcBorders>
            <w:shd w:val="clear" w:color="auto" w:fill="auto"/>
            <w:noWrap/>
            <w:vAlign w:val="center"/>
            <w:hideMark/>
          </w:tcPr>
          <w:p w14:paraId="6F52E5E3"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w:t>
            </w:r>
          </w:p>
        </w:tc>
      </w:tr>
      <w:tr w:rsidR="00585463" w:rsidRPr="00585463" w14:paraId="1BADFD2E" w14:textId="77777777" w:rsidTr="00585463">
        <w:trPr>
          <w:trHeight w:val="288"/>
        </w:trPr>
        <w:tc>
          <w:tcPr>
            <w:tcW w:w="2260" w:type="dxa"/>
            <w:tcBorders>
              <w:top w:val="nil"/>
              <w:left w:val="nil"/>
              <w:bottom w:val="nil"/>
              <w:right w:val="nil"/>
            </w:tcBorders>
            <w:shd w:val="clear" w:color="auto" w:fill="auto"/>
            <w:noWrap/>
            <w:vAlign w:val="center"/>
            <w:hideMark/>
          </w:tcPr>
          <w:p w14:paraId="68451D8B"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Years of education</w:t>
            </w:r>
          </w:p>
        </w:tc>
        <w:tc>
          <w:tcPr>
            <w:tcW w:w="1400" w:type="dxa"/>
            <w:tcBorders>
              <w:top w:val="nil"/>
              <w:left w:val="nil"/>
              <w:bottom w:val="nil"/>
              <w:right w:val="nil"/>
            </w:tcBorders>
            <w:shd w:val="clear" w:color="auto" w:fill="auto"/>
            <w:noWrap/>
            <w:vAlign w:val="center"/>
            <w:hideMark/>
          </w:tcPr>
          <w:p w14:paraId="3E8B4F16"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0.0689** </w:t>
            </w:r>
          </w:p>
        </w:tc>
        <w:tc>
          <w:tcPr>
            <w:tcW w:w="1420" w:type="dxa"/>
            <w:tcBorders>
              <w:top w:val="nil"/>
              <w:left w:val="nil"/>
              <w:bottom w:val="nil"/>
              <w:right w:val="nil"/>
            </w:tcBorders>
            <w:shd w:val="clear" w:color="auto" w:fill="auto"/>
            <w:noWrap/>
            <w:vAlign w:val="center"/>
            <w:hideMark/>
          </w:tcPr>
          <w:p w14:paraId="0165E6EC"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0.0371 </w:t>
            </w:r>
          </w:p>
        </w:tc>
        <w:tc>
          <w:tcPr>
            <w:tcW w:w="1460" w:type="dxa"/>
            <w:tcBorders>
              <w:top w:val="nil"/>
              <w:left w:val="nil"/>
              <w:bottom w:val="nil"/>
              <w:right w:val="nil"/>
            </w:tcBorders>
            <w:shd w:val="clear" w:color="auto" w:fill="auto"/>
            <w:noWrap/>
            <w:vAlign w:val="center"/>
            <w:hideMark/>
          </w:tcPr>
          <w:p w14:paraId="3D589CBD"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0.0546* </w:t>
            </w:r>
          </w:p>
        </w:tc>
        <w:tc>
          <w:tcPr>
            <w:tcW w:w="1360" w:type="dxa"/>
            <w:tcBorders>
              <w:top w:val="nil"/>
              <w:left w:val="nil"/>
              <w:bottom w:val="nil"/>
              <w:right w:val="nil"/>
            </w:tcBorders>
            <w:shd w:val="clear" w:color="auto" w:fill="auto"/>
            <w:noWrap/>
            <w:vAlign w:val="center"/>
            <w:hideMark/>
          </w:tcPr>
          <w:p w14:paraId="0B81D090"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0.0252 </w:t>
            </w:r>
          </w:p>
        </w:tc>
        <w:tc>
          <w:tcPr>
            <w:tcW w:w="1360" w:type="dxa"/>
            <w:tcBorders>
              <w:top w:val="nil"/>
              <w:left w:val="nil"/>
              <w:bottom w:val="nil"/>
              <w:right w:val="nil"/>
            </w:tcBorders>
            <w:shd w:val="clear" w:color="auto" w:fill="auto"/>
            <w:noWrap/>
            <w:vAlign w:val="center"/>
            <w:hideMark/>
          </w:tcPr>
          <w:p w14:paraId="0E2AD159"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0.0192  </w:t>
            </w:r>
          </w:p>
        </w:tc>
      </w:tr>
      <w:tr w:rsidR="00585463" w:rsidRPr="00585463" w14:paraId="59C7DEF5" w14:textId="77777777" w:rsidTr="00585463">
        <w:trPr>
          <w:trHeight w:val="288"/>
        </w:trPr>
        <w:tc>
          <w:tcPr>
            <w:tcW w:w="2260" w:type="dxa"/>
            <w:tcBorders>
              <w:top w:val="nil"/>
              <w:left w:val="nil"/>
              <w:bottom w:val="nil"/>
              <w:right w:val="nil"/>
            </w:tcBorders>
            <w:shd w:val="clear" w:color="auto" w:fill="auto"/>
            <w:vAlign w:val="center"/>
            <w:hideMark/>
          </w:tcPr>
          <w:p w14:paraId="7CD689E0" w14:textId="77777777" w:rsidR="00585463" w:rsidRPr="00585463" w:rsidRDefault="00585463" w:rsidP="00585463">
            <w:pPr>
              <w:spacing w:after="0" w:line="240" w:lineRule="auto"/>
              <w:jc w:val="center"/>
              <w:rPr>
                <w:rFonts w:ascii="Calibri" w:eastAsia="Times New Roman" w:hAnsi="Calibri" w:cs="Calibri"/>
                <w:color w:val="000000"/>
                <w:sz w:val="22"/>
              </w:rPr>
            </w:pPr>
          </w:p>
        </w:tc>
        <w:tc>
          <w:tcPr>
            <w:tcW w:w="1400" w:type="dxa"/>
            <w:tcBorders>
              <w:top w:val="nil"/>
              <w:left w:val="nil"/>
              <w:bottom w:val="nil"/>
              <w:right w:val="nil"/>
            </w:tcBorders>
            <w:shd w:val="clear" w:color="auto" w:fill="auto"/>
            <w:noWrap/>
            <w:vAlign w:val="center"/>
            <w:hideMark/>
          </w:tcPr>
          <w:p w14:paraId="4D74511B"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(0.0303) </w:t>
            </w:r>
          </w:p>
        </w:tc>
        <w:tc>
          <w:tcPr>
            <w:tcW w:w="1420" w:type="dxa"/>
            <w:tcBorders>
              <w:top w:val="nil"/>
              <w:left w:val="nil"/>
              <w:bottom w:val="nil"/>
              <w:right w:val="nil"/>
            </w:tcBorders>
            <w:shd w:val="clear" w:color="auto" w:fill="auto"/>
            <w:noWrap/>
            <w:vAlign w:val="center"/>
            <w:hideMark/>
          </w:tcPr>
          <w:p w14:paraId="02586708"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(0.0658) </w:t>
            </w:r>
          </w:p>
        </w:tc>
        <w:tc>
          <w:tcPr>
            <w:tcW w:w="1460" w:type="dxa"/>
            <w:tcBorders>
              <w:top w:val="nil"/>
              <w:left w:val="nil"/>
              <w:bottom w:val="nil"/>
              <w:right w:val="nil"/>
            </w:tcBorders>
            <w:shd w:val="clear" w:color="auto" w:fill="auto"/>
            <w:noWrap/>
            <w:vAlign w:val="center"/>
            <w:hideMark/>
          </w:tcPr>
          <w:p w14:paraId="147558CE"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(0.0287)   </w:t>
            </w:r>
          </w:p>
        </w:tc>
        <w:tc>
          <w:tcPr>
            <w:tcW w:w="1360" w:type="dxa"/>
            <w:tcBorders>
              <w:top w:val="nil"/>
              <w:left w:val="nil"/>
              <w:bottom w:val="nil"/>
              <w:right w:val="nil"/>
            </w:tcBorders>
            <w:shd w:val="clear" w:color="auto" w:fill="auto"/>
            <w:noWrap/>
            <w:vAlign w:val="center"/>
            <w:hideMark/>
          </w:tcPr>
          <w:p w14:paraId="74DC8178"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(0.0358) </w:t>
            </w:r>
          </w:p>
        </w:tc>
        <w:tc>
          <w:tcPr>
            <w:tcW w:w="1360" w:type="dxa"/>
            <w:tcBorders>
              <w:top w:val="nil"/>
              <w:left w:val="nil"/>
              <w:bottom w:val="nil"/>
              <w:right w:val="nil"/>
            </w:tcBorders>
            <w:shd w:val="clear" w:color="auto" w:fill="auto"/>
            <w:noWrap/>
            <w:vAlign w:val="center"/>
            <w:hideMark/>
          </w:tcPr>
          <w:p w14:paraId="4A5FD6FF"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(0.0285) </w:t>
            </w:r>
          </w:p>
        </w:tc>
      </w:tr>
      <w:tr w:rsidR="00585463" w:rsidRPr="00585463" w14:paraId="16CDA843" w14:textId="77777777" w:rsidTr="00585463">
        <w:trPr>
          <w:trHeight w:val="288"/>
        </w:trPr>
        <w:tc>
          <w:tcPr>
            <w:tcW w:w="2260" w:type="dxa"/>
            <w:tcBorders>
              <w:top w:val="nil"/>
              <w:left w:val="nil"/>
              <w:bottom w:val="nil"/>
              <w:right w:val="nil"/>
            </w:tcBorders>
            <w:shd w:val="clear" w:color="auto" w:fill="auto"/>
            <w:vAlign w:val="center"/>
            <w:hideMark/>
          </w:tcPr>
          <w:p w14:paraId="63C1538A" w14:textId="77777777" w:rsidR="00585463" w:rsidRPr="00585463" w:rsidRDefault="00585463" w:rsidP="00585463">
            <w:pPr>
              <w:spacing w:after="0" w:line="240" w:lineRule="auto"/>
              <w:jc w:val="center"/>
              <w:rPr>
                <w:rFonts w:ascii="Calibri" w:eastAsia="Times New Roman" w:hAnsi="Calibri" w:cs="Calibri"/>
                <w:color w:val="000000"/>
                <w:sz w:val="22"/>
              </w:rPr>
            </w:pPr>
          </w:p>
        </w:tc>
        <w:tc>
          <w:tcPr>
            <w:tcW w:w="1400" w:type="dxa"/>
            <w:tcBorders>
              <w:top w:val="nil"/>
              <w:left w:val="nil"/>
              <w:bottom w:val="nil"/>
              <w:right w:val="nil"/>
            </w:tcBorders>
            <w:shd w:val="clear" w:color="auto" w:fill="auto"/>
            <w:noWrap/>
            <w:vAlign w:val="center"/>
            <w:hideMark/>
          </w:tcPr>
          <w:p w14:paraId="0AAEBC9D" w14:textId="77777777" w:rsidR="00585463" w:rsidRPr="00585463" w:rsidRDefault="00585463" w:rsidP="00585463">
            <w:pPr>
              <w:spacing w:after="0" w:line="240" w:lineRule="auto"/>
              <w:rPr>
                <w:rFonts w:eastAsia="Times New Roman" w:cs="Times New Roman"/>
                <w:sz w:val="20"/>
                <w:szCs w:val="20"/>
              </w:rPr>
            </w:pPr>
          </w:p>
        </w:tc>
        <w:tc>
          <w:tcPr>
            <w:tcW w:w="1420" w:type="dxa"/>
            <w:tcBorders>
              <w:top w:val="nil"/>
              <w:left w:val="nil"/>
              <w:bottom w:val="nil"/>
              <w:right w:val="nil"/>
            </w:tcBorders>
            <w:shd w:val="clear" w:color="auto" w:fill="auto"/>
            <w:noWrap/>
            <w:vAlign w:val="center"/>
            <w:hideMark/>
          </w:tcPr>
          <w:p w14:paraId="6C868097" w14:textId="77777777" w:rsidR="00585463" w:rsidRPr="00585463" w:rsidRDefault="00585463" w:rsidP="00585463">
            <w:pPr>
              <w:spacing w:after="0" w:line="240" w:lineRule="auto"/>
              <w:jc w:val="center"/>
              <w:rPr>
                <w:rFonts w:eastAsia="Times New Roman" w:cs="Times New Roman"/>
                <w:sz w:val="20"/>
                <w:szCs w:val="20"/>
              </w:rPr>
            </w:pPr>
          </w:p>
        </w:tc>
        <w:tc>
          <w:tcPr>
            <w:tcW w:w="1460" w:type="dxa"/>
            <w:tcBorders>
              <w:top w:val="nil"/>
              <w:left w:val="nil"/>
              <w:bottom w:val="nil"/>
              <w:right w:val="nil"/>
            </w:tcBorders>
            <w:shd w:val="clear" w:color="auto" w:fill="auto"/>
            <w:noWrap/>
            <w:vAlign w:val="center"/>
            <w:hideMark/>
          </w:tcPr>
          <w:p w14:paraId="7F000B7A" w14:textId="77777777" w:rsidR="00585463" w:rsidRPr="00585463" w:rsidRDefault="00585463" w:rsidP="00585463">
            <w:pPr>
              <w:spacing w:after="0" w:line="240" w:lineRule="auto"/>
              <w:jc w:val="center"/>
              <w:rPr>
                <w:rFonts w:eastAsia="Times New Roman" w:cs="Times New Roman"/>
                <w:sz w:val="20"/>
                <w:szCs w:val="20"/>
              </w:rPr>
            </w:pPr>
          </w:p>
        </w:tc>
        <w:tc>
          <w:tcPr>
            <w:tcW w:w="1360" w:type="dxa"/>
            <w:tcBorders>
              <w:top w:val="nil"/>
              <w:left w:val="nil"/>
              <w:bottom w:val="nil"/>
              <w:right w:val="nil"/>
            </w:tcBorders>
            <w:shd w:val="clear" w:color="auto" w:fill="auto"/>
            <w:noWrap/>
            <w:vAlign w:val="center"/>
            <w:hideMark/>
          </w:tcPr>
          <w:p w14:paraId="3FC53371" w14:textId="77777777" w:rsidR="00585463" w:rsidRPr="00585463" w:rsidRDefault="00585463" w:rsidP="00585463">
            <w:pPr>
              <w:spacing w:after="0" w:line="240" w:lineRule="auto"/>
              <w:jc w:val="center"/>
              <w:rPr>
                <w:rFonts w:eastAsia="Times New Roman" w:cs="Times New Roman"/>
                <w:sz w:val="20"/>
                <w:szCs w:val="20"/>
              </w:rPr>
            </w:pPr>
          </w:p>
        </w:tc>
        <w:tc>
          <w:tcPr>
            <w:tcW w:w="1360" w:type="dxa"/>
            <w:tcBorders>
              <w:top w:val="nil"/>
              <w:left w:val="nil"/>
              <w:bottom w:val="nil"/>
              <w:right w:val="nil"/>
            </w:tcBorders>
            <w:shd w:val="clear" w:color="auto" w:fill="auto"/>
            <w:noWrap/>
            <w:vAlign w:val="center"/>
            <w:hideMark/>
          </w:tcPr>
          <w:p w14:paraId="0B535417" w14:textId="77777777" w:rsidR="00585463" w:rsidRPr="00585463" w:rsidRDefault="00585463" w:rsidP="00585463">
            <w:pPr>
              <w:spacing w:after="0" w:line="240" w:lineRule="auto"/>
              <w:jc w:val="center"/>
              <w:rPr>
                <w:rFonts w:eastAsia="Times New Roman" w:cs="Times New Roman"/>
                <w:sz w:val="20"/>
                <w:szCs w:val="20"/>
              </w:rPr>
            </w:pPr>
          </w:p>
        </w:tc>
      </w:tr>
      <w:tr w:rsidR="00585463" w:rsidRPr="00585463" w14:paraId="0F6EA77F" w14:textId="77777777" w:rsidTr="00585463">
        <w:trPr>
          <w:trHeight w:val="288"/>
        </w:trPr>
        <w:tc>
          <w:tcPr>
            <w:tcW w:w="2260" w:type="dxa"/>
            <w:tcBorders>
              <w:top w:val="nil"/>
              <w:left w:val="nil"/>
              <w:bottom w:val="nil"/>
              <w:right w:val="nil"/>
            </w:tcBorders>
            <w:shd w:val="clear" w:color="auto" w:fill="auto"/>
            <w:noWrap/>
            <w:vAlign w:val="center"/>
            <w:hideMark/>
          </w:tcPr>
          <w:p w14:paraId="6ABCC4C4"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Observation</w:t>
            </w:r>
          </w:p>
        </w:tc>
        <w:tc>
          <w:tcPr>
            <w:tcW w:w="1400" w:type="dxa"/>
            <w:tcBorders>
              <w:top w:val="nil"/>
              <w:left w:val="nil"/>
              <w:bottom w:val="nil"/>
              <w:right w:val="nil"/>
            </w:tcBorders>
            <w:shd w:val="clear" w:color="auto" w:fill="auto"/>
            <w:noWrap/>
            <w:vAlign w:val="center"/>
            <w:hideMark/>
          </w:tcPr>
          <w:p w14:paraId="66D57668"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10,489</w:t>
            </w:r>
          </w:p>
        </w:tc>
        <w:tc>
          <w:tcPr>
            <w:tcW w:w="1420" w:type="dxa"/>
            <w:tcBorders>
              <w:top w:val="nil"/>
              <w:left w:val="nil"/>
              <w:bottom w:val="nil"/>
              <w:right w:val="nil"/>
            </w:tcBorders>
            <w:shd w:val="clear" w:color="auto" w:fill="auto"/>
            <w:noWrap/>
            <w:vAlign w:val="center"/>
            <w:hideMark/>
          </w:tcPr>
          <w:p w14:paraId="262C6081"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4,942</w:t>
            </w:r>
          </w:p>
        </w:tc>
        <w:tc>
          <w:tcPr>
            <w:tcW w:w="1460" w:type="dxa"/>
            <w:tcBorders>
              <w:top w:val="nil"/>
              <w:left w:val="nil"/>
              <w:bottom w:val="nil"/>
              <w:right w:val="nil"/>
            </w:tcBorders>
            <w:shd w:val="clear" w:color="auto" w:fill="auto"/>
            <w:noWrap/>
            <w:vAlign w:val="center"/>
            <w:hideMark/>
          </w:tcPr>
          <w:p w14:paraId="0F7EFDD9"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5,547</w:t>
            </w:r>
          </w:p>
        </w:tc>
        <w:tc>
          <w:tcPr>
            <w:tcW w:w="1360" w:type="dxa"/>
            <w:tcBorders>
              <w:top w:val="nil"/>
              <w:left w:val="nil"/>
              <w:bottom w:val="nil"/>
              <w:right w:val="nil"/>
            </w:tcBorders>
            <w:shd w:val="clear" w:color="auto" w:fill="auto"/>
            <w:noWrap/>
            <w:vAlign w:val="center"/>
            <w:hideMark/>
          </w:tcPr>
          <w:p w14:paraId="15DD1E2A"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3,603</w:t>
            </w:r>
          </w:p>
        </w:tc>
        <w:tc>
          <w:tcPr>
            <w:tcW w:w="1360" w:type="dxa"/>
            <w:tcBorders>
              <w:top w:val="nil"/>
              <w:left w:val="nil"/>
              <w:bottom w:val="nil"/>
              <w:right w:val="nil"/>
            </w:tcBorders>
            <w:shd w:val="clear" w:color="auto" w:fill="auto"/>
            <w:noWrap/>
            <w:vAlign w:val="center"/>
            <w:hideMark/>
          </w:tcPr>
          <w:p w14:paraId="5EDAEACD"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6,886 </w:t>
            </w:r>
          </w:p>
        </w:tc>
      </w:tr>
      <w:tr w:rsidR="00585463" w:rsidRPr="00585463" w14:paraId="6870AB99" w14:textId="77777777" w:rsidTr="00585463">
        <w:trPr>
          <w:trHeight w:val="288"/>
        </w:trPr>
        <w:tc>
          <w:tcPr>
            <w:tcW w:w="3660" w:type="dxa"/>
            <w:gridSpan w:val="2"/>
            <w:tcBorders>
              <w:top w:val="nil"/>
              <w:left w:val="nil"/>
              <w:bottom w:val="nil"/>
              <w:right w:val="nil"/>
            </w:tcBorders>
            <w:shd w:val="clear" w:color="auto" w:fill="auto"/>
            <w:noWrap/>
            <w:vAlign w:val="center"/>
            <w:hideMark/>
          </w:tcPr>
          <w:p w14:paraId="231C71A1"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Weak-identification test</w:t>
            </w:r>
          </w:p>
        </w:tc>
        <w:tc>
          <w:tcPr>
            <w:tcW w:w="1420" w:type="dxa"/>
            <w:tcBorders>
              <w:top w:val="nil"/>
              <w:left w:val="nil"/>
              <w:bottom w:val="nil"/>
              <w:right w:val="nil"/>
            </w:tcBorders>
            <w:shd w:val="clear" w:color="auto" w:fill="auto"/>
            <w:noWrap/>
            <w:vAlign w:val="center"/>
            <w:hideMark/>
          </w:tcPr>
          <w:p w14:paraId="153FF3B3" w14:textId="77777777" w:rsidR="00585463" w:rsidRPr="00585463" w:rsidRDefault="00585463" w:rsidP="00585463">
            <w:pPr>
              <w:spacing w:after="0" w:line="240" w:lineRule="auto"/>
              <w:rPr>
                <w:rFonts w:ascii="Calibri" w:eastAsia="Times New Roman" w:hAnsi="Calibri" w:cs="Calibri"/>
                <w:color w:val="000000"/>
                <w:sz w:val="22"/>
              </w:rPr>
            </w:pPr>
          </w:p>
        </w:tc>
        <w:tc>
          <w:tcPr>
            <w:tcW w:w="1460" w:type="dxa"/>
            <w:tcBorders>
              <w:top w:val="nil"/>
              <w:left w:val="nil"/>
              <w:bottom w:val="nil"/>
              <w:right w:val="nil"/>
            </w:tcBorders>
            <w:shd w:val="clear" w:color="auto" w:fill="auto"/>
            <w:noWrap/>
            <w:vAlign w:val="center"/>
            <w:hideMark/>
          </w:tcPr>
          <w:p w14:paraId="5174D512" w14:textId="77777777" w:rsidR="00585463" w:rsidRPr="00585463" w:rsidRDefault="00585463" w:rsidP="00585463">
            <w:pPr>
              <w:spacing w:after="0" w:line="240" w:lineRule="auto"/>
              <w:jc w:val="center"/>
              <w:rPr>
                <w:rFonts w:eastAsia="Times New Roman" w:cs="Times New Roman"/>
                <w:sz w:val="20"/>
                <w:szCs w:val="20"/>
              </w:rPr>
            </w:pPr>
          </w:p>
        </w:tc>
        <w:tc>
          <w:tcPr>
            <w:tcW w:w="1360" w:type="dxa"/>
            <w:tcBorders>
              <w:top w:val="nil"/>
              <w:left w:val="nil"/>
              <w:bottom w:val="nil"/>
              <w:right w:val="nil"/>
            </w:tcBorders>
            <w:shd w:val="clear" w:color="auto" w:fill="auto"/>
            <w:noWrap/>
            <w:vAlign w:val="center"/>
            <w:hideMark/>
          </w:tcPr>
          <w:p w14:paraId="0A1EF27A" w14:textId="77777777" w:rsidR="00585463" w:rsidRPr="00585463" w:rsidRDefault="00585463" w:rsidP="00585463">
            <w:pPr>
              <w:spacing w:after="0" w:line="240" w:lineRule="auto"/>
              <w:jc w:val="center"/>
              <w:rPr>
                <w:rFonts w:eastAsia="Times New Roman" w:cs="Times New Roman"/>
                <w:sz w:val="20"/>
                <w:szCs w:val="20"/>
              </w:rPr>
            </w:pPr>
          </w:p>
        </w:tc>
        <w:tc>
          <w:tcPr>
            <w:tcW w:w="1360" w:type="dxa"/>
            <w:tcBorders>
              <w:top w:val="nil"/>
              <w:left w:val="nil"/>
              <w:bottom w:val="nil"/>
              <w:right w:val="nil"/>
            </w:tcBorders>
            <w:shd w:val="clear" w:color="auto" w:fill="auto"/>
            <w:noWrap/>
            <w:vAlign w:val="center"/>
            <w:hideMark/>
          </w:tcPr>
          <w:p w14:paraId="6048EB1D" w14:textId="77777777" w:rsidR="00585463" w:rsidRPr="00585463" w:rsidRDefault="00585463" w:rsidP="00585463">
            <w:pPr>
              <w:spacing w:after="0" w:line="240" w:lineRule="auto"/>
              <w:jc w:val="center"/>
              <w:rPr>
                <w:rFonts w:eastAsia="Times New Roman" w:cs="Times New Roman"/>
                <w:sz w:val="20"/>
                <w:szCs w:val="20"/>
              </w:rPr>
            </w:pPr>
          </w:p>
        </w:tc>
      </w:tr>
      <w:tr w:rsidR="00585463" w:rsidRPr="00585463" w14:paraId="5777255E" w14:textId="77777777" w:rsidTr="00585463">
        <w:trPr>
          <w:trHeight w:val="408"/>
        </w:trPr>
        <w:tc>
          <w:tcPr>
            <w:tcW w:w="2260" w:type="dxa"/>
            <w:tcBorders>
              <w:top w:val="nil"/>
              <w:left w:val="nil"/>
              <w:bottom w:val="nil"/>
              <w:right w:val="nil"/>
            </w:tcBorders>
            <w:shd w:val="clear" w:color="auto" w:fill="auto"/>
            <w:vAlign w:val="center"/>
            <w:hideMark/>
          </w:tcPr>
          <w:p w14:paraId="4573F448" w14:textId="77777777" w:rsidR="00585463" w:rsidRPr="00585463" w:rsidRDefault="00585463" w:rsidP="00585463">
            <w:pPr>
              <w:spacing w:after="0" w:line="240" w:lineRule="auto"/>
              <w:ind w:left="317" w:hanging="317"/>
              <w:rPr>
                <w:rFonts w:ascii="Calibri" w:eastAsia="Times New Roman" w:hAnsi="Calibri" w:cs="Calibri"/>
                <w:color w:val="000000"/>
                <w:sz w:val="22"/>
              </w:rPr>
            </w:pPr>
            <w:r w:rsidRPr="00585463">
              <w:rPr>
                <w:rFonts w:ascii="Calibri" w:eastAsia="Times New Roman" w:hAnsi="Calibri" w:cs="Calibri"/>
                <w:color w:val="000000"/>
                <w:sz w:val="22"/>
              </w:rPr>
              <w:t xml:space="preserve">     Kleibergen-Paap F Statistic</w:t>
            </w:r>
          </w:p>
        </w:tc>
        <w:tc>
          <w:tcPr>
            <w:tcW w:w="1400" w:type="dxa"/>
            <w:tcBorders>
              <w:top w:val="nil"/>
              <w:left w:val="nil"/>
              <w:bottom w:val="nil"/>
              <w:right w:val="nil"/>
            </w:tcBorders>
            <w:shd w:val="clear" w:color="auto" w:fill="auto"/>
            <w:noWrap/>
            <w:vAlign w:val="center"/>
            <w:hideMark/>
          </w:tcPr>
          <w:p w14:paraId="0C6F56FC"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17.056</w:t>
            </w:r>
          </w:p>
        </w:tc>
        <w:tc>
          <w:tcPr>
            <w:tcW w:w="1420" w:type="dxa"/>
            <w:tcBorders>
              <w:top w:val="nil"/>
              <w:left w:val="nil"/>
              <w:bottom w:val="nil"/>
              <w:right w:val="nil"/>
            </w:tcBorders>
            <w:shd w:val="clear" w:color="auto" w:fill="auto"/>
            <w:noWrap/>
            <w:vAlign w:val="center"/>
            <w:hideMark/>
          </w:tcPr>
          <w:p w14:paraId="2668B972"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3.229</w:t>
            </w:r>
          </w:p>
        </w:tc>
        <w:tc>
          <w:tcPr>
            <w:tcW w:w="1460" w:type="dxa"/>
            <w:tcBorders>
              <w:top w:val="nil"/>
              <w:left w:val="nil"/>
              <w:bottom w:val="nil"/>
              <w:right w:val="nil"/>
            </w:tcBorders>
            <w:shd w:val="clear" w:color="auto" w:fill="auto"/>
            <w:noWrap/>
            <w:vAlign w:val="center"/>
            <w:hideMark/>
          </w:tcPr>
          <w:p w14:paraId="1A9F1139"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16.499</w:t>
            </w:r>
          </w:p>
        </w:tc>
        <w:tc>
          <w:tcPr>
            <w:tcW w:w="1360" w:type="dxa"/>
            <w:tcBorders>
              <w:top w:val="nil"/>
              <w:left w:val="nil"/>
              <w:bottom w:val="nil"/>
              <w:right w:val="nil"/>
            </w:tcBorders>
            <w:shd w:val="clear" w:color="auto" w:fill="auto"/>
            <w:noWrap/>
            <w:vAlign w:val="center"/>
            <w:hideMark/>
          </w:tcPr>
          <w:p w14:paraId="63648422"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10.771</w:t>
            </w:r>
          </w:p>
        </w:tc>
        <w:tc>
          <w:tcPr>
            <w:tcW w:w="1360" w:type="dxa"/>
            <w:tcBorders>
              <w:top w:val="nil"/>
              <w:left w:val="nil"/>
              <w:bottom w:val="nil"/>
              <w:right w:val="nil"/>
            </w:tcBorders>
            <w:shd w:val="clear" w:color="auto" w:fill="auto"/>
            <w:noWrap/>
            <w:vAlign w:val="center"/>
            <w:hideMark/>
          </w:tcPr>
          <w:p w14:paraId="222DF0AF"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13.946</w:t>
            </w:r>
          </w:p>
        </w:tc>
      </w:tr>
      <w:tr w:rsidR="00585463" w:rsidRPr="00585463" w14:paraId="4FCFBFA9" w14:textId="77777777" w:rsidTr="00585463">
        <w:trPr>
          <w:trHeight w:val="288"/>
        </w:trPr>
        <w:tc>
          <w:tcPr>
            <w:tcW w:w="3660" w:type="dxa"/>
            <w:gridSpan w:val="2"/>
            <w:tcBorders>
              <w:top w:val="nil"/>
              <w:left w:val="nil"/>
              <w:bottom w:val="nil"/>
              <w:right w:val="nil"/>
            </w:tcBorders>
            <w:shd w:val="clear" w:color="auto" w:fill="auto"/>
            <w:noWrap/>
            <w:vAlign w:val="center"/>
            <w:hideMark/>
          </w:tcPr>
          <w:p w14:paraId="10E15F0B" w14:textId="77777777" w:rsidR="00585463" w:rsidRPr="00585463" w:rsidRDefault="00585463" w:rsidP="00585463">
            <w:pPr>
              <w:spacing w:after="0" w:line="240" w:lineRule="auto"/>
              <w:rPr>
                <w:rFonts w:ascii="Calibri" w:eastAsia="Times New Roman" w:hAnsi="Calibri" w:cs="Calibri"/>
                <w:color w:val="000000"/>
                <w:sz w:val="22"/>
              </w:rPr>
            </w:pPr>
            <w:bookmarkStart w:id="31" w:name="_Hlk39031931"/>
            <w:r w:rsidRPr="00585463">
              <w:rPr>
                <w:rFonts w:ascii="Calibri" w:eastAsia="Times New Roman" w:hAnsi="Calibri" w:cs="Calibri"/>
                <w:color w:val="000000"/>
                <w:sz w:val="22"/>
              </w:rPr>
              <w:t>Over-identification test</w:t>
            </w:r>
            <w:bookmarkEnd w:id="31"/>
          </w:p>
        </w:tc>
        <w:tc>
          <w:tcPr>
            <w:tcW w:w="1420" w:type="dxa"/>
            <w:tcBorders>
              <w:top w:val="nil"/>
              <w:left w:val="nil"/>
              <w:bottom w:val="nil"/>
              <w:right w:val="nil"/>
            </w:tcBorders>
            <w:shd w:val="clear" w:color="auto" w:fill="auto"/>
            <w:noWrap/>
            <w:vAlign w:val="center"/>
            <w:hideMark/>
          </w:tcPr>
          <w:p w14:paraId="3107DEF2" w14:textId="77777777" w:rsidR="00585463" w:rsidRPr="00585463" w:rsidRDefault="00585463" w:rsidP="00585463">
            <w:pPr>
              <w:spacing w:after="0" w:line="240" w:lineRule="auto"/>
              <w:rPr>
                <w:rFonts w:ascii="Calibri" w:eastAsia="Times New Roman" w:hAnsi="Calibri" w:cs="Calibri"/>
                <w:color w:val="000000"/>
                <w:sz w:val="22"/>
              </w:rPr>
            </w:pPr>
          </w:p>
        </w:tc>
        <w:tc>
          <w:tcPr>
            <w:tcW w:w="1460" w:type="dxa"/>
            <w:tcBorders>
              <w:top w:val="nil"/>
              <w:left w:val="nil"/>
              <w:bottom w:val="nil"/>
              <w:right w:val="nil"/>
            </w:tcBorders>
            <w:shd w:val="clear" w:color="auto" w:fill="auto"/>
            <w:noWrap/>
            <w:vAlign w:val="center"/>
            <w:hideMark/>
          </w:tcPr>
          <w:p w14:paraId="1600BB5D" w14:textId="77777777" w:rsidR="00585463" w:rsidRPr="00585463" w:rsidRDefault="00585463" w:rsidP="00585463">
            <w:pPr>
              <w:spacing w:after="0" w:line="240" w:lineRule="auto"/>
              <w:jc w:val="center"/>
              <w:rPr>
                <w:rFonts w:eastAsia="Times New Roman" w:cs="Times New Roman"/>
                <w:sz w:val="20"/>
                <w:szCs w:val="20"/>
              </w:rPr>
            </w:pPr>
          </w:p>
        </w:tc>
        <w:tc>
          <w:tcPr>
            <w:tcW w:w="1360" w:type="dxa"/>
            <w:tcBorders>
              <w:top w:val="nil"/>
              <w:left w:val="nil"/>
              <w:bottom w:val="nil"/>
              <w:right w:val="nil"/>
            </w:tcBorders>
            <w:shd w:val="clear" w:color="auto" w:fill="auto"/>
            <w:noWrap/>
            <w:vAlign w:val="center"/>
            <w:hideMark/>
          </w:tcPr>
          <w:p w14:paraId="3520A345" w14:textId="77777777" w:rsidR="00585463" w:rsidRPr="00585463" w:rsidRDefault="00585463" w:rsidP="00585463">
            <w:pPr>
              <w:spacing w:after="0" w:line="240" w:lineRule="auto"/>
              <w:jc w:val="center"/>
              <w:rPr>
                <w:rFonts w:eastAsia="Times New Roman" w:cs="Times New Roman"/>
                <w:sz w:val="20"/>
                <w:szCs w:val="20"/>
              </w:rPr>
            </w:pPr>
          </w:p>
        </w:tc>
        <w:tc>
          <w:tcPr>
            <w:tcW w:w="1360" w:type="dxa"/>
            <w:tcBorders>
              <w:top w:val="nil"/>
              <w:left w:val="nil"/>
              <w:bottom w:val="nil"/>
              <w:right w:val="nil"/>
            </w:tcBorders>
            <w:shd w:val="clear" w:color="auto" w:fill="auto"/>
            <w:noWrap/>
            <w:vAlign w:val="center"/>
            <w:hideMark/>
          </w:tcPr>
          <w:p w14:paraId="402468A8" w14:textId="77777777" w:rsidR="00585463" w:rsidRPr="00585463" w:rsidRDefault="00585463" w:rsidP="00585463">
            <w:pPr>
              <w:spacing w:after="0" w:line="240" w:lineRule="auto"/>
              <w:jc w:val="center"/>
              <w:rPr>
                <w:rFonts w:eastAsia="Times New Roman" w:cs="Times New Roman"/>
                <w:sz w:val="20"/>
                <w:szCs w:val="20"/>
              </w:rPr>
            </w:pPr>
          </w:p>
        </w:tc>
      </w:tr>
      <w:tr w:rsidR="00585463" w:rsidRPr="00585463" w14:paraId="3526860C" w14:textId="77777777" w:rsidTr="00585463">
        <w:trPr>
          <w:trHeight w:val="288"/>
        </w:trPr>
        <w:tc>
          <w:tcPr>
            <w:tcW w:w="2260" w:type="dxa"/>
            <w:tcBorders>
              <w:top w:val="nil"/>
              <w:left w:val="nil"/>
              <w:bottom w:val="nil"/>
              <w:right w:val="nil"/>
            </w:tcBorders>
            <w:shd w:val="clear" w:color="auto" w:fill="auto"/>
            <w:noWrap/>
            <w:vAlign w:val="center"/>
            <w:hideMark/>
          </w:tcPr>
          <w:p w14:paraId="6FF88CEF"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 xml:space="preserve">      Hansen J Statistic</w:t>
            </w:r>
          </w:p>
        </w:tc>
        <w:tc>
          <w:tcPr>
            <w:tcW w:w="1400" w:type="dxa"/>
            <w:tcBorders>
              <w:top w:val="nil"/>
              <w:left w:val="nil"/>
              <w:bottom w:val="nil"/>
              <w:right w:val="nil"/>
            </w:tcBorders>
            <w:shd w:val="clear" w:color="auto" w:fill="auto"/>
            <w:noWrap/>
            <w:vAlign w:val="center"/>
            <w:hideMark/>
          </w:tcPr>
          <w:p w14:paraId="2D43A529"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1.264</w:t>
            </w:r>
          </w:p>
        </w:tc>
        <w:tc>
          <w:tcPr>
            <w:tcW w:w="1420" w:type="dxa"/>
            <w:tcBorders>
              <w:top w:val="nil"/>
              <w:left w:val="nil"/>
              <w:bottom w:val="nil"/>
              <w:right w:val="nil"/>
            </w:tcBorders>
            <w:shd w:val="clear" w:color="auto" w:fill="auto"/>
            <w:noWrap/>
            <w:vAlign w:val="center"/>
            <w:hideMark/>
          </w:tcPr>
          <w:p w14:paraId="1723E4F2"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0.909</w:t>
            </w:r>
          </w:p>
        </w:tc>
        <w:tc>
          <w:tcPr>
            <w:tcW w:w="1460" w:type="dxa"/>
            <w:tcBorders>
              <w:top w:val="nil"/>
              <w:left w:val="nil"/>
              <w:bottom w:val="nil"/>
              <w:right w:val="nil"/>
            </w:tcBorders>
            <w:shd w:val="clear" w:color="auto" w:fill="auto"/>
            <w:noWrap/>
            <w:vAlign w:val="center"/>
            <w:hideMark/>
          </w:tcPr>
          <w:p w14:paraId="5712E397"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0.210</w:t>
            </w:r>
          </w:p>
        </w:tc>
        <w:tc>
          <w:tcPr>
            <w:tcW w:w="1360" w:type="dxa"/>
            <w:tcBorders>
              <w:top w:val="nil"/>
              <w:left w:val="nil"/>
              <w:bottom w:val="nil"/>
              <w:right w:val="nil"/>
            </w:tcBorders>
            <w:shd w:val="clear" w:color="auto" w:fill="auto"/>
            <w:noWrap/>
            <w:vAlign w:val="center"/>
            <w:hideMark/>
          </w:tcPr>
          <w:p w14:paraId="0AB2033B"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1.925</w:t>
            </w:r>
          </w:p>
        </w:tc>
        <w:tc>
          <w:tcPr>
            <w:tcW w:w="1360" w:type="dxa"/>
            <w:tcBorders>
              <w:top w:val="nil"/>
              <w:left w:val="nil"/>
              <w:bottom w:val="nil"/>
              <w:right w:val="nil"/>
            </w:tcBorders>
            <w:shd w:val="clear" w:color="auto" w:fill="auto"/>
            <w:noWrap/>
            <w:vAlign w:val="center"/>
            <w:hideMark/>
          </w:tcPr>
          <w:p w14:paraId="6A32AD12"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0.002</w:t>
            </w:r>
          </w:p>
        </w:tc>
      </w:tr>
      <w:tr w:rsidR="00585463" w:rsidRPr="00585463" w14:paraId="1F91EFD7" w14:textId="77777777" w:rsidTr="00585463">
        <w:trPr>
          <w:trHeight w:val="300"/>
        </w:trPr>
        <w:tc>
          <w:tcPr>
            <w:tcW w:w="2260" w:type="dxa"/>
            <w:tcBorders>
              <w:top w:val="nil"/>
              <w:left w:val="nil"/>
              <w:bottom w:val="double" w:sz="6" w:space="0" w:color="auto"/>
              <w:right w:val="nil"/>
            </w:tcBorders>
            <w:shd w:val="clear" w:color="auto" w:fill="auto"/>
            <w:noWrap/>
            <w:vAlign w:val="center"/>
            <w:hideMark/>
          </w:tcPr>
          <w:p w14:paraId="21F15387"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 xml:space="preserve">      P-values for J test </w:t>
            </w:r>
          </w:p>
        </w:tc>
        <w:tc>
          <w:tcPr>
            <w:tcW w:w="1400" w:type="dxa"/>
            <w:tcBorders>
              <w:top w:val="nil"/>
              <w:left w:val="nil"/>
              <w:bottom w:val="double" w:sz="6" w:space="0" w:color="auto"/>
              <w:right w:val="nil"/>
            </w:tcBorders>
            <w:shd w:val="clear" w:color="auto" w:fill="auto"/>
            <w:noWrap/>
            <w:vAlign w:val="center"/>
            <w:hideMark/>
          </w:tcPr>
          <w:p w14:paraId="421E1B5D"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0.261</w:t>
            </w:r>
          </w:p>
        </w:tc>
        <w:tc>
          <w:tcPr>
            <w:tcW w:w="1420" w:type="dxa"/>
            <w:tcBorders>
              <w:top w:val="nil"/>
              <w:left w:val="nil"/>
              <w:bottom w:val="double" w:sz="6" w:space="0" w:color="auto"/>
              <w:right w:val="nil"/>
            </w:tcBorders>
            <w:shd w:val="clear" w:color="auto" w:fill="auto"/>
            <w:noWrap/>
            <w:vAlign w:val="center"/>
            <w:hideMark/>
          </w:tcPr>
          <w:p w14:paraId="180C96E7"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0.341</w:t>
            </w:r>
          </w:p>
        </w:tc>
        <w:tc>
          <w:tcPr>
            <w:tcW w:w="1460" w:type="dxa"/>
            <w:tcBorders>
              <w:top w:val="nil"/>
              <w:left w:val="nil"/>
              <w:bottom w:val="double" w:sz="6" w:space="0" w:color="auto"/>
              <w:right w:val="nil"/>
            </w:tcBorders>
            <w:shd w:val="clear" w:color="auto" w:fill="auto"/>
            <w:noWrap/>
            <w:vAlign w:val="center"/>
            <w:hideMark/>
          </w:tcPr>
          <w:p w14:paraId="3605E6C6"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0.647</w:t>
            </w:r>
          </w:p>
        </w:tc>
        <w:tc>
          <w:tcPr>
            <w:tcW w:w="1360" w:type="dxa"/>
            <w:tcBorders>
              <w:top w:val="nil"/>
              <w:left w:val="nil"/>
              <w:bottom w:val="double" w:sz="6" w:space="0" w:color="auto"/>
              <w:right w:val="nil"/>
            </w:tcBorders>
            <w:shd w:val="clear" w:color="auto" w:fill="auto"/>
            <w:noWrap/>
            <w:vAlign w:val="center"/>
            <w:hideMark/>
          </w:tcPr>
          <w:p w14:paraId="1B72FF04"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0.165</w:t>
            </w:r>
          </w:p>
        </w:tc>
        <w:tc>
          <w:tcPr>
            <w:tcW w:w="1360" w:type="dxa"/>
            <w:tcBorders>
              <w:top w:val="nil"/>
              <w:left w:val="nil"/>
              <w:bottom w:val="double" w:sz="6" w:space="0" w:color="auto"/>
              <w:right w:val="nil"/>
            </w:tcBorders>
            <w:shd w:val="clear" w:color="auto" w:fill="auto"/>
            <w:noWrap/>
            <w:vAlign w:val="center"/>
            <w:hideMark/>
          </w:tcPr>
          <w:p w14:paraId="25AE0210"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0.961</w:t>
            </w:r>
          </w:p>
        </w:tc>
      </w:tr>
    </w:tbl>
    <w:p w14:paraId="5A335305" w14:textId="5CA15709" w:rsidR="004C49E8" w:rsidRDefault="00CE1001" w:rsidP="00CE1001">
      <w:r w:rsidRPr="00F005DC">
        <w:rPr>
          <w:i/>
          <w:iCs/>
        </w:rPr>
        <w:t>Notes</w:t>
      </w:r>
      <w:r>
        <w:t>: All columns control for all demographic characteristics</w:t>
      </w:r>
      <w:r w:rsidR="004C49E8">
        <w:t xml:space="preserve"> and all fixed effects</w:t>
      </w:r>
      <w:r>
        <w:t xml:space="preserve">. </w:t>
      </w:r>
    </w:p>
    <w:p w14:paraId="19CD7135" w14:textId="1E8F5F42" w:rsidR="00264FA3" w:rsidRDefault="00CE1001" w:rsidP="00337A9F">
      <w:pPr>
        <w:rPr>
          <w:rFonts w:cs="Times New Roman"/>
          <w:szCs w:val="24"/>
          <w:lang w:val="en-US"/>
        </w:rPr>
      </w:pPr>
      <w:r>
        <w:t xml:space="preserve">***p&lt;0.01, **p&lt;0.05. *p&lt;0.1. </w:t>
      </w:r>
    </w:p>
    <w:p w14:paraId="3CA065AB" w14:textId="77777777" w:rsidR="00DB2B31" w:rsidRPr="009C68FA" w:rsidRDefault="00DB2B31" w:rsidP="00337A9F">
      <w:pPr>
        <w:rPr>
          <w:rFonts w:cs="Times New Roman"/>
          <w:szCs w:val="24"/>
          <w:lang w:val="en-US"/>
        </w:rPr>
      </w:pPr>
    </w:p>
    <w:p w14:paraId="173F0D7A" w14:textId="16B32BEA" w:rsidR="00B6507E" w:rsidRDefault="00B6507E" w:rsidP="004A6FA2">
      <w:pPr>
        <w:spacing w:line="360" w:lineRule="auto"/>
        <w:ind w:firstLine="567"/>
        <w:jc w:val="both"/>
      </w:pPr>
      <w:r w:rsidRPr="00B6507E">
        <w:lastRenderedPageBreak/>
        <w:t xml:space="preserve">Table 7 provides OLS and 2SLS estimates of self-reported health. The first column contains all the samples, while the rest of the columns are the subsample including male, female, urban, and rural. Panel A reports the OLS estimator, and it shows that education and self-reported health are statistically positive correlated at 1% significant level, and each additional year of education will increase the likelihood of reporting excellent or good health by 0.8 percentage points in column (1). The coefficients of subsamples are consistent with the overall effect. Panel B shows results for the 2SLS regression, and column (1) demonstrates that one more year of schooling increase the </w:t>
      </w:r>
      <w:r w:rsidR="0066434C">
        <w:t>possibility</w:t>
      </w:r>
      <w:r w:rsidRPr="00B6507E">
        <w:t xml:space="preserve"> of reporting excellent or good health by about 6.9 percentage points at the 5% significance level, which is about 8 times large the OLS estimator. Comparing with other subsamples, the overall effect is mainly driven by females because the only female has statistically significant results.</w:t>
      </w:r>
      <w:r w:rsidR="00927E96">
        <w:rPr>
          <w:rStyle w:val="FootnoteReference"/>
        </w:rPr>
        <w:footnoteReference w:id="3"/>
      </w:r>
      <w:r w:rsidR="00D03777">
        <w:t xml:space="preserve"> </w:t>
      </w:r>
    </w:p>
    <w:p w14:paraId="22E39BE4" w14:textId="51EA6069" w:rsidR="00DB2B31" w:rsidRPr="00172C9B" w:rsidRDefault="00B6507E" w:rsidP="004A6FA2">
      <w:pPr>
        <w:spacing w:line="360" w:lineRule="auto"/>
        <w:ind w:firstLine="567"/>
        <w:jc w:val="both"/>
        <w:rPr>
          <w:rFonts w:asciiTheme="majorHAnsi" w:eastAsiaTheme="majorEastAsia" w:hAnsiTheme="majorHAnsi" w:cstheme="majorBidi"/>
          <w:szCs w:val="24"/>
        </w:rPr>
      </w:pPr>
      <w:r w:rsidRPr="00B6507E">
        <w:rPr>
          <w:rFonts w:cs="Times New Roman"/>
          <w:szCs w:val="24"/>
        </w:rPr>
        <w:t xml:space="preserve">In the bottom of each column, weak instrumental variable F tests and Hansen over-identification tests are reported for the instrument variable. To test weak instruments, the Kleibergen-Paap </w:t>
      </w:r>
      <w:proofErr w:type="spellStart"/>
      <w:r w:rsidRPr="00B6507E">
        <w:rPr>
          <w:rFonts w:cs="Times New Roman"/>
          <w:szCs w:val="24"/>
        </w:rPr>
        <w:t>rk</w:t>
      </w:r>
      <w:proofErr w:type="spellEnd"/>
      <w:r w:rsidRPr="00B6507E">
        <w:rPr>
          <w:rFonts w:cs="Times New Roman"/>
          <w:szCs w:val="24"/>
        </w:rPr>
        <w:t xml:space="preserve"> Wald F statistic can examine the significance of the instrument, and the typical rule of thumb is that the F statistic is greater than 10. The result indicates that they all meet the rule of thumb, which means that the instrument variable is not weak, except column (2), which suggests that the instrument in males is weak and less relevant to the education. On the other hand, if the p-value for the over-identification J test is less than 0.05, it will reject the null that the instrument variable is uncorrected with the error term, which is not reliable. Table 7 implies that all the instruments are reliable.</w:t>
      </w:r>
      <w:r w:rsidR="00DB2B31" w:rsidRPr="00172C9B">
        <w:br w:type="page"/>
      </w:r>
    </w:p>
    <w:p w14:paraId="0E83AC48" w14:textId="28AA9837" w:rsidR="00937AA6" w:rsidRPr="00DB2B31" w:rsidRDefault="008F7B1E" w:rsidP="00DB2B31">
      <w:pPr>
        <w:pStyle w:val="Heading3"/>
        <w:spacing w:line="360" w:lineRule="auto"/>
      </w:pPr>
      <w:bookmarkStart w:id="32" w:name="_Toc41312374"/>
      <w:r>
        <w:lastRenderedPageBreak/>
        <w:t>5</w:t>
      </w:r>
      <w:r w:rsidR="00937AA6">
        <w:t>.2</w:t>
      </w:r>
      <w:r>
        <w:t>.2</w:t>
      </w:r>
      <w:r w:rsidR="00937AA6">
        <w:t xml:space="preserve"> Effect of education on BMI</w:t>
      </w:r>
      <w:r w:rsidR="00F431A3">
        <w:t>-related variables</w:t>
      </w:r>
      <w:bookmarkEnd w:id="32"/>
    </w:p>
    <w:p w14:paraId="22EE9B33" w14:textId="3F5DA282" w:rsidR="00462BC5" w:rsidRDefault="00462BC5" w:rsidP="008F7B1E">
      <w:r>
        <w:rPr>
          <w:rFonts w:hint="eastAsia"/>
        </w:rPr>
        <w:t>Ta</w:t>
      </w:r>
      <w:r>
        <w:t xml:space="preserve">ble </w:t>
      </w:r>
      <w:r w:rsidR="00283BCE">
        <w:t>8</w:t>
      </w:r>
      <w:r>
        <w:t>. Results of education on BMI</w:t>
      </w:r>
    </w:p>
    <w:tbl>
      <w:tblPr>
        <w:tblW w:w="9084" w:type="dxa"/>
        <w:tblLook w:val="04A0" w:firstRow="1" w:lastRow="0" w:firstColumn="1" w:lastColumn="0" w:noHBand="0" w:noVBand="1"/>
      </w:tblPr>
      <w:tblGrid>
        <w:gridCol w:w="2595"/>
        <w:gridCol w:w="1362"/>
        <w:gridCol w:w="1234"/>
        <w:gridCol w:w="1319"/>
        <w:gridCol w:w="1340"/>
        <w:gridCol w:w="1234"/>
      </w:tblGrid>
      <w:tr w:rsidR="009616FA" w:rsidRPr="009616FA" w14:paraId="329D185B" w14:textId="77777777" w:rsidTr="009616FA">
        <w:trPr>
          <w:trHeight w:val="234"/>
        </w:trPr>
        <w:tc>
          <w:tcPr>
            <w:tcW w:w="2595" w:type="dxa"/>
            <w:tcBorders>
              <w:top w:val="single" w:sz="4" w:space="0" w:color="auto"/>
              <w:left w:val="nil"/>
              <w:bottom w:val="nil"/>
              <w:right w:val="nil"/>
            </w:tcBorders>
            <w:shd w:val="clear" w:color="auto" w:fill="auto"/>
            <w:noWrap/>
            <w:vAlign w:val="bottom"/>
            <w:hideMark/>
          </w:tcPr>
          <w:p w14:paraId="3C9A7685"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 </w:t>
            </w:r>
          </w:p>
        </w:tc>
        <w:tc>
          <w:tcPr>
            <w:tcW w:w="1361" w:type="dxa"/>
            <w:tcBorders>
              <w:top w:val="single" w:sz="4" w:space="0" w:color="auto"/>
              <w:left w:val="nil"/>
              <w:bottom w:val="nil"/>
              <w:right w:val="nil"/>
            </w:tcBorders>
            <w:shd w:val="clear" w:color="auto" w:fill="auto"/>
            <w:noWrap/>
            <w:vAlign w:val="center"/>
            <w:hideMark/>
          </w:tcPr>
          <w:p w14:paraId="0CC1991F"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w:t>
            </w:r>
          </w:p>
        </w:tc>
        <w:tc>
          <w:tcPr>
            <w:tcW w:w="1234" w:type="dxa"/>
            <w:tcBorders>
              <w:top w:val="single" w:sz="4" w:space="0" w:color="auto"/>
              <w:left w:val="nil"/>
              <w:bottom w:val="nil"/>
              <w:right w:val="nil"/>
            </w:tcBorders>
            <w:shd w:val="clear" w:color="auto" w:fill="auto"/>
            <w:noWrap/>
            <w:vAlign w:val="center"/>
            <w:hideMark/>
          </w:tcPr>
          <w:p w14:paraId="7A1BF4B4"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(2)</w:t>
            </w:r>
          </w:p>
        </w:tc>
        <w:tc>
          <w:tcPr>
            <w:tcW w:w="1319" w:type="dxa"/>
            <w:tcBorders>
              <w:top w:val="single" w:sz="4" w:space="0" w:color="auto"/>
              <w:left w:val="nil"/>
              <w:bottom w:val="nil"/>
              <w:right w:val="nil"/>
            </w:tcBorders>
            <w:shd w:val="clear" w:color="auto" w:fill="auto"/>
            <w:noWrap/>
            <w:vAlign w:val="center"/>
            <w:hideMark/>
          </w:tcPr>
          <w:p w14:paraId="1D87914F"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(3)</w:t>
            </w:r>
          </w:p>
        </w:tc>
        <w:tc>
          <w:tcPr>
            <w:tcW w:w="1340" w:type="dxa"/>
            <w:tcBorders>
              <w:top w:val="single" w:sz="4" w:space="0" w:color="auto"/>
              <w:left w:val="nil"/>
              <w:bottom w:val="nil"/>
              <w:right w:val="nil"/>
            </w:tcBorders>
            <w:shd w:val="clear" w:color="auto" w:fill="auto"/>
            <w:noWrap/>
            <w:vAlign w:val="center"/>
            <w:hideMark/>
          </w:tcPr>
          <w:p w14:paraId="74DE372C"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(4)</w:t>
            </w:r>
          </w:p>
        </w:tc>
        <w:tc>
          <w:tcPr>
            <w:tcW w:w="1234" w:type="dxa"/>
            <w:tcBorders>
              <w:top w:val="single" w:sz="4" w:space="0" w:color="auto"/>
              <w:left w:val="nil"/>
              <w:bottom w:val="nil"/>
              <w:right w:val="nil"/>
            </w:tcBorders>
            <w:shd w:val="clear" w:color="auto" w:fill="auto"/>
            <w:noWrap/>
            <w:vAlign w:val="center"/>
            <w:hideMark/>
          </w:tcPr>
          <w:p w14:paraId="0BF78B06"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(5)</w:t>
            </w:r>
          </w:p>
        </w:tc>
      </w:tr>
      <w:tr w:rsidR="009616FA" w:rsidRPr="009616FA" w14:paraId="33C8B612" w14:textId="77777777" w:rsidTr="009616FA">
        <w:trPr>
          <w:trHeight w:val="253"/>
        </w:trPr>
        <w:tc>
          <w:tcPr>
            <w:tcW w:w="2595" w:type="dxa"/>
            <w:vMerge w:val="restart"/>
            <w:tcBorders>
              <w:top w:val="nil"/>
              <w:left w:val="nil"/>
              <w:bottom w:val="single" w:sz="4" w:space="0" w:color="000000"/>
              <w:right w:val="nil"/>
            </w:tcBorders>
            <w:shd w:val="clear" w:color="auto" w:fill="auto"/>
            <w:noWrap/>
            <w:vAlign w:val="center"/>
            <w:hideMark/>
          </w:tcPr>
          <w:p w14:paraId="4FBC3738"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Variables</w:t>
            </w:r>
          </w:p>
        </w:tc>
        <w:tc>
          <w:tcPr>
            <w:tcW w:w="6489" w:type="dxa"/>
            <w:gridSpan w:val="5"/>
            <w:tcBorders>
              <w:top w:val="nil"/>
              <w:left w:val="nil"/>
              <w:bottom w:val="single" w:sz="4" w:space="0" w:color="auto"/>
              <w:right w:val="nil"/>
            </w:tcBorders>
            <w:shd w:val="clear" w:color="auto" w:fill="auto"/>
            <w:noWrap/>
            <w:vAlign w:val="center"/>
            <w:hideMark/>
          </w:tcPr>
          <w:p w14:paraId="029F4939"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BMI</w:t>
            </w:r>
          </w:p>
        </w:tc>
      </w:tr>
      <w:tr w:rsidR="009616FA" w:rsidRPr="009616FA" w14:paraId="2F0EB7FF" w14:textId="77777777" w:rsidTr="009616FA">
        <w:trPr>
          <w:trHeight w:val="273"/>
        </w:trPr>
        <w:tc>
          <w:tcPr>
            <w:tcW w:w="2595" w:type="dxa"/>
            <w:vMerge/>
            <w:tcBorders>
              <w:top w:val="nil"/>
              <w:left w:val="nil"/>
              <w:bottom w:val="single" w:sz="4" w:space="0" w:color="000000"/>
              <w:right w:val="nil"/>
            </w:tcBorders>
            <w:vAlign w:val="center"/>
            <w:hideMark/>
          </w:tcPr>
          <w:p w14:paraId="35FDAA62" w14:textId="77777777" w:rsidR="009616FA" w:rsidRPr="009616FA" w:rsidRDefault="009616FA" w:rsidP="009616FA">
            <w:pPr>
              <w:spacing w:after="0" w:line="240" w:lineRule="auto"/>
              <w:rPr>
                <w:rFonts w:ascii="Calibri" w:eastAsia="Times New Roman" w:hAnsi="Calibri" w:cs="Calibri"/>
                <w:color w:val="000000"/>
                <w:sz w:val="22"/>
              </w:rPr>
            </w:pPr>
          </w:p>
        </w:tc>
        <w:tc>
          <w:tcPr>
            <w:tcW w:w="1361" w:type="dxa"/>
            <w:tcBorders>
              <w:top w:val="nil"/>
              <w:left w:val="nil"/>
              <w:bottom w:val="single" w:sz="4" w:space="0" w:color="auto"/>
              <w:right w:val="nil"/>
            </w:tcBorders>
            <w:shd w:val="clear" w:color="auto" w:fill="auto"/>
            <w:noWrap/>
            <w:vAlign w:val="center"/>
            <w:hideMark/>
          </w:tcPr>
          <w:p w14:paraId="5F7E33E9"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All Sample</w:t>
            </w:r>
          </w:p>
        </w:tc>
        <w:tc>
          <w:tcPr>
            <w:tcW w:w="1234" w:type="dxa"/>
            <w:tcBorders>
              <w:top w:val="nil"/>
              <w:left w:val="nil"/>
              <w:bottom w:val="single" w:sz="4" w:space="0" w:color="auto"/>
              <w:right w:val="nil"/>
            </w:tcBorders>
            <w:shd w:val="clear" w:color="auto" w:fill="auto"/>
            <w:noWrap/>
            <w:vAlign w:val="center"/>
            <w:hideMark/>
          </w:tcPr>
          <w:p w14:paraId="079A6856"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Male</w:t>
            </w:r>
          </w:p>
        </w:tc>
        <w:tc>
          <w:tcPr>
            <w:tcW w:w="1319" w:type="dxa"/>
            <w:tcBorders>
              <w:top w:val="nil"/>
              <w:left w:val="nil"/>
              <w:bottom w:val="single" w:sz="4" w:space="0" w:color="auto"/>
              <w:right w:val="nil"/>
            </w:tcBorders>
            <w:shd w:val="clear" w:color="auto" w:fill="auto"/>
            <w:noWrap/>
            <w:vAlign w:val="center"/>
            <w:hideMark/>
          </w:tcPr>
          <w:p w14:paraId="49A153EE"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Female</w:t>
            </w:r>
          </w:p>
        </w:tc>
        <w:tc>
          <w:tcPr>
            <w:tcW w:w="1340" w:type="dxa"/>
            <w:tcBorders>
              <w:top w:val="nil"/>
              <w:left w:val="nil"/>
              <w:bottom w:val="single" w:sz="4" w:space="0" w:color="auto"/>
              <w:right w:val="nil"/>
            </w:tcBorders>
            <w:shd w:val="clear" w:color="auto" w:fill="auto"/>
            <w:noWrap/>
            <w:vAlign w:val="center"/>
            <w:hideMark/>
          </w:tcPr>
          <w:p w14:paraId="4D1D9D23"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Urban</w:t>
            </w:r>
          </w:p>
        </w:tc>
        <w:tc>
          <w:tcPr>
            <w:tcW w:w="1234" w:type="dxa"/>
            <w:tcBorders>
              <w:top w:val="nil"/>
              <w:left w:val="nil"/>
              <w:bottom w:val="single" w:sz="4" w:space="0" w:color="auto"/>
              <w:right w:val="nil"/>
            </w:tcBorders>
            <w:shd w:val="clear" w:color="auto" w:fill="auto"/>
            <w:noWrap/>
            <w:vAlign w:val="center"/>
            <w:hideMark/>
          </w:tcPr>
          <w:p w14:paraId="04223317"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Rural</w:t>
            </w:r>
          </w:p>
        </w:tc>
      </w:tr>
      <w:tr w:rsidR="009616FA" w:rsidRPr="009616FA" w14:paraId="5A6BD00F" w14:textId="77777777" w:rsidTr="009616FA">
        <w:trPr>
          <w:trHeight w:val="234"/>
        </w:trPr>
        <w:tc>
          <w:tcPr>
            <w:tcW w:w="3957" w:type="dxa"/>
            <w:gridSpan w:val="2"/>
            <w:tcBorders>
              <w:top w:val="single" w:sz="4" w:space="0" w:color="auto"/>
              <w:left w:val="nil"/>
              <w:bottom w:val="nil"/>
              <w:right w:val="nil"/>
            </w:tcBorders>
            <w:shd w:val="clear" w:color="auto" w:fill="auto"/>
            <w:noWrap/>
            <w:vAlign w:val="center"/>
            <w:hideMark/>
          </w:tcPr>
          <w:p w14:paraId="62B585C8" w14:textId="77777777" w:rsidR="009616FA" w:rsidRPr="009616FA" w:rsidRDefault="009616FA" w:rsidP="009616FA">
            <w:pPr>
              <w:spacing w:after="0" w:line="240" w:lineRule="auto"/>
              <w:rPr>
                <w:rFonts w:ascii="Calibri" w:eastAsia="Times New Roman" w:hAnsi="Calibri" w:cs="Calibri"/>
                <w:b/>
                <w:bCs/>
                <w:color w:val="000000"/>
                <w:sz w:val="22"/>
              </w:rPr>
            </w:pPr>
            <w:r w:rsidRPr="009616FA">
              <w:rPr>
                <w:rFonts w:ascii="Calibri" w:eastAsia="Times New Roman" w:hAnsi="Calibri" w:cs="Calibri"/>
                <w:b/>
                <w:bCs/>
                <w:color w:val="000000"/>
                <w:sz w:val="22"/>
              </w:rPr>
              <w:t>Panel A. OLS Estimation</w:t>
            </w:r>
          </w:p>
        </w:tc>
        <w:tc>
          <w:tcPr>
            <w:tcW w:w="1234" w:type="dxa"/>
            <w:tcBorders>
              <w:top w:val="nil"/>
              <w:left w:val="nil"/>
              <w:bottom w:val="nil"/>
              <w:right w:val="nil"/>
            </w:tcBorders>
            <w:shd w:val="clear" w:color="auto" w:fill="auto"/>
            <w:noWrap/>
            <w:vAlign w:val="center"/>
            <w:hideMark/>
          </w:tcPr>
          <w:p w14:paraId="68DA22D2" w14:textId="77777777" w:rsidR="009616FA" w:rsidRPr="009616FA" w:rsidRDefault="009616FA" w:rsidP="009616FA">
            <w:pPr>
              <w:spacing w:after="0" w:line="240" w:lineRule="auto"/>
              <w:rPr>
                <w:rFonts w:ascii="Calibri" w:eastAsia="Times New Roman" w:hAnsi="Calibri" w:cs="Calibri"/>
                <w:b/>
                <w:bCs/>
                <w:color w:val="000000"/>
                <w:sz w:val="22"/>
              </w:rPr>
            </w:pPr>
          </w:p>
        </w:tc>
        <w:tc>
          <w:tcPr>
            <w:tcW w:w="1319" w:type="dxa"/>
            <w:tcBorders>
              <w:top w:val="nil"/>
              <w:left w:val="nil"/>
              <w:bottom w:val="nil"/>
              <w:right w:val="nil"/>
            </w:tcBorders>
            <w:shd w:val="clear" w:color="auto" w:fill="auto"/>
            <w:noWrap/>
            <w:vAlign w:val="center"/>
            <w:hideMark/>
          </w:tcPr>
          <w:p w14:paraId="1376B1FA" w14:textId="77777777" w:rsidR="009616FA" w:rsidRPr="009616FA" w:rsidRDefault="009616FA" w:rsidP="009616FA">
            <w:pPr>
              <w:spacing w:after="0" w:line="240" w:lineRule="auto"/>
              <w:rPr>
                <w:rFonts w:eastAsia="Times New Roman" w:cs="Times New Roman"/>
                <w:sz w:val="20"/>
                <w:szCs w:val="20"/>
              </w:rPr>
            </w:pPr>
          </w:p>
        </w:tc>
        <w:tc>
          <w:tcPr>
            <w:tcW w:w="1340" w:type="dxa"/>
            <w:tcBorders>
              <w:top w:val="nil"/>
              <w:left w:val="nil"/>
              <w:bottom w:val="nil"/>
              <w:right w:val="nil"/>
            </w:tcBorders>
            <w:shd w:val="clear" w:color="auto" w:fill="auto"/>
            <w:noWrap/>
            <w:vAlign w:val="center"/>
            <w:hideMark/>
          </w:tcPr>
          <w:p w14:paraId="4B967593"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c>
          <w:tcPr>
            <w:tcW w:w="1234" w:type="dxa"/>
            <w:tcBorders>
              <w:top w:val="nil"/>
              <w:left w:val="nil"/>
              <w:bottom w:val="nil"/>
              <w:right w:val="nil"/>
            </w:tcBorders>
            <w:shd w:val="clear" w:color="auto" w:fill="auto"/>
            <w:noWrap/>
            <w:vAlign w:val="center"/>
            <w:hideMark/>
          </w:tcPr>
          <w:p w14:paraId="66295341"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r>
      <w:tr w:rsidR="009616FA" w:rsidRPr="009616FA" w14:paraId="3D3CA60E" w14:textId="77777777" w:rsidTr="009616FA">
        <w:trPr>
          <w:trHeight w:val="234"/>
        </w:trPr>
        <w:tc>
          <w:tcPr>
            <w:tcW w:w="2595" w:type="dxa"/>
            <w:tcBorders>
              <w:top w:val="nil"/>
              <w:left w:val="nil"/>
              <w:bottom w:val="nil"/>
              <w:right w:val="nil"/>
            </w:tcBorders>
            <w:shd w:val="clear" w:color="auto" w:fill="auto"/>
            <w:noWrap/>
            <w:vAlign w:val="center"/>
            <w:hideMark/>
          </w:tcPr>
          <w:p w14:paraId="7519BB6B"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Years of education</w:t>
            </w:r>
          </w:p>
        </w:tc>
        <w:tc>
          <w:tcPr>
            <w:tcW w:w="1361" w:type="dxa"/>
            <w:tcBorders>
              <w:top w:val="nil"/>
              <w:left w:val="nil"/>
              <w:bottom w:val="nil"/>
              <w:right w:val="nil"/>
            </w:tcBorders>
            <w:shd w:val="clear" w:color="auto" w:fill="auto"/>
            <w:noWrap/>
            <w:vAlign w:val="center"/>
            <w:hideMark/>
          </w:tcPr>
          <w:p w14:paraId="7737EE41"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-0.0351*** </w:t>
            </w:r>
          </w:p>
        </w:tc>
        <w:tc>
          <w:tcPr>
            <w:tcW w:w="1234" w:type="dxa"/>
            <w:tcBorders>
              <w:top w:val="nil"/>
              <w:left w:val="nil"/>
              <w:bottom w:val="nil"/>
              <w:right w:val="nil"/>
            </w:tcBorders>
            <w:shd w:val="clear" w:color="auto" w:fill="auto"/>
            <w:noWrap/>
            <w:vAlign w:val="center"/>
            <w:hideMark/>
          </w:tcPr>
          <w:p w14:paraId="37BC3384"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 0.0528*** </w:t>
            </w:r>
          </w:p>
        </w:tc>
        <w:tc>
          <w:tcPr>
            <w:tcW w:w="1319" w:type="dxa"/>
            <w:tcBorders>
              <w:top w:val="nil"/>
              <w:left w:val="nil"/>
              <w:bottom w:val="nil"/>
              <w:right w:val="nil"/>
            </w:tcBorders>
            <w:shd w:val="clear" w:color="auto" w:fill="auto"/>
            <w:noWrap/>
            <w:vAlign w:val="center"/>
            <w:hideMark/>
          </w:tcPr>
          <w:p w14:paraId="4A112B31"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 -0.0761*** </w:t>
            </w:r>
          </w:p>
        </w:tc>
        <w:tc>
          <w:tcPr>
            <w:tcW w:w="1340" w:type="dxa"/>
            <w:tcBorders>
              <w:top w:val="nil"/>
              <w:left w:val="nil"/>
              <w:bottom w:val="nil"/>
              <w:right w:val="nil"/>
            </w:tcBorders>
            <w:shd w:val="clear" w:color="auto" w:fill="auto"/>
            <w:noWrap/>
            <w:vAlign w:val="center"/>
            <w:hideMark/>
          </w:tcPr>
          <w:p w14:paraId="0FB2C148"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-0.0940***  </w:t>
            </w:r>
          </w:p>
        </w:tc>
        <w:tc>
          <w:tcPr>
            <w:tcW w:w="1234" w:type="dxa"/>
            <w:tcBorders>
              <w:top w:val="nil"/>
              <w:left w:val="nil"/>
              <w:bottom w:val="nil"/>
              <w:right w:val="nil"/>
            </w:tcBorders>
            <w:shd w:val="clear" w:color="auto" w:fill="auto"/>
            <w:noWrap/>
            <w:vAlign w:val="center"/>
            <w:hideMark/>
          </w:tcPr>
          <w:p w14:paraId="57ADAFC3"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-0.00104 </w:t>
            </w:r>
          </w:p>
        </w:tc>
      </w:tr>
      <w:tr w:rsidR="009616FA" w:rsidRPr="009616FA" w14:paraId="4358D74B" w14:textId="77777777" w:rsidTr="009616FA">
        <w:trPr>
          <w:trHeight w:val="234"/>
        </w:trPr>
        <w:tc>
          <w:tcPr>
            <w:tcW w:w="2595" w:type="dxa"/>
            <w:tcBorders>
              <w:top w:val="nil"/>
              <w:left w:val="nil"/>
              <w:bottom w:val="nil"/>
              <w:right w:val="nil"/>
            </w:tcBorders>
            <w:shd w:val="clear" w:color="auto" w:fill="auto"/>
            <w:noWrap/>
            <w:vAlign w:val="center"/>
            <w:hideMark/>
          </w:tcPr>
          <w:p w14:paraId="5ABB353C" w14:textId="77777777" w:rsidR="009616FA" w:rsidRPr="009616FA" w:rsidRDefault="009616FA" w:rsidP="009616FA">
            <w:pPr>
              <w:spacing w:after="0" w:line="240" w:lineRule="auto"/>
              <w:jc w:val="center"/>
              <w:rPr>
                <w:rFonts w:ascii="Calibri" w:eastAsia="Times New Roman" w:hAnsi="Calibri" w:cs="Calibri"/>
                <w:color w:val="000000"/>
                <w:sz w:val="22"/>
              </w:rPr>
            </w:pPr>
          </w:p>
        </w:tc>
        <w:tc>
          <w:tcPr>
            <w:tcW w:w="1361" w:type="dxa"/>
            <w:tcBorders>
              <w:top w:val="nil"/>
              <w:left w:val="nil"/>
              <w:bottom w:val="nil"/>
              <w:right w:val="nil"/>
            </w:tcBorders>
            <w:shd w:val="clear" w:color="auto" w:fill="auto"/>
            <w:noWrap/>
            <w:vAlign w:val="center"/>
            <w:hideMark/>
          </w:tcPr>
          <w:p w14:paraId="5AF629F1"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(0.0101) </w:t>
            </w:r>
          </w:p>
        </w:tc>
        <w:tc>
          <w:tcPr>
            <w:tcW w:w="1234" w:type="dxa"/>
            <w:tcBorders>
              <w:top w:val="nil"/>
              <w:left w:val="nil"/>
              <w:bottom w:val="nil"/>
              <w:right w:val="nil"/>
            </w:tcBorders>
            <w:shd w:val="clear" w:color="auto" w:fill="auto"/>
            <w:noWrap/>
            <w:vAlign w:val="center"/>
            <w:hideMark/>
          </w:tcPr>
          <w:p w14:paraId="30B3F903"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(0.0158) </w:t>
            </w:r>
          </w:p>
        </w:tc>
        <w:tc>
          <w:tcPr>
            <w:tcW w:w="1319" w:type="dxa"/>
            <w:tcBorders>
              <w:top w:val="nil"/>
              <w:left w:val="nil"/>
              <w:bottom w:val="nil"/>
              <w:right w:val="nil"/>
            </w:tcBorders>
            <w:shd w:val="clear" w:color="auto" w:fill="auto"/>
            <w:noWrap/>
            <w:vAlign w:val="center"/>
            <w:hideMark/>
          </w:tcPr>
          <w:p w14:paraId="0364C89A"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(0.0132) </w:t>
            </w:r>
          </w:p>
        </w:tc>
        <w:tc>
          <w:tcPr>
            <w:tcW w:w="1340" w:type="dxa"/>
            <w:tcBorders>
              <w:top w:val="nil"/>
              <w:left w:val="nil"/>
              <w:bottom w:val="nil"/>
              <w:right w:val="nil"/>
            </w:tcBorders>
            <w:shd w:val="clear" w:color="auto" w:fill="auto"/>
            <w:noWrap/>
            <w:vAlign w:val="center"/>
            <w:hideMark/>
          </w:tcPr>
          <w:p w14:paraId="4C706D9F"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 (0.0190)  </w:t>
            </w:r>
          </w:p>
        </w:tc>
        <w:tc>
          <w:tcPr>
            <w:tcW w:w="1234" w:type="dxa"/>
            <w:tcBorders>
              <w:top w:val="nil"/>
              <w:left w:val="nil"/>
              <w:bottom w:val="nil"/>
              <w:right w:val="nil"/>
            </w:tcBorders>
            <w:shd w:val="clear" w:color="auto" w:fill="auto"/>
            <w:noWrap/>
            <w:vAlign w:val="center"/>
            <w:hideMark/>
          </w:tcPr>
          <w:p w14:paraId="102A5703"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(0.0121)  </w:t>
            </w:r>
          </w:p>
        </w:tc>
      </w:tr>
      <w:tr w:rsidR="009616FA" w:rsidRPr="009616FA" w14:paraId="4D35B100" w14:textId="77777777" w:rsidTr="009616FA">
        <w:trPr>
          <w:trHeight w:val="234"/>
        </w:trPr>
        <w:tc>
          <w:tcPr>
            <w:tcW w:w="2595" w:type="dxa"/>
            <w:tcBorders>
              <w:top w:val="nil"/>
              <w:left w:val="nil"/>
              <w:bottom w:val="nil"/>
              <w:right w:val="nil"/>
            </w:tcBorders>
            <w:shd w:val="clear" w:color="auto" w:fill="auto"/>
            <w:noWrap/>
            <w:vAlign w:val="center"/>
            <w:hideMark/>
          </w:tcPr>
          <w:p w14:paraId="424843D8" w14:textId="77777777" w:rsidR="009616FA" w:rsidRPr="009616FA" w:rsidRDefault="009616FA" w:rsidP="009616FA">
            <w:pPr>
              <w:spacing w:after="0" w:line="240" w:lineRule="auto"/>
              <w:jc w:val="center"/>
              <w:rPr>
                <w:rFonts w:ascii="Calibri" w:eastAsia="Times New Roman" w:hAnsi="Calibri" w:cs="Calibri"/>
                <w:color w:val="000000"/>
                <w:sz w:val="22"/>
              </w:rPr>
            </w:pPr>
          </w:p>
        </w:tc>
        <w:tc>
          <w:tcPr>
            <w:tcW w:w="1361" w:type="dxa"/>
            <w:tcBorders>
              <w:top w:val="nil"/>
              <w:left w:val="nil"/>
              <w:bottom w:val="nil"/>
              <w:right w:val="nil"/>
            </w:tcBorders>
            <w:shd w:val="clear" w:color="auto" w:fill="auto"/>
            <w:noWrap/>
            <w:vAlign w:val="center"/>
            <w:hideMark/>
          </w:tcPr>
          <w:p w14:paraId="695F8903" w14:textId="77777777" w:rsidR="009616FA" w:rsidRPr="009616FA" w:rsidRDefault="009616FA" w:rsidP="009616FA">
            <w:pPr>
              <w:spacing w:after="0" w:line="240" w:lineRule="auto"/>
              <w:rPr>
                <w:rFonts w:eastAsia="Times New Roman" w:cs="Times New Roman"/>
                <w:sz w:val="20"/>
                <w:szCs w:val="20"/>
              </w:rPr>
            </w:pPr>
          </w:p>
        </w:tc>
        <w:tc>
          <w:tcPr>
            <w:tcW w:w="1234" w:type="dxa"/>
            <w:tcBorders>
              <w:top w:val="nil"/>
              <w:left w:val="nil"/>
              <w:bottom w:val="nil"/>
              <w:right w:val="nil"/>
            </w:tcBorders>
            <w:shd w:val="clear" w:color="auto" w:fill="auto"/>
            <w:noWrap/>
            <w:vAlign w:val="center"/>
            <w:hideMark/>
          </w:tcPr>
          <w:p w14:paraId="1118263D" w14:textId="77777777" w:rsidR="009616FA" w:rsidRPr="009616FA" w:rsidRDefault="009616FA" w:rsidP="009616FA">
            <w:pPr>
              <w:spacing w:after="0" w:line="240" w:lineRule="auto"/>
              <w:jc w:val="center"/>
              <w:rPr>
                <w:rFonts w:eastAsia="Times New Roman" w:cs="Times New Roman"/>
                <w:sz w:val="20"/>
                <w:szCs w:val="20"/>
              </w:rPr>
            </w:pPr>
          </w:p>
        </w:tc>
        <w:tc>
          <w:tcPr>
            <w:tcW w:w="1319" w:type="dxa"/>
            <w:tcBorders>
              <w:top w:val="nil"/>
              <w:left w:val="nil"/>
              <w:bottom w:val="nil"/>
              <w:right w:val="nil"/>
            </w:tcBorders>
            <w:shd w:val="clear" w:color="auto" w:fill="auto"/>
            <w:noWrap/>
            <w:vAlign w:val="center"/>
            <w:hideMark/>
          </w:tcPr>
          <w:p w14:paraId="667FA615" w14:textId="77777777" w:rsidR="009616FA" w:rsidRPr="009616FA" w:rsidRDefault="009616FA" w:rsidP="009616FA">
            <w:pPr>
              <w:spacing w:after="0" w:line="240" w:lineRule="auto"/>
              <w:jc w:val="center"/>
              <w:rPr>
                <w:rFonts w:eastAsia="Times New Roman" w:cs="Times New Roman"/>
                <w:sz w:val="20"/>
                <w:szCs w:val="20"/>
              </w:rPr>
            </w:pPr>
          </w:p>
        </w:tc>
        <w:tc>
          <w:tcPr>
            <w:tcW w:w="1340" w:type="dxa"/>
            <w:tcBorders>
              <w:top w:val="nil"/>
              <w:left w:val="nil"/>
              <w:bottom w:val="nil"/>
              <w:right w:val="nil"/>
            </w:tcBorders>
            <w:shd w:val="clear" w:color="auto" w:fill="auto"/>
            <w:noWrap/>
            <w:vAlign w:val="center"/>
            <w:hideMark/>
          </w:tcPr>
          <w:p w14:paraId="4A136F1C" w14:textId="77777777" w:rsidR="009616FA" w:rsidRPr="009616FA" w:rsidRDefault="009616FA" w:rsidP="009616FA">
            <w:pPr>
              <w:spacing w:after="0" w:line="240" w:lineRule="auto"/>
              <w:jc w:val="center"/>
              <w:rPr>
                <w:rFonts w:eastAsia="Times New Roman" w:cs="Times New Roman"/>
                <w:sz w:val="20"/>
                <w:szCs w:val="20"/>
              </w:rPr>
            </w:pPr>
          </w:p>
        </w:tc>
        <w:tc>
          <w:tcPr>
            <w:tcW w:w="1234" w:type="dxa"/>
            <w:tcBorders>
              <w:top w:val="nil"/>
              <w:left w:val="nil"/>
              <w:bottom w:val="nil"/>
              <w:right w:val="nil"/>
            </w:tcBorders>
            <w:shd w:val="clear" w:color="auto" w:fill="auto"/>
            <w:noWrap/>
            <w:vAlign w:val="center"/>
            <w:hideMark/>
          </w:tcPr>
          <w:p w14:paraId="669A6C32" w14:textId="77777777" w:rsidR="009616FA" w:rsidRPr="009616FA" w:rsidRDefault="009616FA" w:rsidP="009616FA">
            <w:pPr>
              <w:spacing w:after="0" w:line="240" w:lineRule="auto"/>
              <w:jc w:val="center"/>
              <w:rPr>
                <w:rFonts w:eastAsia="Times New Roman" w:cs="Times New Roman"/>
                <w:sz w:val="20"/>
                <w:szCs w:val="20"/>
              </w:rPr>
            </w:pPr>
          </w:p>
        </w:tc>
      </w:tr>
      <w:tr w:rsidR="009616FA" w:rsidRPr="009616FA" w14:paraId="5A3409BA" w14:textId="77777777" w:rsidTr="009616FA">
        <w:trPr>
          <w:trHeight w:val="234"/>
        </w:trPr>
        <w:tc>
          <w:tcPr>
            <w:tcW w:w="2595" w:type="dxa"/>
            <w:tcBorders>
              <w:top w:val="nil"/>
              <w:left w:val="nil"/>
              <w:bottom w:val="nil"/>
              <w:right w:val="nil"/>
            </w:tcBorders>
            <w:shd w:val="clear" w:color="auto" w:fill="auto"/>
            <w:noWrap/>
            <w:vAlign w:val="center"/>
            <w:hideMark/>
          </w:tcPr>
          <w:p w14:paraId="1FD429FD"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Adj. R-squared</w:t>
            </w:r>
          </w:p>
        </w:tc>
        <w:tc>
          <w:tcPr>
            <w:tcW w:w="1361" w:type="dxa"/>
            <w:tcBorders>
              <w:top w:val="nil"/>
              <w:left w:val="nil"/>
              <w:bottom w:val="nil"/>
              <w:right w:val="nil"/>
            </w:tcBorders>
            <w:shd w:val="clear" w:color="auto" w:fill="auto"/>
            <w:noWrap/>
            <w:vAlign w:val="center"/>
            <w:hideMark/>
          </w:tcPr>
          <w:p w14:paraId="295B9259"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0.155 </w:t>
            </w:r>
          </w:p>
        </w:tc>
        <w:tc>
          <w:tcPr>
            <w:tcW w:w="1234" w:type="dxa"/>
            <w:tcBorders>
              <w:top w:val="nil"/>
              <w:left w:val="nil"/>
              <w:bottom w:val="nil"/>
              <w:right w:val="nil"/>
            </w:tcBorders>
            <w:shd w:val="clear" w:color="auto" w:fill="auto"/>
            <w:noWrap/>
            <w:vAlign w:val="center"/>
            <w:hideMark/>
          </w:tcPr>
          <w:p w14:paraId="390A2617"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0.187</w:t>
            </w:r>
          </w:p>
        </w:tc>
        <w:tc>
          <w:tcPr>
            <w:tcW w:w="1319" w:type="dxa"/>
            <w:tcBorders>
              <w:top w:val="nil"/>
              <w:left w:val="nil"/>
              <w:bottom w:val="nil"/>
              <w:right w:val="nil"/>
            </w:tcBorders>
            <w:shd w:val="clear" w:color="auto" w:fill="auto"/>
            <w:noWrap/>
            <w:vAlign w:val="center"/>
            <w:hideMark/>
          </w:tcPr>
          <w:p w14:paraId="55641E51"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0.160 </w:t>
            </w:r>
          </w:p>
        </w:tc>
        <w:tc>
          <w:tcPr>
            <w:tcW w:w="1340" w:type="dxa"/>
            <w:tcBorders>
              <w:top w:val="nil"/>
              <w:left w:val="nil"/>
              <w:bottom w:val="nil"/>
              <w:right w:val="nil"/>
            </w:tcBorders>
            <w:shd w:val="clear" w:color="auto" w:fill="auto"/>
            <w:noWrap/>
            <w:vAlign w:val="center"/>
            <w:hideMark/>
          </w:tcPr>
          <w:p w14:paraId="7CEBDAB8"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0.148 </w:t>
            </w:r>
          </w:p>
        </w:tc>
        <w:tc>
          <w:tcPr>
            <w:tcW w:w="1234" w:type="dxa"/>
            <w:tcBorders>
              <w:top w:val="nil"/>
              <w:left w:val="nil"/>
              <w:bottom w:val="nil"/>
              <w:right w:val="nil"/>
            </w:tcBorders>
            <w:shd w:val="clear" w:color="auto" w:fill="auto"/>
            <w:noWrap/>
            <w:vAlign w:val="center"/>
            <w:hideMark/>
          </w:tcPr>
          <w:p w14:paraId="7F32C81D"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 0.167 </w:t>
            </w:r>
          </w:p>
        </w:tc>
      </w:tr>
      <w:tr w:rsidR="009616FA" w:rsidRPr="009616FA" w14:paraId="22186A09" w14:textId="77777777" w:rsidTr="009616FA">
        <w:trPr>
          <w:trHeight w:val="234"/>
        </w:trPr>
        <w:tc>
          <w:tcPr>
            <w:tcW w:w="3957" w:type="dxa"/>
            <w:gridSpan w:val="2"/>
            <w:tcBorders>
              <w:top w:val="single" w:sz="4" w:space="0" w:color="auto"/>
              <w:left w:val="nil"/>
              <w:bottom w:val="nil"/>
              <w:right w:val="nil"/>
            </w:tcBorders>
            <w:shd w:val="clear" w:color="auto" w:fill="auto"/>
            <w:noWrap/>
            <w:vAlign w:val="center"/>
            <w:hideMark/>
          </w:tcPr>
          <w:p w14:paraId="196614E4" w14:textId="77777777" w:rsidR="009616FA" w:rsidRPr="009616FA" w:rsidRDefault="009616FA" w:rsidP="009616FA">
            <w:pPr>
              <w:spacing w:after="0" w:line="240" w:lineRule="auto"/>
              <w:rPr>
                <w:rFonts w:ascii="Calibri" w:eastAsia="Times New Roman" w:hAnsi="Calibri" w:cs="Calibri"/>
                <w:b/>
                <w:bCs/>
                <w:color w:val="000000"/>
                <w:sz w:val="22"/>
              </w:rPr>
            </w:pPr>
            <w:r w:rsidRPr="009616FA">
              <w:rPr>
                <w:rFonts w:ascii="Calibri" w:eastAsia="Times New Roman" w:hAnsi="Calibri" w:cs="Calibri"/>
                <w:b/>
                <w:bCs/>
                <w:color w:val="000000"/>
                <w:sz w:val="22"/>
              </w:rPr>
              <w:t>Panel B. 2SLS Estimation</w:t>
            </w:r>
          </w:p>
        </w:tc>
        <w:tc>
          <w:tcPr>
            <w:tcW w:w="1234" w:type="dxa"/>
            <w:tcBorders>
              <w:top w:val="single" w:sz="4" w:space="0" w:color="auto"/>
              <w:left w:val="nil"/>
              <w:bottom w:val="nil"/>
              <w:right w:val="nil"/>
            </w:tcBorders>
            <w:shd w:val="clear" w:color="auto" w:fill="auto"/>
            <w:noWrap/>
            <w:vAlign w:val="center"/>
            <w:hideMark/>
          </w:tcPr>
          <w:p w14:paraId="7C3C2D04"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c>
          <w:tcPr>
            <w:tcW w:w="1319" w:type="dxa"/>
            <w:tcBorders>
              <w:top w:val="single" w:sz="4" w:space="0" w:color="auto"/>
              <w:left w:val="nil"/>
              <w:bottom w:val="nil"/>
              <w:right w:val="nil"/>
            </w:tcBorders>
            <w:shd w:val="clear" w:color="auto" w:fill="auto"/>
            <w:noWrap/>
            <w:vAlign w:val="center"/>
            <w:hideMark/>
          </w:tcPr>
          <w:p w14:paraId="2B97E984"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c>
          <w:tcPr>
            <w:tcW w:w="1340" w:type="dxa"/>
            <w:tcBorders>
              <w:top w:val="single" w:sz="4" w:space="0" w:color="auto"/>
              <w:left w:val="nil"/>
              <w:bottom w:val="nil"/>
              <w:right w:val="nil"/>
            </w:tcBorders>
            <w:shd w:val="clear" w:color="auto" w:fill="auto"/>
            <w:noWrap/>
            <w:vAlign w:val="center"/>
            <w:hideMark/>
          </w:tcPr>
          <w:p w14:paraId="7DE6388D"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c>
          <w:tcPr>
            <w:tcW w:w="1234" w:type="dxa"/>
            <w:tcBorders>
              <w:top w:val="single" w:sz="4" w:space="0" w:color="auto"/>
              <w:left w:val="nil"/>
              <w:bottom w:val="nil"/>
              <w:right w:val="nil"/>
            </w:tcBorders>
            <w:shd w:val="clear" w:color="auto" w:fill="auto"/>
            <w:noWrap/>
            <w:vAlign w:val="center"/>
            <w:hideMark/>
          </w:tcPr>
          <w:p w14:paraId="041483FE"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r>
      <w:tr w:rsidR="009616FA" w:rsidRPr="009616FA" w14:paraId="08B51583" w14:textId="77777777" w:rsidTr="009616FA">
        <w:trPr>
          <w:trHeight w:val="234"/>
        </w:trPr>
        <w:tc>
          <w:tcPr>
            <w:tcW w:w="2595" w:type="dxa"/>
            <w:tcBorders>
              <w:top w:val="nil"/>
              <w:left w:val="nil"/>
              <w:bottom w:val="nil"/>
              <w:right w:val="nil"/>
            </w:tcBorders>
            <w:shd w:val="clear" w:color="auto" w:fill="auto"/>
            <w:noWrap/>
            <w:vAlign w:val="center"/>
            <w:hideMark/>
          </w:tcPr>
          <w:p w14:paraId="1DA8AF0B"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Years of education</w:t>
            </w:r>
          </w:p>
        </w:tc>
        <w:tc>
          <w:tcPr>
            <w:tcW w:w="1361" w:type="dxa"/>
            <w:tcBorders>
              <w:top w:val="nil"/>
              <w:left w:val="nil"/>
              <w:bottom w:val="nil"/>
              <w:right w:val="nil"/>
            </w:tcBorders>
            <w:shd w:val="clear" w:color="auto" w:fill="auto"/>
            <w:noWrap/>
            <w:vAlign w:val="center"/>
            <w:hideMark/>
          </w:tcPr>
          <w:p w14:paraId="6B4FEF51"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-0.0618 </w:t>
            </w:r>
          </w:p>
        </w:tc>
        <w:tc>
          <w:tcPr>
            <w:tcW w:w="1234" w:type="dxa"/>
            <w:tcBorders>
              <w:top w:val="nil"/>
              <w:left w:val="nil"/>
              <w:bottom w:val="nil"/>
              <w:right w:val="nil"/>
            </w:tcBorders>
            <w:shd w:val="clear" w:color="auto" w:fill="auto"/>
            <w:noWrap/>
            <w:vAlign w:val="center"/>
            <w:hideMark/>
          </w:tcPr>
          <w:p w14:paraId="749CEAB6"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0.0507 </w:t>
            </w:r>
          </w:p>
        </w:tc>
        <w:tc>
          <w:tcPr>
            <w:tcW w:w="1319" w:type="dxa"/>
            <w:tcBorders>
              <w:top w:val="nil"/>
              <w:left w:val="nil"/>
              <w:bottom w:val="nil"/>
              <w:right w:val="nil"/>
            </w:tcBorders>
            <w:shd w:val="clear" w:color="auto" w:fill="auto"/>
            <w:noWrap/>
            <w:vAlign w:val="center"/>
            <w:hideMark/>
          </w:tcPr>
          <w:p w14:paraId="42E544B9"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-0.167 </w:t>
            </w:r>
          </w:p>
        </w:tc>
        <w:tc>
          <w:tcPr>
            <w:tcW w:w="1340" w:type="dxa"/>
            <w:tcBorders>
              <w:top w:val="nil"/>
              <w:left w:val="nil"/>
              <w:bottom w:val="nil"/>
              <w:right w:val="nil"/>
            </w:tcBorders>
            <w:shd w:val="clear" w:color="auto" w:fill="auto"/>
            <w:noWrap/>
            <w:vAlign w:val="center"/>
            <w:hideMark/>
          </w:tcPr>
          <w:p w14:paraId="708A49BE"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-0.326  </w:t>
            </w:r>
          </w:p>
        </w:tc>
        <w:tc>
          <w:tcPr>
            <w:tcW w:w="1234" w:type="dxa"/>
            <w:tcBorders>
              <w:top w:val="nil"/>
              <w:left w:val="nil"/>
              <w:bottom w:val="nil"/>
              <w:right w:val="nil"/>
            </w:tcBorders>
            <w:shd w:val="clear" w:color="auto" w:fill="auto"/>
            <w:noWrap/>
            <w:vAlign w:val="center"/>
            <w:hideMark/>
          </w:tcPr>
          <w:p w14:paraId="043BE461"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-0.0333  </w:t>
            </w:r>
          </w:p>
        </w:tc>
      </w:tr>
      <w:tr w:rsidR="009616FA" w:rsidRPr="009616FA" w14:paraId="5F5E407F" w14:textId="77777777" w:rsidTr="009616FA">
        <w:trPr>
          <w:trHeight w:val="234"/>
        </w:trPr>
        <w:tc>
          <w:tcPr>
            <w:tcW w:w="2595" w:type="dxa"/>
            <w:tcBorders>
              <w:top w:val="nil"/>
              <w:left w:val="nil"/>
              <w:bottom w:val="nil"/>
              <w:right w:val="nil"/>
            </w:tcBorders>
            <w:shd w:val="clear" w:color="auto" w:fill="auto"/>
            <w:vAlign w:val="center"/>
            <w:hideMark/>
          </w:tcPr>
          <w:p w14:paraId="260705E1" w14:textId="77777777" w:rsidR="009616FA" w:rsidRPr="009616FA" w:rsidRDefault="009616FA" w:rsidP="009616FA">
            <w:pPr>
              <w:spacing w:after="0" w:line="240" w:lineRule="auto"/>
              <w:jc w:val="center"/>
              <w:rPr>
                <w:rFonts w:ascii="Calibri" w:eastAsia="Times New Roman" w:hAnsi="Calibri" w:cs="Calibri"/>
                <w:color w:val="000000"/>
                <w:sz w:val="22"/>
              </w:rPr>
            </w:pPr>
          </w:p>
        </w:tc>
        <w:tc>
          <w:tcPr>
            <w:tcW w:w="1361" w:type="dxa"/>
            <w:tcBorders>
              <w:top w:val="nil"/>
              <w:left w:val="nil"/>
              <w:bottom w:val="nil"/>
              <w:right w:val="nil"/>
            </w:tcBorders>
            <w:shd w:val="clear" w:color="auto" w:fill="auto"/>
            <w:noWrap/>
            <w:vAlign w:val="center"/>
            <w:hideMark/>
          </w:tcPr>
          <w:p w14:paraId="7679408F"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(0.206) </w:t>
            </w:r>
          </w:p>
        </w:tc>
        <w:tc>
          <w:tcPr>
            <w:tcW w:w="1234" w:type="dxa"/>
            <w:tcBorders>
              <w:top w:val="nil"/>
              <w:left w:val="nil"/>
              <w:bottom w:val="nil"/>
              <w:right w:val="nil"/>
            </w:tcBorders>
            <w:shd w:val="clear" w:color="auto" w:fill="auto"/>
            <w:noWrap/>
            <w:vAlign w:val="center"/>
            <w:hideMark/>
          </w:tcPr>
          <w:p w14:paraId="24AE9427"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(0.535) </w:t>
            </w:r>
          </w:p>
        </w:tc>
        <w:tc>
          <w:tcPr>
            <w:tcW w:w="1319" w:type="dxa"/>
            <w:tcBorders>
              <w:top w:val="nil"/>
              <w:left w:val="nil"/>
              <w:bottom w:val="nil"/>
              <w:right w:val="nil"/>
            </w:tcBorders>
            <w:shd w:val="clear" w:color="auto" w:fill="auto"/>
            <w:noWrap/>
            <w:vAlign w:val="center"/>
            <w:hideMark/>
          </w:tcPr>
          <w:p w14:paraId="58766CB7"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(0.189)  </w:t>
            </w:r>
          </w:p>
        </w:tc>
        <w:tc>
          <w:tcPr>
            <w:tcW w:w="1340" w:type="dxa"/>
            <w:tcBorders>
              <w:top w:val="nil"/>
              <w:left w:val="nil"/>
              <w:bottom w:val="nil"/>
              <w:right w:val="nil"/>
            </w:tcBorders>
            <w:shd w:val="clear" w:color="auto" w:fill="auto"/>
            <w:noWrap/>
            <w:vAlign w:val="center"/>
            <w:hideMark/>
          </w:tcPr>
          <w:p w14:paraId="52358C6F"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(0.271)   </w:t>
            </w:r>
          </w:p>
        </w:tc>
        <w:tc>
          <w:tcPr>
            <w:tcW w:w="1234" w:type="dxa"/>
            <w:tcBorders>
              <w:top w:val="nil"/>
              <w:left w:val="nil"/>
              <w:bottom w:val="nil"/>
              <w:right w:val="nil"/>
            </w:tcBorders>
            <w:shd w:val="clear" w:color="auto" w:fill="auto"/>
            <w:noWrap/>
            <w:vAlign w:val="center"/>
            <w:hideMark/>
          </w:tcPr>
          <w:p w14:paraId="6B596400"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(0.204) </w:t>
            </w:r>
          </w:p>
        </w:tc>
      </w:tr>
      <w:tr w:rsidR="009616FA" w:rsidRPr="009616FA" w14:paraId="198E7B0C" w14:textId="77777777" w:rsidTr="009616FA">
        <w:trPr>
          <w:trHeight w:val="234"/>
        </w:trPr>
        <w:tc>
          <w:tcPr>
            <w:tcW w:w="2595" w:type="dxa"/>
            <w:tcBorders>
              <w:top w:val="nil"/>
              <w:left w:val="nil"/>
              <w:bottom w:val="nil"/>
              <w:right w:val="nil"/>
            </w:tcBorders>
            <w:shd w:val="clear" w:color="auto" w:fill="auto"/>
            <w:vAlign w:val="center"/>
            <w:hideMark/>
          </w:tcPr>
          <w:p w14:paraId="3DDD2293" w14:textId="77777777" w:rsidR="009616FA" w:rsidRPr="009616FA" w:rsidRDefault="009616FA" w:rsidP="009616FA">
            <w:pPr>
              <w:spacing w:after="0" w:line="240" w:lineRule="auto"/>
              <w:jc w:val="center"/>
              <w:rPr>
                <w:rFonts w:ascii="Calibri" w:eastAsia="Times New Roman" w:hAnsi="Calibri" w:cs="Calibri"/>
                <w:color w:val="000000"/>
                <w:sz w:val="22"/>
              </w:rPr>
            </w:pPr>
          </w:p>
        </w:tc>
        <w:tc>
          <w:tcPr>
            <w:tcW w:w="1361" w:type="dxa"/>
            <w:tcBorders>
              <w:top w:val="nil"/>
              <w:left w:val="nil"/>
              <w:bottom w:val="nil"/>
              <w:right w:val="nil"/>
            </w:tcBorders>
            <w:shd w:val="clear" w:color="auto" w:fill="auto"/>
            <w:noWrap/>
            <w:vAlign w:val="center"/>
            <w:hideMark/>
          </w:tcPr>
          <w:p w14:paraId="67844475" w14:textId="77777777" w:rsidR="009616FA" w:rsidRPr="009616FA" w:rsidRDefault="009616FA" w:rsidP="009616FA">
            <w:pPr>
              <w:spacing w:after="0" w:line="240" w:lineRule="auto"/>
              <w:rPr>
                <w:rFonts w:eastAsia="Times New Roman" w:cs="Times New Roman"/>
                <w:sz w:val="20"/>
                <w:szCs w:val="20"/>
              </w:rPr>
            </w:pPr>
          </w:p>
        </w:tc>
        <w:tc>
          <w:tcPr>
            <w:tcW w:w="1234" w:type="dxa"/>
            <w:tcBorders>
              <w:top w:val="nil"/>
              <w:left w:val="nil"/>
              <w:bottom w:val="nil"/>
              <w:right w:val="nil"/>
            </w:tcBorders>
            <w:shd w:val="clear" w:color="auto" w:fill="auto"/>
            <w:noWrap/>
            <w:vAlign w:val="center"/>
            <w:hideMark/>
          </w:tcPr>
          <w:p w14:paraId="58431B49" w14:textId="77777777" w:rsidR="009616FA" w:rsidRPr="009616FA" w:rsidRDefault="009616FA" w:rsidP="009616FA">
            <w:pPr>
              <w:spacing w:after="0" w:line="240" w:lineRule="auto"/>
              <w:jc w:val="center"/>
              <w:rPr>
                <w:rFonts w:eastAsia="Times New Roman" w:cs="Times New Roman"/>
                <w:sz w:val="20"/>
                <w:szCs w:val="20"/>
              </w:rPr>
            </w:pPr>
          </w:p>
        </w:tc>
        <w:tc>
          <w:tcPr>
            <w:tcW w:w="1319" w:type="dxa"/>
            <w:tcBorders>
              <w:top w:val="nil"/>
              <w:left w:val="nil"/>
              <w:bottom w:val="nil"/>
              <w:right w:val="nil"/>
            </w:tcBorders>
            <w:shd w:val="clear" w:color="auto" w:fill="auto"/>
            <w:noWrap/>
            <w:vAlign w:val="center"/>
            <w:hideMark/>
          </w:tcPr>
          <w:p w14:paraId="217AB71B" w14:textId="77777777" w:rsidR="009616FA" w:rsidRPr="009616FA" w:rsidRDefault="009616FA" w:rsidP="009616FA">
            <w:pPr>
              <w:spacing w:after="0" w:line="240" w:lineRule="auto"/>
              <w:jc w:val="center"/>
              <w:rPr>
                <w:rFonts w:eastAsia="Times New Roman" w:cs="Times New Roman"/>
                <w:sz w:val="20"/>
                <w:szCs w:val="20"/>
              </w:rPr>
            </w:pPr>
          </w:p>
        </w:tc>
        <w:tc>
          <w:tcPr>
            <w:tcW w:w="1340" w:type="dxa"/>
            <w:tcBorders>
              <w:top w:val="nil"/>
              <w:left w:val="nil"/>
              <w:bottom w:val="nil"/>
              <w:right w:val="nil"/>
            </w:tcBorders>
            <w:shd w:val="clear" w:color="auto" w:fill="auto"/>
            <w:noWrap/>
            <w:vAlign w:val="center"/>
            <w:hideMark/>
          </w:tcPr>
          <w:p w14:paraId="7BCF5CBF" w14:textId="77777777" w:rsidR="009616FA" w:rsidRPr="009616FA" w:rsidRDefault="009616FA" w:rsidP="009616FA">
            <w:pPr>
              <w:spacing w:after="0" w:line="240" w:lineRule="auto"/>
              <w:jc w:val="center"/>
              <w:rPr>
                <w:rFonts w:eastAsia="Times New Roman" w:cs="Times New Roman"/>
                <w:sz w:val="20"/>
                <w:szCs w:val="20"/>
              </w:rPr>
            </w:pPr>
          </w:p>
        </w:tc>
        <w:tc>
          <w:tcPr>
            <w:tcW w:w="1234" w:type="dxa"/>
            <w:tcBorders>
              <w:top w:val="nil"/>
              <w:left w:val="nil"/>
              <w:bottom w:val="nil"/>
              <w:right w:val="nil"/>
            </w:tcBorders>
            <w:shd w:val="clear" w:color="auto" w:fill="auto"/>
            <w:noWrap/>
            <w:vAlign w:val="center"/>
            <w:hideMark/>
          </w:tcPr>
          <w:p w14:paraId="5D2618B3" w14:textId="77777777" w:rsidR="009616FA" w:rsidRPr="009616FA" w:rsidRDefault="009616FA" w:rsidP="009616FA">
            <w:pPr>
              <w:spacing w:after="0" w:line="240" w:lineRule="auto"/>
              <w:jc w:val="center"/>
              <w:rPr>
                <w:rFonts w:eastAsia="Times New Roman" w:cs="Times New Roman"/>
                <w:sz w:val="20"/>
                <w:szCs w:val="20"/>
              </w:rPr>
            </w:pPr>
          </w:p>
        </w:tc>
      </w:tr>
      <w:tr w:rsidR="009616FA" w:rsidRPr="009616FA" w14:paraId="192550C0" w14:textId="77777777" w:rsidTr="009616FA">
        <w:trPr>
          <w:trHeight w:val="234"/>
        </w:trPr>
        <w:tc>
          <w:tcPr>
            <w:tcW w:w="2595" w:type="dxa"/>
            <w:tcBorders>
              <w:top w:val="nil"/>
              <w:left w:val="nil"/>
              <w:bottom w:val="nil"/>
              <w:right w:val="nil"/>
            </w:tcBorders>
            <w:shd w:val="clear" w:color="auto" w:fill="auto"/>
            <w:noWrap/>
            <w:vAlign w:val="center"/>
            <w:hideMark/>
          </w:tcPr>
          <w:p w14:paraId="0A13440B"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Observation</w:t>
            </w:r>
          </w:p>
        </w:tc>
        <w:tc>
          <w:tcPr>
            <w:tcW w:w="1361" w:type="dxa"/>
            <w:tcBorders>
              <w:top w:val="nil"/>
              <w:left w:val="nil"/>
              <w:bottom w:val="nil"/>
              <w:right w:val="nil"/>
            </w:tcBorders>
            <w:shd w:val="clear" w:color="auto" w:fill="auto"/>
            <w:noWrap/>
            <w:vAlign w:val="center"/>
            <w:hideMark/>
          </w:tcPr>
          <w:p w14:paraId="202614D1"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10,489</w:t>
            </w:r>
          </w:p>
        </w:tc>
        <w:tc>
          <w:tcPr>
            <w:tcW w:w="1234" w:type="dxa"/>
            <w:tcBorders>
              <w:top w:val="nil"/>
              <w:left w:val="nil"/>
              <w:bottom w:val="nil"/>
              <w:right w:val="nil"/>
            </w:tcBorders>
            <w:shd w:val="clear" w:color="auto" w:fill="auto"/>
            <w:noWrap/>
            <w:vAlign w:val="center"/>
            <w:hideMark/>
          </w:tcPr>
          <w:p w14:paraId="6FF95FF4"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4,942</w:t>
            </w:r>
          </w:p>
        </w:tc>
        <w:tc>
          <w:tcPr>
            <w:tcW w:w="1319" w:type="dxa"/>
            <w:tcBorders>
              <w:top w:val="nil"/>
              <w:left w:val="nil"/>
              <w:bottom w:val="nil"/>
              <w:right w:val="nil"/>
            </w:tcBorders>
            <w:shd w:val="clear" w:color="auto" w:fill="auto"/>
            <w:noWrap/>
            <w:vAlign w:val="center"/>
            <w:hideMark/>
          </w:tcPr>
          <w:p w14:paraId="4CE2FF2A"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5,547</w:t>
            </w:r>
          </w:p>
        </w:tc>
        <w:tc>
          <w:tcPr>
            <w:tcW w:w="1340" w:type="dxa"/>
            <w:tcBorders>
              <w:top w:val="nil"/>
              <w:left w:val="nil"/>
              <w:bottom w:val="nil"/>
              <w:right w:val="nil"/>
            </w:tcBorders>
            <w:shd w:val="clear" w:color="auto" w:fill="auto"/>
            <w:noWrap/>
            <w:vAlign w:val="center"/>
            <w:hideMark/>
          </w:tcPr>
          <w:p w14:paraId="3B63BAE9"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3,603</w:t>
            </w:r>
          </w:p>
        </w:tc>
        <w:tc>
          <w:tcPr>
            <w:tcW w:w="1234" w:type="dxa"/>
            <w:tcBorders>
              <w:top w:val="nil"/>
              <w:left w:val="nil"/>
              <w:bottom w:val="nil"/>
              <w:right w:val="nil"/>
            </w:tcBorders>
            <w:shd w:val="clear" w:color="auto" w:fill="auto"/>
            <w:noWrap/>
            <w:vAlign w:val="center"/>
            <w:hideMark/>
          </w:tcPr>
          <w:p w14:paraId="7C064F83"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6,886 </w:t>
            </w:r>
          </w:p>
        </w:tc>
      </w:tr>
      <w:tr w:rsidR="009616FA" w:rsidRPr="009616FA" w14:paraId="18D9FAA3" w14:textId="77777777" w:rsidTr="009616FA">
        <w:trPr>
          <w:trHeight w:val="234"/>
        </w:trPr>
        <w:tc>
          <w:tcPr>
            <w:tcW w:w="3957" w:type="dxa"/>
            <w:gridSpan w:val="2"/>
            <w:tcBorders>
              <w:top w:val="nil"/>
              <w:left w:val="nil"/>
              <w:bottom w:val="nil"/>
              <w:right w:val="nil"/>
            </w:tcBorders>
            <w:shd w:val="clear" w:color="auto" w:fill="auto"/>
            <w:noWrap/>
            <w:vAlign w:val="center"/>
            <w:hideMark/>
          </w:tcPr>
          <w:p w14:paraId="4797887A"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Weak-identification test</w:t>
            </w:r>
          </w:p>
        </w:tc>
        <w:tc>
          <w:tcPr>
            <w:tcW w:w="1234" w:type="dxa"/>
            <w:tcBorders>
              <w:top w:val="nil"/>
              <w:left w:val="nil"/>
              <w:bottom w:val="nil"/>
              <w:right w:val="nil"/>
            </w:tcBorders>
            <w:shd w:val="clear" w:color="auto" w:fill="auto"/>
            <w:noWrap/>
            <w:vAlign w:val="center"/>
            <w:hideMark/>
          </w:tcPr>
          <w:p w14:paraId="1B5B890A" w14:textId="77777777" w:rsidR="009616FA" w:rsidRPr="009616FA" w:rsidRDefault="009616FA" w:rsidP="009616FA">
            <w:pPr>
              <w:spacing w:after="0" w:line="240" w:lineRule="auto"/>
              <w:rPr>
                <w:rFonts w:ascii="Calibri" w:eastAsia="Times New Roman" w:hAnsi="Calibri" w:cs="Calibri"/>
                <w:color w:val="000000"/>
                <w:sz w:val="22"/>
              </w:rPr>
            </w:pPr>
          </w:p>
        </w:tc>
        <w:tc>
          <w:tcPr>
            <w:tcW w:w="1319" w:type="dxa"/>
            <w:tcBorders>
              <w:top w:val="nil"/>
              <w:left w:val="nil"/>
              <w:bottom w:val="nil"/>
              <w:right w:val="nil"/>
            </w:tcBorders>
            <w:shd w:val="clear" w:color="auto" w:fill="auto"/>
            <w:noWrap/>
            <w:vAlign w:val="center"/>
            <w:hideMark/>
          </w:tcPr>
          <w:p w14:paraId="21A4FA82" w14:textId="77777777" w:rsidR="009616FA" w:rsidRPr="009616FA" w:rsidRDefault="009616FA" w:rsidP="009616FA">
            <w:pPr>
              <w:spacing w:after="0" w:line="240" w:lineRule="auto"/>
              <w:jc w:val="center"/>
              <w:rPr>
                <w:rFonts w:eastAsia="Times New Roman" w:cs="Times New Roman"/>
                <w:sz w:val="20"/>
                <w:szCs w:val="20"/>
              </w:rPr>
            </w:pPr>
          </w:p>
        </w:tc>
        <w:tc>
          <w:tcPr>
            <w:tcW w:w="1340" w:type="dxa"/>
            <w:tcBorders>
              <w:top w:val="nil"/>
              <w:left w:val="nil"/>
              <w:bottom w:val="nil"/>
              <w:right w:val="nil"/>
            </w:tcBorders>
            <w:shd w:val="clear" w:color="auto" w:fill="auto"/>
            <w:noWrap/>
            <w:vAlign w:val="center"/>
            <w:hideMark/>
          </w:tcPr>
          <w:p w14:paraId="512B17B4" w14:textId="77777777" w:rsidR="009616FA" w:rsidRPr="009616FA" w:rsidRDefault="009616FA" w:rsidP="009616FA">
            <w:pPr>
              <w:spacing w:after="0" w:line="240" w:lineRule="auto"/>
              <w:jc w:val="center"/>
              <w:rPr>
                <w:rFonts w:eastAsia="Times New Roman" w:cs="Times New Roman"/>
                <w:sz w:val="20"/>
                <w:szCs w:val="20"/>
              </w:rPr>
            </w:pPr>
          </w:p>
        </w:tc>
        <w:tc>
          <w:tcPr>
            <w:tcW w:w="1234" w:type="dxa"/>
            <w:tcBorders>
              <w:top w:val="nil"/>
              <w:left w:val="nil"/>
              <w:bottom w:val="nil"/>
              <w:right w:val="nil"/>
            </w:tcBorders>
            <w:shd w:val="clear" w:color="auto" w:fill="auto"/>
            <w:noWrap/>
            <w:vAlign w:val="center"/>
            <w:hideMark/>
          </w:tcPr>
          <w:p w14:paraId="7D39435B" w14:textId="77777777" w:rsidR="009616FA" w:rsidRPr="009616FA" w:rsidRDefault="009616FA" w:rsidP="009616FA">
            <w:pPr>
              <w:spacing w:after="0" w:line="240" w:lineRule="auto"/>
              <w:jc w:val="center"/>
              <w:rPr>
                <w:rFonts w:eastAsia="Times New Roman" w:cs="Times New Roman"/>
                <w:sz w:val="20"/>
                <w:szCs w:val="20"/>
              </w:rPr>
            </w:pPr>
          </w:p>
        </w:tc>
      </w:tr>
      <w:tr w:rsidR="009616FA" w:rsidRPr="009616FA" w14:paraId="0C6E8134" w14:textId="77777777" w:rsidTr="009616FA">
        <w:trPr>
          <w:trHeight w:val="468"/>
        </w:trPr>
        <w:tc>
          <w:tcPr>
            <w:tcW w:w="2595" w:type="dxa"/>
            <w:tcBorders>
              <w:top w:val="nil"/>
              <w:left w:val="nil"/>
              <w:bottom w:val="nil"/>
              <w:right w:val="nil"/>
            </w:tcBorders>
            <w:shd w:val="clear" w:color="auto" w:fill="auto"/>
            <w:vAlign w:val="center"/>
            <w:hideMark/>
          </w:tcPr>
          <w:p w14:paraId="7D710D5D" w14:textId="77777777" w:rsidR="009616FA" w:rsidRPr="009616FA" w:rsidRDefault="009616FA" w:rsidP="009616FA">
            <w:pPr>
              <w:spacing w:after="0" w:line="240" w:lineRule="auto"/>
              <w:ind w:left="317" w:hanging="317"/>
              <w:rPr>
                <w:rFonts w:ascii="Calibri" w:eastAsia="Times New Roman" w:hAnsi="Calibri" w:cs="Calibri"/>
                <w:color w:val="000000"/>
                <w:sz w:val="22"/>
              </w:rPr>
            </w:pPr>
            <w:r w:rsidRPr="009616FA">
              <w:rPr>
                <w:rFonts w:ascii="Calibri" w:eastAsia="Times New Roman" w:hAnsi="Calibri" w:cs="Calibri"/>
                <w:color w:val="000000"/>
                <w:sz w:val="22"/>
              </w:rPr>
              <w:t xml:space="preserve">     Kleibergen-Paap F Statistic</w:t>
            </w:r>
          </w:p>
        </w:tc>
        <w:tc>
          <w:tcPr>
            <w:tcW w:w="1361" w:type="dxa"/>
            <w:tcBorders>
              <w:top w:val="nil"/>
              <w:left w:val="nil"/>
              <w:bottom w:val="nil"/>
              <w:right w:val="nil"/>
            </w:tcBorders>
            <w:shd w:val="clear" w:color="auto" w:fill="auto"/>
            <w:noWrap/>
            <w:vAlign w:val="center"/>
            <w:hideMark/>
          </w:tcPr>
          <w:p w14:paraId="751A93EE"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17.056</w:t>
            </w:r>
          </w:p>
        </w:tc>
        <w:tc>
          <w:tcPr>
            <w:tcW w:w="1234" w:type="dxa"/>
            <w:tcBorders>
              <w:top w:val="nil"/>
              <w:left w:val="nil"/>
              <w:bottom w:val="nil"/>
              <w:right w:val="nil"/>
            </w:tcBorders>
            <w:shd w:val="clear" w:color="auto" w:fill="auto"/>
            <w:noWrap/>
            <w:vAlign w:val="center"/>
            <w:hideMark/>
          </w:tcPr>
          <w:p w14:paraId="17AA0813"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3.229</w:t>
            </w:r>
          </w:p>
        </w:tc>
        <w:tc>
          <w:tcPr>
            <w:tcW w:w="1319" w:type="dxa"/>
            <w:tcBorders>
              <w:top w:val="nil"/>
              <w:left w:val="nil"/>
              <w:bottom w:val="nil"/>
              <w:right w:val="nil"/>
            </w:tcBorders>
            <w:shd w:val="clear" w:color="auto" w:fill="auto"/>
            <w:noWrap/>
            <w:vAlign w:val="center"/>
            <w:hideMark/>
          </w:tcPr>
          <w:p w14:paraId="7104890E"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16.499</w:t>
            </w:r>
          </w:p>
        </w:tc>
        <w:tc>
          <w:tcPr>
            <w:tcW w:w="1340" w:type="dxa"/>
            <w:tcBorders>
              <w:top w:val="nil"/>
              <w:left w:val="nil"/>
              <w:bottom w:val="nil"/>
              <w:right w:val="nil"/>
            </w:tcBorders>
            <w:shd w:val="clear" w:color="auto" w:fill="auto"/>
            <w:noWrap/>
            <w:vAlign w:val="center"/>
            <w:hideMark/>
          </w:tcPr>
          <w:p w14:paraId="560ADB37"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10.771</w:t>
            </w:r>
          </w:p>
        </w:tc>
        <w:tc>
          <w:tcPr>
            <w:tcW w:w="1234" w:type="dxa"/>
            <w:tcBorders>
              <w:top w:val="nil"/>
              <w:left w:val="nil"/>
              <w:bottom w:val="nil"/>
              <w:right w:val="nil"/>
            </w:tcBorders>
            <w:shd w:val="clear" w:color="auto" w:fill="auto"/>
            <w:noWrap/>
            <w:vAlign w:val="center"/>
            <w:hideMark/>
          </w:tcPr>
          <w:p w14:paraId="7988B401"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13.946</w:t>
            </w:r>
          </w:p>
        </w:tc>
      </w:tr>
      <w:tr w:rsidR="009616FA" w:rsidRPr="009616FA" w14:paraId="343412EA" w14:textId="77777777" w:rsidTr="009616FA">
        <w:trPr>
          <w:trHeight w:val="234"/>
        </w:trPr>
        <w:tc>
          <w:tcPr>
            <w:tcW w:w="3957" w:type="dxa"/>
            <w:gridSpan w:val="2"/>
            <w:tcBorders>
              <w:top w:val="nil"/>
              <w:left w:val="nil"/>
              <w:bottom w:val="nil"/>
              <w:right w:val="nil"/>
            </w:tcBorders>
            <w:shd w:val="clear" w:color="auto" w:fill="auto"/>
            <w:noWrap/>
            <w:vAlign w:val="center"/>
            <w:hideMark/>
          </w:tcPr>
          <w:p w14:paraId="065F5EAB"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Over-identification test</w:t>
            </w:r>
          </w:p>
        </w:tc>
        <w:tc>
          <w:tcPr>
            <w:tcW w:w="1234" w:type="dxa"/>
            <w:tcBorders>
              <w:top w:val="nil"/>
              <w:left w:val="nil"/>
              <w:bottom w:val="nil"/>
              <w:right w:val="nil"/>
            </w:tcBorders>
            <w:shd w:val="clear" w:color="auto" w:fill="auto"/>
            <w:noWrap/>
            <w:vAlign w:val="center"/>
            <w:hideMark/>
          </w:tcPr>
          <w:p w14:paraId="13BF7122" w14:textId="77777777" w:rsidR="009616FA" w:rsidRPr="009616FA" w:rsidRDefault="009616FA" w:rsidP="009616FA">
            <w:pPr>
              <w:spacing w:after="0" w:line="240" w:lineRule="auto"/>
              <w:rPr>
                <w:rFonts w:ascii="Calibri" w:eastAsia="Times New Roman" w:hAnsi="Calibri" w:cs="Calibri"/>
                <w:color w:val="000000"/>
                <w:sz w:val="22"/>
              </w:rPr>
            </w:pPr>
          </w:p>
        </w:tc>
        <w:tc>
          <w:tcPr>
            <w:tcW w:w="1319" w:type="dxa"/>
            <w:tcBorders>
              <w:top w:val="nil"/>
              <w:left w:val="nil"/>
              <w:bottom w:val="nil"/>
              <w:right w:val="nil"/>
            </w:tcBorders>
            <w:shd w:val="clear" w:color="auto" w:fill="auto"/>
            <w:noWrap/>
            <w:vAlign w:val="center"/>
            <w:hideMark/>
          </w:tcPr>
          <w:p w14:paraId="3263E2DE" w14:textId="77777777" w:rsidR="009616FA" w:rsidRPr="009616FA" w:rsidRDefault="009616FA" w:rsidP="009616FA">
            <w:pPr>
              <w:spacing w:after="0" w:line="240" w:lineRule="auto"/>
              <w:jc w:val="center"/>
              <w:rPr>
                <w:rFonts w:eastAsia="Times New Roman" w:cs="Times New Roman"/>
                <w:sz w:val="20"/>
                <w:szCs w:val="20"/>
              </w:rPr>
            </w:pPr>
          </w:p>
        </w:tc>
        <w:tc>
          <w:tcPr>
            <w:tcW w:w="1340" w:type="dxa"/>
            <w:tcBorders>
              <w:top w:val="nil"/>
              <w:left w:val="nil"/>
              <w:bottom w:val="nil"/>
              <w:right w:val="nil"/>
            </w:tcBorders>
            <w:shd w:val="clear" w:color="auto" w:fill="auto"/>
            <w:noWrap/>
            <w:vAlign w:val="center"/>
            <w:hideMark/>
          </w:tcPr>
          <w:p w14:paraId="3D033D5C" w14:textId="77777777" w:rsidR="009616FA" w:rsidRPr="009616FA" w:rsidRDefault="009616FA" w:rsidP="009616FA">
            <w:pPr>
              <w:spacing w:after="0" w:line="240" w:lineRule="auto"/>
              <w:jc w:val="center"/>
              <w:rPr>
                <w:rFonts w:eastAsia="Times New Roman" w:cs="Times New Roman"/>
                <w:sz w:val="20"/>
                <w:szCs w:val="20"/>
              </w:rPr>
            </w:pPr>
          </w:p>
        </w:tc>
        <w:tc>
          <w:tcPr>
            <w:tcW w:w="1234" w:type="dxa"/>
            <w:tcBorders>
              <w:top w:val="nil"/>
              <w:left w:val="nil"/>
              <w:bottom w:val="nil"/>
              <w:right w:val="nil"/>
            </w:tcBorders>
            <w:shd w:val="clear" w:color="auto" w:fill="auto"/>
            <w:noWrap/>
            <w:vAlign w:val="center"/>
            <w:hideMark/>
          </w:tcPr>
          <w:p w14:paraId="4055BCAD" w14:textId="77777777" w:rsidR="009616FA" w:rsidRPr="009616FA" w:rsidRDefault="009616FA" w:rsidP="009616FA">
            <w:pPr>
              <w:spacing w:after="0" w:line="240" w:lineRule="auto"/>
              <w:jc w:val="center"/>
              <w:rPr>
                <w:rFonts w:eastAsia="Times New Roman" w:cs="Times New Roman"/>
                <w:sz w:val="20"/>
                <w:szCs w:val="20"/>
              </w:rPr>
            </w:pPr>
          </w:p>
        </w:tc>
      </w:tr>
      <w:tr w:rsidR="009616FA" w:rsidRPr="009616FA" w14:paraId="207B1C8F" w14:textId="77777777" w:rsidTr="009616FA">
        <w:trPr>
          <w:trHeight w:val="234"/>
        </w:trPr>
        <w:tc>
          <w:tcPr>
            <w:tcW w:w="2595" w:type="dxa"/>
            <w:tcBorders>
              <w:top w:val="nil"/>
              <w:left w:val="nil"/>
              <w:bottom w:val="nil"/>
              <w:right w:val="nil"/>
            </w:tcBorders>
            <w:shd w:val="clear" w:color="auto" w:fill="auto"/>
            <w:noWrap/>
            <w:vAlign w:val="center"/>
            <w:hideMark/>
          </w:tcPr>
          <w:p w14:paraId="4CC65B39"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 xml:space="preserve">      Hansen J Statistic</w:t>
            </w:r>
          </w:p>
        </w:tc>
        <w:tc>
          <w:tcPr>
            <w:tcW w:w="1361" w:type="dxa"/>
            <w:tcBorders>
              <w:top w:val="nil"/>
              <w:left w:val="nil"/>
              <w:bottom w:val="nil"/>
              <w:right w:val="nil"/>
            </w:tcBorders>
            <w:shd w:val="clear" w:color="auto" w:fill="auto"/>
            <w:noWrap/>
            <w:vAlign w:val="center"/>
            <w:hideMark/>
          </w:tcPr>
          <w:p w14:paraId="70A666BB"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2.544</w:t>
            </w:r>
          </w:p>
        </w:tc>
        <w:tc>
          <w:tcPr>
            <w:tcW w:w="1234" w:type="dxa"/>
            <w:tcBorders>
              <w:top w:val="nil"/>
              <w:left w:val="nil"/>
              <w:bottom w:val="nil"/>
              <w:right w:val="nil"/>
            </w:tcBorders>
            <w:shd w:val="clear" w:color="auto" w:fill="auto"/>
            <w:noWrap/>
            <w:vAlign w:val="center"/>
            <w:hideMark/>
          </w:tcPr>
          <w:p w14:paraId="3AC009A6"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0.071</w:t>
            </w:r>
          </w:p>
        </w:tc>
        <w:tc>
          <w:tcPr>
            <w:tcW w:w="1319" w:type="dxa"/>
            <w:tcBorders>
              <w:top w:val="nil"/>
              <w:left w:val="nil"/>
              <w:bottom w:val="nil"/>
              <w:right w:val="nil"/>
            </w:tcBorders>
            <w:shd w:val="clear" w:color="auto" w:fill="auto"/>
            <w:noWrap/>
            <w:vAlign w:val="center"/>
            <w:hideMark/>
          </w:tcPr>
          <w:p w14:paraId="743EE690"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2.827</w:t>
            </w:r>
          </w:p>
        </w:tc>
        <w:tc>
          <w:tcPr>
            <w:tcW w:w="1340" w:type="dxa"/>
            <w:tcBorders>
              <w:top w:val="nil"/>
              <w:left w:val="nil"/>
              <w:bottom w:val="nil"/>
              <w:right w:val="nil"/>
            </w:tcBorders>
            <w:shd w:val="clear" w:color="auto" w:fill="auto"/>
            <w:noWrap/>
            <w:vAlign w:val="center"/>
            <w:hideMark/>
          </w:tcPr>
          <w:p w14:paraId="2C202A89"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0.882</w:t>
            </w:r>
          </w:p>
        </w:tc>
        <w:tc>
          <w:tcPr>
            <w:tcW w:w="1234" w:type="dxa"/>
            <w:tcBorders>
              <w:top w:val="nil"/>
              <w:left w:val="nil"/>
              <w:bottom w:val="nil"/>
              <w:right w:val="nil"/>
            </w:tcBorders>
            <w:shd w:val="clear" w:color="auto" w:fill="auto"/>
            <w:noWrap/>
            <w:vAlign w:val="center"/>
            <w:hideMark/>
          </w:tcPr>
          <w:p w14:paraId="690C85EF"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2.119</w:t>
            </w:r>
          </w:p>
        </w:tc>
      </w:tr>
      <w:tr w:rsidR="009616FA" w:rsidRPr="009616FA" w14:paraId="3E91D198" w14:textId="77777777" w:rsidTr="009616FA">
        <w:trPr>
          <w:trHeight w:val="243"/>
        </w:trPr>
        <w:tc>
          <w:tcPr>
            <w:tcW w:w="2595" w:type="dxa"/>
            <w:tcBorders>
              <w:top w:val="nil"/>
              <w:left w:val="nil"/>
              <w:bottom w:val="double" w:sz="6" w:space="0" w:color="auto"/>
              <w:right w:val="nil"/>
            </w:tcBorders>
            <w:shd w:val="clear" w:color="auto" w:fill="auto"/>
            <w:noWrap/>
            <w:vAlign w:val="center"/>
            <w:hideMark/>
          </w:tcPr>
          <w:p w14:paraId="2E0361A8"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 xml:space="preserve">      P-values for J test </w:t>
            </w:r>
          </w:p>
        </w:tc>
        <w:tc>
          <w:tcPr>
            <w:tcW w:w="1361" w:type="dxa"/>
            <w:tcBorders>
              <w:top w:val="nil"/>
              <w:left w:val="nil"/>
              <w:bottom w:val="double" w:sz="6" w:space="0" w:color="auto"/>
              <w:right w:val="nil"/>
            </w:tcBorders>
            <w:shd w:val="clear" w:color="auto" w:fill="auto"/>
            <w:noWrap/>
            <w:vAlign w:val="center"/>
            <w:hideMark/>
          </w:tcPr>
          <w:p w14:paraId="52C63D5A"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0.111</w:t>
            </w:r>
          </w:p>
        </w:tc>
        <w:tc>
          <w:tcPr>
            <w:tcW w:w="1234" w:type="dxa"/>
            <w:tcBorders>
              <w:top w:val="nil"/>
              <w:left w:val="nil"/>
              <w:bottom w:val="double" w:sz="6" w:space="0" w:color="auto"/>
              <w:right w:val="nil"/>
            </w:tcBorders>
            <w:shd w:val="clear" w:color="auto" w:fill="auto"/>
            <w:noWrap/>
            <w:vAlign w:val="center"/>
            <w:hideMark/>
          </w:tcPr>
          <w:p w14:paraId="1A2C7EF0"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0.789</w:t>
            </w:r>
          </w:p>
        </w:tc>
        <w:tc>
          <w:tcPr>
            <w:tcW w:w="1319" w:type="dxa"/>
            <w:tcBorders>
              <w:top w:val="nil"/>
              <w:left w:val="nil"/>
              <w:bottom w:val="double" w:sz="6" w:space="0" w:color="auto"/>
              <w:right w:val="nil"/>
            </w:tcBorders>
            <w:shd w:val="clear" w:color="auto" w:fill="auto"/>
            <w:noWrap/>
            <w:vAlign w:val="center"/>
            <w:hideMark/>
          </w:tcPr>
          <w:p w14:paraId="380E7D7A"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0.093</w:t>
            </w:r>
          </w:p>
        </w:tc>
        <w:tc>
          <w:tcPr>
            <w:tcW w:w="1340" w:type="dxa"/>
            <w:tcBorders>
              <w:top w:val="nil"/>
              <w:left w:val="nil"/>
              <w:bottom w:val="double" w:sz="6" w:space="0" w:color="auto"/>
              <w:right w:val="nil"/>
            </w:tcBorders>
            <w:shd w:val="clear" w:color="auto" w:fill="auto"/>
            <w:noWrap/>
            <w:vAlign w:val="center"/>
            <w:hideMark/>
          </w:tcPr>
          <w:p w14:paraId="1EF08551"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0.348</w:t>
            </w:r>
          </w:p>
        </w:tc>
        <w:tc>
          <w:tcPr>
            <w:tcW w:w="1234" w:type="dxa"/>
            <w:tcBorders>
              <w:top w:val="nil"/>
              <w:left w:val="nil"/>
              <w:bottom w:val="double" w:sz="6" w:space="0" w:color="auto"/>
              <w:right w:val="nil"/>
            </w:tcBorders>
            <w:shd w:val="clear" w:color="auto" w:fill="auto"/>
            <w:noWrap/>
            <w:vAlign w:val="center"/>
            <w:hideMark/>
          </w:tcPr>
          <w:p w14:paraId="0C373FA8"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0.146</w:t>
            </w:r>
          </w:p>
        </w:tc>
      </w:tr>
    </w:tbl>
    <w:p w14:paraId="0733BF3F" w14:textId="24119268" w:rsidR="008B70F4" w:rsidRDefault="008B70F4" w:rsidP="008B70F4">
      <w:r w:rsidRPr="00F005DC">
        <w:rPr>
          <w:i/>
          <w:iCs/>
        </w:rPr>
        <w:t>Notes</w:t>
      </w:r>
      <w:r>
        <w:t xml:space="preserve">: All columns control for all demographic characteristics and all fixed effects. </w:t>
      </w:r>
    </w:p>
    <w:p w14:paraId="673C8437" w14:textId="77777777" w:rsidR="008B70F4" w:rsidRDefault="008B70F4" w:rsidP="008B70F4">
      <w:pPr>
        <w:rPr>
          <w:rFonts w:cs="Times New Roman"/>
          <w:szCs w:val="24"/>
          <w:lang w:val="en-US"/>
        </w:rPr>
      </w:pPr>
      <w:r>
        <w:t xml:space="preserve">***p&lt;0.01, **p&lt;0.05. *p&lt;0.1. </w:t>
      </w:r>
    </w:p>
    <w:p w14:paraId="4DC4851E" w14:textId="77777777" w:rsidR="008B70F4" w:rsidRPr="008061C9" w:rsidRDefault="008B70F4" w:rsidP="006F6A41">
      <w:pPr>
        <w:rPr>
          <w:rFonts w:cs="Times New Roman"/>
          <w:szCs w:val="24"/>
          <w:lang w:val="en-US"/>
        </w:rPr>
      </w:pPr>
    </w:p>
    <w:p w14:paraId="209890C7" w14:textId="71988657" w:rsidR="00DC13B8" w:rsidRDefault="00B6507E" w:rsidP="004A6FA2">
      <w:pPr>
        <w:spacing w:line="360" w:lineRule="auto"/>
        <w:ind w:firstLine="567"/>
        <w:jc w:val="both"/>
      </w:pPr>
      <w:r w:rsidRPr="00B6507E">
        <w:t xml:space="preserve">Table 8 panel A indicates that education has a significant negative correlation with BMI, and each additional year of education reduces the BMI by 0.035 units at 1% significant level in the (1) column. </w:t>
      </w:r>
      <w:r w:rsidR="004B6CC2" w:rsidRPr="004B6CC2">
        <w:t>T</w:t>
      </w:r>
      <w:r w:rsidRPr="004B6CC2">
        <w:t>he subsamples can find significant evidence, except for rural areas.</w:t>
      </w:r>
      <w:r w:rsidRPr="00B6507E">
        <w:t xml:space="preserve"> Panel B provides that education has no significant causal effect for BMI, and the coefficients also reveal the same phenomenon between gender.</w:t>
      </w:r>
    </w:p>
    <w:p w14:paraId="1371BE6A" w14:textId="0DA2B1B7" w:rsidR="00D049A1" w:rsidRDefault="00D049A1" w:rsidP="008061C9">
      <w:pPr>
        <w:spacing w:line="360" w:lineRule="auto"/>
        <w:ind w:firstLine="567"/>
      </w:pPr>
    </w:p>
    <w:p w14:paraId="35887EB7" w14:textId="222B536B" w:rsidR="00D049A1" w:rsidRDefault="00D049A1" w:rsidP="008061C9">
      <w:pPr>
        <w:spacing w:line="360" w:lineRule="auto"/>
        <w:ind w:firstLine="567"/>
      </w:pPr>
    </w:p>
    <w:p w14:paraId="732BF04E" w14:textId="77777777" w:rsidR="00B6507E" w:rsidRDefault="00B6507E" w:rsidP="008061C9">
      <w:pPr>
        <w:spacing w:line="360" w:lineRule="auto"/>
        <w:ind w:firstLine="567"/>
      </w:pPr>
    </w:p>
    <w:p w14:paraId="3A8782EF" w14:textId="77777777" w:rsidR="004A6FA2" w:rsidRDefault="004A6FA2">
      <w:r>
        <w:br w:type="page"/>
      </w:r>
    </w:p>
    <w:p w14:paraId="511CD2B1" w14:textId="364CC753" w:rsidR="00620B53" w:rsidRDefault="00620B53" w:rsidP="008F7B1E">
      <w:r>
        <w:rPr>
          <w:rFonts w:hint="eastAsia"/>
        </w:rPr>
        <w:lastRenderedPageBreak/>
        <w:t>Ta</w:t>
      </w:r>
      <w:r>
        <w:t xml:space="preserve">ble </w:t>
      </w:r>
      <w:r w:rsidR="00283BCE">
        <w:t>9</w:t>
      </w:r>
      <w:r>
        <w:t>. Results of education on overweightness</w:t>
      </w:r>
    </w:p>
    <w:tbl>
      <w:tblPr>
        <w:tblW w:w="9171" w:type="dxa"/>
        <w:tblLook w:val="04A0" w:firstRow="1" w:lastRow="0" w:firstColumn="1" w:lastColumn="0" w:noHBand="0" w:noVBand="1"/>
      </w:tblPr>
      <w:tblGrid>
        <w:gridCol w:w="2555"/>
        <w:gridCol w:w="1447"/>
        <w:gridCol w:w="1334"/>
        <w:gridCol w:w="1311"/>
        <w:gridCol w:w="1309"/>
        <w:gridCol w:w="1215"/>
      </w:tblGrid>
      <w:tr w:rsidR="009616FA" w:rsidRPr="009616FA" w14:paraId="4A333154" w14:textId="77777777" w:rsidTr="009616FA">
        <w:trPr>
          <w:trHeight w:val="233"/>
        </w:trPr>
        <w:tc>
          <w:tcPr>
            <w:tcW w:w="2555" w:type="dxa"/>
            <w:tcBorders>
              <w:top w:val="single" w:sz="4" w:space="0" w:color="auto"/>
              <w:left w:val="nil"/>
              <w:bottom w:val="nil"/>
              <w:right w:val="nil"/>
            </w:tcBorders>
            <w:shd w:val="clear" w:color="auto" w:fill="auto"/>
            <w:noWrap/>
            <w:vAlign w:val="bottom"/>
            <w:hideMark/>
          </w:tcPr>
          <w:p w14:paraId="5F62E66A" w14:textId="77777777" w:rsidR="009616FA" w:rsidRPr="009616FA" w:rsidRDefault="009616FA" w:rsidP="009616FA">
            <w:pPr>
              <w:spacing w:after="0" w:line="240" w:lineRule="auto"/>
              <w:rPr>
                <w:rFonts w:ascii="Calibri" w:eastAsia="Times New Roman" w:hAnsi="Calibri" w:cs="Calibri"/>
                <w:color w:val="000000"/>
                <w:sz w:val="22"/>
              </w:rPr>
            </w:pPr>
            <w:bookmarkStart w:id="33" w:name="_Hlk38426429"/>
            <w:r w:rsidRPr="009616FA">
              <w:rPr>
                <w:rFonts w:ascii="Calibri" w:eastAsia="Times New Roman" w:hAnsi="Calibri" w:cs="Calibri"/>
                <w:color w:val="000000"/>
                <w:sz w:val="22"/>
              </w:rPr>
              <w:t> </w:t>
            </w:r>
          </w:p>
        </w:tc>
        <w:tc>
          <w:tcPr>
            <w:tcW w:w="1447" w:type="dxa"/>
            <w:tcBorders>
              <w:top w:val="single" w:sz="4" w:space="0" w:color="auto"/>
              <w:left w:val="nil"/>
              <w:bottom w:val="nil"/>
              <w:right w:val="nil"/>
            </w:tcBorders>
            <w:shd w:val="clear" w:color="auto" w:fill="auto"/>
            <w:noWrap/>
            <w:vAlign w:val="center"/>
            <w:hideMark/>
          </w:tcPr>
          <w:p w14:paraId="702E6997"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w:t>
            </w:r>
          </w:p>
        </w:tc>
        <w:tc>
          <w:tcPr>
            <w:tcW w:w="1334" w:type="dxa"/>
            <w:tcBorders>
              <w:top w:val="single" w:sz="4" w:space="0" w:color="auto"/>
              <w:left w:val="nil"/>
              <w:bottom w:val="nil"/>
              <w:right w:val="nil"/>
            </w:tcBorders>
            <w:shd w:val="clear" w:color="auto" w:fill="auto"/>
            <w:noWrap/>
            <w:vAlign w:val="center"/>
            <w:hideMark/>
          </w:tcPr>
          <w:p w14:paraId="3F95B413"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(2)</w:t>
            </w:r>
          </w:p>
        </w:tc>
        <w:tc>
          <w:tcPr>
            <w:tcW w:w="1311" w:type="dxa"/>
            <w:tcBorders>
              <w:top w:val="single" w:sz="4" w:space="0" w:color="auto"/>
              <w:left w:val="nil"/>
              <w:bottom w:val="nil"/>
              <w:right w:val="nil"/>
            </w:tcBorders>
            <w:shd w:val="clear" w:color="auto" w:fill="auto"/>
            <w:noWrap/>
            <w:vAlign w:val="center"/>
            <w:hideMark/>
          </w:tcPr>
          <w:p w14:paraId="6D2A1E3B"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(3)</w:t>
            </w:r>
          </w:p>
        </w:tc>
        <w:tc>
          <w:tcPr>
            <w:tcW w:w="1309" w:type="dxa"/>
            <w:tcBorders>
              <w:top w:val="single" w:sz="4" w:space="0" w:color="auto"/>
              <w:left w:val="nil"/>
              <w:bottom w:val="nil"/>
              <w:right w:val="nil"/>
            </w:tcBorders>
            <w:shd w:val="clear" w:color="auto" w:fill="auto"/>
            <w:noWrap/>
            <w:vAlign w:val="center"/>
            <w:hideMark/>
          </w:tcPr>
          <w:p w14:paraId="03D6BBC4"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(4)</w:t>
            </w:r>
          </w:p>
        </w:tc>
        <w:tc>
          <w:tcPr>
            <w:tcW w:w="1214" w:type="dxa"/>
            <w:tcBorders>
              <w:top w:val="single" w:sz="4" w:space="0" w:color="auto"/>
              <w:left w:val="nil"/>
              <w:bottom w:val="nil"/>
              <w:right w:val="nil"/>
            </w:tcBorders>
            <w:shd w:val="clear" w:color="auto" w:fill="auto"/>
            <w:noWrap/>
            <w:vAlign w:val="center"/>
            <w:hideMark/>
          </w:tcPr>
          <w:p w14:paraId="5FEE0B45"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(5)</w:t>
            </w:r>
          </w:p>
        </w:tc>
      </w:tr>
      <w:tr w:rsidR="009616FA" w:rsidRPr="009616FA" w14:paraId="617C5EFB" w14:textId="77777777" w:rsidTr="009616FA">
        <w:trPr>
          <w:trHeight w:val="233"/>
        </w:trPr>
        <w:tc>
          <w:tcPr>
            <w:tcW w:w="2555" w:type="dxa"/>
            <w:vMerge w:val="restart"/>
            <w:tcBorders>
              <w:top w:val="nil"/>
              <w:left w:val="nil"/>
              <w:bottom w:val="single" w:sz="4" w:space="0" w:color="000000"/>
              <w:right w:val="nil"/>
            </w:tcBorders>
            <w:shd w:val="clear" w:color="auto" w:fill="auto"/>
            <w:noWrap/>
            <w:vAlign w:val="center"/>
            <w:hideMark/>
          </w:tcPr>
          <w:p w14:paraId="28F8467F"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Variables</w:t>
            </w:r>
          </w:p>
        </w:tc>
        <w:tc>
          <w:tcPr>
            <w:tcW w:w="6616" w:type="dxa"/>
            <w:gridSpan w:val="5"/>
            <w:tcBorders>
              <w:top w:val="nil"/>
              <w:left w:val="nil"/>
              <w:bottom w:val="single" w:sz="4" w:space="0" w:color="auto"/>
              <w:right w:val="nil"/>
            </w:tcBorders>
            <w:shd w:val="clear" w:color="auto" w:fill="auto"/>
            <w:noWrap/>
            <w:vAlign w:val="center"/>
            <w:hideMark/>
          </w:tcPr>
          <w:p w14:paraId="57B54DF4"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Overweightness</w:t>
            </w:r>
          </w:p>
        </w:tc>
      </w:tr>
      <w:tr w:rsidR="009616FA" w:rsidRPr="009616FA" w14:paraId="1E97EBAF" w14:textId="77777777" w:rsidTr="009616FA">
        <w:trPr>
          <w:trHeight w:val="233"/>
        </w:trPr>
        <w:tc>
          <w:tcPr>
            <w:tcW w:w="2555" w:type="dxa"/>
            <w:vMerge/>
            <w:tcBorders>
              <w:top w:val="nil"/>
              <w:left w:val="nil"/>
              <w:bottom w:val="single" w:sz="4" w:space="0" w:color="000000"/>
              <w:right w:val="nil"/>
            </w:tcBorders>
            <w:vAlign w:val="center"/>
            <w:hideMark/>
          </w:tcPr>
          <w:p w14:paraId="7B54BF1D" w14:textId="77777777" w:rsidR="009616FA" w:rsidRPr="009616FA" w:rsidRDefault="009616FA" w:rsidP="009616FA">
            <w:pPr>
              <w:spacing w:after="0" w:line="240" w:lineRule="auto"/>
              <w:rPr>
                <w:rFonts w:ascii="Calibri" w:eastAsia="Times New Roman" w:hAnsi="Calibri" w:cs="Calibri"/>
                <w:color w:val="000000"/>
                <w:sz w:val="22"/>
              </w:rPr>
            </w:pPr>
          </w:p>
        </w:tc>
        <w:tc>
          <w:tcPr>
            <w:tcW w:w="1447" w:type="dxa"/>
            <w:tcBorders>
              <w:top w:val="nil"/>
              <w:left w:val="nil"/>
              <w:bottom w:val="single" w:sz="4" w:space="0" w:color="auto"/>
              <w:right w:val="nil"/>
            </w:tcBorders>
            <w:shd w:val="clear" w:color="auto" w:fill="auto"/>
            <w:noWrap/>
            <w:vAlign w:val="center"/>
            <w:hideMark/>
          </w:tcPr>
          <w:p w14:paraId="7D34A601"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All Sample</w:t>
            </w:r>
          </w:p>
        </w:tc>
        <w:tc>
          <w:tcPr>
            <w:tcW w:w="1334" w:type="dxa"/>
            <w:tcBorders>
              <w:top w:val="nil"/>
              <w:left w:val="nil"/>
              <w:bottom w:val="single" w:sz="4" w:space="0" w:color="auto"/>
              <w:right w:val="nil"/>
            </w:tcBorders>
            <w:shd w:val="clear" w:color="auto" w:fill="auto"/>
            <w:noWrap/>
            <w:vAlign w:val="center"/>
            <w:hideMark/>
          </w:tcPr>
          <w:p w14:paraId="67D178E9"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Male</w:t>
            </w:r>
          </w:p>
        </w:tc>
        <w:tc>
          <w:tcPr>
            <w:tcW w:w="1311" w:type="dxa"/>
            <w:tcBorders>
              <w:top w:val="nil"/>
              <w:left w:val="nil"/>
              <w:bottom w:val="single" w:sz="4" w:space="0" w:color="auto"/>
              <w:right w:val="nil"/>
            </w:tcBorders>
            <w:shd w:val="clear" w:color="auto" w:fill="auto"/>
            <w:noWrap/>
            <w:vAlign w:val="center"/>
            <w:hideMark/>
          </w:tcPr>
          <w:p w14:paraId="6A1868EB"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Female</w:t>
            </w:r>
          </w:p>
        </w:tc>
        <w:tc>
          <w:tcPr>
            <w:tcW w:w="1309" w:type="dxa"/>
            <w:tcBorders>
              <w:top w:val="nil"/>
              <w:left w:val="nil"/>
              <w:bottom w:val="single" w:sz="4" w:space="0" w:color="auto"/>
              <w:right w:val="nil"/>
            </w:tcBorders>
            <w:shd w:val="clear" w:color="auto" w:fill="auto"/>
            <w:noWrap/>
            <w:vAlign w:val="center"/>
            <w:hideMark/>
          </w:tcPr>
          <w:p w14:paraId="457DFD40"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Urban</w:t>
            </w:r>
          </w:p>
        </w:tc>
        <w:tc>
          <w:tcPr>
            <w:tcW w:w="1214" w:type="dxa"/>
            <w:tcBorders>
              <w:top w:val="nil"/>
              <w:left w:val="nil"/>
              <w:bottom w:val="single" w:sz="4" w:space="0" w:color="auto"/>
              <w:right w:val="nil"/>
            </w:tcBorders>
            <w:shd w:val="clear" w:color="auto" w:fill="auto"/>
            <w:noWrap/>
            <w:vAlign w:val="center"/>
            <w:hideMark/>
          </w:tcPr>
          <w:p w14:paraId="0D696016"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Rural</w:t>
            </w:r>
          </w:p>
        </w:tc>
      </w:tr>
      <w:tr w:rsidR="009616FA" w:rsidRPr="009616FA" w14:paraId="25CD73E2" w14:textId="77777777" w:rsidTr="009616FA">
        <w:trPr>
          <w:trHeight w:val="233"/>
        </w:trPr>
        <w:tc>
          <w:tcPr>
            <w:tcW w:w="4002" w:type="dxa"/>
            <w:gridSpan w:val="2"/>
            <w:tcBorders>
              <w:top w:val="single" w:sz="4" w:space="0" w:color="auto"/>
              <w:left w:val="nil"/>
              <w:bottom w:val="nil"/>
              <w:right w:val="nil"/>
            </w:tcBorders>
            <w:shd w:val="clear" w:color="auto" w:fill="auto"/>
            <w:noWrap/>
            <w:vAlign w:val="center"/>
            <w:hideMark/>
          </w:tcPr>
          <w:p w14:paraId="45395B2F" w14:textId="77777777" w:rsidR="009616FA" w:rsidRPr="009616FA" w:rsidRDefault="009616FA" w:rsidP="009616FA">
            <w:pPr>
              <w:spacing w:after="0" w:line="240" w:lineRule="auto"/>
              <w:rPr>
                <w:rFonts w:ascii="Calibri" w:eastAsia="Times New Roman" w:hAnsi="Calibri" w:cs="Calibri"/>
                <w:b/>
                <w:bCs/>
                <w:color w:val="000000"/>
                <w:sz w:val="22"/>
              </w:rPr>
            </w:pPr>
            <w:r w:rsidRPr="009616FA">
              <w:rPr>
                <w:rFonts w:ascii="Calibri" w:eastAsia="Times New Roman" w:hAnsi="Calibri" w:cs="Calibri"/>
                <w:b/>
                <w:bCs/>
                <w:color w:val="000000"/>
                <w:sz w:val="22"/>
              </w:rPr>
              <w:t>Panel A. OLS Estimation</w:t>
            </w:r>
          </w:p>
        </w:tc>
        <w:tc>
          <w:tcPr>
            <w:tcW w:w="1334" w:type="dxa"/>
            <w:tcBorders>
              <w:top w:val="nil"/>
              <w:left w:val="nil"/>
              <w:bottom w:val="nil"/>
              <w:right w:val="nil"/>
            </w:tcBorders>
            <w:shd w:val="clear" w:color="auto" w:fill="auto"/>
            <w:noWrap/>
            <w:vAlign w:val="center"/>
            <w:hideMark/>
          </w:tcPr>
          <w:p w14:paraId="446C0645" w14:textId="77777777" w:rsidR="009616FA" w:rsidRPr="009616FA" w:rsidRDefault="009616FA" w:rsidP="009616FA">
            <w:pPr>
              <w:spacing w:after="0" w:line="240" w:lineRule="auto"/>
              <w:rPr>
                <w:rFonts w:ascii="Calibri" w:eastAsia="Times New Roman" w:hAnsi="Calibri" w:cs="Calibri"/>
                <w:b/>
                <w:bCs/>
                <w:color w:val="000000"/>
                <w:sz w:val="22"/>
              </w:rPr>
            </w:pPr>
          </w:p>
        </w:tc>
        <w:tc>
          <w:tcPr>
            <w:tcW w:w="1311" w:type="dxa"/>
            <w:tcBorders>
              <w:top w:val="nil"/>
              <w:left w:val="nil"/>
              <w:bottom w:val="nil"/>
              <w:right w:val="nil"/>
            </w:tcBorders>
            <w:shd w:val="clear" w:color="auto" w:fill="auto"/>
            <w:noWrap/>
            <w:vAlign w:val="center"/>
            <w:hideMark/>
          </w:tcPr>
          <w:p w14:paraId="7F3969FE" w14:textId="77777777" w:rsidR="009616FA" w:rsidRPr="009616FA" w:rsidRDefault="009616FA" w:rsidP="009616FA">
            <w:pPr>
              <w:spacing w:after="0" w:line="240" w:lineRule="auto"/>
              <w:rPr>
                <w:rFonts w:eastAsia="Times New Roman" w:cs="Times New Roman"/>
                <w:sz w:val="20"/>
                <w:szCs w:val="20"/>
              </w:rPr>
            </w:pPr>
          </w:p>
        </w:tc>
        <w:tc>
          <w:tcPr>
            <w:tcW w:w="1309" w:type="dxa"/>
            <w:tcBorders>
              <w:top w:val="nil"/>
              <w:left w:val="nil"/>
              <w:bottom w:val="nil"/>
              <w:right w:val="nil"/>
            </w:tcBorders>
            <w:shd w:val="clear" w:color="auto" w:fill="auto"/>
            <w:noWrap/>
            <w:vAlign w:val="center"/>
            <w:hideMark/>
          </w:tcPr>
          <w:p w14:paraId="58A428D0"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c>
          <w:tcPr>
            <w:tcW w:w="1214" w:type="dxa"/>
            <w:tcBorders>
              <w:top w:val="nil"/>
              <w:left w:val="nil"/>
              <w:bottom w:val="nil"/>
              <w:right w:val="nil"/>
            </w:tcBorders>
            <w:shd w:val="clear" w:color="auto" w:fill="auto"/>
            <w:noWrap/>
            <w:vAlign w:val="center"/>
            <w:hideMark/>
          </w:tcPr>
          <w:p w14:paraId="2CBE9100"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r>
      <w:tr w:rsidR="009616FA" w:rsidRPr="009616FA" w14:paraId="0C6AB080" w14:textId="77777777" w:rsidTr="009616FA">
        <w:trPr>
          <w:trHeight w:val="233"/>
        </w:trPr>
        <w:tc>
          <w:tcPr>
            <w:tcW w:w="2555" w:type="dxa"/>
            <w:tcBorders>
              <w:top w:val="nil"/>
              <w:left w:val="nil"/>
              <w:bottom w:val="nil"/>
              <w:right w:val="nil"/>
            </w:tcBorders>
            <w:shd w:val="clear" w:color="auto" w:fill="auto"/>
            <w:noWrap/>
            <w:vAlign w:val="center"/>
            <w:hideMark/>
          </w:tcPr>
          <w:p w14:paraId="55E3787F"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Years of education</w:t>
            </w:r>
          </w:p>
        </w:tc>
        <w:tc>
          <w:tcPr>
            <w:tcW w:w="1447" w:type="dxa"/>
            <w:tcBorders>
              <w:top w:val="nil"/>
              <w:left w:val="nil"/>
              <w:bottom w:val="nil"/>
              <w:right w:val="nil"/>
            </w:tcBorders>
            <w:shd w:val="clear" w:color="auto" w:fill="auto"/>
            <w:noWrap/>
            <w:vAlign w:val="center"/>
            <w:hideMark/>
          </w:tcPr>
          <w:p w14:paraId="12928059"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-0.0164***</w:t>
            </w:r>
          </w:p>
        </w:tc>
        <w:tc>
          <w:tcPr>
            <w:tcW w:w="1334" w:type="dxa"/>
            <w:tcBorders>
              <w:top w:val="nil"/>
              <w:left w:val="nil"/>
              <w:bottom w:val="nil"/>
              <w:right w:val="nil"/>
            </w:tcBorders>
            <w:shd w:val="clear" w:color="auto" w:fill="auto"/>
            <w:noWrap/>
            <w:vAlign w:val="center"/>
            <w:hideMark/>
          </w:tcPr>
          <w:p w14:paraId="19529281"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0.0186** </w:t>
            </w:r>
          </w:p>
        </w:tc>
        <w:tc>
          <w:tcPr>
            <w:tcW w:w="1311" w:type="dxa"/>
            <w:tcBorders>
              <w:top w:val="nil"/>
              <w:left w:val="nil"/>
              <w:bottom w:val="nil"/>
              <w:right w:val="nil"/>
            </w:tcBorders>
            <w:shd w:val="clear" w:color="auto" w:fill="auto"/>
            <w:noWrap/>
            <w:vAlign w:val="center"/>
            <w:hideMark/>
          </w:tcPr>
          <w:p w14:paraId="0FCB0CDF"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-0.0270*** </w:t>
            </w:r>
          </w:p>
        </w:tc>
        <w:tc>
          <w:tcPr>
            <w:tcW w:w="1309" w:type="dxa"/>
            <w:tcBorders>
              <w:top w:val="nil"/>
              <w:left w:val="nil"/>
              <w:bottom w:val="nil"/>
              <w:right w:val="nil"/>
            </w:tcBorders>
            <w:shd w:val="clear" w:color="auto" w:fill="auto"/>
            <w:noWrap/>
            <w:vAlign w:val="center"/>
            <w:hideMark/>
          </w:tcPr>
          <w:p w14:paraId="7BB98EB7"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-0.0397***</w:t>
            </w:r>
          </w:p>
        </w:tc>
        <w:tc>
          <w:tcPr>
            <w:tcW w:w="1214" w:type="dxa"/>
            <w:tcBorders>
              <w:top w:val="nil"/>
              <w:left w:val="nil"/>
              <w:bottom w:val="nil"/>
              <w:right w:val="nil"/>
            </w:tcBorders>
            <w:shd w:val="clear" w:color="auto" w:fill="auto"/>
            <w:noWrap/>
            <w:vAlign w:val="center"/>
            <w:hideMark/>
          </w:tcPr>
          <w:p w14:paraId="18A4FC2B"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0.00357</w:t>
            </w:r>
          </w:p>
        </w:tc>
      </w:tr>
      <w:tr w:rsidR="009616FA" w:rsidRPr="009616FA" w14:paraId="06FAF273" w14:textId="77777777" w:rsidTr="009616FA">
        <w:trPr>
          <w:trHeight w:val="233"/>
        </w:trPr>
        <w:tc>
          <w:tcPr>
            <w:tcW w:w="2555" w:type="dxa"/>
            <w:tcBorders>
              <w:top w:val="nil"/>
              <w:left w:val="nil"/>
              <w:bottom w:val="nil"/>
              <w:right w:val="nil"/>
            </w:tcBorders>
            <w:shd w:val="clear" w:color="auto" w:fill="auto"/>
            <w:noWrap/>
            <w:vAlign w:val="center"/>
            <w:hideMark/>
          </w:tcPr>
          <w:p w14:paraId="7401DEC9" w14:textId="77777777" w:rsidR="009616FA" w:rsidRPr="009616FA" w:rsidRDefault="009616FA" w:rsidP="009616FA">
            <w:pPr>
              <w:spacing w:after="0" w:line="240" w:lineRule="auto"/>
              <w:jc w:val="center"/>
              <w:rPr>
                <w:rFonts w:ascii="Calibri" w:eastAsia="Times New Roman" w:hAnsi="Calibri" w:cs="Calibri"/>
                <w:color w:val="000000"/>
                <w:sz w:val="22"/>
              </w:rPr>
            </w:pPr>
          </w:p>
        </w:tc>
        <w:tc>
          <w:tcPr>
            <w:tcW w:w="1447" w:type="dxa"/>
            <w:tcBorders>
              <w:top w:val="nil"/>
              <w:left w:val="nil"/>
              <w:bottom w:val="nil"/>
              <w:right w:val="nil"/>
            </w:tcBorders>
            <w:shd w:val="clear" w:color="auto" w:fill="auto"/>
            <w:noWrap/>
            <w:vAlign w:val="center"/>
            <w:hideMark/>
          </w:tcPr>
          <w:p w14:paraId="06CCBF62"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(0.00514) </w:t>
            </w:r>
          </w:p>
        </w:tc>
        <w:tc>
          <w:tcPr>
            <w:tcW w:w="1334" w:type="dxa"/>
            <w:tcBorders>
              <w:top w:val="nil"/>
              <w:left w:val="nil"/>
              <w:bottom w:val="nil"/>
              <w:right w:val="nil"/>
            </w:tcBorders>
            <w:shd w:val="clear" w:color="auto" w:fill="auto"/>
            <w:noWrap/>
            <w:vAlign w:val="center"/>
            <w:hideMark/>
          </w:tcPr>
          <w:p w14:paraId="77D6B78A"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(0.00810) </w:t>
            </w:r>
          </w:p>
        </w:tc>
        <w:tc>
          <w:tcPr>
            <w:tcW w:w="1311" w:type="dxa"/>
            <w:tcBorders>
              <w:top w:val="nil"/>
              <w:left w:val="nil"/>
              <w:bottom w:val="nil"/>
              <w:right w:val="nil"/>
            </w:tcBorders>
            <w:shd w:val="clear" w:color="auto" w:fill="auto"/>
            <w:noWrap/>
            <w:vAlign w:val="center"/>
            <w:hideMark/>
          </w:tcPr>
          <w:p w14:paraId="034C1808"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(0.00634) </w:t>
            </w:r>
          </w:p>
        </w:tc>
        <w:tc>
          <w:tcPr>
            <w:tcW w:w="1309" w:type="dxa"/>
            <w:tcBorders>
              <w:top w:val="nil"/>
              <w:left w:val="nil"/>
              <w:bottom w:val="nil"/>
              <w:right w:val="nil"/>
            </w:tcBorders>
            <w:shd w:val="clear" w:color="auto" w:fill="auto"/>
            <w:noWrap/>
            <w:vAlign w:val="center"/>
            <w:hideMark/>
          </w:tcPr>
          <w:p w14:paraId="194297CA"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(0.0103)</w:t>
            </w:r>
          </w:p>
        </w:tc>
        <w:tc>
          <w:tcPr>
            <w:tcW w:w="1214" w:type="dxa"/>
            <w:tcBorders>
              <w:top w:val="nil"/>
              <w:left w:val="nil"/>
              <w:bottom w:val="nil"/>
              <w:right w:val="nil"/>
            </w:tcBorders>
            <w:shd w:val="clear" w:color="auto" w:fill="auto"/>
            <w:noWrap/>
            <w:vAlign w:val="center"/>
            <w:hideMark/>
          </w:tcPr>
          <w:p w14:paraId="2AC5F2A8"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(0.00579) </w:t>
            </w:r>
          </w:p>
        </w:tc>
      </w:tr>
      <w:tr w:rsidR="009616FA" w:rsidRPr="009616FA" w14:paraId="2BA3F016" w14:textId="77777777" w:rsidTr="009616FA">
        <w:trPr>
          <w:trHeight w:val="233"/>
        </w:trPr>
        <w:tc>
          <w:tcPr>
            <w:tcW w:w="2555" w:type="dxa"/>
            <w:tcBorders>
              <w:top w:val="nil"/>
              <w:left w:val="nil"/>
              <w:bottom w:val="nil"/>
              <w:right w:val="nil"/>
            </w:tcBorders>
            <w:shd w:val="clear" w:color="auto" w:fill="auto"/>
            <w:noWrap/>
            <w:vAlign w:val="center"/>
            <w:hideMark/>
          </w:tcPr>
          <w:p w14:paraId="6433C9F7" w14:textId="77777777" w:rsidR="009616FA" w:rsidRPr="009616FA" w:rsidRDefault="009616FA" w:rsidP="009616FA">
            <w:pPr>
              <w:spacing w:after="0" w:line="240" w:lineRule="auto"/>
              <w:jc w:val="center"/>
              <w:rPr>
                <w:rFonts w:ascii="Calibri" w:eastAsia="Times New Roman" w:hAnsi="Calibri" w:cs="Calibri"/>
                <w:color w:val="000000"/>
                <w:sz w:val="22"/>
              </w:rPr>
            </w:pPr>
          </w:p>
        </w:tc>
        <w:tc>
          <w:tcPr>
            <w:tcW w:w="1447" w:type="dxa"/>
            <w:tcBorders>
              <w:top w:val="nil"/>
              <w:left w:val="nil"/>
              <w:bottom w:val="nil"/>
              <w:right w:val="nil"/>
            </w:tcBorders>
            <w:shd w:val="clear" w:color="auto" w:fill="auto"/>
            <w:noWrap/>
            <w:vAlign w:val="center"/>
            <w:hideMark/>
          </w:tcPr>
          <w:p w14:paraId="31D7FEAB" w14:textId="77777777" w:rsidR="009616FA" w:rsidRPr="009616FA" w:rsidRDefault="009616FA" w:rsidP="009616FA">
            <w:pPr>
              <w:spacing w:after="0" w:line="240" w:lineRule="auto"/>
              <w:rPr>
                <w:rFonts w:eastAsia="Times New Roman" w:cs="Times New Roman"/>
                <w:sz w:val="20"/>
                <w:szCs w:val="20"/>
              </w:rPr>
            </w:pPr>
          </w:p>
        </w:tc>
        <w:tc>
          <w:tcPr>
            <w:tcW w:w="1334" w:type="dxa"/>
            <w:tcBorders>
              <w:top w:val="nil"/>
              <w:left w:val="nil"/>
              <w:bottom w:val="nil"/>
              <w:right w:val="nil"/>
            </w:tcBorders>
            <w:shd w:val="clear" w:color="auto" w:fill="auto"/>
            <w:noWrap/>
            <w:vAlign w:val="center"/>
            <w:hideMark/>
          </w:tcPr>
          <w:p w14:paraId="4651BC37" w14:textId="77777777" w:rsidR="009616FA" w:rsidRPr="009616FA" w:rsidRDefault="009616FA" w:rsidP="009616FA">
            <w:pPr>
              <w:spacing w:after="0" w:line="240" w:lineRule="auto"/>
              <w:jc w:val="center"/>
              <w:rPr>
                <w:rFonts w:eastAsia="Times New Roman" w:cs="Times New Roman"/>
                <w:sz w:val="20"/>
                <w:szCs w:val="20"/>
              </w:rPr>
            </w:pPr>
          </w:p>
        </w:tc>
        <w:tc>
          <w:tcPr>
            <w:tcW w:w="1311" w:type="dxa"/>
            <w:tcBorders>
              <w:top w:val="nil"/>
              <w:left w:val="nil"/>
              <w:bottom w:val="nil"/>
              <w:right w:val="nil"/>
            </w:tcBorders>
            <w:shd w:val="clear" w:color="auto" w:fill="auto"/>
            <w:noWrap/>
            <w:vAlign w:val="center"/>
            <w:hideMark/>
          </w:tcPr>
          <w:p w14:paraId="48AE5881" w14:textId="77777777" w:rsidR="009616FA" w:rsidRPr="009616FA" w:rsidRDefault="009616FA" w:rsidP="009616FA">
            <w:pPr>
              <w:spacing w:after="0" w:line="240" w:lineRule="auto"/>
              <w:jc w:val="center"/>
              <w:rPr>
                <w:rFonts w:eastAsia="Times New Roman" w:cs="Times New Roman"/>
                <w:sz w:val="20"/>
                <w:szCs w:val="20"/>
              </w:rPr>
            </w:pPr>
          </w:p>
        </w:tc>
        <w:tc>
          <w:tcPr>
            <w:tcW w:w="1309" w:type="dxa"/>
            <w:tcBorders>
              <w:top w:val="nil"/>
              <w:left w:val="nil"/>
              <w:bottom w:val="nil"/>
              <w:right w:val="nil"/>
            </w:tcBorders>
            <w:shd w:val="clear" w:color="auto" w:fill="auto"/>
            <w:noWrap/>
            <w:vAlign w:val="center"/>
            <w:hideMark/>
          </w:tcPr>
          <w:p w14:paraId="6386347D" w14:textId="77777777" w:rsidR="009616FA" w:rsidRPr="009616FA" w:rsidRDefault="009616FA" w:rsidP="009616FA">
            <w:pPr>
              <w:spacing w:after="0" w:line="240" w:lineRule="auto"/>
              <w:jc w:val="center"/>
              <w:rPr>
                <w:rFonts w:eastAsia="Times New Roman" w:cs="Times New Roman"/>
                <w:sz w:val="20"/>
                <w:szCs w:val="20"/>
              </w:rPr>
            </w:pPr>
          </w:p>
        </w:tc>
        <w:tc>
          <w:tcPr>
            <w:tcW w:w="1214" w:type="dxa"/>
            <w:tcBorders>
              <w:top w:val="nil"/>
              <w:left w:val="nil"/>
              <w:bottom w:val="nil"/>
              <w:right w:val="nil"/>
            </w:tcBorders>
            <w:shd w:val="clear" w:color="auto" w:fill="auto"/>
            <w:noWrap/>
            <w:vAlign w:val="center"/>
            <w:hideMark/>
          </w:tcPr>
          <w:p w14:paraId="2E988145" w14:textId="77777777" w:rsidR="009616FA" w:rsidRPr="009616FA" w:rsidRDefault="009616FA" w:rsidP="009616FA">
            <w:pPr>
              <w:spacing w:after="0" w:line="240" w:lineRule="auto"/>
              <w:jc w:val="center"/>
              <w:rPr>
                <w:rFonts w:eastAsia="Times New Roman" w:cs="Times New Roman"/>
                <w:sz w:val="20"/>
                <w:szCs w:val="20"/>
              </w:rPr>
            </w:pPr>
          </w:p>
        </w:tc>
      </w:tr>
      <w:tr w:rsidR="009616FA" w:rsidRPr="009616FA" w14:paraId="7851120A" w14:textId="77777777" w:rsidTr="009616FA">
        <w:trPr>
          <w:trHeight w:val="233"/>
        </w:trPr>
        <w:tc>
          <w:tcPr>
            <w:tcW w:w="2555" w:type="dxa"/>
            <w:tcBorders>
              <w:top w:val="nil"/>
              <w:left w:val="nil"/>
              <w:bottom w:val="nil"/>
              <w:right w:val="nil"/>
            </w:tcBorders>
            <w:shd w:val="clear" w:color="auto" w:fill="auto"/>
            <w:noWrap/>
            <w:vAlign w:val="center"/>
            <w:hideMark/>
          </w:tcPr>
          <w:p w14:paraId="4B3E426D"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Adj. R-squared</w:t>
            </w:r>
          </w:p>
        </w:tc>
        <w:tc>
          <w:tcPr>
            <w:tcW w:w="1447" w:type="dxa"/>
            <w:tcBorders>
              <w:top w:val="nil"/>
              <w:left w:val="nil"/>
              <w:bottom w:val="nil"/>
              <w:right w:val="nil"/>
            </w:tcBorders>
            <w:shd w:val="clear" w:color="auto" w:fill="auto"/>
            <w:noWrap/>
            <w:vAlign w:val="center"/>
            <w:hideMark/>
          </w:tcPr>
          <w:p w14:paraId="2E871F8C"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0.065 </w:t>
            </w:r>
          </w:p>
        </w:tc>
        <w:tc>
          <w:tcPr>
            <w:tcW w:w="1334" w:type="dxa"/>
            <w:tcBorders>
              <w:top w:val="nil"/>
              <w:left w:val="nil"/>
              <w:bottom w:val="nil"/>
              <w:right w:val="nil"/>
            </w:tcBorders>
            <w:shd w:val="clear" w:color="auto" w:fill="auto"/>
            <w:noWrap/>
            <w:vAlign w:val="center"/>
            <w:hideMark/>
          </w:tcPr>
          <w:p w14:paraId="10D2106F"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0.092 </w:t>
            </w:r>
          </w:p>
        </w:tc>
        <w:tc>
          <w:tcPr>
            <w:tcW w:w="1311" w:type="dxa"/>
            <w:tcBorders>
              <w:top w:val="nil"/>
              <w:left w:val="nil"/>
              <w:bottom w:val="nil"/>
              <w:right w:val="nil"/>
            </w:tcBorders>
            <w:shd w:val="clear" w:color="auto" w:fill="auto"/>
            <w:noWrap/>
            <w:vAlign w:val="center"/>
            <w:hideMark/>
          </w:tcPr>
          <w:p w14:paraId="65CD2C3E"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0.058 </w:t>
            </w:r>
          </w:p>
        </w:tc>
        <w:tc>
          <w:tcPr>
            <w:tcW w:w="1309" w:type="dxa"/>
            <w:tcBorders>
              <w:top w:val="nil"/>
              <w:left w:val="nil"/>
              <w:bottom w:val="nil"/>
              <w:right w:val="nil"/>
            </w:tcBorders>
            <w:shd w:val="clear" w:color="auto" w:fill="auto"/>
            <w:noWrap/>
            <w:vAlign w:val="center"/>
            <w:hideMark/>
          </w:tcPr>
          <w:p w14:paraId="0B273007"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0.058</w:t>
            </w:r>
          </w:p>
        </w:tc>
        <w:tc>
          <w:tcPr>
            <w:tcW w:w="1214" w:type="dxa"/>
            <w:tcBorders>
              <w:top w:val="nil"/>
              <w:left w:val="nil"/>
              <w:bottom w:val="nil"/>
              <w:right w:val="nil"/>
            </w:tcBorders>
            <w:shd w:val="clear" w:color="auto" w:fill="auto"/>
            <w:noWrap/>
            <w:vAlign w:val="center"/>
            <w:hideMark/>
          </w:tcPr>
          <w:p w14:paraId="796A266D"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 0.079 </w:t>
            </w:r>
          </w:p>
        </w:tc>
      </w:tr>
      <w:tr w:rsidR="009616FA" w:rsidRPr="009616FA" w14:paraId="738E9B4D" w14:textId="77777777" w:rsidTr="009616FA">
        <w:trPr>
          <w:trHeight w:val="233"/>
        </w:trPr>
        <w:tc>
          <w:tcPr>
            <w:tcW w:w="4002" w:type="dxa"/>
            <w:gridSpan w:val="2"/>
            <w:tcBorders>
              <w:top w:val="single" w:sz="4" w:space="0" w:color="auto"/>
              <w:left w:val="nil"/>
              <w:bottom w:val="nil"/>
              <w:right w:val="nil"/>
            </w:tcBorders>
            <w:shd w:val="clear" w:color="auto" w:fill="auto"/>
            <w:noWrap/>
            <w:vAlign w:val="center"/>
            <w:hideMark/>
          </w:tcPr>
          <w:p w14:paraId="592DFFF2" w14:textId="77777777" w:rsidR="009616FA" w:rsidRPr="009616FA" w:rsidRDefault="009616FA" w:rsidP="009616FA">
            <w:pPr>
              <w:spacing w:after="0" w:line="240" w:lineRule="auto"/>
              <w:rPr>
                <w:rFonts w:ascii="Calibri" w:eastAsia="Times New Roman" w:hAnsi="Calibri" w:cs="Calibri"/>
                <w:b/>
                <w:bCs/>
                <w:color w:val="000000"/>
                <w:sz w:val="22"/>
              </w:rPr>
            </w:pPr>
            <w:r w:rsidRPr="009616FA">
              <w:rPr>
                <w:rFonts w:ascii="Calibri" w:eastAsia="Times New Roman" w:hAnsi="Calibri" w:cs="Calibri"/>
                <w:b/>
                <w:bCs/>
                <w:color w:val="000000"/>
                <w:sz w:val="22"/>
              </w:rPr>
              <w:t>Panel B. 2SLS Estimation</w:t>
            </w:r>
          </w:p>
        </w:tc>
        <w:tc>
          <w:tcPr>
            <w:tcW w:w="1334" w:type="dxa"/>
            <w:tcBorders>
              <w:top w:val="single" w:sz="4" w:space="0" w:color="auto"/>
              <w:left w:val="nil"/>
              <w:bottom w:val="nil"/>
              <w:right w:val="nil"/>
            </w:tcBorders>
            <w:shd w:val="clear" w:color="auto" w:fill="auto"/>
            <w:noWrap/>
            <w:vAlign w:val="center"/>
            <w:hideMark/>
          </w:tcPr>
          <w:p w14:paraId="54C0B98F"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c>
          <w:tcPr>
            <w:tcW w:w="1311" w:type="dxa"/>
            <w:tcBorders>
              <w:top w:val="single" w:sz="4" w:space="0" w:color="auto"/>
              <w:left w:val="nil"/>
              <w:bottom w:val="nil"/>
              <w:right w:val="nil"/>
            </w:tcBorders>
            <w:shd w:val="clear" w:color="auto" w:fill="auto"/>
            <w:noWrap/>
            <w:vAlign w:val="center"/>
            <w:hideMark/>
          </w:tcPr>
          <w:p w14:paraId="009B8A34"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c>
          <w:tcPr>
            <w:tcW w:w="1309" w:type="dxa"/>
            <w:tcBorders>
              <w:top w:val="single" w:sz="4" w:space="0" w:color="auto"/>
              <w:left w:val="nil"/>
              <w:bottom w:val="nil"/>
              <w:right w:val="nil"/>
            </w:tcBorders>
            <w:shd w:val="clear" w:color="auto" w:fill="auto"/>
            <w:noWrap/>
            <w:vAlign w:val="center"/>
            <w:hideMark/>
          </w:tcPr>
          <w:p w14:paraId="6A11ABE7"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c>
          <w:tcPr>
            <w:tcW w:w="1214" w:type="dxa"/>
            <w:tcBorders>
              <w:top w:val="single" w:sz="4" w:space="0" w:color="auto"/>
              <w:left w:val="nil"/>
              <w:bottom w:val="nil"/>
              <w:right w:val="nil"/>
            </w:tcBorders>
            <w:shd w:val="clear" w:color="auto" w:fill="auto"/>
            <w:noWrap/>
            <w:vAlign w:val="center"/>
            <w:hideMark/>
          </w:tcPr>
          <w:p w14:paraId="42FCB3E8"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r>
      <w:tr w:rsidR="009616FA" w:rsidRPr="009616FA" w14:paraId="3F791B6E" w14:textId="77777777" w:rsidTr="009616FA">
        <w:trPr>
          <w:trHeight w:val="233"/>
        </w:trPr>
        <w:tc>
          <w:tcPr>
            <w:tcW w:w="2555" w:type="dxa"/>
            <w:tcBorders>
              <w:top w:val="nil"/>
              <w:left w:val="nil"/>
              <w:bottom w:val="nil"/>
              <w:right w:val="nil"/>
            </w:tcBorders>
            <w:shd w:val="clear" w:color="auto" w:fill="auto"/>
            <w:noWrap/>
            <w:vAlign w:val="center"/>
            <w:hideMark/>
          </w:tcPr>
          <w:p w14:paraId="40E8D8E0"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Years of education</w:t>
            </w:r>
          </w:p>
        </w:tc>
        <w:tc>
          <w:tcPr>
            <w:tcW w:w="1447" w:type="dxa"/>
            <w:tcBorders>
              <w:top w:val="nil"/>
              <w:left w:val="nil"/>
              <w:bottom w:val="nil"/>
              <w:right w:val="nil"/>
            </w:tcBorders>
            <w:shd w:val="clear" w:color="auto" w:fill="auto"/>
            <w:noWrap/>
            <w:vAlign w:val="center"/>
            <w:hideMark/>
          </w:tcPr>
          <w:p w14:paraId="3FD4E59D"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-0.0902 </w:t>
            </w:r>
          </w:p>
        </w:tc>
        <w:tc>
          <w:tcPr>
            <w:tcW w:w="1334" w:type="dxa"/>
            <w:tcBorders>
              <w:top w:val="nil"/>
              <w:left w:val="nil"/>
              <w:bottom w:val="nil"/>
              <w:right w:val="nil"/>
            </w:tcBorders>
            <w:shd w:val="clear" w:color="auto" w:fill="auto"/>
            <w:noWrap/>
            <w:vAlign w:val="center"/>
            <w:hideMark/>
          </w:tcPr>
          <w:p w14:paraId="65798283"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-0.181   </w:t>
            </w:r>
          </w:p>
        </w:tc>
        <w:tc>
          <w:tcPr>
            <w:tcW w:w="1311" w:type="dxa"/>
            <w:tcBorders>
              <w:top w:val="nil"/>
              <w:left w:val="nil"/>
              <w:bottom w:val="nil"/>
              <w:right w:val="nil"/>
            </w:tcBorders>
            <w:shd w:val="clear" w:color="auto" w:fill="auto"/>
            <w:noWrap/>
            <w:vAlign w:val="center"/>
            <w:hideMark/>
          </w:tcPr>
          <w:p w14:paraId="0190CA90"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-0.0927</w:t>
            </w:r>
          </w:p>
        </w:tc>
        <w:tc>
          <w:tcPr>
            <w:tcW w:w="1309" w:type="dxa"/>
            <w:tcBorders>
              <w:top w:val="nil"/>
              <w:left w:val="nil"/>
              <w:bottom w:val="nil"/>
              <w:right w:val="nil"/>
            </w:tcBorders>
            <w:shd w:val="clear" w:color="auto" w:fill="auto"/>
            <w:noWrap/>
            <w:vAlign w:val="center"/>
            <w:hideMark/>
          </w:tcPr>
          <w:p w14:paraId="2AB7AA2A"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-0.0593 </w:t>
            </w:r>
          </w:p>
        </w:tc>
        <w:tc>
          <w:tcPr>
            <w:tcW w:w="1214" w:type="dxa"/>
            <w:tcBorders>
              <w:top w:val="nil"/>
              <w:left w:val="nil"/>
              <w:bottom w:val="nil"/>
              <w:right w:val="nil"/>
            </w:tcBorders>
            <w:shd w:val="clear" w:color="auto" w:fill="auto"/>
            <w:noWrap/>
            <w:vAlign w:val="center"/>
            <w:hideMark/>
          </w:tcPr>
          <w:p w14:paraId="6307DB68"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0.0262 </w:t>
            </w:r>
          </w:p>
        </w:tc>
      </w:tr>
      <w:tr w:rsidR="009616FA" w:rsidRPr="009616FA" w14:paraId="6B70FA4D" w14:textId="77777777" w:rsidTr="009616FA">
        <w:trPr>
          <w:trHeight w:val="233"/>
        </w:trPr>
        <w:tc>
          <w:tcPr>
            <w:tcW w:w="2555" w:type="dxa"/>
            <w:tcBorders>
              <w:top w:val="nil"/>
              <w:left w:val="nil"/>
              <w:bottom w:val="nil"/>
              <w:right w:val="nil"/>
            </w:tcBorders>
            <w:shd w:val="clear" w:color="auto" w:fill="auto"/>
            <w:vAlign w:val="center"/>
            <w:hideMark/>
          </w:tcPr>
          <w:p w14:paraId="241E29AC" w14:textId="77777777" w:rsidR="009616FA" w:rsidRPr="009616FA" w:rsidRDefault="009616FA" w:rsidP="009616FA">
            <w:pPr>
              <w:spacing w:after="0" w:line="240" w:lineRule="auto"/>
              <w:jc w:val="center"/>
              <w:rPr>
                <w:rFonts w:ascii="Calibri" w:eastAsia="Times New Roman" w:hAnsi="Calibri" w:cs="Calibri"/>
                <w:color w:val="000000"/>
                <w:sz w:val="22"/>
              </w:rPr>
            </w:pPr>
          </w:p>
        </w:tc>
        <w:tc>
          <w:tcPr>
            <w:tcW w:w="1447" w:type="dxa"/>
            <w:tcBorders>
              <w:top w:val="nil"/>
              <w:left w:val="nil"/>
              <w:bottom w:val="nil"/>
              <w:right w:val="nil"/>
            </w:tcBorders>
            <w:shd w:val="clear" w:color="auto" w:fill="auto"/>
            <w:noWrap/>
            <w:vAlign w:val="center"/>
            <w:hideMark/>
          </w:tcPr>
          <w:p w14:paraId="343175BD"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(0.112) </w:t>
            </w:r>
          </w:p>
        </w:tc>
        <w:tc>
          <w:tcPr>
            <w:tcW w:w="1334" w:type="dxa"/>
            <w:tcBorders>
              <w:top w:val="nil"/>
              <w:left w:val="nil"/>
              <w:bottom w:val="nil"/>
              <w:right w:val="nil"/>
            </w:tcBorders>
            <w:shd w:val="clear" w:color="auto" w:fill="auto"/>
            <w:noWrap/>
            <w:vAlign w:val="center"/>
            <w:hideMark/>
          </w:tcPr>
          <w:p w14:paraId="687EADB9"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(0.316) </w:t>
            </w:r>
          </w:p>
        </w:tc>
        <w:tc>
          <w:tcPr>
            <w:tcW w:w="1311" w:type="dxa"/>
            <w:tcBorders>
              <w:top w:val="nil"/>
              <w:left w:val="nil"/>
              <w:bottom w:val="nil"/>
              <w:right w:val="nil"/>
            </w:tcBorders>
            <w:shd w:val="clear" w:color="auto" w:fill="auto"/>
            <w:noWrap/>
            <w:vAlign w:val="center"/>
            <w:hideMark/>
          </w:tcPr>
          <w:p w14:paraId="5EDB78C8"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(0.0849) </w:t>
            </w:r>
          </w:p>
        </w:tc>
        <w:tc>
          <w:tcPr>
            <w:tcW w:w="1309" w:type="dxa"/>
            <w:tcBorders>
              <w:top w:val="nil"/>
              <w:left w:val="nil"/>
              <w:bottom w:val="nil"/>
              <w:right w:val="nil"/>
            </w:tcBorders>
            <w:shd w:val="clear" w:color="auto" w:fill="auto"/>
            <w:noWrap/>
            <w:vAlign w:val="center"/>
            <w:hideMark/>
          </w:tcPr>
          <w:p w14:paraId="24B5840C"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(0.147) </w:t>
            </w:r>
          </w:p>
        </w:tc>
        <w:tc>
          <w:tcPr>
            <w:tcW w:w="1214" w:type="dxa"/>
            <w:tcBorders>
              <w:top w:val="nil"/>
              <w:left w:val="nil"/>
              <w:bottom w:val="nil"/>
              <w:right w:val="nil"/>
            </w:tcBorders>
            <w:shd w:val="clear" w:color="auto" w:fill="auto"/>
            <w:noWrap/>
            <w:vAlign w:val="center"/>
            <w:hideMark/>
          </w:tcPr>
          <w:p w14:paraId="62978FB5"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(0.0983) </w:t>
            </w:r>
          </w:p>
        </w:tc>
      </w:tr>
      <w:tr w:rsidR="009616FA" w:rsidRPr="009616FA" w14:paraId="17D15DC9" w14:textId="77777777" w:rsidTr="009616FA">
        <w:trPr>
          <w:trHeight w:val="233"/>
        </w:trPr>
        <w:tc>
          <w:tcPr>
            <w:tcW w:w="2555" w:type="dxa"/>
            <w:tcBorders>
              <w:top w:val="nil"/>
              <w:left w:val="nil"/>
              <w:bottom w:val="nil"/>
              <w:right w:val="nil"/>
            </w:tcBorders>
            <w:shd w:val="clear" w:color="auto" w:fill="auto"/>
            <w:vAlign w:val="center"/>
            <w:hideMark/>
          </w:tcPr>
          <w:p w14:paraId="683F5D39" w14:textId="77777777" w:rsidR="009616FA" w:rsidRPr="009616FA" w:rsidRDefault="009616FA" w:rsidP="009616FA">
            <w:pPr>
              <w:spacing w:after="0" w:line="240" w:lineRule="auto"/>
              <w:jc w:val="center"/>
              <w:rPr>
                <w:rFonts w:ascii="Calibri" w:eastAsia="Times New Roman" w:hAnsi="Calibri" w:cs="Calibri"/>
                <w:color w:val="000000"/>
                <w:sz w:val="22"/>
              </w:rPr>
            </w:pPr>
          </w:p>
        </w:tc>
        <w:tc>
          <w:tcPr>
            <w:tcW w:w="1447" w:type="dxa"/>
            <w:tcBorders>
              <w:top w:val="nil"/>
              <w:left w:val="nil"/>
              <w:bottom w:val="nil"/>
              <w:right w:val="nil"/>
            </w:tcBorders>
            <w:shd w:val="clear" w:color="auto" w:fill="auto"/>
            <w:noWrap/>
            <w:vAlign w:val="center"/>
            <w:hideMark/>
          </w:tcPr>
          <w:p w14:paraId="61E83A48" w14:textId="77777777" w:rsidR="009616FA" w:rsidRPr="009616FA" w:rsidRDefault="009616FA" w:rsidP="009616FA">
            <w:pPr>
              <w:spacing w:after="0" w:line="240" w:lineRule="auto"/>
              <w:rPr>
                <w:rFonts w:eastAsia="Times New Roman" w:cs="Times New Roman"/>
                <w:sz w:val="20"/>
                <w:szCs w:val="20"/>
              </w:rPr>
            </w:pPr>
          </w:p>
        </w:tc>
        <w:tc>
          <w:tcPr>
            <w:tcW w:w="1334" w:type="dxa"/>
            <w:tcBorders>
              <w:top w:val="nil"/>
              <w:left w:val="nil"/>
              <w:bottom w:val="nil"/>
              <w:right w:val="nil"/>
            </w:tcBorders>
            <w:shd w:val="clear" w:color="auto" w:fill="auto"/>
            <w:noWrap/>
            <w:vAlign w:val="center"/>
            <w:hideMark/>
          </w:tcPr>
          <w:p w14:paraId="2510CF8C" w14:textId="77777777" w:rsidR="009616FA" w:rsidRPr="009616FA" w:rsidRDefault="009616FA" w:rsidP="009616FA">
            <w:pPr>
              <w:spacing w:after="0" w:line="240" w:lineRule="auto"/>
              <w:jc w:val="center"/>
              <w:rPr>
                <w:rFonts w:eastAsia="Times New Roman" w:cs="Times New Roman"/>
                <w:sz w:val="20"/>
                <w:szCs w:val="20"/>
              </w:rPr>
            </w:pPr>
          </w:p>
        </w:tc>
        <w:tc>
          <w:tcPr>
            <w:tcW w:w="1311" w:type="dxa"/>
            <w:tcBorders>
              <w:top w:val="nil"/>
              <w:left w:val="nil"/>
              <w:bottom w:val="nil"/>
              <w:right w:val="nil"/>
            </w:tcBorders>
            <w:shd w:val="clear" w:color="auto" w:fill="auto"/>
            <w:noWrap/>
            <w:vAlign w:val="center"/>
            <w:hideMark/>
          </w:tcPr>
          <w:p w14:paraId="10F6FD36" w14:textId="77777777" w:rsidR="009616FA" w:rsidRPr="009616FA" w:rsidRDefault="009616FA" w:rsidP="009616FA">
            <w:pPr>
              <w:spacing w:after="0" w:line="240" w:lineRule="auto"/>
              <w:jc w:val="center"/>
              <w:rPr>
                <w:rFonts w:eastAsia="Times New Roman" w:cs="Times New Roman"/>
                <w:sz w:val="20"/>
                <w:szCs w:val="20"/>
              </w:rPr>
            </w:pPr>
          </w:p>
        </w:tc>
        <w:tc>
          <w:tcPr>
            <w:tcW w:w="1309" w:type="dxa"/>
            <w:tcBorders>
              <w:top w:val="nil"/>
              <w:left w:val="nil"/>
              <w:bottom w:val="nil"/>
              <w:right w:val="nil"/>
            </w:tcBorders>
            <w:shd w:val="clear" w:color="auto" w:fill="auto"/>
            <w:noWrap/>
            <w:vAlign w:val="center"/>
            <w:hideMark/>
          </w:tcPr>
          <w:p w14:paraId="6E5CC1CD" w14:textId="77777777" w:rsidR="009616FA" w:rsidRPr="009616FA" w:rsidRDefault="009616FA" w:rsidP="009616FA">
            <w:pPr>
              <w:spacing w:after="0" w:line="240" w:lineRule="auto"/>
              <w:jc w:val="center"/>
              <w:rPr>
                <w:rFonts w:eastAsia="Times New Roman" w:cs="Times New Roman"/>
                <w:sz w:val="20"/>
                <w:szCs w:val="20"/>
              </w:rPr>
            </w:pPr>
          </w:p>
        </w:tc>
        <w:tc>
          <w:tcPr>
            <w:tcW w:w="1214" w:type="dxa"/>
            <w:tcBorders>
              <w:top w:val="nil"/>
              <w:left w:val="nil"/>
              <w:bottom w:val="nil"/>
              <w:right w:val="nil"/>
            </w:tcBorders>
            <w:shd w:val="clear" w:color="auto" w:fill="auto"/>
            <w:noWrap/>
            <w:vAlign w:val="center"/>
            <w:hideMark/>
          </w:tcPr>
          <w:p w14:paraId="7783D6B9" w14:textId="77777777" w:rsidR="009616FA" w:rsidRPr="009616FA" w:rsidRDefault="009616FA" w:rsidP="009616FA">
            <w:pPr>
              <w:spacing w:after="0" w:line="240" w:lineRule="auto"/>
              <w:jc w:val="center"/>
              <w:rPr>
                <w:rFonts w:eastAsia="Times New Roman" w:cs="Times New Roman"/>
                <w:sz w:val="20"/>
                <w:szCs w:val="20"/>
              </w:rPr>
            </w:pPr>
          </w:p>
        </w:tc>
      </w:tr>
      <w:tr w:rsidR="009616FA" w:rsidRPr="009616FA" w14:paraId="13B7257D" w14:textId="77777777" w:rsidTr="009616FA">
        <w:trPr>
          <w:trHeight w:val="233"/>
        </w:trPr>
        <w:tc>
          <w:tcPr>
            <w:tcW w:w="2555" w:type="dxa"/>
            <w:tcBorders>
              <w:top w:val="nil"/>
              <w:left w:val="nil"/>
              <w:bottom w:val="nil"/>
              <w:right w:val="nil"/>
            </w:tcBorders>
            <w:shd w:val="clear" w:color="auto" w:fill="auto"/>
            <w:noWrap/>
            <w:vAlign w:val="center"/>
            <w:hideMark/>
          </w:tcPr>
          <w:p w14:paraId="5607B51F"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Observation</w:t>
            </w:r>
          </w:p>
        </w:tc>
        <w:tc>
          <w:tcPr>
            <w:tcW w:w="1447" w:type="dxa"/>
            <w:tcBorders>
              <w:top w:val="nil"/>
              <w:left w:val="nil"/>
              <w:bottom w:val="nil"/>
              <w:right w:val="nil"/>
            </w:tcBorders>
            <w:shd w:val="clear" w:color="auto" w:fill="auto"/>
            <w:noWrap/>
            <w:vAlign w:val="center"/>
            <w:hideMark/>
          </w:tcPr>
          <w:p w14:paraId="00BC3C95"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10,489</w:t>
            </w:r>
          </w:p>
        </w:tc>
        <w:tc>
          <w:tcPr>
            <w:tcW w:w="1334" w:type="dxa"/>
            <w:tcBorders>
              <w:top w:val="nil"/>
              <w:left w:val="nil"/>
              <w:bottom w:val="nil"/>
              <w:right w:val="nil"/>
            </w:tcBorders>
            <w:shd w:val="clear" w:color="auto" w:fill="auto"/>
            <w:noWrap/>
            <w:vAlign w:val="center"/>
            <w:hideMark/>
          </w:tcPr>
          <w:p w14:paraId="506CDD32"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4,942</w:t>
            </w:r>
          </w:p>
        </w:tc>
        <w:tc>
          <w:tcPr>
            <w:tcW w:w="1311" w:type="dxa"/>
            <w:tcBorders>
              <w:top w:val="nil"/>
              <w:left w:val="nil"/>
              <w:bottom w:val="nil"/>
              <w:right w:val="nil"/>
            </w:tcBorders>
            <w:shd w:val="clear" w:color="auto" w:fill="auto"/>
            <w:noWrap/>
            <w:vAlign w:val="center"/>
            <w:hideMark/>
          </w:tcPr>
          <w:p w14:paraId="7B6EA26D"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5,547</w:t>
            </w:r>
          </w:p>
        </w:tc>
        <w:tc>
          <w:tcPr>
            <w:tcW w:w="1309" w:type="dxa"/>
            <w:tcBorders>
              <w:top w:val="nil"/>
              <w:left w:val="nil"/>
              <w:bottom w:val="nil"/>
              <w:right w:val="nil"/>
            </w:tcBorders>
            <w:shd w:val="clear" w:color="auto" w:fill="auto"/>
            <w:noWrap/>
            <w:vAlign w:val="center"/>
            <w:hideMark/>
          </w:tcPr>
          <w:p w14:paraId="5E5A1E0A"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3,603</w:t>
            </w:r>
          </w:p>
        </w:tc>
        <w:tc>
          <w:tcPr>
            <w:tcW w:w="1214" w:type="dxa"/>
            <w:tcBorders>
              <w:top w:val="nil"/>
              <w:left w:val="nil"/>
              <w:bottom w:val="nil"/>
              <w:right w:val="nil"/>
            </w:tcBorders>
            <w:shd w:val="clear" w:color="auto" w:fill="auto"/>
            <w:noWrap/>
            <w:vAlign w:val="center"/>
            <w:hideMark/>
          </w:tcPr>
          <w:p w14:paraId="423F5BF2"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6,886 </w:t>
            </w:r>
          </w:p>
        </w:tc>
      </w:tr>
      <w:tr w:rsidR="009616FA" w:rsidRPr="009616FA" w14:paraId="44C1E914" w14:textId="77777777" w:rsidTr="009616FA">
        <w:trPr>
          <w:trHeight w:val="233"/>
        </w:trPr>
        <w:tc>
          <w:tcPr>
            <w:tcW w:w="4002" w:type="dxa"/>
            <w:gridSpan w:val="2"/>
            <w:tcBorders>
              <w:top w:val="nil"/>
              <w:left w:val="nil"/>
              <w:bottom w:val="nil"/>
              <w:right w:val="nil"/>
            </w:tcBorders>
            <w:shd w:val="clear" w:color="auto" w:fill="auto"/>
            <w:noWrap/>
            <w:vAlign w:val="center"/>
            <w:hideMark/>
          </w:tcPr>
          <w:p w14:paraId="7425E654"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Weak-identification test</w:t>
            </w:r>
          </w:p>
        </w:tc>
        <w:tc>
          <w:tcPr>
            <w:tcW w:w="1334" w:type="dxa"/>
            <w:tcBorders>
              <w:top w:val="nil"/>
              <w:left w:val="nil"/>
              <w:bottom w:val="nil"/>
              <w:right w:val="nil"/>
            </w:tcBorders>
            <w:shd w:val="clear" w:color="auto" w:fill="auto"/>
            <w:noWrap/>
            <w:vAlign w:val="center"/>
            <w:hideMark/>
          </w:tcPr>
          <w:p w14:paraId="6D020E03" w14:textId="77777777" w:rsidR="009616FA" w:rsidRPr="009616FA" w:rsidRDefault="009616FA" w:rsidP="009616FA">
            <w:pPr>
              <w:spacing w:after="0" w:line="240" w:lineRule="auto"/>
              <w:rPr>
                <w:rFonts w:ascii="Calibri" w:eastAsia="Times New Roman" w:hAnsi="Calibri" w:cs="Calibri"/>
                <w:color w:val="000000"/>
                <w:sz w:val="22"/>
              </w:rPr>
            </w:pPr>
          </w:p>
        </w:tc>
        <w:tc>
          <w:tcPr>
            <w:tcW w:w="1311" w:type="dxa"/>
            <w:tcBorders>
              <w:top w:val="nil"/>
              <w:left w:val="nil"/>
              <w:bottom w:val="nil"/>
              <w:right w:val="nil"/>
            </w:tcBorders>
            <w:shd w:val="clear" w:color="auto" w:fill="auto"/>
            <w:noWrap/>
            <w:vAlign w:val="center"/>
            <w:hideMark/>
          </w:tcPr>
          <w:p w14:paraId="02E07FB5" w14:textId="77777777" w:rsidR="009616FA" w:rsidRPr="009616FA" w:rsidRDefault="009616FA" w:rsidP="009616FA">
            <w:pPr>
              <w:spacing w:after="0" w:line="240" w:lineRule="auto"/>
              <w:jc w:val="center"/>
              <w:rPr>
                <w:rFonts w:eastAsia="Times New Roman" w:cs="Times New Roman"/>
                <w:sz w:val="20"/>
                <w:szCs w:val="20"/>
              </w:rPr>
            </w:pPr>
          </w:p>
        </w:tc>
        <w:tc>
          <w:tcPr>
            <w:tcW w:w="1309" w:type="dxa"/>
            <w:tcBorders>
              <w:top w:val="nil"/>
              <w:left w:val="nil"/>
              <w:bottom w:val="nil"/>
              <w:right w:val="nil"/>
            </w:tcBorders>
            <w:shd w:val="clear" w:color="auto" w:fill="auto"/>
            <w:noWrap/>
            <w:vAlign w:val="center"/>
            <w:hideMark/>
          </w:tcPr>
          <w:p w14:paraId="798FE48B" w14:textId="77777777" w:rsidR="009616FA" w:rsidRPr="009616FA" w:rsidRDefault="009616FA" w:rsidP="009616FA">
            <w:pPr>
              <w:spacing w:after="0" w:line="240" w:lineRule="auto"/>
              <w:jc w:val="center"/>
              <w:rPr>
                <w:rFonts w:eastAsia="Times New Roman" w:cs="Times New Roman"/>
                <w:sz w:val="20"/>
                <w:szCs w:val="20"/>
              </w:rPr>
            </w:pPr>
          </w:p>
        </w:tc>
        <w:tc>
          <w:tcPr>
            <w:tcW w:w="1214" w:type="dxa"/>
            <w:tcBorders>
              <w:top w:val="nil"/>
              <w:left w:val="nil"/>
              <w:bottom w:val="nil"/>
              <w:right w:val="nil"/>
            </w:tcBorders>
            <w:shd w:val="clear" w:color="auto" w:fill="auto"/>
            <w:noWrap/>
            <w:vAlign w:val="center"/>
            <w:hideMark/>
          </w:tcPr>
          <w:p w14:paraId="203FA5A2" w14:textId="77777777" w:rsidR="009616FA" w:rsidRPr="009616FA" w:rsidRDefault="009616FA" w:rsidP="009616FA">
            <w:pPr>
              <w:spacing w:after="0" w:line="240" w:lineRule="auto"/>
              <w:jc w:val="center"/>
              <w:rPr>
                <w:rFonts w:eastAsia="Times New Roman" w:cs="Times New Roman"/>
                <w:sz w:val="20"/>
                <w:szCs w:val="20"/>
              </w:rPr>
            </w:pPr>
          </w:p>
        </w:tc>
      </w:tr>
      <w:tr w:rsidR="009616FA" w:rsidRPr="009616FA" w14:paraId="27A1239B" w14:textId="77777777" w:rsidTr="009616FA">
        <w:trPr>
          <w:trHeight w:val="467"/>
        </w:trPr>
        <w:tc>
          <w:tcPr>
            <w:tcW w:w="2555" w:type="dxa"/>
            <w:tcBorders>
              <w:top w:val="nil"/>
              <w:left w:val="nil"/>
              <w:bottom w:val="nil"/>
              <w:right w:val="nil"/>
            </w:tcBorders>
            <w:shd w:val="clear" w:color="auto" w:fill="auto"/>
            <w:vAlign w:val="center"/>
            <w:hideMark/>
          </w:tcPr>
          <w:p w14:paraId="5E178B11" w14:textId="77777777" w:rsidR="009616FA" w:rsidRPr="009616FA" w:rsidRDefault="009616FA" w:rsidP="009616FA">
            <w:pPr>
              <w:spacing w:after="0" w:line="240" w:lineRule="auto"/>
              <w:ind w:left="317" w:hanging="317"/>
              <w:rPr>
                <w:rFonts w:ascii="Calibri" w:eastAsia="Times New Roman" w:hAnsi="Calibri" w:cs="Calibri"/>
                <w:color w:val="000000"/>
                <w:sz w:val="22"/>
              </w:rPr>
            </w:pPr>
            <w:r w:rsidRPr="009616FA">
              <w:rPr>
                <w:rFonts w:ascii="Calibri" w:eastAsia="Times New Roman" w:hAnsi="Calibri" w:cs="Calibri"/>
                <w:color w:val="000000"/>
                <w:sz w:val="22"/>
              </w:rPr>
              <w:t xml:space="preserve">     Kleibergen-Paap F Statistic</w:t>
            </w:r>
          </w:p>
        </w:tc>
        <w:tc>
          <w:tcPr>
            <w:tcW w:w="1447" w:type="dxa"/>
            <w:tcBorders>
              <w:top w:val="nil"/>
              <w:left w:val="nil"/>
              <w:bottom w:val="nil"/>
              <w:right w:val="nil"/>
            </w:tcBorders>
            <w:shd w:val="clear" w:color="auto" w:fill="auto"/>
            <w:noWrap/>
            <w:vAlign w:val="center"/>
            <w:hideMark/>
          </w:tcPr>
          <w:p w14:paraId="483EED1B"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17.056</w:t>
            </w:r>
          </w:p>
        </w:tc>
        <w:tc>
          <w:tcPr>
            <w:tcW w:w="1334" w:type="dxa"/>
            <w:tcBorders>
              <w:top w:val="nil"/>
              <w:left w:val="nil"/>
              <w:bottom w:val="nil"/>
              <w:right w:val="nil"/>
            </w:tcBorders>
            <w:shd w:val="clear" w:color="auto" w:fill="auto"/>
            <w:noWrap/>
            <w:vAlign w:val="center"/>
            <w:hideMark/>
          </w:tcPr>
          <w:p w14:paraId="311B0E29"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3.229</w:t>
            </w:r>
          </w:p>
        </w:tc>
        <w:tc>
          <w:tcPr>
            <w:tcW w:w="1311" w:type="dxa"/>
            <w:tcBorders>
              <w:top w:val="nil"/>
              <w:left w:val="nil"/>
              <w:bottom w:val="nil"/>
              <w:right w:val="nil"/>
            </w:tcBorders>
            <w:shd w:val="clear" w:color="auto" w:fill="auto"/>
            <w:noWrap/>
            <w:vAlign w:val="center"/>
            <w:hideMark/>
          </w:tcPr>
          <w:p w14:paraId="75FAFD34"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16.499</w:t>
            </w:r>
          </w:p>
        </w:tc>
        <w:tc>
          <w:tcPr>
            <w:tcW w:w="1309" w:type="dxa"/>
            <w:tcBorders>
              <w:top w:val="nil"/>
              <w:left w:val="nil"/>
              <w:bottom w:val="nil"/>
              <w:right w:val="nil"/>
            </w:tcBorders>
            <w:shd w:val="clear" w:color="auto" w:fill="auto"/>
            <w:noWrap/>
            <w:vAlign w:val="center"/>
            <w:hideMark/>
          </w:tcPr>
          <w:p w14:paraId="38D0AA94"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10.771</w:t>
            </w:r>
          </w:p>
        </w:tc>
        <w:tc>
          <w:tcPr>
            <w:tcW w:w="1214" w:type="dxa"/>
            <w:tcBorders>
              <w:top w:val="nil"/>
              <w:left w:val="nil"/>
              <w:bottom w:val="nil"/>
              <w:right w:val="nil"/>
            </w:tcBorders>
            <w:shd w:val="clear" w:color="auto" w:fill="auto"/>
            <w:noWrap/>
            <w:vAlign w:val="center"/>
            <w:hideMark/>
          </w:tcPr>
          <w:p w14:paraId="382CBED1"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13.946</w:t>
            </w:r>
          </w:p>
        </w:tc>
      </w:tr>
      <w:tr w:rsidR="009616FA" w:rsidRPr="009616FA" w14:paraId="31AA2E70" w14:textId="77777777" w:rsidTr="009616FA">
        <w:trPr>
          <w:trHeight w:val="233"/>
        </w:trPr>
        <w:tc>
          <w:tcPr>
            <w:tcW w:w="4002" w:type="dxa"/>
            <w:gridSpan w:val="2"/>
            <w:tcBorders>
              <w:top w:val="nil"/>
              <w:left w:val="nil"/>
              <w:bottom w:val="nil"/>
              <w:right w:val="nil"/>
            </w:tcBorders>
            <w:shd w:val="clear" w:color="auto" w:fill="auto"/>
            <w:noWrap/>
            <w:vAlign w:val="center"/>
            <w:hideMark/>
          </w:tcPr>
          <w:p w14:paraId="6BDFB651"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Over-identification test</w:t>
            </w:r>
          </w:p>
        </w:tc>
        <w:tc>
          <w:tcPr>
            <w:tcW w:w="1334" w:type="dxa"/>
            <w:tcBorders>
              <w:top w:val="nil"/>
              <w:left w:val="nil"/>
              <w:bottom w:val="nil"/>
              <w:right w:val="nil"/>
            </w:tcBorders>
            <w:shd w:val="clear" w:color="auto" w:fill="auto"/>
            <w:noWrap/>
            <w:vAlign w:val="center"/>
            <w:hideMark/>
          </w:tcPr>
          <w:p w14:paraId="0062266F" w14:textId="77777777" w:rsidR="009616FA" w:rsidRPr="009616FA" w:rsidRDefault="009616FA" w:rsidP="009616FA">
            <w:pPr>
              <w:spacing w:after="0" w:line="240" w:lineRule="auto"/>
              <w:rPr>
                <w:rFonts w:ascii="Calibri" w:eastAsia="Times New Roman" w:hAnsi="Calibri" w:cs="Calibri"/>
                <w:color w:val="000000"/>
                <w:sz w:val="22"/>
              </w:rPr>
            </w:pPr>
          </w:p>
        </w:tc>
        <w:tc>
          <w:tcPr>
            <w:tcW w:w="1311" w:type="dxa"/>
            <w:tcBorders>
              <w:top w:val="nil"/>
              <w:left w:val="nil"/>
              <w:bottom w:val="nil"/>
              <w:right w:val="nil"/>
            </w:tcBorders>
            <w:shd w:val="clear" w:color="auto" w:fill="auto"/>
            <w:noWrap/>
            <w:vAlign w:val="center"/>
            <w:hideMark/>
          </w:tcPr>
          <w:p w14:paraId="50691E1B" w14:textId="77777777" w:rsidR="009616FA" w:rsidRPr="009616FA" w:rsidRDefault="009616FA" w:rsidP="009616FA">
            <w:pPr>
              <w:spacing w:after="0" w:line="240" w:lineRule="auto"/>
              <w:jc w:val="center"/>
              <w:rPr>
                <w:rFonts w:eastAsia="Times New Roman" w:cs="Times New Roman"/>
                <w:sz w:val="20"/>
                <w:szCs w:val="20"/>
              </w:rPr>
            </w:pPr>
          </w:p>
        </w:tc>
        <w:tc>
          <w:tcPr>
            <w:tcW w:w="1309" w:type="dxa"/>
            <w:tcBorders>
              <w:top w:val="nil"/>
              <w:left w:val="nil"/>
              <w:bottom w:val="nil"/>
              <w:right w:val="nil"/>
            </w:tcBorders>
            <w:shd w:val="clear" w:color="auto" w:fill="auto"/>
            <w:noWrap/>
            <w:vAlign w:val="center"/>
            <w:hideMark/>
          </w:tcPr>
          <w:p w14:paraId="6BB4CAF9" w14:textId="77777777" w:rsidR="009616FA" w:rsidRPr="009616FA" w:rsidRDefault="009616FA" w:rsidP="009616FA">
            <w:pPr>
              <w:spacing w:after="0" w:line="240" w:lineRule="auto"/>
              <w:jc w:val="center"/>
              <w:rPr>
                <w:rFonts w:eastAsia="Times New Roman" w:cs="Times New Roman"/>
                <w:sz w:val="20"/>
                <w:szCs w:val="20"/>
              </w:rPr>
            </w:pPr>
          </w:p>
        </w:tc>
        <w:tc>
          <w:tcPr>
            <w:tcW w:w="1214" w:type="dxa"/>
            <w:tcBorders>
              <w:top w:val="nil"/>
              <w:left w:val="nil"/>
              <w:bottom w:val="nil"/>
              <w:right w:val="nil"/>
            </w:tcBorders>
            <w:shd w:val="clear" w:color="auto" w:fill="auto"/>
            <w:noWrap/>
            <w:vAlign w:val="center"/>
            <w:hideMark/>
          </w:tcPr>
          <w:p w14:paraId="11DBA088" w14:textId="77777777" w:rsidR="009616FA" w:rsidRPr="009616FA" w:rsidRDefault="009616FA" w:rsidP="009616FA">
            <w:pPr>
              <w:spacing w:after="0" w:line="240" w:lineRule="auto"/>
              <w:jc w:val="center"/>
              <w:rPr>
                <w:rFonts w:eastAsia="Times New Roman" w:cs="Times New Roman"/>
                <w:sz w:val="20"/>
                <w:szCs w:val="20"/>
              </w:rPr>
            </w:pPr>
          </w:p>
        </w:tc>
      </w:tr>
      <w:tr w:rsidR="009616FA" w:rsidRPr="009616FA" w14:paraId="5EF42A8E" w14:textId="77777777" w:rsidTr="009616FA">
        <w:trPr>
          <w:trHeight w:val="233"/>
        </w:trPr>
        <w:tc>
          <w:tcPr>
            <w:tcW w:w="2555" w:type="dxa"/>
            <w:tcBorders>
              <w:top w:val="nil"/>
              <w:left w:val="nil"/>
              <w:bottom w:val="nil"/>
              <w:right w:val="nil"/>
            </w:tcBorders>
            <w:shd w:val="clear" w:color="auto" w:fill="auto"/>
            <w:noWrap/>
            <w:vAlign w:val="center"/>
            <w:hideMark/>
          </w:tcPr>
          <w:p w14:paraId="68C45EE5"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 xml:space="preserve">      Hansen J Statistic</w:t>
            </w:r>
          </w:p>
        </w:tc>
        <w:tc>
          <w:tcPr>
            <w:tcW w:w="1447" w:type="dxa"/>
            <w:tcBorders>
              <w:top w:val="nil"/>
              <w:left w:val="nil"/>
              <w:bottom w:val="nil"/>
              <w:right w:val="nil"/>
            </w:tcBorders>
            <w:shd w:val="clear" w:color="auto" w:fill="auto"/>
            <w:noWrap/>
            <w:vAlign w:val="center"/>
            <w:hideMark/>
          </w:tcPr>
          <w:p w14:paraId="507959B9"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2.694</w:t>
            </w:r>
          </w:p>
        </w:tc>
        <w:tc>
          <w:tcPr>
            <w:tcW w:w="1334" w:type="dxa"/>
            <w:tcBorders>
              <w:top w:val="nil"/>
              <w:left w:val="nil"/>
              <w:bottom w:val="nil"/>
              <w:right w:val="nil"/>
            </w:tcBorders>
            <w:shd w:val="clear" w:color="auto" w:fill="auto"/>
            <w:noWrap/>
            <w:vAlign w:val="center"/>
            <w:hideMark/>
          </w:tcPr>
          <w:p w14:paraId="5A73E293"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0.136</w:t>
            </w:r>
          </w:p>
        </w:tc>
        <w:tc>
          <w:tcPr>
            <w:tcW w:w="1311" w:type="dxa"/>
            <w:tcBorders>
              <w:top w:val="nil"/>
              <w:left w:val="nil"/>
              <w:bottom w:val="nil"/>
              <w:right w:val="nil"/>
            </w:tcBorders>
            <w:shd w:val="clear" w:color="auto" w:fill="auto"/>
            <w:noWrap/>
            <w:vAlign w:val="center"/>
            <w:hideMark/>
          </w:tcPr>
          <w:p w14:paraId="2AC80F79"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3.096</w:t>
            </w:r>
          </w:p>
        </w:tc>
        <w:tc>
          <w:tcPr>
            <w:tcW w:w="1309" w:type="dxa"/>
            <w:tcBorders>
              <w:top w:val="nil"/>
              <w:left w:val="nil"/>
              <w:bottom w:val="nil"/>
              <w:right w:val="nil"/>
            </w:tcBorders>
            <w:shd w:val="clear" w:color="auto" w:fill="auto"/>
            <w:noWrap/>
            <w:vAlign w:val="center"/>
            <w:hideMark/>
          </w:tcPr>
          <w:p w14:paraId="58066847"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3.091</w:t>
            </w:r>
          </w:p>
        </w:tc>
        <w:tc>
          <w:tcPr>
            <w:tcW w:w="1214" w:type="dxa"/>
            <w:tcBorders>
              <w:top w:val="nil"/>
              <w:left w:val="nil"/>
              <w:bottom w:val="nil"/>
              <w:right w:val="nil"/>
            </w:tcBorders>
            <w:shd w:val="clear" w:color="auto" w:fill="auto"/>
            <w:noWrap/>
            <w:vAlign w:val="center"/>
            <w:hideMark/>
          </w:tcPr>
          <w:p w14:paraId="08DB4509"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1.114</w:t>
            </w:r>
          </w:p>
        </w:tc>
      </w:tr>
      <w:tr w:rsidR="009616FA" w:rsidRPr="009616FA" w14:paraId="131D10ED" w14:textId="77777777" w:rsidTr="009616FA">
        <w:trPr>
          <w:trHeight w:val="243"/>
        </w:trPr>
        <w:tc>
          <w:tcPr>
            <w:tcW w:w="2555" w:type="dxa"/>
            <w:tcBorders>
              <w:top w:val="nil"/>
              <w:left w:val="nil"/>
              <w:bottom w:val="double" w:sz="6" w:space="0" w:color="auto"/>
              <w:right w:val="nil"/>
            </w:tcBorders>
            <w:shd w:val="clear" w:color="auto" w:fill="auto"/>
            <w:noWrap/>
            <w:vAlign w:val="center"/>
            <w:hideMark/>
          </w:tcPr>
          <w:p w14:paraId="581183F1"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 xml:space="preserve">      P-values for J test </w:t>
            </w:r>
          </w:p>
        </w:tc>
        <w:tc>
          <w:tcPr>
            <w:tcW w:w="1447" w:type="dxa"/>
            <w:tcBorders>
              <w:top w:val="nil"/>
              <w:left w:val="nil"/>
              <w:bottom w:val="double" w:sz="6" w:space="0" w:color="auto"/>
              <w:right w:val="nil"/>
            </w:tcBorders>
            <w:shd w:val="clear" w:color="auto" w:fill="auto"/>
            <w:noWrap/>
            <w:vAlign w:val="center"/>
            <w:hideMark/>
          </w:tcPr>
          <w:p w14:paraId="32FFA625"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0.101</w:t>
            </w:r>
          </w:p>
        </w:tc>
        <w:tc>
          <w:tcPr>
            <w:tcW w:w="1334" w:type="dxa"/>
            <w:tcBorders>
              <w:top w:val="nil"/>
              <w:left w:val="nil"/>
              <w:bottom w:val="double" w:sz="6" w:space="0" w:color="auto"/>
              <w:right w:val="nil"/>
            </w:tcBorders>
            <w:shd w:val="clear" w:color="auto" w:fill="auto"/>
            <w:noWrap/>
            <w:vAlign w:val="center"/>
            <w:hideMark/>
          </w:tcPr>
          <w:p w14:paraId="14959B02"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0.713</w:t>
            </w:r>
          </w:p>
        </w:tc>
        <w:tc>
          <w:tcPr>
            <w:tcW w:w="1311" w:type="dxa"/>
            <w:tcBorders>
              <w:top w:val="nil"/>
              <w:left w:val="nil"/>
              <w:bottom w:val="double" w:sz="6" w:space="0" w:color="auto"/>
              <w:right w:val="nil"/>
            </w:tcBorders>
            <w:shd w:val="clear" w:color="auto" w:fill="auto"/>
            <w:noWrap/>
            <w:vAlign w:val="center"/>
            <w:hideMark/>
          </w:tcPr>
          <w:p w14:paraId="4A684CBB"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0.079</w:t>
            </w:r>
          </w:p>
        </w:tc>
        <w:tc>
          <w:tcPr>
            <w:tcW w:w="1309" w:type="dxa"/>
            <w:tcBorders>
              <w:top w:val="nil"/>
              <w:left w:val="nil"/>
              <w:bottom w:val="double" w:sz="6" w:space="0" w:color="auto"/>
              <w:right w:val="nil"/>
            </w:tcBorders>
            <w:shd w:val="clear" w:color="auto" w:fill="auto"/>
            <w:noWrap/>
            <w:vAlign w:val="center"/>
            <w:hideMark/>
          </w:tcPr>
          <w:p w14:paraId="1E5473D5"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0.079</w:t>
            </w:r>
          </w:p>
        </w:tc>
        <w:tc>
          <w:tcPr>
            <w:tcW w:w="1214" w:type="dxa"/>
            <w:tcBorders>
              <w:top w:val="nil"/>
              <w:left w:val="nil"/>
              <w:bottom w:val="double" w:sz="6" w:space="0" w:color="auto"/>
              <w:right w:val="nil"/>
            </w:tcBorders>
            <w:shd w:val="clear" w:color="auto" w:fill="auto"/>
            <w:noWrap/>
            <w:vAlign w:val="center"/>
            <w:hideMark/>
          </w:tcPr>
          <w:p w14:paraId="28EC7A50"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0.291</w:t>
            </w:r>
          </w:p>
        </w:tc>
      </w:tr>
    </w:tbl>
    <w:p w14:paraId="5F6807D9" w14:textId="405CDDA1" w:rsidR="00DC13B8" w:rsidRPr="00EE4546" w:rsidRDefault="00DC13B8" w:rsidP="00EE4546">
      <w:pPr>
        <w:spacing w:line="240" w:lineRule="auto"/>
        <w:rPr>
          <w:sz w:val="22"/>
          <w:szCs w:val="20"/>
        </w:rPr>
      </w:pPr>
      <w:r w:rsidRPr="00EE4546">
        <w:rPr>
          <w:i/>
          <w:iCs/>
          <w:sz w:val="22"/>
          <w:szCs w:val="20"/>
        </w:rPr>
        <w:t>Notes</w:t>
      </w:r>
      <w:r w:rsidRPr="00EE4546">
        <w:rPr>
          <w:sz w:val="22"/>
          <w:szCs w:val="20"/>
        </w:rPr>
        <w:t xml:space="preserve">: All columns control for all demographic characteristics and all fixed effects. </w:t>
      </w:r>
    </w:p>
    <w:p w14:paraId="4C9B9472" w14:textId="079AC95C" w:rsidR="00EE4546" w:rsidRPr="00EE4546" w:rsidRDefault="00DC13B8" w:rsidP="00EE4546">
      <w:pPr>
        <w:spacing w:line="240" w:lineRule="auto"/>
        <w:rPr>
          <w:sz w:val="22"/>
          <w:szCs w:val="20"/>
        </w:rPr>
      </w:pPr>
      <w:r w:rsidRPr="00EE4546">
        <w:rPr>
          <w:sz w:val="22"/>
          <w:szCs w:val="20"/>
        </w:rPr>
        <w:t xml:space="preserve">***p&lt;0.01, **p&lt;0.05. *p&lt;0.1. </w:t>
      </w:r>
    </w:p>
    <w:p w14:paraId="687803C6" w14:textId="70C9BB44" w:rsidR="002973B5" w:rsidRDefault="002973B5" w:rsidP="008F7B1E">
      <w:r>
        <w:rPr>
          <w:rFonts w:hint="eastAsia"/>
        </w:rPr>
        <w:t>Ta</w:t>
      </w:r>
      <w:r>
        <w:t xml:space="preserve">ble </w:t>
      </w:r>
      <w:r w:rsidR="00283BCE">
        <w:t>10</w:t>
      </w:r>
      <w:r>
        <w:t>. Results of education on obesity</w:t>
      </w:r>
    </w:p>
    <w:tbl>
      <w:tblPr>
        <w:tblW w:w="9238" w:type="dxa"/>
        <w:tblLook w:val="04A0" w:firstRow="1" w:lastRow="0" w:firstColumn="1" w:lastColumn="0" w:noHBand="0" w:noVBand="1"/>
      </w:tblPr>
      <w:tblGrid>
        <w:gridCol w:w="2542"/>
        <w:gridCol w:w="1410"/>
        <w:gridCol w:w="1241"/>
        <w:gridCol w:w="1363"/>
        <w:gridCol w:w="1433"/>
        <w:gridCol w:w="1249"/>
      </w:tblGrid>
      <w:tr w:rsidR="009616FA" w:rsidRPr="009616FA" w14:paraId="72D82611" w14:textId="77777777" w:rsidTr="009616FA">
        <w:trPr>
          <w:trHeight w:val="235"/>
        </w:trPr>
        <w:tc>
          <w:tcPr>
            <w:tcW w:w="2542" w:type="dxa"/>
            <w:tcBorders>
              <w:top w:val="single" w:sz="4" w:space="0" w:color="auto"/>
              <w:left w:val="nil"/>
              <w:bottom w:val="nil"/>
              <w:right w:val="nil"/>
            </w:tcBorders>
            <w:shd w:val="clear" w:color="auto" w:fill="auto"/>
            <w:noWrap/>
            <w:vAlign w:val="bottom"/>
            <w:hideMark/>
          </w:tcPr>
          <w:bookmarkEnd w:id="33"/>
          <w:p w14:paraId="430CA35A"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 </w:t>
            </w:r>
          </w:p>
        </w:tc>
        <w:tc>
          <w:tcPr>
            <w:tcW w:w="1410" w:type="dxa"/>
            <w:tcBorders>
              <w:top w:val="single" w:sz="4" w:space="0" w:color="auto"/>
              <w:left w:val="nil"/>
              <w:bottom w:val="nil"/>
              <w:right w:val="nil"/>
            </w:tcBorders>
            <w:shd w:val="clear" w:color="auto" w:fill="auto"/>
            <w:noWrap/>
            <w:vAlign w:val="center"/>
            <w:hideMark/>
          </w:tcPr>
          <w:p w14:paraId="56E3813F"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w:t>
            </w:r>
          </w:p>
        </w:tc>
        <w:tc>
          <w:tcPr>
            <w:tcW w:w="1241" w:type="dxa"/>
            <w:tcBorders>
              <w:top w:val="single" w:sz="4" w:space="0" w:color="auto"/>
              <w:left w:val="nil"/>
              <w:bottom w:val="nil"/>
              <w:right w:val="nil"/>
            </w:tcBorders>
            <w:shd w:val="clear" w:color="auto" w:fill="auto"/>
            <w:noWrap/>
            <w:vAlign w:val="center"/>
            <w:hideMark/>
          </w:tcPr>
          <w:p w14:paraId="70E227A6"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(2)</w:t>
            </w:r>
          </w:p>
        </w:tc>
        <w:tc>
          <w:tcPr>
            <w:tcW w:w="1363" w:type="dxa"/>
            <w:tcBorders>
              <w:top w:val="single" w:sz="4" w:space="0" w:color="auto"/>
              <w:left w:val="nil"/>
              <w:bottom w:val="nil"/>
              <w:right w:val="nil"/>
            </w:tcBorders>
            <w:shd w:val="clear" w:color="auto" w:fill="auto"/>
            <w:noWrap/>
            <w:vAlign w:val="center"/>
            <w:hideMark/>
          </w:tcPr>
          <w:p w14:paraId="2F17FC5F"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(3)</w:t>
            </w:r>
          </w:p>
        </w:tc>
        <w:tc>
          <w:tcPr>
            <w:tcW w:w="1433" w:type="dxa"/>
            <w:tcBorders>
              <w:top w:val="single" w:sz="4" w:space="0" w:color="auto"/>
              <w:left w:val="nil"/>
              <w:bottom w:val="nil"/>
              <w:right w:val="nil"/>
            </w:tcBorders>
            <w:shd w:val="clear" w:color="auto" w:fill="auto"/>
            <w:noWrap/>
            <w:vAlign w:val="center"/>
            <w:hideMark/>
          </w:tcPr>
          <w:p w14:paraId="4639A619"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(4)</w:t>
            </w:r>
          </w:p>
        </w:tc>
        <w:tc>
          <w:tcPr>
            <w:tcW w:w="1248" w:type="dxa"/>
            <w:tcBorders>
              <w:top w:val="single" w:sz="4" w:space="0" w:color="auto"/>
              <w:left w:val="nil"/>
              <w:bottom w:val="nil"/>
              <w:right w:val="nil"/>
            </w:tcBorders>
            <w:shd w:val="clear" w:color="auto" w:fill="auto"/>
            <w:noWrap/>
            <w:vAlign w:val="center"/>
            <w:hideMark/>
          </w:tcPr>
          <w:p w14:paraId="2CA5E1E7"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(5)</w:t>
            </w:r>
          </w:p>
        </w:tc>
      </w:tr>
      <w:tr w:rsidR="009616FA" w:rsidRPr="009616FA" w14:paraId="0B1C2B64" w14:textId="77777777" w:rsidTr="009616FA">
        <w:trPr>
          <w:trHeight w:val="235"/>
        </w:trPr>
        <w:tc>
          <w:tcPr>
            <w:tcW w:w="2542" w:type="dxa"/>
            <w:vMerge w:val="restart"/>
            <w:tcBorders>
              <w:top w:val="nil"/>
              <w:left w:val="nil"/>
              <w:bottom w:val="single" w:sz="4" w:space="0" w:color="000000"/>
              <w:right w:val="nil"/>
            </w:tcBorders>
            <w:shd w:val="clear" w:color="auto" w:fill="auto"/>
            <w:noWrap/>
            <w:vAlign w:val="center"/>
            <w:hideMark/>
          </w:tcPr>
          <w:p w14:paraId="6939617E"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Variables</w:t>
            </w:r>
          </w:p>
        </w:tc>
        <w:tc>
          <w:tcPr>
            <w:tcW w:w="6696" w:type="dxa"/>
            <w:gridSpan w:val="5"/>
            <w:tcBorders>
              <w:top w:val="nil"/>
              <w:left w:val="nil"/>
              <w:bottom w:val="single" w:sz="4" w:space="0" w:color="auto"/>
              <w:right w:val="nil"/>
            </w:tcBorders>
            <w:shd w:val="clear" w:color="auto" w:fill="auto"/>
            <w:noWrap/>
            <w:vAlign w:val="center"/>
            <w:hideMark/>
          </w:tcPr>
          <w:p w14:paraId="595E20C6"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Obesity</w:t>
            </w:r>
          </w:p>
        </w:tc>
      </w:tr>
      <w:tr w:rsidR="009616FA" w:rsidRPr="009616FA" w14:paraId="5FFEBACC" w14:textId="77777777" w:rsidTr="009616FA">
        <w:trPr>
          <w:trHeight w:val="235"/>
        </w:trPr>
        <w:tc>
          <w:tcPr>
            <w:tcW w:w="2542" w:type="dxa"/>
            <w:vMerge/>
            <w:tcBorders>
              <w:top w:val="nil"/>
              <w:left w:val="nil"/>
              <w:bottom w:val="single" w:sz="4" w:space="0" w:color="000000"/>
              <w:right w:val="nil"/>
            </w:tcBorders>
            <w:vAlign w:val="center"/>
            <w:hideMark/>
          </w:tcPr>
          <w:p w14:paraId="52B95E8A" w14:textId="77777777" w:rsidR="009616FA" w:rsidRPr="009616FA" w:rsidRDefault="009616FA" w:rsidP="009616FA">
            <w:pPr>
              <w:spacing w:after="0" w:line="240" w:lineRule="auto"/>
              <w:rPr>
                <w:rFonts w:ascii="Calibri" w:eastAsia="Times New Roman" w:hAnsi="Calibri" w:cs="Calibri"/>
                <w:color w:val="000000"/>
                <w:sz w:val="22"/>
              </w:rPr>
            </w:pPr>
          </w:p>
        </w:tc>
        <w:tc>
          <w:tcPr>
            <w:tcW w:w="1410" w:type="dxa"/>
            <w:tcBorders>
              <w:top w:val="nil"/>
              <w:left w:val="nil"/>
              <w:bottom w:val="single" w:sz="4" w:space="0" w:color="auto"/>
              <w:right w:val="nil"/>
            </w:tcBorders>
            <w:shd w:val="clear" w:color="auto" w:fill="auto"/>
            <w:noWrap/>
            <w:vAlign w:val="center"/>
            <w:hideMark/>
          </w:tcPr>
          <w:p w14:paraId="2C6CAB5A"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All Sample</w:t>
            </w:r>
          </w:p>
        </w:tc>
        <w:tc>
          <w:tcPr>
            <w:tcW w:w="1241" w:type="dxa"/>
            <w:tcBorders>
              <w:top w:val="nil"/>
              <w:left w:val="nil"/>
              <w:bottom w:val="single" w:sz="4" w:space="0" w:color="auto"/>
              <w:right w:val="nil"/>
            </w:tcBorders>
            <w:shd w:val="clear" w:color="auto" w:fill="auto"/>
            <w:noWrap/>
            <w:vAlign w:val="center"/>
            <w:hideMark/>
          </w:tcPr>
          <w:p w14:paraId="5FF65FA7"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Male</w:t>
            </w:r>
          </w:p>
        </w:tc>
        <w:tc>
          <w:tcPr>
            <w:tcW w:w="1363" w:type="dxa"/>
            <w:tcBorders>
              <w:top w:val="nil"/>
              <w:left w:val="nil"/>
              <w:bottom w:val="single" w:sz="4" w:space="0" w:color="auto"/>
              <w:right w:val="nil"/>
            </w:tcBorders>
            <w:shd w:val="clear" w:color="auto" w:fill="auto"/>
            <w:noWrap/>
            <w:vAlign w:val="center"/>
            <w:hideMark/>
          </w:tcPr>
          <w:p w14:paraId="09C08035"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Female</w:t>
            </w:r>
          </w:p>
        </w:tc>
        <w:tc>
          <w:tcPr>
            <w:tcW w:w="1433" w:type="dxa"/>
            <w:tcBorders>
              <w:top w:val="nil"/>
              <w:left w:val="nil"/>
              <w:bottom w:val="single" w:sz="4" w:space="0" w:color="auto"/>
              <w:right w:val="nil"/>
            </w:tcBorders>
            <w:shd w:val="clear" w:color="auto" w:fill="auto"/>
            <w:noWrap/>
            <w:vAlign w:val="center"/>
            <w:hideMark/>
          </w:tcPr>
          <w:p w14:paraId="3903325E"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Urban</w:t>
            </w:r>
          </w:p>
        </w:tc>
        <w:tc>
          <w:tcPr>
            <w:tcW w:w="1248" w:type="dxa"/>
            <w:tcBorders>
              <w:top w:val="nil"/>
              <w:left w:val="nil"/>
              <w:bottom w:val="single" w:sz="4" w:space="0" w:color="auto"/>
              <w:right w:val="nil"/>
            </w:tcBorders>
            <w:shd w:val="clear" w:color="auto" w:fill="auto"/>
            <w:noWrap/>
            <w:vAlign w:val="center"/>
            <w:hideMark/>
          </w:tcPr>
          <w:p w14:paraId="4AB01411"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Rural</w:t>
            </w:r>
          </w:p>
        </w:tc>
      </w:tr>
      <w:tr w:rsidR="009616FA" w:rsidRPr="009616FA" w14:paraId="2C11053C" w14:textId="77777777" w:rsidTr="009616FA">
        <w:trPr>
          <w:trHeight w:val="235"/>
        </w:trPr>
        <w:tc>
          <w:tcPr>
            <w:tcW w:w="3952" w:type="dxa"/>
            <w:gridSpan w:val="2"/>
            <w:tcBorders>
              <w:top w:val="single" w:sz="4" w:space="0" w:color="auto"/>
              <w:left w:val="nil"/>
              <w:bottom w:val="nil"/>
              <w:right w:val="nil"/>
            </w:tcBorders>
            <w:shd w:val="clear" w:color="auto" w:fill="auto"/>
            <w:noWrap/>
            <w:vAlign w:val="center"/>
            <w:hideMark/>
          </w:tcPr>
          <w:p w14:paraId="4A511028" w14:textId="77777777" w:rsidR="009616FA" w:rsidRPr="009616FA" w:rsidRDefault="009616FA" w:rsidP="009616FA">
            <w:pPr>
              <w:spacing w:after="0" w:line="240" w:lineRule="auto"/>
              <w:rPr>
                <w:rFonts w:ascii="Calibri" w:eastAsia="Times New Roman" w:hAnsi="Calibri" w:cs="Calibri"/>
                <w:b/>
                <w:bCs/>
                <w:color w:val="000000"/>
                <w:sz w:val="22"/>
              </w:rPr>
            </w:pPr>
            <w:r w:rsidRPr="009616FA">
              <w:rPr>
                <w:rFonts w:ascii="Calibri" w:eastAsia="Times New Roman" w:hAnsi="Calibri" w:cs="Calibri"/>
                <w:b/>
                <w:bCs/>
                <w:color w:val="000000"/>
                <w:sz w:val="22"/>
              </w:rPr>
              <w:t>Panel A. OLS Estimation</w:t>
            </w:r>
          </w:p>
        </w:tc>
        <w:tc>
          <w:tcPr>
            <w:tcW w:w="1241" w:type="dxa"/>
            <w:tcBorders>
              <w:top w:val="nil"/>
              <w:left w:val="nil"/>
              <w:bottom w:val="nil"/>
              <w:right w:val="nil"/>
            </w:tcBorders>
            <w:shd w:val="clear" w:color="auto" w:fill="auto"/>
            <w:noWrap/>
            <w:vAlign w:val="center"/>
            <w:hideMark/>
          </w:tcPr>
          <w:p w14:paraId="22E5A586" w14:textId="77777777" w:rsidR="009616FA" w:rsidRPr="009616FA" w:rsidRDefault="009616FA" w:rsidP="009616FA">
            <w:pPr>
              <w:spacing w:after="0" w:line="240" w:lineRule="auto"/>
              <w:rPr>
                <w:rFonts w:ascii="Calibri" w:eastAsia="Times New Roman" w:hAnsi="Calibri" w:cs="Calibri"/>
                <w:b/>
                <w:bCs/>
                <w:color w:val="000000"/>
                <w:sz w:val="22"/>
              </w:rPr>
            </w:pPr>
          </w:p>
        </w:tc>
        <w:tc>
          <w:tcPr>
            <w:tcW w:w="1363" w:type="dxa"/>
            <w:tcBorders>
              <w:top w:val="nil"/>
              <w:left w:val="nil"/>
              <w:bottom w:val="nil"/>
              <w:right w:val="nil"/>
            </w:tcBorders>
            <w:shd w:val="clear" w:color="auto" w:fill="auto"/>
            <w:noWrap/>
            <w:vAlign w:val="center"/>
            <w:hideMark/>
          </w:tcPr>
          <w:p w14:paraId="5F0BDB19" w14:textId="77777777" w:rsidR="009616FA" w:rsidRPr="009616FA" w:rsidRDefault="009616FA" w:rsidP="009616FA">
            <w:pPr>
              <w:spacing w:after="0" w:line="240" w:lineRule="auto"/>
              <w:rPr>
                <w:rFonts w:eastAsia="Times New Roman" w:cs="Times New Roman"/>
                <w:sz w:val="20"/>
                <w:szCs w:val="20"/>
              </w:rPr>
            </w:pPr>
          </w:p>
        </w:tc>
        <w:tc>
          <w:tcPr>
            <w:tcW w:w="1433" w:type="dxa"/>
            <w:tcBorders>
              <w:top w:val="nil"/>
              <w:left w:val="nil"/>
              <w:bottom w:val="nil"/>
              <w:right w:val="nil"/>
            </w:tcBorders>
            <w:shd w:val="clear" w:color="auto" w:fill="auto"/>
            <w:noWrap/>
            <w:vAlign w:val="center"/>
            <w:hideMark/>
          </w:tcPr>
          <w:p w14:paraId="64E12A9E"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c>
          <w:tcPr>
            <w:tcW w:w="1248" w:type="dxa"/>
            <w:tcBorders>
              <w:top w:val="nil"/>
              <w:left w:val="nil"/>
              <w:bottom w:val="nil"/>
              <w:right w:val="nil"/>
            </w:tcBorders>
            <w:shd w:val="clear" w:color="auto" w:fill="auto"/>
            <w:noWrap/>
            <w:vAlign w:val="center"/>
            <w:hideMark/>
          </w:tcPr>
          <w:p w14:paraId="2D2CD5C1"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r>
      <w:tr w:rsidR="009616FA" w:rsidRPr="009616FA" w14:paraId="5ECFB419" w14:textId="77777777" w:rsidTr="009616FA">
        <w:trPr>
          <w:trHeight w:val="235"/>
        </w:trPr>
        <w:tc>
          <w:tcPr>
            <w:tcW w:w="2542" w:type="dxa"/>
            <w:tcBorders>
              <w:top w:val="nil"/>
              <w:left w:val="nil"/>
              <w:bottom w:val="nil"/>
              <w:right w:val="nil"/>
            </w:tcBorders>
            <w:shd w:val="clear" w:color="auto" w:fill="auto"/>
            <w:noWrap/>
            <w:vAlign w:val="center"/>
            <w:hideMark/>
          </w:tcPr>
          <w:p w14:paraId="2402AA83"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Years of education</w:t>
            </w:r>
          </w:p>
        </w:tc>
        <w:tc>
          <w:tcPr>
            <w:tcW w:w="1410" w:type="dxa"/>
            <w:tcBorders>
              <w:top w:val="nil"/>
              <w:left w:val="nil"/>
              <w:bottom w:val="nil"/>
              <w:right w:val="nil"/>
            </w:tcBorders>
            <w:shd w:val="clear" w:color="auto" w:fill="auto"/>
            <w:noWrap/>
            <w:vAlign w:val="center"/>
            <w:hideMark/>
          </w:tcPr>
          <w:p w14:paraId="155423A8"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-0.00323**</w:t>
            </w:r>
          </w:p>
        </w:tc>
        <w:tc>
          <w:tcPr>
            <w:tcW w:w="1241" w:type="dxa"/>
            <w:tcBorders>
              <w:top w:val="nil"/>
              <w:left w:val="nil"/>
              <w:bottom w:val="nil"/>
              <w:right w:val="nil"/>
            </w:tcBorders>
            <w:shd w:val="clear" w:color="auto" w:fill="auto"/>
            <w:noWrap/>
            <w:vAlign w:val="center"/>
            <w:hideMark/>
          </w:tcPr>
          <w:p w14:paraId="57E8A31F"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-0.00046 </w:t>
            </w:r>
          </w:p>
        </w:tc>
        <w:tc>
          <w:tcPr>
            <w:tcW w:w="1363" w:type="dxa"/>
            <w:tcBorders>
              <w:top w:val="nil"/>
              <w:left w:val="nil"/>
              <w:bottom w:val="nil"/>
              <w:right w:val="nil"/>
            </w:tcBorders>
            <w:shd w:val="clear" w:color="auto" w:fill="auto"/>
            <w:noWrap/>
            <w:vAlign w:val="center"/>
            <w:hideMark/>
          </w:tcPr>
          <w:p w14:paraId="12C6B3DB"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-0.00403**  </w:t>
            </w:r>
          </w:p>
        </w:tc>
        <w:tc>
          <w:tcPr>
            <w:tcW w:w="1433" w:type="dxa"/>
            <w:tcBorders>
              <w:top w:val="nil"/>
              <w:left w:val="nil"/>
              <w:bottom w:val="nil"/>
              <w:right w:val="nil"/>
            </w:tcBorders>
            <w:shd w:val="clear" w:color="auto" w:fill="auto"/>
            <w:noWrap/>
            <w:vAlign w:val="center"/>
            <w:hideMark/>
          </w:tcPr>
          <w:p w14:paraId="6BEE98FF"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-0.00789** </w:t>
            </w:r>
          </w:p>
        </w:tc>
        <w:tc>
          <w:tcPr>
            <w:tcW w:w="1248" w:type="dxa"/>
            <w:tcBorders>
              <w:top w:val="nil"/>
              <w:left w:val="nil"/>
              <w:bottom w:val="nil"/>
              <w:right w:val="nil"/>
            </w:tcBorders>
            <w:shd w:val="clear" w:color="auto" w:fill="auto"/>
            <w:noWrap/>
            <w:vAlign w:val="center"/>
            <w:hideMark/>
          </w:tcPr>
          <w:p w14:paraId="3B705092"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-0.00082 </w:t>
            </w:r>
          </w:p>
        </w:tc>
      </w:tr>
      <w:tr w:rsidR="009616FA" w:rsidRPr="009616FA" w14:paraId="1779E83E" w14:textId="77777777" w:rsidTr="009616FA">
        <w:trPr>
          <w:trHeight w:val="235"/>
        </w:trPr>
        <w:tc>
          <w:tcPr>
            <w:tcW w:w="2542" w:type="dxa"/>
            <w:tcBorders>
              <w:top w:val="nil"/>
              <w:left w:val="nil"/>
              <w:bottom w:val="nil"/>
              <w:right w:val="nil"/>
            </w:tcBorders>
            <w:shd w:val="clear" w:color="auto" w:fill="auto"/>
            <w:noWrap/>
            <w:vAlign w:val="center"/>
            <w:hideMark/>
          </w:tcPr>
          <w:p w14:paraId="613D12B9" w14:textId="77777777" w:rsidR="009616FA" w:rsidRPr="009616FA" w:rsidRDefault="009616FA" w:rsidP="009616FA">
            <w:pPr>
              <w:spacing w:after="0" w:line="240" w:lineRule="auto"/>
              <w:jc w:val="center"/>
              <w:rPr>
                <w:rFonts w:ascii="Calibri" w:eastAsia="Times New Roman" w:hAnsi="Calibri" w:cs="Calibri"/>
                <w:color w:val="000000"/>
                <w:sz w:val="22"/>
              </w:rPr>
            </w:pPr>
          </w:p>
        </w:tc>
        <w:tc>
          <w:tcPr>
            <w:tcW w:w="1410" w:type="dxa"/>
            <w:tcBorders>
              <w:top w:val="nil"/>
              <w:left w:val="nil"/>
              <w:bottom w:val="nil"/>
              <w:right w:val="nil"/>
            </w:tcBorders>
            <w:shd w:val="clear" w:color="auto" w:fill="auto"/>
            <w:noWrap/>
            <w:vAlign w:val="center"/>
            <w:hideMark/>
          </w:tcPr>
          <w:p w14:paraId="7F0435C5"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(0.00159) </w:t>
            </w:r>
          </w:p>
        </w:tc>
        <w:tc>
          <w:tcPr>
            <w:tcW w:w="1241" w:type="dxa"/>
            <w:tcBorders>
              <w:top w:val="nil"/>
              <w:left w:val="nil"/>
              <w:bottom w:val="nil"/>
              <w:right w:val="nil"/>
            </w:tcBorders>
            <w:shd w:val="clear" w:color="auto" w:fill="auto"/>
            <w:noWrap/>
            <w:vAlign w:val="center"/>
            <w:hideMark/>
          </w:tcPr>
          <w:p w14:paraId="5F8FBC5A"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(0.00273) </w:t>
            </w:r>
          </w:p>
        </w:tc>
        <w:tc>
          <w:tcPr>
            <w:tcW w:w="1363" w:type="dxa"/>
            <w:tcBorders>
              <w:top w:val="nil"/>
              <w:left w:val="nil"/>
              <w:bottom w:val="nil"/>
              <w:right w:val="nil"/>
            </w:tcBorders>
            <w:shd w:val="clear" w:color="auto" w:fill="auto"/>
            <w:noWrap/>
            <w:vAlign w:val="center"/>
            <w:hideMark/>
          </w:tcPr>
          <w:p w14:paraId="2839B737"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(0.00197) </w:t>
            </w:r>
          </w:p>
        </w:tc>
        <w:tc>
          <w:tcPr>
            <w:tcW w:w="1433" w:type="dxa"/>
            <w:tcBorders>
              <w:top w:val="nil"/>
              <w:left w:val="nil"/>
              <w:bottom w:val="nil"/>
              <w:right w:val="nil"/>
            </w:tcBorders>
            <w:shd w:val="clear" w:color="auto" w:fill="auto"/>
            <w:noWrap/>
            <w:vAlign w:val="center"/>
            <w:hideMark/>
          </w:tcPr>
          <w:p w14:paraId="49368FBF"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(0.00368)</w:t>
            </w:r>
          </w:p>
        </w:tc>
        <w:tc>
          <w:tcPr>
            <w:tcW w:w="1248" w:type="dxa"/>
            <w:tcBorders>
              <w:top w:val="nil"/>
              <w:left w:val="nil"/>
              <w:bottom w:val="nil"/>
              <w:right w:val="nil"/>
            </w:tcBorders>
            <w:shd w:val="clear" w:color="auto" w:fill="auto"/>
            <w:noWrap/>
            <w:vAlign w:val="center"/>
            <w:hideMark/>
          </w:tcPr>
          <w:p w14:paraId="4D357943"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(0.00168)</w:t>
            </w:r>
          </w:p>
        </w:tc>
      </w:tr>
      <w:tr w:rsidR="009616FA" w:rsidRPr="009616FA" w14:paraId="4542F5B9" w14:textId="77777777" w:rsidTr="009616FA">
        <w:trPr>
          <w:trHeight w:val="235"/>
        </w:trPr>
        <w:tc>
          <w:tcPr>
            <w:tcW w:w="2542" w:type="dxa"/>
            <w:tcBorders>
              <w:top w:val="nil"/>
              <w:left w:val="nil"/>
              <w:bottom w:val="nil"/>
              <w:right w:val="nil"/>
            </w:tcBorders>
            <w:shd w:val="clear" w:color="auto" w:fill="auto"/>
            <w:noWrap/>
            <w:vAlign w:val="center"/>
            <w:hideMark/>
          </w:tcPr>
          <w:p w14:paraId="3ACF5164" w14:textId="77777777" w:rsidR="009616FA" w:rsidRPr="009616FA" w:rsidRDefault="009616FA" w:rsidP="009616FA">
            <w:pPr>
              <w:spacing w:after="0" w:line="240" w:lineRule="auto"/>
              <w:jc w:val="center"/>
              <w:rPr>
                <w:rFonts w:ascii="Calibri" w:eastAsia="Times New Roman" w:hAnsi="Calibri" w:cs="Calibri"/>
                <w:color w:val="000000"/>
                <w:sz w:val="22"/>
              </w:rPr>
            </w:pPr>
          </w:p>
        </w:tc>
        <w:tc>
          <w:tcPr>
            <w:tcW w:w="1410" w:type="dxa"/>
            <w:tcBorders>
              <w:top w:val="nil"/>
              <w:left w:val="nil"/>
              <w:bottom w:val="nil"/>
              <w:right w:val="nil"/>
            </w:tcBorders>
            <w:shd w:val="clear" w:color="auto" w:fill="auto"/>
            <w:noWrap/>
            <w:vAlign w:val="center"/>
            <w:hideMark/>
          </w:tcPr>
          <w:p w14:paraId="3E722C04" w14:textId="77777777" w:rsidR="009616FA" w:rsidRPr="009616FA" w:rsidRDefault="009616FA" w:rsidP="009616FA">
            <w:pPr>
              <w:spacing w:after="0" w:line="240" w:lineRule="auto"/>
              <w:rPr>
                <w:rFonts w:eastAsia="Times New Roman" w:cs="Times New Roman"/>
                <w:sz w:val="20"/>
                <w:szCs w:val="20"/>
              </w:rPr>
            </w:pPr>
          </w:p>
        </w:tc>
        <w:tc>
          <w:tcPr>
            <w:tcW w:w="1241" w:type="dxa"/>
            <w:tcBorders>
              <w:top w:val="nil"/>
              <w:left w:val="nil"/>
              <w:bottom w:val="nil"/>
              <w:right w:val="nil"/>
            </w:tcBorders>
            <w:shd w:val="clear" w:color="auto" w:fill="auto"/>
            <w:noWrap/>
            <w:vAlign w:val="center"/>
            <w:hideMark/>
          </w:tcPr>
          <w:p w14:paraId="3D0F6241" w14:textId="77777777" w:rsidR="009616FA" w:rsidRPr="009616FA" w:rsidRDefault="009616FA" w:rsidP="009616FA">
            <w:pPr>
              <w:spacing w:after="0" w:line="240" w:lineRule="auto"/>
              <w:jc w:val="center"/>
              <w:rPr>
                <w:rFonts w:eastAsia="Times New Roman" w:cs="Times New Roman"/>
                <w:sz w:val="20"/>
                <w:szCs w:val="20"/>
              </w:rPr>
            </w:pPr>
          </w:p>
        </w:tc>
        <w:tc>
          <w:tcPr>
            <w:tcW w:w="1363" w:type="dxa"/>
            <w:tcBorders>
              <w:top w:val="nil"/>
              <w:left w:val="nil"/>
              <w:bottom w:val="nil"/>
              <w:right w:val="nil"/>
            </w:tcBorders>
            <w:shd w:val="clear" w:color="auto" w:fill="auto"/>
            <w:noWrap/>
            <w:vAlign w:val="center"/>
            <w:hideMark/>
          </w:tcPr>
          <w:p w14:paraId="1239386C" w14:textId="77777777" w:rsidR="009616FA" w:rsidRPr="009616FA" w:rsidRDefault="009616FA" w:rsidP="009616FA">
            <w:pPr>
              <w:spacing w:after="0" w:line="240" w:lineRule="auto"/>
              <w:jc w:val="center"/>
              <w:rPr>
                <w:rFonts w:eastAsia="Times New Roman" w:cs="Times New Roman"/>
                <w:sz w:val="20"/>
                <w:szCs w:val="20"/>
              </w:rPr>
            </w:pPr>
          </w:p>
        </w:tc>
        <w:tc>
          <w:tcPr>
            <w:tcW w:w="1433" w:type="dxa"/>
            <w:tcBorders>
              <w:top w:val="nil"/>
              <w:left w:val="nil"/>
              <w:bottom w:val="nil"/>
              <w:right w:val="nil"/>
            </w:tcBorders>
            <w:shd w:val="clear" w:color="auto" w:fill="auto"/>
            <w:noWrap/>
            <w:vAlign w:val="center"/>
            <w:hideMark/>
          </w:tcPr>
          <w:p w14:paraId="383654C9" w14:textId="77777777" w:rsidR="009616FA" w:rsidRPr="009616FA" w:rsidRDefault="009616FA" w:rsidP="009616FA">
            <w:pPr>
              <w:spacing w:after="0" w:line="240" w:lineRule="auto"/>
              <w:jc w:val="center"/>
              <w:rPr>
                <w:rFonts w:eastAsia="Times New Roman" w:cs="Times New Roman"/>
                <w:sz w:val="20"/>
                <w:szCs w:val="20"/>
              </w:rPr>
            </w:pPr>
          </w:p>
        </w:tc>
        <w:tc>
          <w:tcPr>
            <w:tcW w:w="1248" w:type="dxa"/>
            <w:tcBorders>
              <w:top w:val="nil"/>
              <w:left w:val="nil"/>
              <w:bottom w:val="nil"/>
              <w:right w:val="nil"/>
            </w:tcBorders>
            <w:shd w:val="clear" w:color="auto" w:fill="auto"/>
            <w:noWrap/>
            <w:vAlign w:val="center"/>
            <w:hideMark/>
          </w:tcPr>
          <w:p w14:paraId="175F7CC9" w14:textId="77777777" w:rsidR="009616FA" w:rsidRPr="009616FA" w:rsidRDefault="009616FA" w:rsidP="009616FA">
            <w:pPr>
              <w:spacing w:after="0" w:line="240" w:lineRule="auto"/>
              <w:jc w:val="center"/>
              <w:rPr>
                <w:rFonts w:eastAsia="Times New Roman" w:cs="Times New Roman"/>
                <w:sz w:val="20"/>
                <w:szCs w:val="20"/>
              </w:rPr>
            </w:pPr>
          </w:p>
        </w:tc>
      </w:tr>
      <w:tr w:rsidR="009616FA" w:rsidRPr="009616FA" w14:paraId="269104FD" w14:textId="77777777" w:rsidTr="009616FA">
        <w:trPr>
          <w:trHeight w:val="235"/>
        </w:trPr>
        <w:tc>
          <w:tcPr>
            <w:tcW w:w="2542" w:type="dxa"/>
            <w:tcBorders>
              <w:top w:val="nil"/>
              <w:left w:val="nil"/>
              <w:bottom w:val="nil"/>
              <w:right w:val="nil"/>
            </w:tcBorders>
            <w:shd w:val="clear" w:color="auto" w:fill="auto"/>
            <w:noWrap/>
            <w:vAlign w:val="center"/>
            <w:hideMark/>
          </w:tcPr>
          <w:p w14:paraId="34D997B8"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Adj. R-squared</w:t>
            </w:r>
          </w:p>
        </w:tc>
        <w:tc>
          <w:tcPr>
            <w:tcW w:w="1410" w:type="dxa"/>
            <w:tcBorders>
              <w:top w:val="nil"/>
              <w:left w:val="nil"/>
              <w:bottom w:val="nil"/>
              <w:right w:val="nil"/>
            </w:tcBorders>
            <w:shd w:val="clear" w:color="auto" w:fill="auto"/>
            <w:noWrap/>
            <w:vAlign w:val="center"/>
            <w:hideMark/>
          </w:tcPr>
          <w:p w14:paraId="1A9E3BB2"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0.015 </w:t>
            </w:r>
          </w:p>
        </w:tc>
        <w:tc>
          <w:tcPr>
            <w:tcW w:w="1241" w:type="dxa"/>
            <w:tcBorders>
              <w:top w:val="nil"/>
              <w:left w:val="nil"/>
              <w:bottom w:val="nil"/>
              <w:right w:val="nil"/>
            </w:tcBorders>
            <w:shd w:val="clear" w:color="auto" w:fill="auto"/>
            <w:noWrap/>
            <w:vAlign w:val="center"/>
            <w:hideMark/>
          </w:tcPr>
          <w:p w14:paraId="4364EAF0"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0.031 </w:t>
            </w:r>
          </w:p>
        </w:tc>
        <w:tc>
          <w:tcPr>
            <w:tcW w:w="1363" w:type="dxa"/>
            <w:tcBorders>
              <w:top w:val="nil"/>
              <w:left w:val="nil"/>
              <w:bottom w:val="nil"/>
              <w:right w:val="nil"/>
            </w:tcBorders>
            <w:shd w:val="clear" w:color="auto" w:fill="auto"/>
            <w:noWrap/>
            <w:vAlign w:val="center"/>
            <w:hideMark/>
          </w:tcPr>
          <w:p w14:paraId="1195D9C6"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0.009 </w:t>
            </w:r>
          </w:p>
        </w:tc>
        <w:tc>
          <w:tcPr>
            <w:tcW w:w="1433" w:type="dxa"/>
            <w:tcBorders>
              <w:top w:val="nil"/>
              <w:left w:val="nil"/>
              <w:bottom w:val="nil"/>
              <w:right w:val="nil"/>
            </w:tcBorders>
            <w:shd w:val="clear" w:color="auto" w:fill="auto"/>
            <w:noWrap/>
            <w:vAlign w:val="center"/>
            <w:hideMark/>
          </w:tcPr>
          <w:p w14:paraId="3CD03993"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0.012</w:t>
            </w:r>
          </w:p>
        </w:tc>
        <w:tc>
          <w:tcPr>
            <w:tcW w:w="1248" w:type="dxa"/>
            <w:tcBorders>
              <w:top w:val="nil"/>
              <w:left w:val="nil"/>
              <w:bottom w:val="nil"/>
              <w:right w:val="nil"/>
            </w:tcBorders>
            <w:shd w:val="clear" w:color="auto" w:fill="auto"/>
            <w:noWrap/>
            <w:vAlign w:val="center"/>
            <w:hideMark/>
          </w:tcPr>
          <w:p w14:paraId="1B3DA288"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 0.018  </w:t>
            </w:r>
          </w:p>
        </w:tc>
      </w:tr>
      <w:tr w:rsidR="009616FA" w:rsidRPr="009616FA" w14:paraId="3A6569E2" w14:textId="77777777" w:rsidTr="009616FA">
        <w:trPr>
          <w:trHeight w:val="235"/>
        </w:trPr>
        <w:tc>
          <w:tcPr>
            <w:tcW w:w="3952" w:type="dxa"/>
            <w:gridSpan w:val="2"/>
            <w:tcBorders>
              <w:top w:val="single" w:sz="4" w:space="0" w:color="auto"/>
              <w:left w:val="nil"/>
              <w:bottom w:val="nil"/>
              <w:right w:val="nil"/>
            </w:tcBorders>
            <w:shd w:val="clear" w:color="auto" w:fill="auto"/>
            <w:noWrap/>
            <w:vAlign w:val="center"/>
            <w:hideMark/>
          </w:tcPr>
          <w:p w14:paraId="24791FA0" w14:textId="77777777" w:rsidR="009616FA" w:rsidRPr="009616FA" w:rsidRDefault="009616FA" w:rsidP="009616FA">
            <w:pPr>
              <w:spacing w:after="0" w:line="240" w:lineRule="auto"/>
              <w:rPr>
                <w:rFonts w:ascii="Calibri" w:eastAsia="Times New Roman" w:hAnsi="Calibri" w:cs="Calibri"/>
                <w:b/>
                <w:bCs/>
                <w:color w:val="000000"/>
                <w:sz w:val="22"/>
              </w:rPr>
            </w:pPr>
            <w:r w:rsidRPr="009616FA">
              <w:rPr>
                <w:rFonts w:ascii="Calibri" w:eastAsia="Times New Roman" w:hAnsi="Calibri" w:cs="Calibri"/>
                <w:b/>
                <w:bCs/>
                <w:color w:val="000000"/>
                <w:sz w:val="22"/>
              </w:rPr>
              <w:t>Panel B. 2SLS Estimation</w:t>
            </w:r>
          </w:p>
        </w:tc>
        <w:tc>
          <w:tcPr>
            <w:tcW w:w="1241" w:type="dxa"/>
            <w:tcBorders>
              <w:top w:val="single" w:sz="4" w:space="0" w:color="auto"/>
              <w:left w:val="nil"/>
              <w:bottom w:val="nil"/>
              <w:right w:val="nil"/>
            </w:tcBorders>
            <w:shd w:val="clear" w:color="auto" w:fill="auto"/>
            <w:noWrap/>
            <w:vAlign w:val="center"/>
            <w:hideMark/>
          </w:tcPr>
          <w:p w14:paraId="55BEFC10"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c>
          <w:tcPr>
            <w:tcW w:w="1363" w:type="dxa"/>
            <w:tcBorders>
              <w:top w:val="single" w:sz="4" w:space="0" w:color="auto"/>
              <w:left w:val="nil"/>
              <w:bottom w:val="nil"/>
              <w:right w:val="nil"/>
            </w:tcBorders>
            <w:shd w:val="clear" w:color="auto" w:fill="auto"/>
            <w:noWrap/>
            <w:vAlign w:val="center"/>
            <w:hideMark/>
          </w:tcPr>
          <w:p w14:paraId="1AD8E1D5"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c>
          <w:tcPr>
            <w:tcW w:w="1433" w:type="dxa"/>
            <w:tcBorders>
              <w:top w:val="single" w:sz="4" w:space="0" w:color="auto"/>
              <w:left w:val="nil"/>
              <w:bottom w:val="nil"/>
              <w:right w:val="nil"/>
            </w:tcBorders>
            <w:shd w:val="clear" w:color="auto" w:fill="auto"/>
            <w:noWrap/>
            <w:vAlign w:val="center"/>
            <w:hideMark/>
          </w:tcPr>
          <w:p w14:paraId="0D5C7110"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c>
          <w:tcPr>
            <w:tcW w:w="1248" w:type="dxa"/>
            <w:tcBorders>
              <w:top w:val="single" w:sz="4" w:space="0" w:color="auto"/>
              <w:left w:val="nil"/>
              <w:bottom w:val="nil"/>
              <w:right w:val="nil"/>
            </w:tcBorders>
            <w:shd w:val="clear" w:color="auto" w:fill="auto"/>
            <w:noWrap/>
            <w:vAlign w:val="center"/>
            <w:hideMark/>
          </w:tcPr>
          <w:p w14:paraId="2E6A2DA2"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r>
      <w:tr w:rsidR="009616FA" w:rsidRPr="009616FA" w14:paraId="4BB1916E" w14:textId="77777777" w:rsidTr="009616FA">
        <w:trPr>
          <w:trHeight w:val="235"/>
        </w:trPr>
        <w:tc>
          <w:tcPr>
            <w:tcW w:w="2542" w:type="dxa"/>
            <w:tcBorders>
              <w:top w:val="nil"/>
              <w:left w:val="nil"/>
              <w:bottom w:val="nil"/>
              <w:right w:val="nil"/>
            </w:tcBorders>
            <w:shd w:val="clear" w:color="auto" w:fill="auto"/>
            <w:noWrap/>
            <w:vAlign w:val="center"/>
            <w:hideMark/>
          </w:tcPr>
          <w:p w14:paraId="5F9BC842"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Years of education</w:t>
            </w:r>
          </w:p>
        </w:tc>
        <w:tc>
          <w:tcPr>
            <w:tcW w:w="1410" w:type="dxa"/>
            <w:tcBorders>
              <w:top w:val="nil"/>
              <w:left w:val="nil"/>
              <w:bottom w:val="nil"/>
              <w:right w:val="nil"/>
            </w:tcBorders>
            <w:shd w:val="clear" w:color="auto" w:fill="auto"/>
            <w:noWrap/>
            <w:vAlign w:val="center"/>
            <w:hideMark/>
          </w:tcPr>
          <w:p w14:paraId="765E7EEA"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-0.0190 </w:t>
            </w:r>
          </w:p>
        </w:tc>
        <w:tc>
          <w:tcPr>
            <w:tcW w:w="1241" w:type="dxa"/>
            <w:tcBorders>
              <w:top w:val="nil"/>
              <w:left w:val="nil"/>
              <w:bottom w:val="nil"/>
              <w:right w:val="nil"/>
            </w:tcBorders>
            <w:shd w:val="clear" w:color="auto" w:fill="auto"/>
            <w:noWrap/>
            <w:vAlign w:val="center"/>
            <w:hideMark/>
          </w:tcPr>
          <w:p w14:paraId="2237C947"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-0.104 </w:t>
            </w:r>
          </w:p>
        </w:tc>
        <w:tc>
          <w:tcPr>
            <w:tcW w:w="1363" w:type="dxa"/>
            <w:tcBorders>
              <w:top w:val="nil"/>
              <w:left w:val="nil"/>
              <w:bottom w:val="nil"/>
              <w:right w:val="nil"/>
            </w:tcBorders>
            <w:shd w:val="clear" w:color="auto" w:fill="auto"/>
            <w:noWrap/>
            <w:vAlign w:val="center"/>
            <w:hideMark/>
          </w:tcPr>
          <w:p w14:paraId="51315C6B"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0.00940 </w:t>
            </w:r>
          </w:p>
        </w:tc>
        <w:tc>
          <w:tcPr>
            <w:tcW w:w="1433" w:type="dxa"/>
            <w:tcBorders>
              <w:top w:val="nil"/>
              <w:left w:val="nil"/>
              <w:bottom w:val="nil"/>
              <w:right w:val="nil"/>
            </w:tcBorders>
            <w:shd w:val="clear" w:color="auto" w:fill="auto"/>
            <w:noWrap/>
            <w:vAlign w:val="center"/>
            <w:hideMark/>
          </w:tcPr>
          <w:p w14:paraId="6DB3547A"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0.0120 </w:t>
            </w:r>
          </w:p>
        </w:tc>
        <w:tc>
          <w:tcPr>
            <w:tcW w:w="1248" w:type="dxa"/>
            <w:tcBorders>
              <w:top w:val="nil"/>
              <w:left w:val="nil"/>
              <w:bottom w:val="nil"/>
              <w:right w:val="nil"/>
            </w:tcBorders>
            <w:shd w:val="clear" w:color="auto" w:fill="auto"/>
            <w:noWrap/>
            <w:vAlign w:val="center"/>
            <w:hideMark/>
          </w:tcPr>
          <w:p w14:paraId="13BCC3D5"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0.0503 </w:t>
            </w:r>
          </w:p>
        </w:tc>
      </w:tr>
      <w:tr w:rsidR="009616FA" w:rsidRPr="009616FA" w14:paraId="7EF7D4F2" w14:textId="77777777" w:rsidTr="009616FA">
        <w:trPr>
          <w:trHeight w:val="235"/>
        </w:trPr>
        <w:tc>
          <w:tcPr>
            <w:tcW w:w="2542" w:type="dxa"/>
            <w:tcBorders>
              <w:top w:val="nil"/>
              <w:left w:val="nil"/>
              <w:bottom w:val="nil"/>
              <w:right w:val="nil"/>
            </w:tcBorders>
            <w:shd w:val="clear" w:color="auto" w:fill="auto"/>
            <w:vAlign w:val="center"/>
            <w:hideMark/>
          </w:tcPr>
          <w:p w14:paraId="7624F4A3" w14:textId="77777777" w:rsidR="009616FA" w:rsidRPr="009616FA" w:rsidRDefault="009616FA" w:rsidP="009616FA">
            <w:pPr>
              <w:spacing w:after="0" w:line="240" w:lineRule="auto"/>
              <w:jc w:val="center"/>
              <w:rPr>
                <w:rFonts w:ascii="Calibri" w:eastAsia="Times New Roman" w:hAnsi="Calibri" w:cs="Calibri"/>
                <w:color w:val="000000"/>
                <w:sz w:val="22"/>
              </w:rPr>
            </w:pPr>
          </w:p>
        </w:tc>
        <w:tc>
          <w:tcPr>
            <w:tcW w:w="1410" w:type="dxa"/>
            <w:tcBorders>
              <w:top w:val="nil"/>
              <w:left w:val="nil"/>
              <w:bottom w:val="nil"/>
              <w:right w:val="nil"/>
            </w:tcBorders>
            <w:shd w:val="clear" w:color="auto" w:fill="auto"/>
            <w:noWrap/>
            <w:vAlign w:val="center"/>
            <w:hideMark/>
          </w:tcPr>
          <w:p w14:paraId="02C9FC97"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(0.0410)</w:t>
            </w:r>
          </w:p>
        </w:tc>
        <w:tc>
          <w:tcPr>
            <w:tcW w:w="1241" w:type="dxa"/>
            <w:tcBorders>
              <w:top w:val="nil"/>
              <w:left w:val="nil"/>
              <w:bottom w:val="nil"/>
              <w:right w:val="nil"/>
            </w:tcBorders>
            <w:shd w:val="clear" w:color="auto" w:fill="auto"/>
            <w:noWrap/>
            <w:vAlign w:val="center"/>
            <w:hideMark/>
          </w:tcPr>
          <w:p w14:paraId="19EBEB93"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(0.138) </w:t>
            </w:r>
          </w:p>
        </w:tc>
        <w:tc>
          <w:tcPr>
            <w:tcW w:w="1363" w:type="dxa"/>
            <w:tcBorders>
              <w:top w:val="nil"/>
              <w:left w:val="nil"/>
              <w:bottom w:val="nil"/>
              <w:right w:val="nil"/>
            </w:tcBorders>
            <w:shd w:val="clear" w:color="auto" w:fill="auto"/>
            <w:noWrap/>
            <w:vAlign w:val="center"/>
            <w:hideMark/>
          </w:tcPr>
          <w:p w14:paraId="0AB91B28"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(0.0249) </w:t>
            </w:r>
          </w:p>
        </w:tc>
        <w:tc>
          <w:tcPr>
            <w:tcW w:w="1433" w:type="dxa"/>
            <w:tcBorders>
              <w:top w:val="nil"/>
              <w:left w:val="nil"/>
              <w:bottom w:val="nil"/>
              <w:right w:val="nil"/>
            </w:tcBorders>
            <w:shd w:val="clear" w:color="auto" w:fill="auto"/>
            <w:noWrap/>
            <w:vAlign w:val="center"/>
            <w:hideMark/>
          </w:tcPr>
          <w:p w14:paraId="7A539336"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(0.0574) </w:t>
            </w:r>
          </w:p>
        </w:tc>
        <w:tc>
          <w:tcPr>
            <w:tcW w:w="1248" w:type="dxa"/>
            <w:tcBorders>
              <w:top w:val="nil"/>
              <w:left w:val="nil"/>
              <w:bottom w:val="nil"/>
              <w:right w:val="nil"/>
            </w:tcBorders>
            <w:shd w:val="clear" w:color="auto" w:fill="auto"/>
            <w:noWrap/>
            <w:vAlign w:val="center"/>
            <w:hideMark/>
          </w:tcPr>
          <w:p w14:paraId="73437BF8"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(0.0382) </w:t>
            </w:r>
          </w:p>
        </w:tc>
      </w:tr>
      <w:tr w:rsidR="009616FA" w:rsidRPr="009616FA" w14:paraId="54414A29" w14:textId="77777777" w:rsidTr="009616FA">
        <w:trPr>
          <w:trHeight w:val="235"/>
        </w:trPr>
        <w:tc>
          <w:tcPr>
            <w:tcW w:w="2542" w:type="dxa"/>
            <w:tcBorders>
              <w:top w:val="nil"/>
              <w:left w:val="nil"/>
              <w:bottom w:val="nil"/>
              <w:right w:val="nil"/>
            </w:tcBorders>
            <w:shd w:val="clear" w:color="auto" w:fill="auto"/>
            <w:vAlign w:val="center"/>
            <w:hideMark/>
          </w:tcPr>
          <w:p w14:paraId="04B151DC" w14:textId="77777777" w:rsidR="009616FA" w:rsidRPr="009616FA" w:rsidRDefault="009616FA" w:rsidP="009616FA">
            <w:pPr>
              <w:spacing w:after="0" w:line="240" w:lineRule="auto"/>
              <w:jc w:val="center"/>
              <w:rPr>
                <w:rFonts w:ascii="Calibri" w:eastAsia="Times New Roman" w:hAnsi="Calibri" w:cs="Calibri"/>
                <w:color w:val="000000"/>
                <w:sz w:val="22"/>
              </w:rPr>
            </w:pPr>
          </w:p>
        </w:tc>
        <w:tc>
          <w:tcPr>
            <w:tcW w:w="1410" w:type="dxa"/>
            <w:tcBorders>
              <w:top w:val="nil"/>
              <w:left w:val="nil"/>
              <w:bottom w:val="nil"/>
              <w:right w:val="nil"/>
            </w:tcBorders>
            <w:shd w:val="clear" w:color="auto" w:fill="auto"/>
            <w:noWrap/>
            <w:vAlign w:val="center"/>
            <w:hideMark/>
          </w:tcPr>
          <w:p w14:paraId="219E27D6" w14:textId="77777777" w:rsidR="009616FA" w:rsidRPr="009616FA" w:rsidRDefault="009616FA" w:rsidP="009616FA">
            <w:pPr>
              <w:spacing w:after="0" w:line="240" w:lineRule="auto"/>
              <w:rPr>
                <w:rFonts w:eastAsia="Times New Roman" w:cs="Times New Roman"/>
                <w:sz w:val="20"/>
                <w:szCs w:val="20"/>
              </w:rPr>
            </w:pPr>
          </w:p>
        </w:tc>
        <w:tc>
          <w:tcPr>
            <w:tcW w:w="1241" w:type="dxa"/>
            <w:tcBorders>
              <w:top w:val="nil"/>
              <w:left w:val="nil"/>
              <w:bottom w:val="nil"/>
              <w:right w:val="nil"/>
            </w:tcBorders>
            <w:shd w:val="clear" w:color="auto" w:fill="auto"/>
            <w:noWrap/>
            <w:vAlign w:val="center"/>
            <w:hideMark/>
          </w:tcPr>
          <w:p w14:paraId="4B6AF816" w14:textId="77777777" w:rsidR="009616FA" w:rsidRPr="009616FA" w:rsidRDefault="009616FA" w:rsidP="009616FA">
            <w:pPr>
              <w:spacing w:after="0" w:line="240" w:lineRule="auto"/>
              <w:jc w:val="center"/>
              <w:rPr>
                <w:rFonts w:eastAsia="Times New Roman" w:cs="Times New Roman"/>
                <w:sz w:val="20"/>
                <w:szCs w:val="20"/>
              </w:rPr>
            </w:pPr>
          </w:p>
        </w:tc>
        <w:tc>
          <w:tcPr>
            <w:tcW w:w="1363" w:type="dxa"/>
            <w:tcBorders>
              <w:top w:val="nil"/>
              <w:left w:val="nil"/>
              <w:bottom w:val="nil"/>
              <w:right w:val="nil"/>
            </w:tcBorders>
            <w:shd w:val="clear" w:color="auto" w:fill="auto"/>
            <w:noWrap/>
            <w:vAlign w:val="center"/>
            <w:hideMark/>
          </w:tcPr>
          <w:p w14:paraId="61BC386F" w14:textId="77777777" w:rsidR="009616FA" w:rsidRPr="009616FA" w:rsidRDefault="009616FA" w:rsidP="009616FA">
            <w:pPr>
              <w:spacing w:after="0" w:line="240" w:lineRule="auto"/>
              <w:jc w:val="center"/>
              <w:rPr>
                <w:rFonts w:eastAsia="Times New Roman" w:cs="Times New Roman"/>
                <w:sz w:val="20"/>
                <w:szCs w:val="20"/>
              </w:rPr>
            </w:pPr>
          </w:p>
        </w:tc>
        <w:tc>
          <w:tcPr>
            <w:tcW w:w="1433" w:type="dxa"/>
            <w:tcBorders>
              <w:top w:val="nil"/>
              <w:left w:val="nil"/>
              <w:bottom w:val="nil"/>
              <w:right w:val="nil"/>
            </w:tcBorders>
            <w:shd w:val="clear" w:color="auto" w:fill="auto"/>
            <w:noWrap/>
            <w:vAlign w:val="center"/>
            <w:hideMark/>
          </w:tcPr>
          <w:p w14:paraId="0CCDEF5E" w14:textId="77777777" w:rsidR="009616FA" w:rsidRPr="009616FA" w:rsidRDefault="009616FA" w:rsidP="009616FA">
            <w:pPr>
              <w:spacing w:after="0" w:line="240" w:lineRule="auto"/>
              <w:jc w:val="center"/>
              <w:rPr>
                <w:rFonts w:eastAsia="Times New Roman" w:cs="Times New Roman"/>
                <w:sz w:val="20"/>
                <w:szCs w:val="20"/>
              </w:rPr>
            </w:pPr>
          </w:p>
        </w:tc>
        <w:tc>
          <w:tcPr>
            <w:tcW w:w="1248" w:type="dxa"/>
            <w:tcBorders>
              <w:top w:val="nil"/>
              <w:left w:val="nil"/>
              <w:bottom w:val="nil"/>
              <w:right w:val="nil"/>
            </w:tcBorders>
            <w:shd w:val="clear" w:color="auto" w:fill="auto"/>
            <w:noWrap/>
            <w:vAlign w:val="center"/>
            <w:hideMark/>
          </w:tcPr>
          <w:p w14:paraId="536491FC" w14:textId="77777777" w:rsidR="009616FA" w:rsidRPr="009616FA" w:rsidRDefault="009616FA" w:rsidP="009616FA">
            <w:pPr>
              <w:spacing w:after="0" w:line="240" w:lineRule="auto"/>
              <w:jc w:val="center"/>
              <w:rPr>
                <w:rFonts w:eastAsia="Times New Roman" w:cs="Times New Roman"/>
                <w:sz w:val="20"/>
                <w:szCs w:val="20"/>
              </w:rPr>
            </w:pPr>
          </w:p>
        </w:tc>
      </w:tr>
      <w:tr w:rsidR="009616FA" w:rsidRPr="009616FA" w14:paraId="1490CDC3" w14:textId="77777777" w:rsidTr="009616FA">
        <w:trPr>
          <w:trHeight w:val="235"/>
        </w:trPr>
        <w:tc>
          <w:tcPr>
            <w:tcW w:w="2542" w:type="dxa"/>
            <w:tcBorders>
              <w:top w:val="nil"/>
              <w:left w:val="nil"/>
              <w:bottom w:val="nil"/>
              <w:right w:val="nil"/>
            </w:tcBorders>
            <w:shd w:val="clear" w:color="auto" w:fill="auto"/>
            <w:noWrap/>
            <w:vAlign w:val="center"/>
            <w:hideMark/>
          </w:tcPr>
          <w:p w14:paraId="67C6EA06"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Observation</w:t>
            </w:r>
          </w:p>
        </w:tc>
        <w:tc>
          <w:tcPr>
            <w:tcW w:w="1410" w:type="dxa"/>
            <w:tcBorders>
              <w:top w:val="nil"/>
              <w:left w:val="nil"/>
              <w:bottom w:val="nil"/>
              <w:right w:val="nil"/>
            </w:tcBorders>
            <w:shd w:val="clear" w:color="auto" w:fill="auto"/>
            <w:noWrap/>
            <w:vAlign w:val="center"/>
            <w:hideMark/>
          </w:tcPr>
          <w:p w14:paraId="550CCDEE"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10,489</w:t>
            </w:r>
          </w:p>
        </w:tc>
        <w:tc>
          <w:tcPr>
            <w:tcW w:w="1241" w:type="dxa"/>
            <w:tcBorders>
              <w:top w:val="nil"/>
              <w:left w:val="nil"/>
              <w:bottom w:val="nil"/>
              <w:right w:val="nil"/>
            </w:tcBorders>
            <w:shd w:val="clear" w:color="auto" w:fill="auto"/>
            <w:noWrap/>
            <w:vAlign w:val="center"/>
            <w:hideMark/>
          </w:tcPr>
          <w:p w14:paraId="674516EC"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4,942</w:t>
            </w:r>
          </w:p>
        </w:tc>
        <w:tc>
          <w:tcPr>
            <w:tcW w:w="1363" w:type="dxa"/>
            <w:tcBorders>
              <w:top w:val="nil"/>
              <w:left w:val="nil"/>
              <w:bottom w:val="nil"/>
              <w:right w:val="nil"/>
            </w:tcBorders>
            <w:shd w:val="clear" w:color="auto" w:fill="auto"/>
            <w:noWrap/>
            <w:vAlign w:val="center"/>
            <w:hideMark/>
          </w:tcPr>
          <w:p w14:paraId="608D586A"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5,547</w:t>
            </w:r>
          </w:p>
        </w:tc>
        <w:tc>
          <w:tcPr>
            <w:tcW w:w="1433" w:type="dxa"/>
            <w:tcBorders>
              <w:top w:val="nil"/>
              <w:left w:val="nil"/>
              <w:bottom w:val="nil"/>
              <w:right w:val="nil"/>
            </w:tcBorders>
            <w:shd w:val="clear" w:color="auto" w:fill="auto"/>
            <w:noWrap/>
            <w:vAlign w:val="center"/>
            <w:hideMark/>
          </w:tcPr>
          <w:p w14:paraId="2985BDF0"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3,603</w:t>
            </w:r>
          </w:p>
        </w:tc>
        <w:tc>
          <w:tcPr>
            <w:tcW w:w="1248" w:type="dxa"/>
            <w:tcBorders>
              <w:top w:val="nil"/>
              <w:left w:val="nil"/>
              <w:bottom w:val="nil"/>
              <w:right w:val="nil"/>
            </w:tcBorders>
            <w:shd w:val="clear" w:color="auto" w:fill="auto"/>
            <w:noWrap/>
            <w:vAlign w:val="center"/>
            <w:hideMark/>
          </w:tcPr>
          <w:p w14:paraId="0AD47B74"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6,886 </w:t>
            </w:r>
          </w:p>
        </w:tc>
      </w:tr>
      <w:tr w:rsidR="009616FA" w:rsidRPr="009616FA" w14:paraId="03B02E86" w14:textId="77777777" w:rsidTr="009616FA">
        <w:trPr>
          <w:trHeight w:val="235"/>
        </w:trPr>
        <w:tc>
          <w:tcPr>
            <w:tcW w:w="3952" w:type="dxa"/>
            <w:gridSpan w:val="2"/>
            <w:tcBorders>
              <w:top w:val="nil"/>
              <w:left w:val="nil"/>
              <w:bottom w:val="nil"/>
              <w:right w:val="nil"/>
            </w:tcBorders>
            <w:shd w:val="clear" w:color="auto" w:fill="auto"/>
            <w:noWrap/>
            <w:vAlign w:val="center"/>
            <w:hideMark/>
          </w:tcPr>
          <w:p w14:paraId="1232634C"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Weak-identification test</w:t>
            </w:r>
          </w:p>
        </w:tc>
        <w:tc>
          <w:tcPr>
            <w:tcW w:w="1241" w:type="dxa"/>
            <w:tcBorders>
              <w:top w:val="nil"/>
              <w:left w:val="nil"/>
              <w:bottom w:val="nil"/>
              <w:right w:val="nil"/>
            </w:tcBorders>
            <w:shd w:val="clear" w:color="auto" w:fill="auto"/>
            <w:noWrap/>
            <w:vAlign w:val="center"/>
            <w:hideMark/>
          </w:tcPr>
          <w:p w14:paraId="32180997" w14:textId="77777777" w:rsidR="009616FA" w:rsidRPr="009616FA" w:rsidRDefault="009616FA" w:rsidP="009616FA">
            <w:pPr>
              <w:spacing w:after="0" w:line="240" w:lineRule="auto"/>
              <w:rPr>
                <w:rFonts w:ascii="Calibri" w:eastAsia="Times New Roman" w:hAnsi="Calibri" w:cs="Calibri"/>
                <w:color w:val="000000"/>
                <w:sz w:val="22"/>
              </w:rPr>
            </w:pPr>
          </w:p>
        </w:tc>
        <w:tc>
          <w:tcPr>
            <w:tcW w:w="1363" w:type="dxa"/>
            <w:tcBorders>
              <w:top w:val="nil"/>
              <w:left w:val="nil"/>
              <w:bottom w:val="nil"/>
              <w:right w:val="nil"/>
            </w:tcBorders>
            <w:shd w:val="clear" w:color="auto" w:fill="auto"/>
            <w:noWrap/>
            <w:vAlign w:val="center"/>
            <w:hideMark/>
          </w:tcPr>
          <w:p w14:paraId="5F34BB6C" w14:textId="77777777" w:rsidR="009616FA" w:rsidRPr="009616FA" w:rsidRDefault="009616FA" w:rsidP="009616FA">
            <w:pPr>
              <w:spacing w:after="0" w:line="240" w:lineRule="auto"/>
              <w:jc w:val="center"/>
              <w:rPr>
                <w:rFonts w:eastAsia="Times New Roman" w:cs="Times New Roman"/>
                <w:sz w:val="20"/>
                <w:szCs w:val="20"/>
              </w:rPr>
            </w:pPr>
          </w:p>
        </w:tc>
        <w:tc>
          <w:tcPr>
            <w:tcW w:w="1433" w:type="dxa"/>
            <w:tcBorders>
              <w:top w:val="nil"/>
              <w:left w:val="nil"/>
              <w:bottom w:val="nil"/>
              <w:right w:val="nil"/>
            </w:tcBorders>
            <w:shd w:val="clear" w:color="auto" w:fill="auto"/>
            <w:noWrap/>
            <w:vAlign w:val="center"/>
            <w:hideMark/>
          </w:tcPr>
          <w:p w14:paraId="050708B6" w14:textId="77777777" w:rsidR="009616FA" w:rsidRPr="009616FA" w:rsidRDefault="009616FA" w:rsidP="009616FA">
            <w:pPr>
              <w:spacing w:after="0" w:line="240" w:lineRule="auto"/>
              <w:jc w:val="center"/>
              <w:rPr>
                <w:rFonts w:eastAsia="Times New Roman" w:cs="Times New Roman"/>
                <w:sz w:val="20"/>
                <w:szCs w:val="20"/>
              </w:rPr>
            </w:pPr>
          </w:p>
        </w:tc>
        <w:tc>
          <w:tcPr>
            <w:tcW w:w="1248" w:type="dxa"/>
            <w:tcBorders>
              <w:top w:val="nil"/>
              <w:left w:val="nil"/>
              <w:bottom w:val="nil"/>
              <w:right w:val="nil"/>
            </w:tcBorders>
            <w:shd w:val="clear" w:color="auto" w:fill="auto"/>
            <w:noWrap/>
            <w:vAlign w:val="center"/>
            <w:hideMark/>
          </w:tcPr>
          <w:p w14:paraId="79E5E5DC" w14:textId="77777777" w:rsidR="009616FA" w:rsidRPr="009616FA" w:rsidRDefault="009616FA" w:rsidP="009616FA">
            <w:pPr>
              <w:spacing w:after="0" w:line="240" w:lineRule="auto"/>
              <w:jc w:val="center"/>
              <w:rPr>
                <w:rFonts w:eastAsia="Times New Roman" w:cs="Times New Roman"/>
                <w:sz w:val="20"/>
                <w:szCs w:val="20"/>
              </w:rPr>
            </w:pPr>
          </w:p>
        </w:tc>
      </w:tr>
      <w:tr w:rsidR="009616FA" w:rsidRPr="009616FA" w14:paraId="4B91CFA6" w14:textId="77777777" w:rsidTr="009616FA">
        <w:trPr>
          <w:trHeight w:val="343"/>
        </w:trPr>
        <w:tc>
          <w:tcPr>
            <w:tcW w:w="2542" w:type="dxa"/>
            <w:tcBorders>
              <w:top w:val="nil"/>
              <w:left w:val="nil"/>
              <w:bottom w:val="nil"/>
              <w:right w:val="nil"/>
            </w:tcBorders>
            <w:shd w:val="clear" w:color="auto" w:fill="auto"/>
            <w:vAlign w:val="center"/>
            <w:hideMark/>
          </w:tcPr>
          <w:p w14:paraId="18F57910" w14:textId="77777777" w:rsidR="009616FA" w:rsidRPr="009616FA" w:rsidRDefault="009616FA" w:rsidP="009616FA">
            <w:pPr>
              <w:spacing w:after="0" w:line="240" w:lineRule="auto"/>
              <w:ind w:left="317" w:hanging="317"/>
              <w:rPr>
                <w:rFonts w:ascii="Calibri" w:eastAsia="Times New Roman" w:hAnsi="Calibri" w:cs="Calibri"/>
                <w:color w:val="000000"/>
                <w:sz w:val="22"/>
              </w:rPr>
            </w:pPr>
            <w:r w:rsidRPr="009616FA">
              <w:rPr>
                <w:rFonts w:ascii="Calibri" w:eastAsia="Times New Roman" w:hAnsi="Calibri" w:cs="Calibri"/>
                <w:color w:val="000000"/>
                <w:sz w:val="22"/>
              </w:rPr>
              <w:t xml:space="preserve">     Kleibergen-Paap F Statistic</w:t>
            </w:r>
          </w:p>
        </w:tc>
        <w:tc>
          <w:tcPr>
            <w:tcW w:w="1410" w:type="dxa"/>
            <w:tcBorders>
              <w:top w:val="nil"/>
              <w:left w:val="nil"/>
              <w:bottom w:val="nil"/>
              <w:right w:val="nil"/>
            </w:tcBorders>
            <w:shd w:val="clear" w:color="auto" w:fill="auto"/>
            <w:noWrap/>
            <w:vAlign w:val="center"/>
            <w:hideMark/>
          </w:tcPr>
          <w:p w14:paraId="1C321F00"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17.056</w:t>
            </w:r>
          </w:p>
        </w:tc>
        <w:tc>
          <w:tcPr>
            <w:tcW w:w="1241" w:type="dxa"/>
            <w:tcBorders>
              <w:top w:val="nil"/>
              <w:left w:val="nil"/>
              <w:bottom w:val="nil"/>
              <w:right w:val="nil"/>
            </w:tcBorders>
            <w:shd w:val="clear" w:color="auto" w:fill="auto"/>
            <w:noWrap/>
            <w:vAlign w:val="center"/>
            <w:hideMark/>
          </w:tcPr>
          <w:p w14:paraId="49DC01B7"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3.229</w:t>
            </w:r>
          </w:p>
        </w:tc>
        <w:tc>
          <w:tcPr>
            <w:tcW w:w="1363" w:type="dxa"/>
            <w:tcBorders>
              <w:top w:val="nil"/>
              <w:left w:val="nil"/>
              <w:bottom w:val="nil"/>
              <w:right w:val="nil"/>
            </w:tcBorders>
            <w:shd w:val="clear" w:color="auto" w:fill="auto"/>
            <w:noWrap/>
            <w:vAlign w:val="center"/>
            <w:hideMark/>
          </w:tcPr>
          <w:p w14:paraId="183AA499"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16.499</w:t>
            </w:r>
          </w:p>
        </w:tc>
        <w:tc>
          <w:tcPr>
            <w:tcW w:w="1433" w:type="dxa"/>
            <w:tcBorders>
              <w:top w:val="nil"/>
              <w:left w:val="nil"/>
              <w:bottom w:val="nil"/>
              <w:right w:val="nil"/>
            </w:tcBorders>
            <w:shd w:val="clear" w:color="auto" w:fill="auto"/>
            <w:noWrap/>
            <w:vAlign w:val="center"/>
            <w:hideMark/>
          </w:tcPr>
          <w:p w14:paraId="1CC93044"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10.771</w:t>
            </w:r>
          </w:p>
        </w:tc>
        <w:tc>
          <w:tcPr>
            <w:tcW w:w="1248" w:type="dxa"/>
            <w:tcBorders>
              <w:top w:val="nil"/>
              <w:left w:val="nil"/>
              <w:bottom w:val="nil"/>
              <w:right w:val="nil"/>
            </w:tcBorders>
            <w:shd w:val="clear" w:color="auto" w:fill="auto"/>
            <w:noWrap/>
            <w:vAlign w:val="center"/>
            <w:hideMark/>
          </w:tcPr>
          <w:p w14:paraId="6D4D5A65"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13.946</w:t>
            </w:r>
          </w:p>
        </w:tc>
      </w:tr>
      <w:tr w:rsidR="009616FA" w:rsidRPr="009616FA" w14:paraId="3006E477" w14:textId="77777777" w:rsidTr="009616FA">
        <w:trPr>
          <w:trHeight w:val="235"/>
        </w:trPr>
        <w:tc>
          <w:tcPr>
            <w:tcW w:w="3952" w:type="dxa"/>
            <w:gridSpan w:val="2"/>
            <w:tcBorders>
              <w:top w:val="nil"/>
              <w:left w:val="nil"/>
              <w:bottom w:val="nil"/>
              <w:right w:val="nil"/>
            </w:tcBorders>
            <w:shd w:val="clear" w:color="auto" w:fill="auto"/>
            <w:noWrap/>
            <w:vAlign w:val="center"/>
            <w:hideMark/>
          </w:tcPr>
          <w:p w14:paraId="33D7EFFE"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Over-identification test</w:t>
            </w:r>
          </w:p>
        </w:tc>
        <w:tc>
          <w:tcPr>
            <w:tcW w:w="1241" w:type="dxa"/>
            <w:tcBorders>
              <w:top w:val="nil"/>
              <w:left w:val="nil"/>
              <w:bottom w:val="nil"/>
              <w:right w:val="nil"/>
            </w:tcBorders>
            <w:shd w:val="clear" w:color="auto" w:fill="auto"/>
            <w:noWrap/>
            <w:vAlign w:val="center"/>
            <w:hideMark/>
          </w:tcPr>
          <w:p w14:paraId="7E1EB132" w14:textId="77777777" w:rsidR="009616FA" w:rsidRPr="009616FA" w:rsidRDefault="009616FA" w:rsidP="009616FA">
            <w:pPr>
              <w:spacing w:after="0" w:line="240" w:lineRule="auto"/>
              <w:rPr>
                <w:rFonts w:ascii="Calibri" w:eastAsia="Times New Roman" w:hAnsi="Calibri" w:cs="Calibri"/>
                <w:color w:val="000000"/>
                <w:sz w:val="22"/>
              </w:rPr>
            </w:pPr>
          </w:p>
        </w:tc>
        <w:tc>
          <w:tcPr>
            <w:tcW w:w="1363" w:type="dxa"/>
            <w:tcBorders>
              <w:top w:val="nil"/>
              <w:left w:val="nil"/>
              <w:bottom w:val="nil"/>
              <w:right w:val="nil"/>
            </w:tcBorders>
            <w:shd w:val="clear" w:color="auto" w:fill="auto"/>
            <w:noWrap/>
            <w:vAlign w:val="center"/>
            <w:hideMark/>
          </w:tcPr>
          <w:p w14:paraId="7A80C7C4" w14:textId="77777777" w:rsidR="009616FA" w:rsidRPr="009616FA" w:rsidRDefault="009616FA" w:rsidP="009616FA">
            <w:pPr>
              <w:spacing w:after="0" w:line="240" w:lineRule="auto"/>
              <w:jc w:val="center"/>
              <w:rPr>
                <w:rFonts w:eastAsia="Times New Roman" w:cs="Times New Roman"/>
                <w:sz w:val="20"/>
                <w:szCs w:val="20"/>
              </w:rPr>
            </w:pPr>
          </w:p>
        </w:tc>
        <w:tc>
          <w:tcPr>
            <w:tcW w:w="1433" w:type="dxa"/>
            <w:tcBorders>
              <w:top w:val="nil"/>
              <w:left w:val="nil"/>
              <w:bottom w:val="nil"/>
              <w:right w:val="nil"/>
            </w:tcBorders>
            <w:shd w:val="clear" w:color="auto" w:fill="auto"/>
            <w:noWrap/>
            <w:vAlign w:val="center"/>
            <w:hideMark/>
          </w:tcPr>
          <w:p w14:paraId="397CAD1B" w14:textId="77777777" w:rsidR="009616FA" w:rsidRPr="009616FA" w:rsidRDefault="009616FA" w:rsidP="009616FA">
            <w:pPr>
              <w:spacing w:after="0" w:line="240" w:lineRule="auto"/>
              <w:jc w:val="center"/>
              <w:rPr>
                <w:rFonts w:eastAsia="Times New Roman" w:cs="Times New Roman"/>
                <w:sz w:val="20"/>
                <w:szCs w:val="20"/>
              </w:rPr>
            </w:pPr>
          </w:p>
        </w:tc>
        <w:tc>
          <w:tcPr>
            <w:tcW w:w="1248" w:type="dxa"/>
            <w:tcBorders>
              <w:top w:val="nil"/>
              <w:left w:val="nil"/>
              <w:bottom w:val="nil"/>
              <w:right w:val="nil"/>
            </w:tcBorders>
            <w:shd w:val="clear" w:color="auto" w:fill="auto"/>
            <w:noWrap/>
            <w:vAlign w:val="center"/>
            <w:hideMark/>
          </w:tcPr>
          <w:p w14:paraId="7F09A4DE" w14:textId="77777777" w:rsidR="009616FA" w:rsidRPr="009616FA" w:rsidRDefault="009616FA" w:rsidP="009616FA">
            <w:pPr>
              <w:spacing w:after="0" w:line="240" w:lineRule="auto"/>
              <w:jc w:val="center"/>
              <w:rPr>
                <w:rFonts w:eastAsia="Times New Roman" w:cs="Times New Roman"/>
                <w:sz w:val="20"/>
                <w:szCs w:val="20"/>
              </w:rPr>
            </w:pPr>
          </w:p>
        </w:tc>
      </w:tr>
      <w:tr w:rsidR="009616FA" w:rsidRPr="009616FA" w14:paraId="271270D5" w14:textId="77777777" w:rsidTr="009616FA">
        <w:trPr>
          <w:trHeight w:val="235"/>
        </w:trPr>
        <w:tc>
          <w:tcPr>
            <w:tcW w:w="2542" w:type="dxa"/>
            <w:tcBorders>
              <w:top w:val="nil"/>
              <w:left w:val="nil"/>
              <w:bottom w:val="nil"/>
              <w:right w:val="nil"/>
            </w:tcBorders>
            <w:shd w:val="clear" w:color="auto" w:fill="auto"/>
            <w:noWrap/>
            <w:vAlign w:val="center"/>
            <w:hideMark/>
          </w:tcPr>
          <w:p w14:paraId="137780F9"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 xml:space="preserve">      Hansen J Statistic</w:t>
            </w:r>
          </w:p>
        </w:tc>
        <w:tc>
          <w:tcPr>
            <w:tcW w:w="1410" w:type="dxa"/>
            <w:tcBorders>
              <w:top w:val="nil"/>
              <w:left w:val="nil"/>
              <w:bottom w:val="nil"/>
              <w:right w:val="nil"/>
            </w:tcBorders>
            <w:shd w:val="clear" w:color="auto" w:fill="auto"/>
            <w:noWrap/>
            <w:vAlign w:val="center"/>
            <w:hideMark/>
          </w:tcPr>
          <w:p w14:paraId="6A9B9ED4"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0.934</w:t>
            </w:r>
          </w:p>
        </w:tc>
        <w:tc>
          <w:tcPr>
            <w:tcW w:w="1241" w:type="dxa"/>
            <w:tcBorders>
              <w:top w:val="nil"/>
              <w:left w:val="nil"/>
              <w:bottom w:val="nil"/>
              <w:right w:val="nil"/>
            </w:tcBorders>
            <w:shd w:val="clear" w:color="auto" w:fill="auto"/>
            <w:noWrap/>
            <w:vAlign w:val="center"/>
            <w:hideMark/>
          </w:tcPr>
          <w:p w14:paraId="6F292B11"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0.038</w:t>
            </w:r>
          </w:p>
        </w:tc>
        <w:tc>
          <w:tcPr>
            <w:tcW w:w="1363" w:type="dxa"/>
            <w:tcBorders>
              <w:top w:val="nil"/>
              <w:left w:val="nil"/>
              <w:bottom w:val="nil"/>
              <w:right w:val="nil"/>
            </w:tcBorders>
            <w:shd w:val="clear" w:color="auto" w:fill="auto"/>
            <w:noWrap/>
            <w:vAlign w:val="center"/>
            <w:hideMark/>
          </w:tcPr>
          <w:p w14:paraId="19661547"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1.747</w:t>
            </w:r>
          </w:p>
        </w:tc>
        <w:tc>
          <w:tcPr>
            <w:tcW w:w="1433" w:type="dxa"/>
            <w:tcBorders>
              <w:top w:val="nil"/>
              <w:left w:val="nil"/>
              <w:bottom w:val="nil"/>
              <w:right w:val="nil"/>
            </w:tcBorders>
            <w:shd w:val="clear" w:color="auto" w:fill="auto"/>
            <w:noWrap/>
            <w:vAlign w:val="center"/>
            <w:hideMark/>
          </w:tcPr>
          <w:p w14:paraId="7C4B000F"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1.331</w:t>
            </w:r>
          </w:p>
        </w:tc>
        <w:tc>
          <w:tcPr>
            <w:tcW w:w="1248" w:type="dxa"/>
            <w:tcBorders>
              <w:top w:val="nil"/>
              <w:left w:val="nil"/>
              <w:bottom w:val="nil"/>
              <w:right w:val="nil"/>
            </w:tcBorders>
            <w:shd w:val="clear" w:color="auto" w:fill="auto"/>
            <w:noWrap/>
            <w:vAlign w:val="center"/>
            <w:hideMark/>
          </w:tcPr>
          <w:p w14:paraId="644E3349"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1.946</w:t>
            </w:r>
          </w:p>
        </w:tc>
      </w:tr>
      <w:tr w:rsidR="009616FA" w:rsidRPr="009616FA" w14:paraId="4543F1BB" w14:textId="77777777" w:rsidTr="009616FA">
        <w:trPr>
          <w:trHeight w:val="245"/>
        </w:trPr>
        <w:tc>
          <w:tcPr>
            <w:tcW w:w="2542" w:type="dxa"/>
            <w:tcBorders>
              <w:top w:val="nil"/>
              <w:left w:val="nil"/>
              <w:bottom w:val="double" w:sz="6" w:space="0" w:color="auto"/>
              <w:right w:val="nil"/>
            </w:tcBorders>
            <w:shd w:val="clear" w:color="auto" w:fill="auto"/>
            <w:noWrap/>
            <w:vAlign w:val="center"/>
            <w:hideMark/>
          </w:tcPr>
          <w:p w14:paraId="097F51C8"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 xml:space="preserve">      P-values for J test </w:t>
            </w:r>
          </w:p>
        </w:tc>
        <w:tc>
          <w:tcPr>
            <w:tcW w:w="1410" w:type="dxa"/>
            <w:tcBorders>
              <w:top w:val="nil"/>
              <w:left w:val="nil"/>
              <w:bottom w:val="double" w:sz="6" w:space="0" w:color="auto"/>
              <w:right w:val="nil"/>
            </w:tcBorders>
            <w:shd w:val="clear" w:color="auto" w:fill="auto"/>
            <w:noWrap/>
            <w:vAlign w:val="center"/>
            <w:hideMark/>
          </w:tcPr>
          <w:p w14:paraId="7471142F"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0.334</w:t>
            </w:r>
          </w:p>
        </w:tc>
        <w:tc>
          <w:tcPr>
            <w:tcW w:w="1241" w:type="dxa"/>
            <w:tcBorders>
              <w:top w:val="nil"/>
              <w:left w:val="nil"/>
              <w:bottom w:val="double" w:sz="6" w:space="0" w:color="auto"/>
              <w:right w:val="nil"/>
            </w:tcBorders>
            <w:shd w:val="clear" w:color="auto" w:fill="auto"/>
            <w:noWrap/>
            <w:vAlign w:val="center"/>
            <w:hideMark/>
          </w:tcPr>
          <w:p w14:paraId="3120478F"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0.846</w:t>
            </w:r>
          </w:p>
        </w:tc>
        <w:tc>
          <w:tcPr>
            <w:tcW w:w="1363" w:type="dxa"/>
            <w:tcBorders>
              <w:top w:val="nil"/>
              <w:left w:val="nil"/>
              <w:bottom w:val="double" w:sz="6" w:space="0" w:color="auto"/>
              <w:right w:val="nil"/>
            </w:tcBorders>
            <w:shd w:val="clear" w:color="auto" w:fill="auto"/>
            <w:noWrap/>
            <w:vAlign w:val="center"/>
            <w:hideMark/>
          </w:tcPr>
          <w:p w14:paraId="3E6615C9"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0.186</w:t>
            </w:r>
          </w:p>
        </w:tc>
        <w:tc>
          <w:tcPr>
            <w:tcW w:w="1433" w:type="dxa"/>
            <w:tcBorders>
              <w:top w:val="nil"/>
              <w:left w:val="nil"/>
              <w:bottom w:val="double" w:sz="6" w:space="0" w:color="auto"/>
              <w:right w:val="nil"/>
            </w:tcBorders>
            <w:shd w:val="clear" w:color="auto" w:fill="auto"/>
            <w:noWrap/>
            <w:vAlign w:val="center"/>
            <w:hideMark/>
          </w:tcPr>
          <w:p w14:paraId="6D5E9BE1"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0.249</w:t>
            </w:r>
          </w:p>
        </w:tc>
        <w:tc>
          <w:tcPr>
            <w:tcW w:w="1248" w:type="dxa"/>
            <w:tcBorders>
              <w:top w:val="nil"/>
              <w:left w:val="nil"/>
              <w:bottom w:val="double" w:sz="6" w:space="0" w:color="auto"/>
              <w:right w:val="nil"/>
            </w:tcBorders>
            <w:shd w:val="clear" w:color="auto" w:fill="auto"/>
            <w:noWrap/>
            <w:vAlign w:val="center"/>
            <w:hideMark/>
          </w:tcPr>
          <w:p w14:paraId="618EFB1A"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0.163</w:t>
            </w:r>
          </w:p>
        </w:tc>
      </w:tr>
    </w:tbl>
    <w:p w14:paraId="17A911E4" w14:textId="1FD80E5B" w:rsidR="008B70F4" w:rsidRPr="00EE4546" w:rsidRDefault="008B70F4" w:rsidP="00EE4546">
      <w:pPr>
        <w:spacing w:line="240" w:lineRule="auto"/>
        <w:rPr>
          <w:sz w:val="22"/>
          <w:szCs w:val="20"/>
        </w:rPr>
      </w:pPr>
      <w:r w:rsidRPr="00EE4546">
        <w:rPr>
          <w:i/>
          <w:iCs/>
          <w:sz w:val="22"/>
          <w:szCs w:val="20"/>
        </w:rPr>
        <w:t>Notes</w:t>
      </w:r>
      <w:r w:rsidRPr="00EE4546">
        <w:rPr>
          <w:sz w:val="22"/>
          <w:szCs w:val="20"/>
        </w:rPr>
        <w:t xml:space="preserve">: All columns control for all demographic characteristics and all fixed effects. </w:t>
      </w:r>
    </w:p>
    <w:p w14:paraId="4C201E7C" w14:textId="77777777" w:rsidR="008B70F4" w:rsidRPr="00EE4546" w:rsidRDefault="008B70F4" w:rsidP="00EE4546">
      <w:pPr>
        <w:spacing w:line="240" w:lineRule="auto"/>
        <w:rPr>
          <w:rFonts w:cs="Times New Roman"/>
          <w:sz w:val="22"/>
          <w:lang w:val="en-US"/>
        </w:rPr>
      </w:pPr>
      <w:r w:rsidRPr="00EE4546">
        <w:rPr>
          <w:sz w:val="22"/>
          <w:szCs w:val="20"/>
        </w:rPr>
        <w:t xml:space="preserve">***p&lt;0.01, **p&lt;0.05. *p&lt;0.1. </w:t>
      </w:r>
    </w:p>
    <w:p w14:paraId="3F68BE33" w14:textId="77777777" w:rsidR="00B6507E" w:rsidRDefault="00B6507E" w:rsidP="004A6FA2">
      <w:pPr>
        <w:spacing w:line="360" w:lineRule="auto"/>
        <w:ind w:firstLine="567"/>
        <w:jc w:val="both"/>
      </w:pPr>
      <w:r>
        <w:lastRenderedPageBreak/>
        <w:t>Table 9 Panel A provides that most OLS estimators that have a significant negative relationship with overweightness. Column (2) shows a positive value, which is consistent with the results in BMI. Panel B demonstrates that education has no significant causal effect on overweightness either.</w:t>
      </w:r>
    </w:p>
    <w:p w14:paraId="3055803F" w14:textId="77777777" w:rsidR="00B6507E" w:rsidRDefault="00B6507E" w:rsidP="004A6FA2">
      <w:pPr>
        <w:spacing w:line="360" w:lineRule="auto"/>
        <w:ind w:firstLine="567"/>
        <w:jc w:val="both"/>
      </w:pPr>
      <w:r>
        <w:t xml:space="preserve">Table 10 Panel A reveals that education has a slightly significant negative correlation with obesity, but OLS estimators are very close to 0. Panel B indicates that obesity is hard to be influenced by education. </w:t>
      </w:r>
    </w:p>
    <w:p w14:paraId="07D2C712" w14:textId="7DE904D0" w:rsidR="00EE4546" w:rsidRDefault="00B6507E" w:rsidP="006E49BF">
      <w:pPr>
        <w:spacing w:line="360" w:lineRule="auto"/>
        <w:ind w:firstLine="567"/>
        <w:jc w:val="both"/>
      </w:pPr>
      <w:r>
        <w:t>In general, education has a relationship with BMI-related variables, and people with higher levels of education usually have a lower rate of overweightness and obesity. In the 2SLS model, education has no sufficient evidence about the causal effect on BMI-related variables.</w:t>
      </w:r>
    </w:p>
    <w:p w14:paraId="678A6DA4" w14:textId="6F6A9CB1" w:rsidR="00376974" w:rsidRDefault="00376974" w:rsidP="0051785C">
      <w:pPr>
        <w:spacing w:line="360" w:lineRule="auto"/>
        <w:ind w:firstLine="567"/>
      </w:pPr>
    </w:p>
    <w:p w14:paraId="680A1953" w14:textId="667A7C10" w:rsidR="006E49BF" w:rsidRDefault="006E49BF" w:rsidP="0051785C">
      <w:pPr>
        <w:spacing w:line="360" w:lineRule="auto"/>
        <w:ind w:firstLine="567"/>
      </w:pPr>
    </w:p>
    <w:p w14:paraId="03F655C5" w14:textId="40FA793C" w:rsidR="006E49BF" w:rsidRDefault="006E49BF" w:rsidP="0051785C">
      <w:pPr>
        <w:spacing w:line="360" w:lineRule="auto"/>
        <w:ind w:firstLine="567"/>
      </w:pPr>
    </w:p>
    <w:p w14:paraId="7F4BD2A6" w14:textId="77777777" w:rsidR="006E49BF" w:rsidRPr="00462BC5" w:rsidRDefault="006E49BF" w:rsidP="0051785C">
      <w:pPr>
        <w:spacing w:line="360" w:lineRule="auto"/>
        <w:ind w:firstLine="567"/>
      </w:pPr>
    </w:p>
    <w:p w14:paraId="52046B48" w14:textId="77777777" w:rsidR="006E49BF" w:rsidRDefault="006E49BF">
      <w:pPr>
        <w:rPr>
          <w:rFonts w:asciiTheme="majorHAnsi" w:eastAsiaTheme="majorEastAsia" w:hAnsiTheme="majorHAnsi" w:cstheme="majorBidi"/>
          <w:color w:val="1F3763" w:themeColor="accent1" w:themeShade="7F"/>
          <w:szCs w:val="24"/>
        </w:rPr>
      </w:pPr>
      <w:r>
        <w:br w:type="page"/>
      </w:r>
    </w:p>
    <w:p w14:paraId="53BF7ED5" w14:textId="1BF99CE3" w:rsidR="00E93D84" w:rsidRDefault="008F7B1E" w:rsidP="008F7B1E">
      <w:pPr>
        <w:pStyle w:val="Heading3"/>
        <w:spacing w:line="360" w:lineRule="auto"/>
      </w:pPr>
      <w:bookmarkStart w:id="34" w:name="_Toc41312375"/>
      <w:r>
        <w:lastRenderedPageBreak/>
        <w:t>5</w:t>
      </w:r>
      <w:r w:rsidR="00937AA6">
        <w:t>.</w:t>
      </w:r>
      <w:r>
        <w:t>2.3</w:t>
      </w:r>
      <w:r w:rsidR="00937AA6">
        <w:t xml:space="preserve"> Effect of education on smoking</w:t>
      </w:r>
      <w:bookmarkEnd w:id="34"/>
    </w:p>
    <w:p w14:paraId="3BE74362" w14:textId="63B0B5BD" w:rsidR="00337A9F" w:rsidRDefault="005B3A45" w:rsidP="008F7B1E">
      <w:r>
        <w:rPr>
          <w:rFonts w:hint="eastAsia"/>
        </w:rPr>
        <w:t>Ta</w:t>
      </w:r>
      <w:r>
        <w:t xml:space="preserve">ble </w:t>
      </w:r>
      <w:r w:rsidR="00574FCC">
        <w:t>1</w:t>
      </w:r>
      <w:r w:rsidR="00283BCE">
        <w:t>1</w:t>
      </w:r>
      <w:r>
        <w:t xml:space="preserve">. </w:t>
      </w:r>
      <w:r w:rsidR="00462BC5">
        <w:t>R</w:t>
      </w:r>
      <w:r>
        <w:t>esults of education on smoking</w:t>
      </w:r>
    </w:p>
    <w:tbl>
      <w:tblPr>
        <w:tblW w:w="9102" w:type="dxa"/>
        <w:tblLook w:val="04A0" w:firstRow="1" w:lastRow="0" w:firstColumn="1" w:lastColumn="0" w:noHBand="0" w:noVBand="1"/>
      </w:tblPr>
      <w:tblGrid>
        <w:gridCol w:w="2270"/>
        <w:gridCol w:w="1419"/>
        <w:gridCol w:w="1288"/>
        <w:gridCol w:w="1353"/>
        <w:gridCol w:w="1386"/>
        <w:gridCol w:w="1386"/>
      </w:tblGrid>
      <w:tr w:rsidR="009616FA" w:rsidRPr="009616FA" w14:paraId="2EA1F184" w14:textId="77777777" w:rsidTr="009616FA">
        <w:trPr>
          <w:trHeight w:val="231"/>
        </w:trPr>
        <w:tc>
          <w:tcPr>
            <w:tcW w:w="2270" w:type="dxa"/>
            <w:tcBorders>
              <w:top w:val="single" w:sz="4" w:space="0" w:color="auto"/>
              <w:left w:val="nil"/>
              <w:bottom w:val="nil"/>
              <w:right w:val="nil"/>
            </w:tcBorders>
            <w:shd w:val="clear" w:color="auto" w:fill="auto"/>
            <w:noWrap/>
            <w:vAlign w:val="bottom"/>
            <w:hideMark/>
          </w:tcPr>
          <w:p w14:paraId="14EABFED"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 </w:t>
            </w:r>
          </w:p>
        </w:tc>
        <w:tc>
          <w:tcPr>
            <w:tcW w:w="1418" w:type="dxa"/>
            <w:tcBorders>
              <w:top w:val="single" w:sz="4" w:space="0" w:color="auto"/>
              <w:left w:val="nil"/>
              <w:bottom w:val="nil"/>
              <w:right w:val="nil"/>
            </w:tcBorders>
            <w:shd w:val="clear" w:color="auto" w:fill="auto"/>
            <w:noWrap/>
            <w:vAlign w:val="center"/>
            <w:hideMark/>
          </w:tcPr>
          <w:p w14:paraId="0CD19C9A"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w:t>
            </w:r>
          </w:p>
        </w:tc>
        <w:tc>
          <w:tcPr>
            <w:tcW w:w="1288" w:type="dxa"/>
            <w:tcBorders>
              <w:top w:val="single" w:sz="4" w:space="0" w:color="auto"/>
              <w:left w:val="nil"/>
              <w:bottom w:val="nil"/>
              <w:right w:val="nil"/>
            </w:tcBorders>
            <w:shd w:val="clear" w:color="auto" w:fill="auto"/>
            <w:noWrap/>
            <w:vAlign w:val="center"/>
            <w:hideMark/>
          </w:tcPr>
          <w:p w14:paraId="60716795"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(2)</w:t>
            </w:r>
          </w:p>
        </w:tc>
        <w:tc>
          <w:tcPr>
            <w:tcW w:w="1353" w:type="dxa"/>
            <w:tcBorders>
              <w:top w:val="single" w:sz="4" w:space="0" w:color="auto"/>
              <w:left w:val="nil"/>
              <w:bottom w:val="nil"/>
              <w:right w:val="nil"/>
            </w:tcBorders>
            <w:shd w:val="clear" w:color="auto" w:fill="auto"/>
            <w:noWrap/>
            <w:vAlign w:val="center"/>
            <w:hideMark/>
          </w:tcPr>
          <w:p w14:paraId="799F9C56"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(3)</w:t>
            </w:r>
          </w:p>
        </w:tc>
        <w:tc>
          <w:tcPr>
            <w:tcW w:w="1386" w:type="dxa"/>
            <w:tcBorders>
              <w:top w:val="single" w:sz="4" w:space="0" w:color="auto"/>
              <w:left w:val="nil"/>
              <w:bottom w:val="nil"/>
              <w:right w:val="nil"/>
            </w:tcBorders>
            <w:shd w:val="clear" w:color="auto" w:fill="auto"/>
            <w:noWrap/>
            <w:vAlign w:val="center"/>
            <w:hideMark/>
          </w:tcPr>
          <w:p w14:paraId="7B3D8DF1"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(4)</w:t>
            </w:r>
          </w:p>
        </w:tc>
        <w:tc>
          <w:tcPr>
            <w:tcW w:w="1386" w:type="dxa"/>
            <w:tcBorders>
              <w:top w:val="single" w:sz="4" w:space="0" w:color="auto"/>
              <w:left w:val="nil"/>
              <w:bottom w:val="nil"/>
              <w:right w:val="nil"/>
            </w:tcBorders>
            <w:shd w:val="clear" w:color="auto" w:fill="auto"/>
            <w:noWrap/>
            <w:vAlign w:val="center"/>
            <w:hideMark/>
          </w:tcPr>
          <w:p w14:paraId="037B5CC0"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(5)</w:t>
            </w:r>
          </w:p>
        </w:tc>
      </w:tr>
      <w:tr w:rsidR="009616FA" w:rsidRPr="009616FA" w14:paraId="7E1D66FC" w14:textId="77777777" w:rsidTr="009616FA">
        <w:trPr>
          <w:trHeight w:val="231"/>
        </w:trPr>
        <w:tc>
          <w:tcPr>
            <w:tcW w:w="2270" w:type="dxa"/>
            <w:vMerge w:val="restart"/>
            <w:tcBorders>
              <w:top w:val="nil"/>
              <w:left w:val="nil"/>
              <w:bottom w:val="single" w:sz="4" w:space="0" w:color="000000"/>
              <w:right w:val="nil"/>
            </w:tcBorders>
            <w:shd w:val="clear" w:color="auto" w:fill="auto"/>
            <w:noWrap/>
            <w:vAlign w:val="center"/>
            <w:hideMark/>
          </w:tcPr>
          <w:p w14:paraId="15BB1E89"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Variables</w:t>
            </w:r>
          </w:p>
        </w:tc>
        <w:tc>
          <w:tcPr>
            <w:tcW w:w="6832" w:type="dxa"/>
            <w:gridSpan w:val="5"/>
            <w:tcBorders>
              <w:top w:val="nil"/>
              <w:left w:val="nil"/>
              <w:bottom w:val="single" w:sz="4" w:space="0" w:color="auto"/>
              <w:right w:val="nil"/>
            </w:tcBorders>
            <w:shd w:val="clear" w:color="auto" w:fill="auto"/>
            <w:noWrap/>
            <w:vAlign w:val="center"/>
            <w:hideMark/>
          </w:tcPr>
          <w:p w14:paraId="468F2F7B"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Smoking</w:t>
            </w:r>
          </w:p>
        </w:tc>
      </w:tr>
      <w:tr w:rsidR="009616FA" w:rsidRPr="009616FA" w14:paraId="0DA20F6F" w14:textId="77777777" w:rsidTr="009616FA">
        <w:trPr>
          <w:trHeight w:val="434"/>
        </w:trPr>
        <w:tc>
          <w:tcPr>
            <w:tcW w:w="2270" w:type="dxa"/>
            <w:vMerge/>
            <w:tcBorders>
              <w:top w:val="nil"/>
              <w:left w:val="nil"/>
              <w:bottom w:val="single" w:sz="4" w:space="0" w:color="000000"/>
              <w:right w:val="nil"/>
            </w:tcBorders>
            <w:vAlign w:val="center"/>
            <w:hideMark/>
          </w:tcPr>
          <w:p w14:paraId="4904C190" w14:textId="77777777" w:rsidR="009616FA" w:rsidRPr="009616FA" w:rsidRDefault="009616FA" w:rsidP="009616FA">
            <w:pPr>
              <w:spacing w:after="0" w:line="240" w:lineRule="auto"/>
              <w:rPr>
                <w:rFonts w:ascii="Calibri" w:eastAsia="Times New Roman" w:hAnsi="Calibri" w:cs="Calibri"/>
                <w:color w:val="000000"/>
                <w:sz w:val="22"/>
              </w:rPr>
            </w:pPr>
          </w:p>
        </w:tc>
        <w:tc>
          <w:tcPr>
            <w:tcW w:w="1418" w:type="dxa"/>
            <w:tcBorders>
              <w:top w:val="nil"/>
              <w:left w:val="nil"/>
              <w:bottom w:val="single" w:sz="4" w:space="0" w:color="auto"/>
              <w:right w:val="nil"/>
            </w:tcBorders>
            <w:shd w:val="clear" w:color="auto" w:fill="auto"/>
            <w:noWrap/>
            <w:vAlign w:val="center"/>
            <w:hideMark/>
          </w:tcPr>
          <w:p w14:paraId="5682A06E"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All Sample</w:t>
            </w:r>
          </w:p>
        </w:tc>
        <w:tc>
          <w:tcPr>
            <w:tcW w:w="1288" w:type="dxa"/>
            <w:tcBorders>
              <w:top w:val="nil"/>
              <w:left w:val="nil"/>
              <w:bottom w:val="single" w:sz="4" w:space="0" w:color="auto"/>
              <w:right w:val="nil"/>
            </w:tcBorders>
            <w:shd w:val="clear" w:color="auto" w:fill="auto"/>
            <w:noWrap/>
            <w:vAlign w:val="center"/>
            <w:hideMark/>
          </w:tcPr>
          <w:p w14:paraId="6C51841C"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Male</w:t>
            </w:r>
          </w:p>
        </w:tc>
        <w:tc>
          <w:tcPr>
            <w:tcW w:w="1353" w:type="dxa"/>
            <w:tcBorders>
              <w:top w:val="nil"/>
              <w:left w:val="nil"/>
              <w:bottom w:val="single" w:sz="4" w:space="0" w:color="auto"/>
              <w:right w:val="nil"/>
            </w:tcBorders>
            <w:shd w:val="clear" w:color="auto" w:fill="auto"/>
            <w:noWrap/>
            <w:vAlign w:val="center"/>
            <w:hideMark/>
          </w:tcPr>
          <w:p w14:paraId="0E461272"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Female</w:t>
            </w:r>
          </w:p>
        </w:tc>
        <w:tc>
          <w:tcPr>
            <w:tcW w:w="1386" w:type="dxa"/>
            <w:tcBorders>
              <w:top w:val="nil"/>
              <w:left w:val="nil"/>
              <w:bottom w:val="single" w:sz="4" w:space="0" w:color="auto"/>
              <w:right w:val="nil"/>
            </w:tcBorders>
            <w:shd w:val="clear" w:color="auto" w:fill="auto"/>
            <w:noWrap/>
            <w:vAlign w:val="center"/>
            <w:hideMark/>
          </w:tcPr>
          <w:p w14:paraId="313E6506"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Urban</w:t>
            </w:r>
          </w:p>
        </w:tc>
        <w:tc>
          <w:tcPr>
            <w:tcW w:w="1386" w:type="dxa"/>
            <w:tcBorders>
              <w:top w:val="nil"/>
              <w:left w:val="nil"/>
              <w:bottom w:val="single" w:sz="4" w:space="0" w:color="auto"/>
              <w:right w:val="nil"/>
            </w:tcBorders>
            <w:shd w:val="clear" w:color="auto" w:fill="auto"/>
            <w:noWrap/>
            <w:vAlign w:val="center"/>
            <w:hideMark/>
          </w:tcPr>
          <w:p w14:paraId="41B66734"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Rural</w:t>
            </w:r>
          </w:p>
        </w:tc>
      </w:tr>
      <w:tr w:rsidR="009616FA" w:rsidRPr="009616FA" w14:paraId="714280E3" w14:textId="77777777" w:rsidTr="009616FA">
        <w:trPr>
          <w:trHeight w:val="231"/>
        </w:trPr>
        <w:tc>
          <w:tcPr>
            <w:tcW w:w="3689" w:type="dxa"/>
            <w:gridSpan w:val="2"/>
            <w:tcBorders>
              <w:top w:val="single" w:sz="4" w:space="0" w:color="auto"/>
              <w:left w:val="nil"/>
              <w:bottom w:val="nil"/>
              <w:right w:val="nil"/>
            </w:tcBorders>
            <w:shd w:val="clear" w:color="auto" w:fill="auto"/>
            <w:noWrap/>
            <w:vAlign w:val="center"/>
            <w:hideMark/>
          </w:tcPr>
          <w:p w14:paraId="1D36CB20" w14:textId="77777777" w:rsidR="009616FA" w:rsidRPr="009616FA" w:rsidRDefault="009616FA" w:rsidP="009616FA">
            <w:pPr>
              <w:spacing w:after="0" w:line="240" w:lineRule="auto"/>
              <w:rPr>
                <w:rFonts w:ascii="Calibri" w:eastAsia="Times New Roman" w:hAnsi="Calibri" w:cs="Calibri"/>
                <w:b/>
                <w:bCs/>
                <w:color w:val="000000"/>
                <w:sz w:val="22"/>
              </w:rPr>
            </w:pPr>
            <w:r w:rsidRPr="009616FA">
              <w:rPr>
                <w:rFonts w:ascii="Calibri" w:eastAsia="Times New Roman" w:hAnsi="Calibri" w:cs="Calibri"/>
                <w:b/>
                <w:bCs/>
                <w:color w:val="000000"/>
                <w:sz w:val="22"/>
              </w:rPr>
              <w:t>Panel A. OLS Estimation</w:t>
            </w:r>
          </w:p>
        </w:tc>
        <w:tc>
          <w:tcPr>
            <w:tcW w:w="1288" w:type="dxa"/>
            <w:tcBorders>
              <w:top w:val="nil"/>
              <w:left w:val="nil"/>
              <w:bottom w:val="nil"/>
              <w:right w:val="nil"/>
            </w:tcBorders>
            <w:shd w:val="clear" w:color="auto" w:fill="auto"/>
            <w:noWrap/>
            <w:vAlign w:val="center"/>
            <w:hideMark/>
          </w:tcPr>
          <w:p w14:paraId="5A1B4E22" w14:textId="77777777" w:rsidR="009616FA" w:rsidRPr="009616FA" w:rsidRDefault="009616FA" w:rsidP="009616FA">
            <w:pPr>
              <w:spacing w:after="0" w:line="240" w:lineRule="auto"/>
              <w:rPr>
                <w:rFonts w:ascii="Calibri" w:eastAsia="Times New Roman" w:hAnsi="Calibri" w:cs="Calibri"/>
                <w:b/>
                <w:bCs/>
                <w:color w:val="000000"/>
                <w:sz w:val="22"/>
              </w:rPr>
            </w:pPr>
          </w:p>
        </w:tc>
        <w:tc>
          <w:tcPr>
            <w:tcW w:w="1353" w:type="dxa"/>
            <w:tcBorders>
              <w:top w:val="nil"/>
              <w:left w:val="nil"/>
              <w:bottom w:val="nil"/>
              <w:right w:val="nil"/>
            </w:tcBorders>
            <w:shd w:val="clear" w:color="auto" w:fill="auto"/>
            <w:noWrap/>
            <w:vAlign w:val="center"/>
            <w:hideMark/>
          </w:tcPr>
          <w:p w14:paraId="64916171" w14:textId="77777777" w:rsidR="009616FA" w:rsidRPr="009616FA" w:rsidRDefault="009616FA" w:rsidP="009616FA">
            <w:pPr>
              <w:spacing w:after="0" w:line="240" w:lineRule="auto"/>
              <w:rPr>
                <w:rFonts w:eastAsia="Times New Roman" w:cs="Times New Roman"/>
                <w:sz w:val="20"/>
                <w:szCs w:val="20"/>
              </w:rPr>
            </w:pPr>
          </w:p>
        </w:tc>
        <w:tc>
          <w:tcPr>
            <w:tcW w:w="1386" w:type="dxa"/>
            <w:tcBorders>
              <w:top w:val="nil"/>
              <w:left w:val="nil"/>
              <w:bottom w:val="nil"/>
              <w:right w:val="nil"/>
            </w:tcBorders>
            <w:shd w:val="clear" w:color="auto" w:fill="auto"/>
            <w:noWrap/>
            <w:vAlign w:val="center"/>
            <w:hideMark/>
          </w:tcPr>
          <w:p w14:paraId="385405E4"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c>
          <w:tcPr>
            <w:tcW w:w="1386" w:type="dxa"/>
            <w:tcBorders>
              <w:top w:val="nil"/>
              <w:left w:val="nil"/>
              <w:bottom w:val="nil"/>
              <w:right w:val="nil"/>
            </w:tcBorders>
            <w:shd w:val="clear" w:color="auto" w:fill="auto"/>
            <w:noWrap/>
            <w:vAlign w:val="center"/>
            <w:hideMark/>
          </w:tcPr>
          <w:p w14:paraId="0A72CD81"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r>
      <w:tr w:rsidR="009616FA" w:rsidRPr="009616FA" w14:paraId="0909356A" w14:textId="77777777" w:rsidTr="009616FA">
        <w:trPr>
          <w:trHeight w:val="231"/>
        </w:trPr>
        <w:tc>
          <w:tcPr>
            <w:tcW w:w="2270" w:type="dxa"/>
            <w:tcBorders>
              <w:top w:val="nil"/>
              <w:left w:val="nil"/>
              <w:bottom w:val="nil"/>
              <w:right w:val="nil"/>
            </w:tcBorders>
            <w:shd w:val="clear" w:color="auto" w:fill="auto"/>
            <w:noWrap/>
            <w:vAlign w:val="center"/>
            <w:hideMark/>
          </w:tcPr>
          <w:p w14:paraId="1F57790E"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Years of education</w:t>
            </w:r>
          </w:p>
        </w:tc>
        <w:tc>
          <w:tcPr>
            <w:tcW w:w="1418" w:type="dxa"/>
            <w:tcBorders>
              <w:top w:val="nil"/>
              <w:left w:val="nil"/>
              <w:bottom w:val="nil"/>
              <w:right w:val="nil"/>
            </w:tcBorders>
            <w:shd w:val="clear" w:color="auto" w:fill="auto"/>
            <w:noWrap/>
            <w:vAlign w:val="center"/>
            <w:hideMark/>
          </w:tcPr>
          <w:p w14:paraId="79CBD9D6"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-0.00434***</w:t>
            </w:r>
          </w:p>
        </w:tc>
        <w:tc>
          <w:tcPr>
            <w:tcW w:w="1288" w:type="dxa"/>
            <w:tcBorders>
              <w:top w:val="nil"/>
              <w:left w:val="nil"/>
              <w:bottom w:val="nil"/>
              <w:right w:val="nil"/>
            </w:tcBorders>
            <w:shd w:val="clear" w:color="auto" w:fill="auto"/>
            <w:noWrap/>
            <w:vAlign w:val="center"/>
            <w:hideMark/>
          </w:tcPr>
          <w:p w14:paraId="1C70D916"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-0.0128*** </w:t>
            </w:r>
          </w:p>
        </w:tc>
        <w:tc>
          <w:tcPr>
            <w:tcW w:w="1353" w:type="dxa"/>
            <w:tcBorders>
              <w:top w:val="nil"/>
              <w:left w:val="nil"/>
              <w:bottom w:val="nil"/>
              <w:right w:val="nil"/>
            </w:tcBorders>
            <w:shd w:val="clear" w:color="auto" w:fill="auto"/>
            <w:noWrap/>
            <w:vAlign w:val="center"/>
            <w:hideMark/>
          </w:tcPr>
          <w:p w14:paraId="3044DBAA"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-0.00134** </w:t>
            </w:r>
          </w:p>
        </w:tc>
        <w:tc>
          <w:tcPr>
            <w:tcW w:w="1386" w:type="dxa"/>
            <w:tcBorders>
              <w:top w:val="nil"/>
              <w:left w:val="nil"/>
              <w:bottom w:val="nil"/>
              <w:right w:val="nil"/>
            </w:tcBorders>
            <w:shd w:val="clear" w:color="auto" w:fill="auto"/>
            <w:noWrap/>
            <w:vAlign w:val="center"/>
            <w:hideMark/>
          </w:tcPr>
          <w:p w14:paraId="5CABC4D9"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-0.00539***</w:t>
            </w:r>
          </w:p>
        </w:tc>
        <w:tc>
          <w:tcPr>
            <w:tcW w:w="1386" w:type="dxa"/>
            <w:tcBorders>
              <w:top w:val="nil"/>
              <w:left w:val="nil"/>
              <w:bottom w:val="nil"/>
              <w:right w:val="nil"/>
            </w:tcBorders>
            <w:shd w:val="clear" w:color="auto" w:fill="auto"/>
            <w:noWrap/>
            <w:vAlign w:val="center"/>
            <w:hideMark/>
          </w:tcPr>
          <w:p w14:paraId="44ABAC99"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-0.00422*** </w:t>
            </w:r>
          </w:p>
        </w:tc>
      </w:tr>
      <w:tr w:rsidR="009616FA" w:rsidRPr="009616FA" w14:paraId="210DB8A6" w14:textId="77777777" w:rsidTr="009616FA">
        <w:trPr>
          <w:trHeight w:val="231"/>
        </w:trPr>
        <w:tc>
          <w:tcPr>
            <w:tcW w:w="2270" w:type="dxa"/>
            <w:tcBorders>
              <w:top w:val="nil"/>
              <w:left w:val="nil"/>
              <w:bottom w:val="nil"/>
              <w:right w:val="nil"/>
            </w:tcBorders>
            <w:shd w:val="clear" w:color="auto" w:fill="auto"/>
            <w:noWrap/>
            <w:vAlign w:val="center"/>
            <w:hideMark/>
          </w:tcPr>
          <w:p w14:paraId="4152D017" w14:textId="77777777" w:rsidR="009616FA" w:rsidRPr="009616FA" w:rsidRDefault="009616FA" w:rsidP="009616FA">
            <w:pPr>
              <w:spacing w:after="0" w:line="240" w:lineRule="auto"/>
              <w:jc w:val="center"/>
              <w:rPr>
                <w:rFonts w:ascii="Calibri" w:eastAsia="Times New Roman" w:hAnsi="Calibri" w:cs="Calibri"/>
                <w:color w:val="000000"/>
                <w:sz w:val="22"/>
              </w:rPr>
            </w:pPr>
          </w:p>
        </w:tc>
        <w:tc>
          <w:tcPr>
            <w:tcW w:w="1418" w:type="dxa"/>
            <w:tcBorders>
              <w:top w:val="nil"/>
              <w:left w:val="nil"/>
              <w:bottom w:val="nil"/>
              <w:right w:val="nil"/>
            </w:tcBorders>
            <w:shd w:val="clear" w:color="auto" w:fill="auto"/>
            <w:noWrap/>
            <w:vAlign w:val="center"/>
            <w:hideMark/>
          </w:tcPr>
          <w:p w14:paraId="2105DF1E"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(0.00109) </w:t>
            </w:r>
          </w:p>
        </w:tc>
        <w:tc>
          <w:tcPr>
            <w:tcW w:w="1288" w:type="dxa"/>
            <w:tcBorders>
              <w:top w:val="nil"/>
              <w:left w:val="nil"/>
              <w:bottom w:val="nil"/>
              <w:right w:val="nil"/>
            </w:tcBorders>
            <w:shd w:val="clear" w:color="auto" w:fill="auto"/>
            <w:noWrap/>
            <w:vAlign w:val="center"/>
            <w:hideMark/>
          </w:tcPr>
          <w:p w14:paraId="794D56CA"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(0.00244) </w:t>
            </w:r>
          </w:p>
        </w:tc>
        <w:tc>
          <w:tcPr>
            <w:tcW w:w="1353" w:type="dxa"/>
            <w:tcBorders>
              <w:top w:val="nil"/>
              <w:left w:val="nil"/>
              <w:bottom w:val="nil"/>
              <w:right w:val="nil"/>
            </w:tcBorders>
            <w:shd w:val="clear" w:color="auto" w:fill="auto"/>
            <w:noWrap/>
            <w:vAlign w:val="center"/>
            <w:hideMark/>
          </w:tcPr>
          <w:p w14:paraId="27077BDF"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(0.000551) </w:t>
            </w:r>
          </w:p>
        </w:tc>
        <w:tc>
          <w:tcPr>
            <w:tcW w:w="1386" w:type="dxa"/>
            <w:tcBorders>
              <w:top w:val="nil"/>
              <w:left w:val="nil"/>
              <w:bottom w:val="nil"/>
              <w:right w:val="nil"/>
            </w:tcBorders>
            <w:shd w:val="clear" w:color="auto" w:fill="auto"/>
            <w:noWrap/>
            <w:vAlign w:val="center"/>
            <w:hideMark/>
          </w:tcPr>
          <w:p w14:paraId="6527D07C"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(0.00186)</w:t>
            </w:r>
          </w:p>
        </w:tc>
        <w:tc>
          <w:tcPr>
            <w:tcW w:w="1386" w:type="dxa"/>
            <w:tcBorders>
              <w:top w:val="nil"/>
              <w:left w:val="nil"/>
              <w:bottom w:val="nil"/>
              <w:right w:val="nil"/>
            </w:tcBorders>
            <w:shd w:val="clear" w:color="auto" w:fill="auto"/>
            <w:noWrap/>
            <w:vAlign w:val="center"/>
            <w:hideMark/>
          </w:tcPr>
          <w:p w14:paraId="437600E9"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(0.00137)  </w:t>
            </w:r>
          </w:p>
        </w:tc>
      </w:tr>
      <w:tr w:rsidR="009616FA" w:rsidRPr="009616FA" w14:paraId="04501F91" w14:textId="77777777" w:rsidTr="009616FA">
        <w:trPr>
          <w:trHeight w:val="231"/>
        </w:trPr>
        <w:tc>
          <w:tcPr>
            <w:tcW w:w="2270" w:type="dxa"/>
            <w:tcBorders>
              <w:top w:val="nil"/>
              <w:left w:val="nil"/>
              <w:bottom w:val="nil"/>
              <w:right w:val="nil"/>
            </w:tcBorders>
            <w:shd w:val="clear" w:color="auto" w:fill="auto"/>
            <w:noWrap/>
            <w:vAlign w:val="center"/>
            <w:hideMark/>
          </w:tcPr>
          <w:p w14:paraId="26716F27" w14:textId="77777777" w:rsidR="009616FA" w:rsidRPr="009616FA" w:rsidRDefault="009616FA" w:rsidP="009616FA">
            <w:pPr>
              <w:spacing w:after="0" w:line="240" w:lineRule="auto"/>
              <w:jc w:val="center"/>
              <w:rPr>
                <w:rFonts w:ascii="Calibri" w:eastAsia="Times New Roman" w:hAnsi="Calibri" w:cs="Calibri"/>
                <w:color w:val="000000"/>
                <w:sz w:val="22"/>
              </w:rPr>
            </w:pPr>
          </w:p>
        </w:tc>
        <w:tc>
          <w:tcPr>
            <w:tcW w:w="1418" w:type="dxa"/>
            <w:tcBorders>
              <w:top w:val="nil"/>
              <w:left w:val="nil"/>
              <w:bottom w:val="nil"/>
              <w:right w:val="nil"/>
            </w:tcBorders>
            <w:shd w:val="clear" w:color="auto" w:fill="auto"/>
            <w:noWrap/>
            <w:vAlign w:val="center"/>
            <w:hideMark/>
          </w:tcPr>
          <w:p w14:paraId="68C20382" w14:textId="77777777" w:rsidR="009616FA" w:rsidRPr="009616FA" w:rsidRDefault="009616FA" w:rsidP="009616FA">
            <w:pPr>
              <w:spacing w:after="0" w:line="240" w:lineRule="auto"/>
              <w:rPr>
                <w:rFonts w:eastAsia="Times New Roman" w:cs="Times New Roman"/>
                <w:sz w:val="20"/>
                <w:szCs w:val="20"/>
              </w:rPr>
            </w:pPr>
          </w:p>
        </w:tc>
        <w:tc>
          <w:tcPr>
            <w:tcW w:w="1288" w:type="dxa"/>
            <w:tcBorders>
              <w:top w:val="nil"/>
              <w:left w:val="nil"/>
              <w:bottom w:val="nil"/>
              <w:right w:val="nil"/>
            </w:tcBorders>
            <w:shd w:val="clear" w:color="auto" w:fill="auto"/>
            <w:noWrap/>
            <w:vAlign w:val="center"/>
            <w:hideMark/>
          </w:tcPr>
          <w:p w14:paraId="760D71FB" w14:textId="77777777" w:rsidR="009616FA" w:rsidRPr="009616FA" w:rsidRDefault="009616FA" w:rsidP="009616FA">
            <w:pPr>
              <w:spacing w:after="0" w:line="240" w:lineRule="auto"/>
              <w:jc w:val="center"/>
              <w:rPr>
                <w:rFonts w:eastAsia="Times New Roman" w:cs="Times New Roman"/>
                <w:sz w:val="20"/>
                <w:szCs w:val="20"/>
              </w:rPr>
            </w:pPr>
          </w:p>
        </w:tc>
        <w:tc>
          <w:tcPr>
            <w:tcW w:w="1353" w:type="dxa"/>
            <w:tcBorders>
              <w:top w:val="nil"/>
              <w:left w:val="nil"/>
              <w:bottom w:val="nil"/>
              <w:right w:val="nil"/>
            </w:tcBorders>
            <w:shd w:val="clear" w:color="auto" w:fill="auto"/>
            <w:noWrap/>
            <w:vAlign w:val="center"/>
            <w:hideMark/>
          </w:tcPr>
          <w:p w14:paraId="7CDAAFA1" w14:textId="77777777" w:rsidR="009616FA" w:rsidRPr="009616FA" w:rsidRDefault="009616FA" w:rsidP="009616FA">
            <w:pPr>
              <w:spacing w:after="0" w:line="240" w:lineRule="auto"/>
              <w:jc w:val="center"/>
              <w:rPr>
                <w:rFonts w:eastAsia="Times New Roman" w:cs="Times New Roman"/>
                <w:sz w:val="20"/>
                <w:szCs w:val="20"/>
              </w:rPr>
            </w:pPr>
          </w:p>
        </w:tc>
        <w:tc>
          <w:tcPr>
            <w:tcW w:w="1386" w:type="dxa"/>
            <w:tcBorders>
              <w:top w:val="nil"/>
              <w:left w:val="nil"/>
              <w:bottom w:val="nil"/>
              <w:right w:val="nil"/>
            </w:tcBorders>
            <w:shd w:val="clear" w:color="auto" w:fill="auto"/>
            <w:noWrap/>
            <w:vAlign w:val="center"/>
            <w:hideMark/>
          </w:tcPr>
          <w:p w14:paraId="6C90A0A8" w14:textId="77777777" w:rsidR="009616FA" w:rsidRPr="009616FA" w:rsidRDefault="009616FA" w:rsidP="009616FA">
            <w:pPr>
              <w:spacing w:after="0" w:line="240" w:lineRule="auto"/>
              <w:jc w:val="center"/>
              <w:rPr>
                <w:rFonts w:eastAsia="Times New Roman" w:cs="Times New Roman"/>
                <w:sz w:val="20"/>
                <w:szCs w:val="20"/>
              </w:rPr>
            </w:pPr>
          </w:p>
        </w:tc>
        <w:tc>
          <w:tcPr>
            <w:tcW w:w="1386" w:type="dxa"/>
            <w:tcBorders>
              <w:top w:val="nil"/>
              <w:left w:val="nil"/>
              <w:bottom w:val="nil"/>
              <w:right w:val="nil"/>
            </w:tcBorders>
            <w:shd w:val="clear" w:color="auto" w:fill="auto"/>
            <w:noWrap/>
            <w:vAlign w:val="center"/>
            <w:hideMark/>
          </w:tcPr>
          <w:p w14:paraId="03703FE6" w14:textId="77777777" w:rsidR="009616FA" w:rsidRPr="009616FA" w:rsidRDefault="009616FA" w:rsidP="009616FA">
            <w:pPr>
              <w:spacing w:after="0" w:line="240" w:lineRule="auto"/>
              <w:jc w:val="center"/>
              <w:rPr>
                <w:rFonts w:eastAsia="Times New Roman" w:cs="Times New Roman"/>
                <w:sz w:val="20"/>
                <w:szCs w:val="20"/>
              </w:rPr>
            </w:pPr>
          </w:p>
        </w:tc>
      </w:tr>
      <w:tr w:rsidR="009616FA" w:rsidRPr="009616FA" w14:paraId="3F7325D4" w14:textId="77777777" w:rsidTr="009616FA">
        <w:trPr>
          <w:trHeight w:val="231"/>
        </w:trPr>
        <w:tc>
          <w:tcPr>
            <w:tcW w:w="2270" w:type="dxa"/>
            <w:tcBorders>
              <w:top w:val="nil"/>
              <w:left w:val="nil"/>
              <w:bottom w:val="nil"/>
              <w:right w:val="nil"/>
            </w:tcBorders>
            <w:shd w:val="clear" w:color="auto" w:fill="auto"/>
            <w:noWrap/>
            <w:vAlign w:val="center"/>
            <w:hideMark/>
          </w:tcPr>
          <w:p w14:paraId="10D7BC52"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Adj. R-squared</w:t>
            </w:r>
          </w:p>
        </w:tc>
        <w:tc>
          <w:tcPr>
            <w:tcW w:w="1418" w:type="dxa"/>
            <w:tcBorders>
              <w:top w:val="nil"/>
              <w:left w:val="nil"/>
              <w:bottom w:val="nil"/>
              <w:right w:val="nil"/>
            </w:tcBorders>
            <w:shd w:val="clear" w:color="auto" w:fill="auto"/>
            <w:noWrap/>
            <w:vAlign w:val="center"/>
            <w:hideMark/>
          </w:tcPr>
          <w:p w14:paraId="3F604392"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0.403  </w:t>
            </w:r>
          </w:p>
        </w:tc>
        <w:tc>
          <w:tcPr>
            <w:tcW w:w="1288" w:type="dxa"/>
            <w:tcBorders>
              <w:top w:val="nil"/>
              <w:left w:val="nil"/>
              <w:bottom w:val="nil"/>
              <w:right w:val="nil"/>
            </w:tcBorders>
            <w:shd w:val="clear" w:color="auto" w:fill="auto"/>
            <w:noWrap/>
            <w:vAlign w:val="center"/>
            <w:hideMark/>
          </w:tcPr>
          <w:p w14:paraId="6B0D1134"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0.072 </w:t>
            </w:r>
          </w:p>
        </w:tc>
        <w:tc>
          <w:tcPr>
            <w:tcW w:w="1353" w:type="dxa"/>
            <w:tcBorders>
              <w:top w:val="nil"/>
              <w:left w:val="nil"/>
              <w:bottom w:val="nil"/>
              <w:right w:val="nil"/>
            </w:tcBorders>
            <w:shd w:val="clear" w:color="auto" w:fill="auto"/>
            <w:noWrap/>
            <w:vAlign w:val="center"/>
            <w:hideMark/>
          </w:tcPr>
          <w:p w14:paraId="6F59D792"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0.022 </w:t>
            </w:r>
          </w:p>
        </w:tc>
        <w:tc>
          <w:tcPr>
            <w:tcW w:w="1386" w:type="dxa"/>
            <w:tcBorders>
              <w:top w:val="nil"/>
              <w:left w:val="nil"/>
              <w:bottom w:val="nil"/>
              <w:right w:val="nil"/>
            </w:tcBorders>
            <w:shd w:val="clear" w:color="auto" w:fill="auto"/>
            <w:noWrap/>
            <w:vAlign w:val="center"/>
            <w:hideMark/>
          </w:tcPr>
          <w:p w14:paraId="64AFFA97"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0.389 </w:t>
            </w:r>
          </w:p>
        </w:tc>
        <w:tc>
          <w:tcPr>
            <w:tcW w:w="1386" w:type="dxa"/>
            <w:tcBorders>
              <w:top w:val="nil"/>
              <w:left w:val="nil"/>
              <w:bottom w:val="nil"/>
              <w:right w:val="nil"/>
            </w:tcBorders>
            <w:shd w:val="clear" w:color="auto" w:fill="auto"/>
            <w:noWrap/>
            <w:vAlign w:val="center"/>
            <w:hideMark/>
          </w:tcPr>
          <w:p w14:paraId="4E2D6B1D"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0.409 </w:t>
            </w:r>
          </w:p>
        </w:tc>
      </w:tr>
      <w:tr w:rsidR="009616FA" w:rsidRPr="009616FA" w14:paraId="242EA4CA" w14:textId="77777777" w:rsidTr="009616FA">
        <w:trPr>
          <w:trHeight w:val="231"/>
        </w:trPr>
        <w:tc>
          <w:tcPr>
            <w:tcW w:w="3689" w:type="dxa"/>
            <w:gridSpan w:val="2"/>
            <w:tcBorders>
              <w:top w:val="single" w:sz="4" w:space="0" w:color="auto"/>
              <w:left w:val="nil"/>
              <w:bottom w:val="nil"/>
              <w:right w:val="nil"/>
            </w:tcBorders>
            <w:shd w:val="clear" w:color="auto" w:fill="auto"/>
            <w:noWrap/>
            <w:vAlign w:val="center"/>
            <w:hideMark/>
          </w:tcPr>
          <w:p w14:paraId="3F7F1E3E" w14:textId="77777777" w:rsidR="009616FA" w:rsidRPr="009616FA" w:rsidRDefault="009616FA" w:rsidP="009616FA">
            <w:pPr>
              <w:spacing w:after="0" w:line="240" w:lineRule="auto"/>
              <w:rPr>
                <w:rFonts w:ascii="Calibri" w:eastAsia="Times New Roman" w:hAnsi="Calibri" w:cs="Calibri"/>
                <w:b/>
                <w:bCs/>
                <w:color w:val="000000"/>
                <w:sz w:val="22"/>
              </w:rPr>
            </w:pPr>
            <w:r w:rsidRPr="009616FA">
              <w:rPr>
                <w:rFonts w:ascii="Calibri" w:eastAsia="Times New Roman" w:hAnsi="Calibri" w:cs="Calibri"/>
                <w:b/>
                <w:bCs/>
                <w:color w:val="000000"/>
                <w:sz w:val="22"/>
              </w:rPr>
              <w:t>Panel B. 2SLS Estimation</w:t>
            </w:r>
          </w:p>
        </w:tc>
        <w:tc>
          <w:tcPr>
            <w:tcW w:w="1288" w:type="dxa"/>
            <w:tcBorders>
              <w:top w:val="single" w:sz="4" w:space="0" w:color="auto"/>
              <w:left w:val="nil"/>
              <w:bottom w:val="nil"/>
              <w:right w:val="nil"/>
            </w:tcBorders>
            <w:shd w:val="clear" w:color="auto" w:fill="auto"/>
            <w:noWrap/>
            <w:vAlign w:val="center"/>
            <w:hideMark/>
          </w:tcPr>
          <w:p w14:paraId="0AB7FD67"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c>
          <w:tcPr>
            <w:tcW w:w="1353" w:type="dxa"/>
            <w:tcBorders>
              <w:top w:val="single" w:sz="4" w:space="0" w:color="auto"/>
              <w:left w:val="nil"/>
              <w:bottom w:val="nil"/>
              <w:right w:val="nil"/>
            </w:tcBorders>
            <w:shd w:val="clear" w:color="auto" w:fill="auto"/>
            <w:noWrap/>
            <w:vAlign w:val="center"/>
            <w:hideMark/>
          </w:tcPr>
          <w:p w14:paraId="4F8119D4"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c>
          <w:tcPr>
            <w:tcW w:w="1386" w:type="dxa"/>
            <w:tcBorders>
              <w:top w:val="single" w:sz="4" w:space="0" w:color="auto"/>
              <w:left w:val="nil"/>
              <w:bottom w:val="nil"/>
              <w:right w:val="nil"/>
            </w:tcBorders>
            <w:shd w:val="clear" w:color="auto" w:fill="auto"/>
            <w:noWrap/>
            <w:vAlign w:val="center"/>
            <w:hideMark/>
          </w:tcPr>
          <w:p w14:paraId="26C8C9CF"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c>
          <w:tcPr>
            <w:tcW w:w="1386" w:type="dxa"/>
            <w:tcBorders>
              <w:top w:val="single" w:sz="4" w:space="0" w:color="auto"/>
              <w:left w:val="nil"/>
              <w:bottom w:val="nil"/>
              <w:right w:val="nil"/>
            </w:tcBorders>
            <w:shd w:val="clear" w:color="auto" w:fill="auto"/>
            <w:noWrap/>
            <w:vAlign w:val="center"/>
            <w:hideMark/>
          </w:tcPr>
          <w:p w14:paraId="7FF2E456"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r>
      <w:tr w:rsidR="009616FA" w:rsidRPr="009616FA" w14:paraId="2B4BB65D" w14:textId="77777777" w:rsidTr="009616FA">
        <w:trPr>
          <w:trHeight w:val="231"/>
        </w:trPr>
        <w:tc>
          <w:tcPr>
            <w:tcW w:w="2270" w:type="dxa"/>
            <w:tcBorders>
              <w:top w:val="nil"/>
              <w:left w:val="nil"/>
              <w:bottom w:val="nil"/>
              <w:right w:val="nil"/>
            </w:tcBorders>
            <w:shd w:val="clear" w:color="auto" w:fill="auto"/>
            <w:noWrap/>
            <w:vAlign w:val="center"/>
            <w:hideMark/>
          </w:tcPr>
          <w:p w14:paraId="2C74A270"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Years of education</w:t>
            </w:r>
          </w:p>
        </w:tc>
        <w:tc>
          <w:tcPr>
            <w:tcW w:w="1418" w:type="dxa"/>
            <w:tcBorders>
              <w:top w:val="nil"/>
              <w:left w:val="nil"/>
              <w:bottom w:val="nil"/>
              <w:right w:val="nil"/>
            </w:tcBorders>
            <w:shd w:val="clear" w:color="auto" w:fill="auto"/>
            <w:noWrap/>
            <w:vAlign w:val="center"/>
            <w:hideMark/>
          </w:tcPr>
          <w:p w14:paraId="1188805A"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 -0.00664 </w:t>
            </w:r>
          </w:p>
        </w:tc>
        <w:tc>
          <w:tcPr>
            <w:tcW w:w="1288" w:type="dxa"/>
            <w:tcBorders>
              <w:top w:val="nil"/>
              <w:left w:val="nil"/>
              <w:bottom w:val="nil"/>
              <w:right w:val="nil"/>
            </w:tcBorders>
            <w:shd w:val="clear" w:color="auto" w:fill="auto"/>
            <w:noWrap/>
            <w:vAlign w:val="center"/>
            <w:hideMark/>
          </w:tcPr>
          <w:p w14:paraId="3CB0B21F"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0.0204 </w:t>
            </w:r>
          </w:p>
        </w:tc>
        <w:tc>
          <w:tcPr>
            <w:tcW w:w="1353" w:type="dxa"/>
            <w:tcBorders>
              <w:top w:val="nil"/>
              <w:left w:val="nil"/>
              <w:bottom w:val="nil"/>
              <w:right w:val="nil"/>
            </w:tcBorders>
            <w:shd w:val="clear" w:color="auto" w:fill="auto"/>
            <w:noWrap/>
            <w:vAlign w:val="center"/>
            <w:hideMark/>
          </w:tcPr>
          <w:p w14:paraId="61AE164B"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-0.00263 </w:t>
            </w:r>
          </w:p>
        </w:tc>
        <w:tc>
          <w:tcPr>
            <w:tcW w:w="1386" w:type="dxa"/>
            <w:tcBorders>
              <w:top w:val="nil"/>
              <w:left w:val="nil"/>
              <w:bottom w:val="nil"/>
              <w:right w:val="nil"/>
            </w:tcBorders>
            <w:shd w:val="clear" w:color="auto" w:fill="auto"/>
            <w:noWrap/>
            <w:vAlign w:val="center"/>
            <w:hideMark/>
          </w:tcPr>
          <w:p w14:paraId="6E9A1C93"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-0.0189 </w:t>
            </w:r>
          </w:p>
        </w:tc>
        <w:tc>
          <w:tcPr>
            <w:tcW w:w="1386" w:type="dxa"/>
            <w:tcBorders>
              <w:top w:val="nil"/>
              <w:left w:val="nil"/>
              <w:bottom w:val="nil"/>
              <w:right w:val="nil"/>
            </w:tcBorders>
            <w:shd w:val="clear" w:color="auto" w:fill="auto"/>
            <w:noWrap/>
            <w:vAlign w:val="center"/>
            <w:hideMark/>
          </w:tcPr>
          <w:p w14:paraId="294731BC"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-0.0543** </w:t>
            </w:r>
          </w:p>
        </w:tc>
      </w:tr>
      <w:tr w:rsidR="009616FA" w:rsidRPr="009616FA" w14:paraId="624CE9E1" w14:textId="77777777" w:rsidTr="009616FA">
        <w:trPr>
          <w:trHeight w:val="231"/>
        </w:trPr>
        <w:tc>
          <w:tcPr>
            <w:tcW w:w="2270" w:type="dxa"/>
            <w:tcBorders>
              <w:top w:val="nil"/>
              <w:left w:val="nil"/>
              <w:bottom w:val="nil"/>
              <w:right w:val="nil"/>
            </w:tcBorders>
            <w:shd w:val="clear" w:color="auto" w:fill="auto"/>
            <w:vAlign w:val="center"/>
            <w:hideMark/>
          </w:tcPr>
          <w:p w14:paraId="129FE90D" w14:textId="77777777" w:rsidR="009616FA" w:rsidRPr="009616FA" w:rsidRDefault="009616FA" w:rsidP="009616FA">
            <w:pPr>
              <w:spacing w:after="0" w:line="240" w:lineRule="auto"/>
              <w:jc w:val="center"/>
              <w:rPr>
                <w:rFonts w:ascii="Calibri" w:eastAsia="Times New Roman" w:hAnsi="Calibri" w:cs="Calibri"/>
                <w:color w:val="000000"/>
                <w:sz w:val="22"/>
              </w:rPr>
            </w:pPr>
          </w:p>
        </w:tc>
        <w:tc>
          <w:tcPr>
            <w:tcW w:w="1418" w:type="dxa"/>
            <w:tcBorders>
              <w:top w:val="nil"/>
              <w:left w:val="nil"/>
              <w:bottom w:val="nil"/>
              <w:right w:val="nil"/>
            </w:tcBorders>
            <w:shd w:val="clear" w:color="auto" w:fill="auto"/>
            <w:noWrap/>
            <w:vAlign w:val="center"/>
            <w:hideMark/>
          </w:tcPr>
          <w:p w14:paraId="1BBC5458"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(0.0214) </w:t>
            </w:r>
          </w:p>
        </w:tc>
        <w:tc>
          <w:tcPr>
            <w:tcW w:w="1288" w:type="dxa"/>
            <w:tcBorders>
              <w:top w:val="nil"/>
              <w:left w:val="nil"/>
              <w:bottom w:val="nil"/>
              <w:right w:val="nil"/>
            </w:tcBorders>
            <w:shd w:val="clear" w:color="auto" w:fill="auto"/>
            <w:noWrap/>
            <w:vAlign w:val="center"/>
            <w:hideMark/>
          </w:tcPr>
          <w:p w14:paraId="22FC656C"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(0.0748)  </w:t>
            </w:r>
          </w:p>
        </w:tc>
        <w:tc>
          <w:tcPr>
            <w:tcW w:w="1353" w:type="dxa"/>
            <w:tcBorders>
              <w:top w:val="nil"/>
              <w:left w:val="nil"/>
              <w:bottom w:val="nil"/>
              <w:right w:val="nil"/>
            </w:tcBorders>
            <w:shd w:val="clear" w:color="auto" w:fill="auto"/>
            <w:noWrap/>
            <w:vAlign w:val="center"/>
            <w:hideMark/>
          </w:tcPr>
          <w:p w14:paraId="47CBB594"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(0.00604)</w:t>
            </w:r>
          </w:p>
        </w:tc>
        <w:tc>
          <w:tcPr>
            <w:tcW w:w="1386" w:type="dxa"/>
            <w:tcBorders>
              <w:top w:val="nil"/>
              <w:left w:val="nil"/>
              <w:bottom w:val="nil"/>
              <w:right w:val="nil"/>
            </w:tcBorders>
            <w:shd w:val="clear" w:color="auto" w:fill="auto"/>
            <w:noWrap/>
            <w:vAlign w:val="center"/>
            <w:hideMark/>
          </w:tcPr>
          <w:p w14:paraId="6D01C455"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(0.0270)  </w:t>
            </w:r>
          </w:p>
        </w:tc>
        <w:tc>
          <w:tcPr>
            <w:tcW w:w="1386" w:type="dxa"/>
            <w:tcBorders>
              <w:top w:val="nil"/>
              <w:left w:val="nil"/>
              <w:bottom w:val="nil"/>
              <w:right w:val="nil"/>
            </w:tcBorders>
            <w:shd w:val="clear" w:color="auto" w:fill="auto"/>
            <w:noWrap/>
            <w:vAlign w:val="center"/>
            <w:hideMark/>
          </w:tcPr>
          <w:p w14:paraId="77D5DB59"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(0.0244) </w:t>
            </w:r>
          </w:p>
        </w:tc>
      </w:tr>
      <w:tr w:rsidR="009616FA" w:rsidRPr="009616FA" w14:paraId="57363656" w14:textId="77777777" w:rsidTr="009616FA">
        <w:trPr>
          <w:trHeight w:val="231"/>
        </w:trPr>
        <w:tc>
          <w:tcPr>
            <w:tcW w:w="2270" w:type="dxa"/>
            <w:tcBorders>
              <w:top w:val="nil"/>
              <w:left w:val="nil"/>
              <w:bottom w:val="nil"/>
              <w:right w:val="nil"/>
            </w:tcBorders>
            <w:shd w:val="clear" w:color="auto" w:fill="auto"/>
            <w:vAlign w:val="center"/>
            <w:hideMark/>
          </w:tcPr>
          <w:p w14:paraId="3BB54304" w14:textId="77777777" w:rsidR="009616FA" w:rsidRPr="009616FA" w:rsidRDefault="009616FA" w:rsidP="009616FA">
            <w:pPr>
              <w:spacing w:after="0" w:line="240" w:lineRule="auto"/>
              <w:jc w:val="center"/>
              <w:rPr>
                <w:rFonts w:ascii="Calibri" w:eastAsia="Times New Roman" w:hAnsi="Calibri" w:cs="Calibri"/>
                <w:color w:val="000000"/>
                <w:sz w:val="22"/>
              </w:rPr>
            </w:pPr>
          </w:p>
        </w:tc>
        <w:tc>
          <w:tcPr>
            <w:tcW w:w="1418" w:type="dxa"/>
            <w:tcBorders>
              <w:top w:val="nil"/>
              <w:left w:val="nil"/>
              <w:bottom w:val="nil"/>
              <w:right w:val="nil"/>
            </w:tcBorders>
            <w:shd w:val="clear" w:color="auto" w:fill="auto"/>
            <w:noWrap/>
            <w:vAlign w:val="center"/>
            <w:hideMark/>
          </w:tcPr>
          <w:p w14:paraId="33D8C7F8" w14:textId="77777777" w:rsidR="009616FA" w:rsidRPr="009616FA" w:rsidRDefault="009616FA" w:rsidP="009616FA">
            <w:pPr>
              <w:spacing w:after="0" w:line="240" w:lineRule="auto"/>
              <w:rPr>
                <w:rFonts w:eastAsia="Times New Roman" w:cs="Times New Roman"/>
                <w:sz w:val="20"/>
                <w:szCs w:val="20"/>
              </w:rPr>
            </w:pPr>
          </w:p>
        </w:tc>
        <w:tc>
          <w:tcPr>
            <w:tcW w:w="1288" w:type="dxa"/>
            <w:tcBorders>
              <w:top w:val="nil"/>
              <w:left w:val="nil"/>
              <w:bottom w:val="nil"/>
              <w:right w:val="nil"/>
            </w:tcBorders>
            <w:shd w:val="clear" w:color="auto" w:fill="auto"/>
            <w:noWrap/>
            <w:vAlign w:val="center"/>
            <w:hideMark/>
          </w:tcPr>
          <w:p w14:paraId="1E7C54EE" w14:textId="77777777" w:rsidR="009616FA" w:rsidRPr="009616FA" w:rsidRDefault="009616FA" w:rsidP="009616FA">
            <w:pPr>
              <w:spacing w:after="0" w:line="240" w:lineRule="auto"/>
              <w:jc w:val="center"/>
              <w:rPr>
                <w:rFonts w:eastAsia="Times New Roman" w:cs="Times New Roman"/>
                <w:sz w:val="20"/>
                <w:szCs w:val="20"/>
              </w:rPr>
            </w:pPr>
          </w:p>
        </w:tc>
        <w:tc>
          <w:tcPr>
            <w:tcW w:w="1353" w:type="dxa"/>
            <w:tcBorders>
              <w:top w:val="nil"/>
              <w:left w:val="nil"/>
              <w:bottom w:val="nil"/>
              <w:right w:val="nil"/>
            </w:tcBorders>
            <w:shd w:val="clear" w:color="auto" w:fill="auto"/>
            <w:noWrap/>
            <w:vAlign w:val="center"/>
            <w:hideMark/>
          </w:tcPr>
          <w:p w14:paraId="22D2EE27" w14:textId="77777777" w:rsidR="009616FA" w:rsidRPr="009616FA" w:rsidRDefault="009616FA" w:rsidP="009616FA">
            <w:pPr>
              <w:spacing w:after="0" w:line="240" w:lineRule="auto"/>
              <w:jc w:val="center"/>
              <w:rPr>
                <w:rFonts w:eastAsia="Times New Roman" w:cs="Times New Roman"/>
                <w:sz w:val="20"/>
                <w:szCs w:val="20"/>
              </w:rPr>
            </w:pPr>
          </w:p>
        </w:tc>
        <w:tc>
          <w:tcPr>
            <w:tcW w:w="1386" w:type="dxa"/>
            <w:tcBorders>
              <w:top w:val="nil"/>
              <w:left w:val="nil"/>
              <w:bottom w:val="nil"/>
              <w:right w:val="nil"/>
            </w:tcBorders>
            <w:shd w:val="clear" w:color="auto" w:fill="auto"/>
            <w:noWrap/>
            <w:vAlign w:val="center"/>
            <w:hideMark/>
          </w:tcPr>
          <w:p w14:paraId="110710C8" w14:textId="77777777" w:rsidR="009616FA" w:rsidRPr="009616FA" w:rsidRDefault="009616FA" w:rsidP="009616FA">
            <w:pPr>
              <w:spacing w:after="0" w:line="240" w:lineRule="auto"/>
              <w:jc w:val="center"/>
              <w:rPr>
                <w:rFonts w:eastAsia="Times New Roman" w:cs="Times New Roman"/>
                <w:sz w:val="20"/>
                <w:szCs w:val="20"/>
              </w:rPr>
            </w:pPr>
          </w:p>
        </w:tc>
        <w:tc>
          <w:tcPr>
            <w:tcW w:w="1386" w:type="dxa"/>
            <w:tcBorders>
              <w:top w:val="nil"/>
              <w:left w:val="nil"/>
              <w:bottom w:val="nil"/>
              <w:right w:val="nil"/>
            </w:tcBorders>
            <w:shd w:val="clear" w:color="auto" w:fill="auto"/>
            <w:noWrap/>
            <w:vAlign w:val="center"/>
            <w:hideMark/>
          </w:tcPr>
          <w:p w14:paraId="571B8E7D" w14:textId="77777777" w:rsidR="009616FA" w:rsidRPr="009616FA" w:rsidRDefault="009616FA" w:rsidP="009616FA">
            <w:pPr>
              <w:spacing w:after="0" w:line="240" w:lineRule="auto"/>
              <w:jc w:val="center"/>
              <w:rPr>
                <w:rFonts w:eastAsia="Times New Roman" w:cs="Times New Roman"/>
                <w:sz w:val="20"/>
                <w:szCs w:val="20"/>
              </w:rPr>
            </w:pPr>
          </w:p>
        </w:tc>
      </w:tr>
      <w:tr w:rsidR="009616FA" w:rsidRPr="009616FA" w14:paraId="7DD03203" w14:textId="77777777" w:rsidTr="009616FA">
        <w:trPr>
          <w:trHeight w:val="231"/>
        </w:trPr>
        <w:tc>
          <w:tcPr>
            <w:tcW w:w="2270" w:type="dxa"/>
            <w:tcBorders>
              <w:top w:val="nil"/>
              <w:left w:val="nil"/>
              <w:bottom w:val="nil"/>
              <w:right w:val="nil"/>
            </w:tcBorders>
            <w:shd w:val="clear" w:color="auto" w:fill="auto"/>
            <w:noWrap/>
            <w:vAlign w:val="center"/>
            <w:hideMark/>
          </w:tcPr>
          <w:p w14:paraId="55CF74C8"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Observation</w:t>
            </w:r>
          </w:p>
        </w:tc>
        <w:tc>
          <w:tcPr>
            <w:tcW w:w="1418" w:type="dxa"/>
            <w:tcBorders>
              <w:top w:val="nil"/>
              <w:left w:val="nil"/>
              <w:bottom w:val="nil"/>
              <w:right w:val="nil"/>
            </w:tcBorders>
            <w:shd w:val="clear" w:color="auto" w:fill="auto"/>
            <w:noWrap/>
            <w:vAlign w:val="center"/>
            <w:hideMark/>
          </w:tcPr>
          <w:p w14:paraId="12BFF9F2"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10,489</w:t>
            </w:r>
          </w:p>
        </w:tc>
        <w:tc>
          <w:tcPr>
            <w:tcW w:w="1288" w:type="dxa"/>
            <w:tcBorders>
              <w:top w:val="nil"/>
              <w:left w:val="nil"/>
              <w:bottom w:val="nil"/>
              <w:right w:val="nil"/>
            </w:tcBorders>
            <w:shd w:val="clear" w:color="auto" w:fill="auto"/>
            <w:noWrap/>
            <w:vAlign w:val="center"/>
            <w:hideMark/>
          </w:tcPr>
          <w:p w14:paraId="69E471DB"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4,942</w:t>
            </w:r>
          </w:p>
        </w:tc>
        <w:tc>
          <w:tcPr>
            <w:tcW w:w="1353" w:type="dxa"/>
            <w:tcBorders>
              <w:top w:val="nil"/>
              <w:left w:val="nil"/>
              <w:bottom w:val="nil"/>
              <w:right w:val="nil"/>
            </w:tcBorders>
            <w:shd w:val="clear" w:color="auto" w:fill="auto"/>
            <w:noWrap/>
            <w:vAlign w:val="center"/>
            <w:hideMark/>
          </w:tcPr>
          <w:p w14:paraId="7BF0E08E"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5,547</w:t>
            </w:r>
          </w:p>
        </w:tc>
        <w:tc>
          <w:tcPr>
            <w:tcW w:w="1386" w:type="dxa"/>
            <w:tcBorders>
              <w:top w:val="nil"/>
              <w:left w:val="nil"/>
              <w:bottom w:val="nil"/>
              <w:right w:val="nil"/>
            </w:tcBorders>
            <w:shd w:val="clear" w:color="auto" w:fill="auto"/>
            <w:noWrap/>
            <w:vAlign w:val="center"/>
            <w:hideMark/>
          </w:tcPr>
          <w:p w14:paraId="62E3AD68"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3,603</w:t>
            </w:r>
          </w:p>
        </w:tc>
        <w:tc>
          <w:tcPr>
            <w:tcW w:w="1386" w:type="dxa"/>
            <w:tcBorders>
              <w:top w:val="nil"/>
              <w:left w:val="nil"/>
              <w:bottom w:val="nil"/>
              <w:right w:val="nil"/>
            </w:tcBorders>
            <w:shd w:val="clear" w:color="auto" w:fill="auto"/>
            <w:noWrap/>
            <w:vAlign w:val="center"/>
            <w:hideMark/>
          </w:tcPr>
          <w:p w14:paraId="53805881"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6,886 </w:t>
            </w:r>
          </w:p>
        </w:tc>
      </w:tr>
      <w:tr w:rsidR="009616FA" w:rsidRPr="009616FA" w14:paraId="3FFB3EAA" w14:textId="77777777" w:rsidTr="009616FA">
        <w:trPr>
          <w:trHeight w:val="231"/>
        </w:trPr>
        <w:tc>
          <w:tcPr>
            <w:tcW w:w="3689" w:type="dxa"/>
            <w:gridSpan w:val="2"/>
            <w:tcBorders>
              <w:top w:val="nil"/>
              <w:left w:val="nil"/>
              <w:bottom w:val="nil"/>
              <w:right w:val="nil"/>
            </w:tcBorders>
            <w:shd w:val="clear" w:color="auto" w:fill="auto"/>
            <w:noWrap/>
            <w:vAlign w:val="center"/>
            <w:hideMark/>
          </w:tcPr>
          <w:p w14:paraId="371BA589"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Weak-identification test</w:t>
            </w:r>
          </w:p>
        </w:tc>
        <w:tc>
          <w:tcPr>
            <w:tcW w:w="1288" w:type="dxa"/>
            <w:tcBorders>
              <w:top w:val="nil"/>
              <w:left w:val="nil"/>
              <w:bottom w:val="nil"/>
              <w:right w:val="nil"/>
            </w:tcBorders>
            <w:shd w:val="clear" w:color="auto" w:fill="auto"/>
            <w:noWrap/>
            <w:vAlign w:val="center"/>
            <w:hideMark/>
          </w:tcPr>
          <w:p w14:paraId="3AAA49C5" w14:textId="77777777" w:rsidR="009616FA" w:rsidRPr="009616FA" w:rsidRDefault="009616FA" w:rsidP="009616FA">
            <w:pPr>
              <w:spacing w:after="0" w:line="240" w:lineRule="auto"/>
              <w:rPr>
                <w:rFonts w:ascii="Calibri" w:eastAsia="Times New Roman" w:hAnsi="Calibri" w:cs="Calibri"/>
                <w:color w:val="000000"/>
                <w:sz w:val="22"/>
              </w:rPr>
            </w:pPr>
          </w:p>
        </w:tc>
        <w:tc>
          <w:tcPr>
            <w:tcW w:w="1353" w:type="dxa"/>
            <w:tcBorders>
              <w:top w:val="nil"/>
              <w:left w:val="nil"/>
              <w:bottom w:val="nil"/>
              <w:right w:val="nil"/>
            </w:tcBorders>
            <w:shd w:val="clear" w:color="auto" w:fill="auto"/>
            <w:noWrap/>
            <w:vAlign w:val="center"/>
            <w:hideMark/>
          </w:tcPr>
          <w:p w14:paraId="31DCCB9B" w14:textId="77777777" w:rsidR="009616FA" w:rsidRPr="009616FA" w:rsidRDefault="009616FA" w:rsidP="009616FA">
            <w:pPr>
              <w:spacing w:after="0" w:line="240" w:lineRule="auto"/>
              <w:jc w:val="center"/>
              <w:rPr>
                <w:rFonts w:eastAsia="Times New Roman" w:cs="Times New Roman"/>
                <w:sz w:val="20"/>
                <w:szCs w:val="20"/>
              </w:rPr>
            </w:pPr>
          </w:p>
        </w:tc>
        <w:tc>
          <w:tcPr>
            <w:tcW w:w="1386" w:type="dxa"/>
            <w:tcBorders>
              <w:top w:val="nil"/>
              <w:left w:val="nil"/>
              <w:bottom w:val="nil"/>
              <w:right w:val="nil"/>
            </w:tcBorders>
            <w:shd w:val="clear" w:color="auto" w:fill="auto"/>
            <w:noWrap/>
            <w:vAlign w:val="center"/>
            <w:hideMark/>
          </w:tcPr>
          <w:p w14:paraId="7E7BC642" w14:textId="77777777" w:rsidR="009616FA" w:rsidRPr="009616FA" w:rsidRDefault="009616FA" w:rsidP="009616FA">
            <w:pPr>
              <w:spacing w:after="0" w:line="240" w:lineRule="auto"/>
              <w:jc w:val="center"/>
              <w:rPr>
                <w:rFonts w:eastAsia="Times New Roman" w:cs="Times New Roman"/>
                <w:sz w:val="20"/>
                <w:szCs w:val="20"/>
              </w:rPr>
            </w:pPr>
          </w:p>
        </w:tc>
        <w:tc>
          <w:tcPr>
            <w:tcW w:w="1386" w:type="dxa"/>
            <w:tcBorders>
              <w:top w:val="nil"/>
              <w:left w:val="nil"/>
              <w:bottom w:val="nil"/>
              <w:right w:val="nil"/>
            </w:tcBorders>
            <w:shd w:val="clear" w:color="auto" w:fill="auto"/>
            <w:noWrap/>
            <w:vAlign w:val="center"/>
            <w:hideMark/>
          </w:tcPr>
          <w:p w14:paraId="6D71C0B8" w14:textId="77777777" w:rsidR="009616FA" w:rsidRPr="009616FA" w:rsidRDefault="009616FA" w:rsidP="009616FA">
            <w:pPr>
              <w:spacing w:after="0" w:line="240" w:lineRule="auto"/>
              <w:jc w:val="center"/>
              <w:rPr>
                <w:rFonts w:eastAsia="Times New Roman" w:cs="Times New Roman"/>
                <w:sz w:val="20"/>
                <w:szCs w:val="20"/>
              </w:rPr>
            </w:pPr>
          </w:p>
        </w:tc>
      </w:tr>
      <w:tr w:rsidR="009616FA" w:rsidRPr="009616FA" w14:paraId="549E9655" w14:textId="77777777" w:rsidTr="009616FA">
        <w:trPr>
          <w:trHeight w:val="463"/>
        </w:trPr>
        <w:tc>
          <w:tcPr>
            <w:tcW w:w="2270" w:type="dxa"/>
            <w:tcBorders>
              <w:top w:val="nil"/>
              <w:left w:val="nil"/>
              <w:bottom w:val="nil"/>
              <w:right w:val="nil"/>
            </w:tcBorders>
            <w:shd w:val="clear" w:color="auto" w:fill="auto"/>
            <w:vAlign w:val="center"/>
            <w:hideMark/>
          </w:tcPr>
          <w:p w14:paraId="249FE849" w14:textId="77777777" w:rsidR="009616FA" w:rsidRPr="009616FA" w:rsidRDefault="009616FA" w:rsidP="009616FA">
            <w:pPr>
              <w:spacing w:after="0" w:line="240" w:lineRule="auto"/>
              <w:ind w:left="317" w:hanging="317"/>
              <w:rPr>
                <w:rFonts w:ascii="Calibri" w:eastAsia="Times New Roman" w:hAnsi="Calibri" w:cs="Calibri"/>
                <w:color w:val="000000"/>
                <w:sz w:val="22"/>
              </w:rPr>
            </w:pPr>
            <w:r w:rsidRPr="009616FA">
              <w:rPr>
                <w:rFonts w:ascii="Calibri" w:eastAsia="Times New Roman" w:hAnsi="Calibri" w:cs="Calibri"/>
                <w:color w:val="000000"/>
                <w:sz w:val="22"/>
              </w:rPr>
              <w:t xml:space="preserve">     Kleibergen-Paap F Statistic</w:t>
            </w:r>
          </w:p>
        </w:tc>
        <w:tc>
          <w:tcPr>
            <w:tcW w:w="1418" w:type="dxa"/>
            <w:tcBorders>
              <w:top w:val="nil"/>
              <w:left w:val="nil"/>
              <w:bottom w:val="nil"/>
              <w:right w:val="nil"/>
            </w:tcBorders>
            <w:shd w:val="clear" w:color="auto" w:fill="auto"/>
            <w:noWrap/>
            <w:vAlign w:val="center"/>
            <w:hideMark/>
          </w:tcPr>
          <w:p w14:paraId="259EFAE8"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17.056</w:t>
            </w:r>
          </w:p>
        </w:tc>
        <w:tc>
          <w:tcPr>
            <w:tcW w:w="1288" w:type="dxa"/>
            <w:tcBorders>
              <w:top w:val="nil"/>
              <w:left w:val="nil"/>
              <w:bottom w:val="nil"/>
              <w:right w:val="nil"/>
            </w:tcBorders>
            <w:shd w:val="clear" w:color="auto" w:fill="auto"/>
            <w:noWrap/>
            <w:vAlign w:val="center"/>
            <w:hideMark/>
          </w:tcPr>
          <w:p w14:paraId="5F0C6D92"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3.229</w:t>
            </w:r>
          </w:p>
        </w:tc>
        <w:tc>
          <w:tcPr>
            <w:tcW w:w="1353" w:type="dxa"/>
            <w:tcBorders>
              <w:top w:val="nil"/>
              <w:left w:val="nil"/>
              <w:bottom w:val="nil"/>
              <w:right w:val="nil"/>
            </w:tcBorders>
            <w:shd w:val="clear" w:color="auto" w:fill="auto"/>
            <w:noWrap/>
            <w:vAlign w:val="center"/>
            <w:hideMark/>
          </w:tcPr>
          <w:p w14:paraId="7AD46B54"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16.499</w:t>
            </w:r>
          </w:p>
        </w:tc>
        <w:tc>
          <w:tcPr>
            <w:tcW w:w="1386" w:type="dxa"/>
            <w:tcBorders>
              <w:top w:val="nil"/>
              <w:left w:val="nil"/>
              <w:bottom w:val="nil"/>
              <w:right w:val="nil"/>
            </w:tcBorders>
            <w:shd w:val="clear" w:color="auto" w:fill="auto"/>
            <w:noWrap/>
            <w:vAlign w:val="center"/>
            <w:hideMark/>
          </w:tcPr>
          <w:p w14:paraId="422667EE"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10.771</w:t>
            </w:r>
          </w:p>
        </w:tc>
        <w:tc>
          <w:tcPr>
            <w:tcW w:w="1386" w:type="dxa"/>
            <w:tcBorders>
              <w:top w:val="nil"/>
              <w:left w:val="nil"/>
              <w:bottom w:val="nil"/>
              <w:right w:val="nil"/>
            </w:tcBorders>
            <w:shd w:val="clear" w:color="auto" w:fill="auto"/>
            <w:noWrap/>
            <w:vAlign w:val="center"/>
            <w:hideMark/>
          </w:tcPr>
          <w:p w14:paraId="566DFD63"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13.946</w:t>
            </w:r>
          </w:p>
        </w:tc>
      </w:tr>
      <w:tr w:rsidR="009616FA" w:rsidRPr="009616FA" w14:paraId="78D08F56" w14:textId="77777777" w:rsidTr="009616FA">
        <w:trPr>
          <w:trHeight w:val="231"/>
        </w:trPr>
        <w:tc>
          <w:tcPr>
            <w:tcW w:w="3689" w:type="dxa"/>
            <w:gridSpan w:val="2"/>
            <w:tcBorders>
              <w:top w:val="nil"/>
              <w:left w:val="nil"/>
              <w:bottom w:val="nil"/>
              <w:right w:val="nil"/>
            </w:tcBorders>
            <w:shd w:val="clear" w:color="auto" w:fill="auto"/>
            <w:noWrap/>
            <w:vAlign w:val="center"/>
            <w:hideMark/>
          </w:tcPr>
          <w:p w14:paraId="62FA0CC6"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Over-identification test</w:t>
            </w:r>
          </w:p>
        </w:tc>
        <w:tc>
          <w:tcPr>
            <w:tcW w:w="1288" w:type="dxa"/>
            <w:tcBorders>
              <w:top w:val="nil"/>
              <w:left w:val="nil"/>
              <w:bottom w:val="nil"/>
              <w:right w:val="nil"/>
            </w:tcBorders>
            <w:shd w:val="clear" w:color="auto" w:fill="auto"/>
            <w:noWrap/>
            <w:vAlign w:val="center"/>
            <w:hideMark/>
          </w:tcPr>
          <w:p w14:paraId="2DC8F63A" w14:textId="77777777" w:rsidR="009616FA" w:rsidRPr="009616FA" w:rsidRDefault="009616FA" w:rsidP="009616FA">
            <w:pPr>
              <w:spacing w:after="0" w:line="240" w:lineRule="auto"/>
              <w:rPr>
                <w:rFonts w:ascii="Calibri" w:eastAsia="Times New Roman" w:hAnsi="Calibri" w:cs="Calibri"/>
                <w:color w:val="000000"/>
                <w:sz w:val="22"/>
              </w:rPr>
            </w:pPr>
          </w:p>
        </w:tc>
        <w:tc>
          <w:tcPr>
            <w:tcW w:w="1353" w:type="dxa"/>
            <w:tcBorders>
              <w:top w:val="nil"/>
              <w:left w:val="nil"/>
              <w:bottom w:val="nil"/>
              <w:right w:val="nil"/>
            </w:tcBorders>
            <w:shd w:val="clear" w:color="auto" w:fill="auto"/>
            <w:noWrap/>
            <w:vAlign w:val="center"/>
            <w:hideMark/>
          </w:tcPr>
          <w:p w14:paraId="119AD0EF" w14:textId="77777777" w:rsidR="009616FA" w:rsidRPr="009616FA" w:rsidRDefault="009616FA" w:rsidP="009616FA">
            <w:pPr>
              <w:spacing w:after="0" w:line="240" w:lineRule="auto"/>
              <w:jc w:val="center"/>
              <w:rPr>
                <w:rFonts w:eastAsia="Times New Roman" w:cs="Times New Roman"/>
                <w:sz w:val="20"/>
                <w:szCs w:val="20"/>
              </w:rPr>
            </w:pPr>
          </w:p>
        </w:tc>
        <w:tc>
          <w:tcPr>
            <w:tcW w:w="1386" w:type="dxa"/>
            <w:tcBorders>
              <w:top w:val="nil"/>
              <w:left w:val="nil"/>
              <w:bottom w:val="nil"/>
              <w:right w:val="nil"/>
            </w:tcBorders>
            <w:shd w:val="clear" w:color="auto" w:fill="auto"/>
            <w:noWrap/>
            <w:vAlign w:val="center"/>
            <w:hideMark/>
          </w:tcPr>
          <w:p w14:paraId="7B4E2DB3" w14:textId="77777777" w:rsidR="009616FA" w:rsidRPr="009616FA" w:rsidRDefault="009616FA" w:rsidP="009616FA">
            <w:pPr>
              <w:spacing w:after="0" w:line="240" w:lineRule="auto"/>
              <w:jc w:val="center"/>
              <w:rPr>
                <w:rFonts w:eastAsia="Times New Roman" w:cs="Times New Roman"/>
                <w:sz w:val="20"/>
                <w:szCs w:val="20"/>
              </w:rPr>
            </w:pPr>
          </w:p>
        </w:tc>
        <w:tc>
          <w:tcPr>
            <w:tcW w:w="1386" w:type="dxa"/>
            <w:tcBorders>
              <w:top w:val="nil"/>
              <w:left w:val="nil"/>
              <w:bottom w:val="nil"/>
              <w:right w:val="nil"/>
            </w:tcBorders>
            <w:shd w:val="clear" w:color="auto" w:fill="auto"/>
            <w:noWrap/>
            <w:vAlign w:val="center"/>
            <w:hideMark/>
          </w:tcPr>
          <w:p w14:paraId="013C13CF" w14:textId="77777777" w:rsidR="009616FA" w:rsidRPr="009616FA" w:rsidRDefault="009616FA" w:rsidP="009616FA">
            <w:pPr>
              <w:spacing w:after="0" w:line="240" w:lineRule="auto"/>
              <w:jc w:val="center"/>
              <w:rPr>
                <w:rFonts w:eastAsia="Times New Roman" w:cs="Times New Roman"/>
                <w:sz w:val="20"/>
                <w:szCs w:val="20"/>
              </w:rPr>
            </w:pPr>
          </w:p>
        </w:tc>
      </w:tr>
      <w:tr w:rsidR="009616FA" w:rsidRPr="009616FA" w14:paraId="589F7F52" w14:textId="77777777" w:rsidTr="009616FA">
        <w:trPr>
          <w:trHeight w:val="231"/>
        </w:trPr>
        <w:tc>
          <w:tcPr>
            <w:tcW w:w="2270" w:type="dxa"/>
            <w:tcBorders>
              <w:top w:val="nil"/>
              <w:left w:val="nil"/>
              <w:bottom w:val="nil"/>
              <w:right w:val="nil"/>
            </w:tcBorders>
            <w:shd w:val="clear" w:color="auto" w:fill="auto"/>
            <w:noWrap/>
            <w:vAlign w:val="center"/>
            <w:hideMark/>
          </w:tcPr>
          <w:p w14:paraId="7417DDB6"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 xml:space="preserve">      Hansen J Statistic</w:t>
            </w:r>
          </w:p>
        </w:tc>
        <w:tc>
          <w:tcPr>
            <w:tcW w:w="1418" w:type="dxa"/>
            <w:tcBorders>
              <w:top w:val="nil"/>
              <w:left w:val="nil"/>
              <w:bottom w:val="nil"/>
              <w:right w:val="nil"/>
            </w:tcBorders>
            <w:shd w:val="clear" w:color="auto" w:fill="auto"/>
            <w:noWrap/>
            <w:vAlign w:val="center"/>
            <w:hideMark/>
          </w:tcPr>
          <w:p w14:paraId="52A18414"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3.776</w:t>
            </w:r>
          </w:p>
        </w:tc>
        <w:tc>
          <w:tcPr>
            <w:tcW w:w="1288" w:type="dxa"/>
            <w:tcBorders>
              <w:top w:val="nil"/>
              <w:left w:val="nil"/>
              <w:bottom w:val="nil"/>
              <w:right w:val="nil"/>
            </w:tcBorders>
            <w:shd w:val="clear" w:color="auto" w:fill="auto"/>
            <w:noWrap/>
            <w:vAlign w:val="center"/>
            <w:hideMark/>
          </w:tcPr>
          <w:p w14:paraId="1954E1F0"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2.375</w:t>
            </w:r>
          </w:p>
        </w:tc>
        <w:tc>
          <w:tcPr>
            <w:tcW w:w="1353" w:type="dxa"/>
            <w:tcBorders>
              <w:top w:val="nil"/>
              <w:left w:val="nil"/>
              <w:bottom w:val="nil"/>
              <w:right w:val="nil"/>
            </w:tcBorders>
            <w:shd w:val="clear" w:color="auto" w:fill="auto"/>
            <w:noWrap/>
            <w:vAlign w:val="center"/>
            <w:hideMark/>
          </w:tcPr>
          <w:p w14:paraId="686C7287"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3.324</w:t>
            </w:r>
          </w:p>
        </w:tc>
        <w:tc>
          <w:tcPr>
            <w:tcW w:w="1386" w:type="dxa"/>
            <w:tcBorders>
              <w:top w:val="nil"/>
              <w:left w:val="nil"/>
              <w:bottom w:val="nil"/>
              <w:right w:val="nil"/>
            </w:tcBorders>
            <w:shd w:val="clear" w:color="auto" w:fill="auto"/>
            <w:noWrap/>
            <w:vAlign w:val="center"/>
            <w:hideMark/>
          </w:tcPr>
          <w:p w14:paraId="237283AE"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0.470</w:t>
            </w:r>
          </w:p>
        </w:tc>
        <w:tc>
          <w:tcPr>
            <w:tcW w:w="1386" w:type="dxa"/>
            <w:tcBorders>
              <w:top w:val="nil"/>
              <w:left w:val="nil"/>
              <w:bottom w:val="nil"/>
              <w:right w:val="nil"/>
            </w:tcBorders>
            <w:shd w:val="clear" w:color="auto" w:fill="auto"/>
            <w:noWrap/>
            <w:vAlign w:val="center"/>
            <w:hideMark/>
          </w:tcPr>
          <w:p w14:paraId="7B326D7E"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0.179</w:t>
            </w:r>
          </w:p>
        </w:tc>
      </w:tr>
      <w:tr w:rsidR="009616FA" w:rsidRPr="009616FA" w14:paraId="362A0B43" w14:textId="77777777" w:rsidTr="009616FA">
        <w:trPr>
          <w:trHeight w:val="241"/>
        </w:trPr>
        <w:tc>
          <w:tcPr>
            <w:tcW w:w="2270" w:type="dxa"/>
            <w:tcBorders>
              <w:top w:val="nil"/>
              <w:left w:val="nil"/>
              <w:bottom w:val="double" w:sz="6" w:space="0" w:color="auto"/>
              <w:right w:val="nil"/>
            </w:tcBorders>
            <w:shd w:val="clear" w:color="auto" w:fill="auto"/>
            <w:noWrap/>
            <w:vAlign w:val="center"/>
            <w:hideMark/>
          </w:tcPr>
          <w:p w14:paraId="79E45310"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 xml:space="preserve">      P-values for J test </w:t>
            </w:r>
          </w:p>
        </w:tc>
        <w:tc>
          <w:tcPr>
            <w:tcW w:w="1418" w:type="dxa"/>
            <w:tcBorders>
              <w:top w:val="nil"/>
              <w:left w:val="nil"/>
              <w:bottom w:val="double" w:sz="6" w:space="0" w:color="auto"/>
              <w:right w:val="nil"/>
            </w:tcBorders>
            <w:shd w:val="clear" w:color="auto" w:fill="auto"/>
            <w:noWrap/>
            <w:vAlign w:val="center"/>
            <w:hideMark/>
          </w:tcPr>
          <w:p w14:paraId="47538AB1"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0.052</w:t>
            </w:r>
          </w:p>
        </w:tc>
        <w:tc>
          <w:tcPr>
            <w:tcW w:w="1288" w:type="dxa"/>
            <w:tcBorders>
              <w:top w:val="nil"/>
              <w:left w:val="nil"/>
              <w:bottom w:val="double" w:sz="6" w:space="0" w:color="auto"/>
              <w:right w:val="nil"/>
            </w:tcBorders>
            <w:shd w:val="clear" w:color="auto" w:fill="auto"/>
            <w:noWrap/>
            <w:vAlign w:val="center"/>
            <w:hideMark/>
          </w:tcPr>
          <w:p w14:paraId="6AFC8822"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0.123</w:t>
            </w:r>
          </w:p>
        </w:tc>
        <w:tc>
          <w:tcPr>
            <w:tcW w:w="1353" w:type="dxa"/>
            <w:tcBorders>
              <w:top w:val="nil"/>
              <w:left w:val="nil"/>
              <w:bottom w:val="double" w:sz="6" w:space="0" w:color="auto"/>
              <w:right w:val="nil"/>
            </w:tcBorders>
            <w:shd w:val="clear" w:color="auto" w:fill="auto"/>
            <w:noWrap/>
            <w:vAlign w:val="center"/>
            <w:hideMark/>
          </w:tcPr>
          <w:p w14:paraId="74FF6667"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0.068</w:t>
            </w:r>
          </w:p>
        </w:tc>
        <w:tc>
          <w:tcPr>
            <w:tcW w:w="1386" w:type="dxa"/>
            <w:tcBorders>
              <w:top w:val="nil"/>
              <w:left w:val="nil"/>
              <w:bottom w:val="double" w:sz="6" w:space="0" w:color="auto"/>
              <w:right w:val="nil"/>
            </w:tcBorders>
            <w:shd w:val="clear" w:color="auto" w:fill="auto"/>
            <w:noWrap/>
            <w:vAlign w:val="center"/>
            <w:hideMark/>
          </w:tcPr>
          <w:p w14:paraId="0508668C"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0.493</w:t>
            </w:r>
          </w:p>
        </w:tc>
        <w:tc>
          <w:tcPr>
            <w:tcW w:w="1386" w:type="dxa"/>
            <w:tcBorders>
              <w:top w:val="nil"/>
              <w:left w:val="nil"/>
              <w:bottom w:val="double" w:sz="6" w:space="0" w:color="auto"/>
              <w:right w:val="nil"/>
            </w:tcBorders>
            <w:shd w:val="clear" w:color="auto" w:fill="auto"/>
            <w:noWrap/>
            <w:vAlign w:val="center"/>
            <w:hideMark/>
          </w:tcPr>
          <w:p w14:paraId="2E52B658"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0.673</w:t>
            </w:r>
          </w:p>
        </w:tc>
      </w:tr>
    </w:tbl>
    <w:p w14:paraId="429A9C44" w14:textId="77777777" w:rsidR="008B70F4" w:rsidRDefault="008B70F4" w:rsidP="008B70F4">
      <w:r w:rsidRPr="00F005DC">
        <w:rPr>
          <w:i/>
          <w:iCs/>
        </w:rPr>
        <w:t>Notes</w:t>
      </w:r>
      <w:r>
        <w:t xml:space="preserve">: All columns control for all demographic characteristics and all fixed effects. </w:t>
      </w:r>
    </w:p>
    <w:p w14:paraId="4069AA67" w14:textId="77777777" w:rsidR="008B70F4" w:rsidRDefault="008B70F4" w:rsidP="008B70F4">
      <w:pPr>
        <w:rPr>
          <w:rFonts w:cs="Times New Roman"/>
          <w:szCs w:val="24"/>
          <w:lang w:val="en-US"/>
        </w:rPr>
      </w:pPr>
      <w:r>
        <w:t xml:space="preserve">***p&lt;0.01, **p&lt;0.05. *p&lt;0.1. </w:t>
      </w:r>
    </w:p>
    <w:p w14:paraId="6EBA8D75" w14:textId="77777777" w:rsidR="00F431A3" w:rsidRDefault="00F431A3" w:rsidP="004F1AAC">
      <w:pPr>
        <w:spacing w:line="360" w:lineRule="auto"/>
        <w:ind w:firstLine="567"/>
      </w:pPr>
    </w:p>
    <w:p w14:paraId="15BA8CB5" w14:textId="16207EE5" w:rsidR="00C4577B" w:rsidRDefault="00B6507E" w:rsidP="004A6FA2">
      <w:pPr>
        <w:spacing w:line="360" w:lineRule="auto"/>
        <w:ind w:firstLine="567"/>
        <w:jc w:val="both"/>
      </w:pPr>
      <w:r w:rsidRPr="00B6507E">
        <w:t>Table 11 provides the effect of education on smoking. Panel A indicates that one more year of schooling can reduce the possibility of smoking by 0.4 percentage points at 1% significant level in general.</w:t>
      </w:r>
      <w:r w:rsidR="006E49BF">
        <w:t xml:space="preserve"> </w:t>
      </w:r>
      <w:r w:rsidRPr="00B6507E">
        <w:t>Panel B suggests that an additional year of education in rural areas reduces the probability of smoking by 5 percentage points, but there is no significant overall causal effect. The reason for rural areas having such great educational effects is currently unknown, but Figure 3 illustrates the proportion of smoking between rural/urban areas. Among smokers, nearly three-quarters of the people are living in rural areas.</w:t>
      </w:r>
      <w:r w:rsidR="006E49BF">
        <w:rPr>
          <w:rStyle w:val="FootnoteReference"/>
        </w:rPr>
        <w:footnoteReference w:id="4"/>
      </w:r>
    </w:p>
    <w:p w14:paraId="3A23B00E" w14:textId="77777777" w:rsidR="00B6507E" w:rsidRDefault="00B6507E" w:rsidP="00172C9B">
      <w:pPr>
        <w:spacing w:line="360" w:lineRule="auto"/>
        <w:ind w:firstLine="567"/>
      </w:pPr>
    </w:p>
    <w:p w14:paraId="1BBAE610" w14:textId="77777777" w:rsidR="001F1690" w:rsidRDefault="001F1690" w:rsidP="001F1690">
      <w:pPr>
        <w:spacing w:line="360" w:lineRule="auto"/>
      </w:pPr>
    </w:p>
    <w:p w14:paraId="237C1BDA" w14:textId="77777777" w:rsidR="001F1690" w:rsidRPr="00585463" w:rsidRDefault="001F1690" w:rsidP="001F1690">
      <w:pPr>
        <w:rPr>
          <w:u w:val="single"/>
        </w:rPr>
      </w:pPr>
      <w:r w:rsidRPr="00585463">
        <w:rPr>
          <w:rFonts w:hint="eastAsia"/>
          <w:u w:val="single"/>
        </w:rPr>
        <w:lastRenderedPageBreak/>
        <w:t>Fig</w:t>
      </w:r>
      <w:r w:rsidRPr="00585463">
        <w:rPr>
          <w:u w:val="single"/>
        </w:rPr>
        <w:t>ure 3. The proportion of rural and urban in smoking</w:t>
      </w:r>
    </w:p>
    <w:p w14:paraId="70333E2F" w14:textId="0625D67E" w:rsidR="009616FA" w:rsidRDefault="001F1690" w:rsidP="001F1690">
      <w:pPr>
        <w:spacing w:line="360" w:lineRule="auto"/>
      </w:pPr>
      <w:r>
        <w:rPr>
          <w:noProof/>
        </w:rPr>
        <w:drawing>
          <wp:inline distT="0" distB="0" distL="0" distR="0" wp14:anchorId="5CEF57DD" wp14:editId="1B9D5BA8">
            <wp:extent cx="3976230" cy="2921000"/>
            <wp:effectExtent l="0" t="0" r="5715"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4006553" cy="2943276"/>
                    </a:xfrm>
                    <a:prstGeom prst="rect">
                      <a:avLst/>
                    </a:prstGeom>
                  </pic:spPr>
                </pic:pic>
              </a:graphicData>
            </a:graphic>
          </wp:inline>
        </w:drawing>
      </w:r>
    </w:p>
    <w:p w14:paraId="74A2453C" w14:textId="77777777" w:rsidR="00B6507E" w:rsidRDefault="00B6507E" w:rsidP="001F1690">
      <w:pPr>
        <w:spacing w:line="360" w:lineRule="auto"/>
      </w:pPr>
    </w:p>
    <w:p w14:paraId="46FC971E" w14:textId="62122EA9" w:rsidR="002973B5" w:rsidRDefault="002973B5" w:rsidP="008F7B1E">
      <w:r>
        <w:rPr>
          <w:rFonts w:hint="eastAsia"/>
        </w:rPr>
        <w:t>Ta</w:t>
      </w:r>
      <w:r>
        <w:t>ble 1</w:t>
      </w:r>
      <w:r w:rsidR="00283BCE">
        <w:t>2</w:t>
      </w:r>
      <w:r>
        <w:t>. Results of education on number of cigarettes per day</w:t>
      </w:r>
    </w:p>
    <w:tbl>
      <w:tblPr>
        <w:tblW w:w="9119" w:type="dxa"/>
        <w:tblLook w:val="04A0" w:firstRow="1" w:lastRow="0" w:firstColumn="1" w:lastColumn="0" w:noHBand="0" w:noVBand="1"/>
      </w:tblPr>
      <w:tblGrid>
        <w:gridCol w:w="2604"/>
        <w:gridCol w:w="1266"/>
        <w:gridCol w:w="1361"/>
        <w:gridCol w:w="1385"/>
        <w:gridCol w:w="1250"/>
        <w:gridCol w:w="1253"/>
      </w:tblGrid>
      <w:tr w:rsidR="009616FA" w:rsidRPr="009616FA" w14:paraId="49EF32FF" w14:textId="77777777" w:rsidTr="009616FA">
        <w:trPr>
          <w:trHeight w:val="224"/>
        </w:trPr>
        <w:tc>
          <w:tcPr>
            <w:tcW w:w="2604" w:type="dxa"/>
            <w:tcBorders>
              <w:top w:val="single" w:sz="4" w:space="0" w:color="auto"/>
              <w:left w:val="nil"/>
              <w:bottom w:val="nil"/>
              <w:right w:val="nil"/>
            </w:tcBorders>
            <w:shd w:val="clear" w:color="auto" w:fill="auto"/>
            <w:noWrap/>
            <w:vAlign w:val="bottom"/>
            <w:hideMark/>
          </w:tcPr>
          <w:p w14:paraId="4CAFCED1"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 </w:t>
            </w:r>
          </w:p>
        </w:tc>
        <w:tc>
          <w:tcPr>
            <w:tcW w:w="1266" w:type="dxa"/>
            <w:tcBorders>
              <w:top w:val="single" w:sz="4" w:space="0" w:color="auto"/>
              <w:left w:val="nil"/>
              <w:bottom w:val="nil"/>
              <w:right w:val="nil"/>
            </w:tcBorders>
            <w:shd w:val="clear" w:color="auto" w:fill="auto"/>
            <w:noWrap/>
            <w:vAlign w:val="center"/>
            <w:hideMark/>
          </w:tcPr>
          <w:p w14:paraId="0F9E048A"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w:t>
            </w:r>
          </w:p>
        </w:tc>
        <w:tc>
          <w:tcPr>
            <w:tcW w:w="1361" w:type="dxa"/>
            <w:tcBorders>
              <w:top w:val="single" w:sz="4" w:space="0" w:color="auto"/>
              <w:left w:val="nil"/>
              <w:bottom w:val="nil"/>
              <w:right w:val="nil"/>
            </w:tcBorders>
            <w:shd w:val="clear" w:color="auto" w:fill="auto"/>
            <w:noWrap/>
            <w:vAlign w:val="center"/>
            <w:hideMark/>
          </w:tcPr>
          <w:p w14:paraId="3C20E917"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(2)</w:t>
            </w:r>
          </w:p>
        </w:tc>
        <w:tc>
          <w:tcPr>
            <w:tcW w:w="1385" w:type="dxa"/>
            <w:tcBorders>
              <w:top w:val="single" w:sz="4" w:space="0" w:color="auto"/>
              <w:left w:val="nil"/>
              <w:bottom w:val="nil"/>
              <w:right w:val="nil"/>
            </w:tcBorders>
            <w:shd w:val="clear" w:color="auto" w:fill="auto"/>
            <w:noWrap/>
            <w:vAlign w:val="center"/>
            <w:hideMark/>
          </w:tcPr>
          <w:p w14:paraId="559AF1B8"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(3)</w:t>
            </w:r>
          </w:p>
        </w:tc>
        <w:tc>
          <w:tcPr>
            <w:tcW w:w="1250" w:type="dxa"/>
            <w:tcBorders>
              <w:top w:val="single" w:sz="4" w:space="0" w:color="auto"/>
              <w:left w:val="nil"/>
              <w:bottom w:val="nil"/>
              <w:right w:val="nil"/>
            </w:tcBorders>
            <w:shd w:val="clear" w:color="auto" w:fill="auto"/>
            <w:noWrap/>
            <w:vAlign w:val="center"/>
            <w:hideMark/>
          </w:tcPr>
          <w:p w14:paraId="3437FBEF"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(4)</w:t>
            </w:r>
          </w:p>
        </w:tc>
        <w:tc>
          <w:tcPr>
            <w:tcW w:w="1250" w:type="dxa"/>
            <w:tcBorders>
              <w:top w:val="single" w:sz="4" w:space="0" w:color="auto"/>
              <w:left w:val="nil"/>
              <w:bottom w:val="nil"/>
              <w:right w:val="nil"/>
            </w:tcBorders>
            <w:shd w:val="clear" w:color="auto" w:fill="auto"/>
            <w:noWrap/>
            <w:vAlign w:val="center"/>
            <w:hideMark/>
          </w:tcPr>
          <w:p w14:paraId="62C8BC5D"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(5)</w:t>
            </w:r>
          </w:p>
        </w:tc>
      </w:tr>
      <w:tr w:rsidR="009616FA" w:rsidRPr="009616FA" w14:paraId="70787748" w14:textId="77777777" w:rsidTr="009616FA">
        <w:trPr>
          <w:trHeight w:val="224"/>
        </w:trPr>
        <w:tc>
          <w:tcPr>
            <w:tcW w:w="2604" w:type="dxa"/>
            <w:vMerge w:val="restart"/>
            <w:tcBorders>
              <w:top w:val="nil"/>
              <w:left w:val="nil"/>
              <w:bottom w:val="single" w:sz="4" w:space="0" w:color="000000"/>
              <w:right w:val="nil"/>
            </w:tcBorders>
            <w:shd w:val="clear" w:color="auto" w:fill="auto"/>
            <w:noWrap/>
            <w:vAlign w:val="center"/>
            <w:hideMark/>
          </w:tcPr>
          <w:p w14:paraId="78843A19"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Variables</w:t>
            </w:r>
          </w:p>
        </w:tc>
        <w:tc>
          <w:tcPr>
            <w:tcW w:w="6515" w:type="dxa"/>
            <w:gridSpan w:val="5"/>
            <w:tcBorders>
              <w:top w:val="nil"/>
              <w:left w:val="nil"/>
              <w:bottom w:val="single" w:sz="4" w:space="0" w:color="auto"/>
              <w:right w:val="nil"/>
            </w:tcBorders>
            <w:shd w:val="clear" w:color="auto" w:fill="auto"/>
            <w:noWrap/>
            <w:vAlign w:val="center"/>
            <w:hideMark/>
          </w:tcPr>
          <w:p w14:paraId="03B5CCA5" w14:textId="29E852D0"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Number of </w:t>
            </w:r>
            <w:r w:rsidR="00D7682C" w:rsidRPr="009616FA">
              <w:rPr>
                <w:rFonts w:ascii="Calibri" w:eastAsia="Times New Roman" w:hAnsi="Calibri" w:cs="Calibri"/>
                <w:color w:val="000000"/>
                <w:sz w:val="22"/>
              </w:rPr>
              <w:t>cigarettes</w:t>
            </w:r>
            <w:r w:rsidRPr="009616FA">
              <w:rPr>
                <w:rFonts w:ascii="Calibri" w:eastAsia="Times New Roman" w:hAnsi="Calibri" w:cs="Calibri"/>
                <w:color w:val="000000"/>
                <w:sz w:val="22"/>
              </w:rPr>
              <w:t xml:space="preserve"> smoke</w:t>
            </w:r>
            <w:r w:rsidR="00D7682C">
              <w:rPr>
                <w:rFonts w:ascii="Calibri" w:eastAsia="Times New Roman" w:hAnsi="Calibri" w:cs="Calibri"/>
                <w:color w:val="000000"/>
                <w:sz w:val="22"/>
              </w:rPr>
              <w:t>d</w:t>
            </w:r>
            <w:r w:rsidRPr="009616FA">
              <w:rPr>
                <w:rFonts w:ascii="Calibri" w:eastAsia="Times New Roman" w:hAnsi="Calibri" w:cs="Calibri"/>
                <w:color w:val="000000"/>
                <w:sz w:val="22"/>
              </w:rPr>
              <w:t xml:space="preserve"> per day</w:t>
            </w:r>
          </w:p>
        </w:tc>
      </w:tr>
      <w:tr w:rsidR="009616FA" w:rsidRPr="009616FA" w14:paraId="11FF4A11" w14:textId="77777777" w:rsidTr="009616FA">
        <w:trPr>
          <w:trHeight w:val="224"/>
        </w:trPr>
        <w:tc>
          <w:tcPr>
            <w:tcW w:w="2604" w:type="dxa"/>
            <w:vMerge/>
            <w:tcBorders>
              <w:top w:val="nil"/>
              <w:left w:val="nil"/>
              <w:bottom w:val="single" w:sz="4" w:space="0" w:color="000000"/>
              <w:right w:val="nil"/>
            </w:tcBorders>
            <w:vAlign w:val="center"/>
            <w:hideMark/>
          </w:tcPr>
          <w:p w14:paraId="5884FED7" w14:textId="77777777" w:rsidR="009616FA" w:rsidRPr="009616FA" w:rsidRDefault="009616FA" w:rsidP="009616FA">
            <w:pPr>
              <w:spacing w:after="0" w:line="240" w:lineRule="auto"/>
              <w:rPr>
                <w:rFonts w:ascii="Calibri" w:eastAsia="Times New Roman" w:hAnsi="Calibri" w:cs="Calibri"/>
                <w:color w:val="000000"/>
                <w:sz w:val="22"/>
              </w:rPr>
            </w:pPr>
          </w:p>
        </w:tc>
        <w:tc>
          <w:tcPr>
            <w:tcW w:w="1266" w:type="dxa"/>
            <w:tcBorders>
              <w:top w:val="nil"/>
              <w:left w:val="nil"/>
              <w:bottom w:val="single" w:sz="4" w:space="0" w:color="auto"/>
              <w:right w:val="nil"/>
            </w:tcBorders>
            <w:shd w:val="clear" w:color="auto" w:fill="auto"/>
            <w:noWrap/>
            <w:vAlign w:val="center"/>
            <w:hideMark/>
          </w:tcPr>
          <w:p w14:paraId="01315759"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All Sample</w:t>
            </w:r>
          </w:p>
        </w:tc>
        <w:tc>
          <w:tcPr>
            <w:tcW w:w="1361" w:type="dxa"/>
            <w:tcBorders>
              <w:top w:val="nil"/>
              <w:left w:val="nil"/>
              <w:bottom w:val="single" w:sz="4" w:space="0" w:color="auto"/>
              <w:right w:val="nil"/>
            </w:tcBorders>
            <w:shd w:val="clear" w:color="auto" w:fill="auto"/>
            <w:noWrap/>
            <w:vAlign w:val="center"/>
            <w:hideMark/>
          </w:tcPr>
          <w:p w14:paraId="5CF0B19E"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Male</w:t>
            </w:r>
          </w:p>
        </w:tc>
        <w:tc>
          <w:tcPr>
            <w:tcW w:w="1385" w:type="dxa"/>
            <w:tcBorders>
              <w:top w:val="nil"/>
              <w:left w:val="nil"/>
              <w:bottom w:val="single" w:sz="4" w:space="0" w:color="auto"/>
              <w:right w:val="nil"/>
            </w:tcBorders>
            <w:shd w:val="clear" w:color="auto" w:fill="auto"/>
            <w:noWrap/>
            <w:vAlign w:val="center"/>
            <w:hideMark/>
          </w:tcPr>
          <w:p w14:paraId="18DAF4C3"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Female</w:t>
            </w:r>
          </w:p>
        </w:tc>
        <w:tc>
          <w:tcPr>
            <w:tcW w:w="1250" w:type="dxa"/>
            <w:tcBorders>
              <w:top w:val="nil"/>
              <w:left w:val="nil"/>
              <w:bottom w:val="single" w:sz="4" w:space="0" w:color="auto"/>
              <w:right w:val="nil"/>
            </w:tcBorders>
            <w:shd w:val="clear" w:color="auto" w:fill="auto"/>
            <w:noWrap/>
            <w:vAlign w:val="center"/>
            <w:hideMark/>
          </w:tcPr>
          <w:p w14:paraId="22EC8D2C"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Urban</w:t>
            </w:r>
          </w:p>
        </w:tc>
        <w:tc>
          <w:tcPr>
            <w:tcW w:w="1250" w:type="dxa"/>
            <w:tcBorders>
              <w:top w:val="nil"/>
              <w:left w:val="nil"/>
              <w:bottom w:val="single" w:sz="4" w:space="0" w:color="auto"/>
              <w:right w:val="nil"/>
            </w:tcBorders>
            <w:shd w:val="clear" w:color="auto" w:fill="auto"/>
            <w:noWrap/>
            <w:vAlign w:val="center"/>
            <w:hideMark/>
          </w:tcPr>
          <w:p w14:paraId="67F08A87"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Rural</w:t>
            </w:r>
          </w:p>
        </w:tc>
      </w:tr>
      <w:tr w:rsidR="009616FA" w:rsidRPr="009616FA" w14:paraId="7A812BDB" w14:textId="77777777" w:rsidTr="009616FA">
        <w:trPr>
          <w:trHeight w:val="224"/>
        </w:trPr>
        <w:tc>
          <w:tcPr>
            <w:tcW w:w="3870" w:type="dxa"/>
            <w:gridSpan w:val="2"/>
            <w:tcBorders>
              <w:top w:val="single" w:sz="4" w:space="0" w:color="auto"/>
              <w:left w:val="nil"/>
              <w:bottom w:val="nil"/>
              <w:right w:val="nil"/>
            </w:tcBorders>
            <w:shd w:val="clear" w:color="auto" w:fill="auto"/>
            <w:noWrap/>
            <w:vAlign w:val="center"/>
            <w:hideMark/>
          </w:tcPr>
          <w:p w14:paraId="09C92CAB" w14:textId="77777777" w:rsidR="009616FA" w:rsidRPr="009616FA" w:rsidRDefault="009616FA" w:rsidP="009616FA">
            <w:pPr>
              <w:spacing w:after="0" w:line="240" w:lineRule="auto"/>
              <w:rPr>
                <w:rFonts w:ascii="Calibri" w:eastAsia="Times New Roman" w:hAnsi="Calibri" w:cs="Calibri"/>
                <w:b/>
                <w:bCs/>
                <w:color w:val="000000"/>
                <w:sz w:val="22"/>
              </w:rPr>
            </w:pPr>
            <w:r w:rsidRPr="009616FA">
              <w:rPr>
                <w:rFonts w:ascii="Calibri" w:eastAsia="Times New Roman" w:hAnsi="Calibri" w:cs="Calibri"/>
                <w:b/>
                <w:bCs/>
                <w:color w:val="000000"/>
                <w:sz w:val="22"/>
              </w:rPr>
              <w:t>Panel A. OLS Estimation</w:t>
            </w:r>
          </w:p>
        </w:tc>
        <w:tc>
          <w:tcPr>
            <w:tcW w:w="1361" w:type="dxa"/>
            <w:tcBorders>
              <w:top w:val="nil"/>
              <w:left w:val="nil"/>
              <w:bottom w:val="nil"/>
              <w:right w:val="nil"/>
            </w:tcBorders>
            <w:shd w:val="clear" w:color="auto" w:fill="auto"/>
            <w:noWrap/>
            <w:vAlign w:val="center"/>
            <w:hideMark/>
          </w:tcPr>
          <w:p w14:paraId="05C36255" w14:textId="77777777" w:rsidR="009616FA" w:rsidRPr="009616FA" w:rsidRDefault="009616FA" w:rsidP="009616FA">
            <w:pPr>
              <w:spacing w:after="0" w:line="240" w:lineRule="auto"/>
              <w:rPr>
                <w:rFonts w:ascii="Calibri" w:eastAsia="Times New Roman" w:hAnsi="Calibri" w:cs="Calibri"/>
                <w:b/>
                <w:bCs/>
                <w:color w:val="000000"/>
                <w:sz w:val="22"/>
              </w:rPr>
            </w:pPr>
          </w:p>
        </w:tc>
        <w:tc>
          <w:tcPr>
            <w:tcW w:w="1385" w:type="dxa"/>
            <w:tcBorders>
              <w:top w:val="nil"/>
              <w:left w:val="nil"/>
              <w:bottom w:val="nil"/>
              <w:right w:val="nil"/>
            </w:tcBorders>
            <w:shd w:val="clear" w:color="auto" w:fill="auto"/>
            <w:noWrap/>
            <w:vAlign w:val="center"/>
            <w:hideMark/>
          </w:tcPr>
          <w:p w14:paraId="33A011EC" w14:textId="77777777" w:rsidR="009616FA" w:rsidRPr="009616FA" w:rsidRDefault="009616FA" w:rsidP="009616FA">
            <w:pPr>
              <w:spacing w:after="0" w:line="240" w:lineRule="auto"/>
              <w:rPr>
                <w:rFonts w:eastAsia="Times New Roman" w:cs="Times New Roman"/>
                <w:sz w:val="20"/>
                <w:szCs w:val="20"/>
              </w:rPr>
            </w:pPr>
          </w:p>
        </w:tc>
        <w:tc>
          <w:tcPr>
            <w:tcW w:w="1250" w:type="dxa"/>
            <w:tcBorders>
              <w:top w:val="nil"/>
              <w:left w:val="nil"/>
              <w:bottom w:val="nil"/>
              <w:right w:val="nil"/>
            </w:tcBorders>
            <w:shd w:val="clear" w:color="auto" w:fill="auto"/>
            <w:noWrap/>
            <w:vAlign w:val="center"/>
            <w:hideMark/>
          </w:tcPr>
          <w:p w14:paraId="1EDC69AC"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c>
          <w:tcPr>
            <w:tcW w:w="1250" w:type="dxa"/>
            <w:tcBorders>
              <w:top w:val="nil"/>
              <w:left w:val="nil"/>
              <w:bottom w:val="nil"/>
              <w:right w:val="nil"/>
            </w:tcBorders>
            <w:shd w:val="clear" w:color="auto" w:fill="auto"/>
            <w:noWrap/>
            <w:vAlign w:val="center"/>
            <w:hideMark/>
          </w:tcPr>
          <w:p w14:paraId="08CEA449"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r>
      <w:tr w:rsidR="009616FA" w:rsidRPr="009616FA" w14:paraId="1D6608C9" w14:textId="77777777" w:rsidTr="009616FA">
        <w:trPr>
          <w:trHeight w:val="224"/>
        </w:trPr>
        <w:tc>
          <w:tcPr>
            <w:tcW w:w="2604" w:type="dxa"/>
            <w:tcBorders>
              <w:top w:val="nil"/>
              <w:left w:val="nil"/>
              <w:bottom w:val="nil"/>
              <w:right w:val="nil"/>
            </w:tcBorders>
            <w:shd w:val="clear" w:color="auto" w:fill="auto"/>
            <w:noWrap/>
            <w:vAlign w:val="center"/>
            <w:hideMark/>
          </w:tcPr>
          <w:p w14:paraId="487C5842"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Years of education</w:t>
            </w:r>
          </w:p>
        </w:tc>
        <w:tc>
          <w:tcPr>
            <w:tcW w:w="1266" w:type="dxa"/>
            <w:tcBorders>
              <w:top w:val="nil"/>
              <w:left w:val="nil"/>
              <w:bottom w:val="nil"/>
              <w:right w:val="nil"/>
            </w:tcBorders>
            <w:shd w:val="clear" w:color="auto" w:fill="auto"/>
            <w:noWrap/>
            <w:vAlign w:val="center"/>
            <w:hideMark/>
          </w:tcPr>
          <w:p w14:paraId="6552C4CD"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-0.123*** </w:t>
            </w:r>
          </w:p>
        </w:tc>
        <w:tc>
          <w:tcPr>
            <w:tcW w:w="1361" w:type="dxa"/>
            <w:tcBorders>
              <w:top w:val="nil"/>
              <w:left w:val="nil"/>
              <w:bottom w:val="nil"/>
              <w:right w:val="nil"/>
            </w:tcBorders>
            <w:shd w:val="clear" w:color="auto" w:fill="auto"/>
            <w:noWrap/>
            <w:vAlign w:val="center"/>
            <w:hideMark/>
          </w:tcPr>
          <w:p w14:paraId="3354CABC"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-0.369*** </w:t>
            </w:r>
          </w:p>
        </w:tc>
        <w:tc>
          <w:tcPr>
            <w:tcW w:w="1385" w:type="dxa"/>
            <w:tcBorders>
              <w:top w:val="nil"/>
              <w:left w:val="nil"/>
              <w:bottom w:val="nil"/>
              <w:right w:val="nil"/>
            </w:tcBorders>
            <w:shd w:val="clear" w:color="auto" w:fill="auto"/>
            <w:noWrap/>
            <w:vAlign w:val="center"/>
            <w:hideMark/>
          </w:tcPr>
          <w:p w14:paraId="56F2551A"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-0.0245*** </w:t>
            </w:r>
          </w:p>
        </w:tc>
        <w:tc>
          <w:tcPr>
            <w:tcW w:w="1250" w:type="dxa"/>
            <w:tcBorders>
              <w:top w:val="nil"/>
              <w:left w:val="nil"/>
              <w:bottom w:val="nil"/>
              <w:right w:val="nil"/>
            </w:tcBorders>
            <w:shd w:val="clear" w:color="auto" w:fill="auto"/>
            <w:noWrap/>
            <w:vAlign w:val="center"/>
            <w:hideMark/>
          </w:tcPr>
          <w:p w14:paraId="29B7B93D"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-0.160*** </w:t>
            </w:r>
          </w:p>
        </w:tc>
        <w:tc>
          <w:tcPr>
            <w:tcW w:w="1250" w:type="dxa"/>
            <w:tcBorders>
              <w:top w:val="nil"/>
              <w:left w:val="nil"/>
              <w:bottom w:val="nil"/>
              <w:right w:val="nil"/>
            </w:tcBorders>
            <w:shd w:val="clear" w:color="auto" w:fill="auto"/>
            <w:noWrap/>
            <w:vAlign w:val="center"/>
            <w:hideMark/>
          </w:tcPr>
          <w:p w14:paraId="084A1721"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-0.110***</w:t>
            </w:r>
          </w:p>
        </w:tc>
      </w:tr>
      <w:tr w:rsidR="009616FA" w:rsidRPr="009616FA" w14:paraId="704E9E48" w14:textId="77777777" w:rsidTr="009616FA">
        <w:trPr>
          <w:trHeight w:val="224"/>
        </w:trPr>
        <w:tc>
          <w:tcPr>
            <w:tcW w:w="2604" w:type="dxa"/>
            <w:tcBorders>
              <w:top w:val="nil"/>
              <w:left w:val="nil"/>
              <w:bottom w:val="nil"/>
              <w:right w:val="nil"/>
            </w:tcBorders>
            <w:shd w:val="clear" w:color="auto" w:fill="auto"/>
            <w:noWrap/>
            <w:vAlign w:val="center"/>
            <w:hideMark/>
          </w:tcPr>
          <w:p w14:paraId="6E6BB88B" w14:textId="77777777" w:rsidR="009616FA" w:rsidRPr="009616FA" w:rsidRDefault="009616FA" w:rsidP="009616FA">
            <w:pPr>
              <w:spacing w:after="0" w:line="240" w:lineRule="auto"/>
              <w:jc w:val="center"/>
              <w:rPr>
                <w:rFonts w:ascii="Calibri" w:eastAsia="Times New Roman" w:hAnsi="Calibri" w:cs="Calibri"/>
                <w:color w:val="000000"/>
                <w:sz w:val="22"/>
              </w:rPr>
            </w:pPr>
          </w:p>
        </w:tc>
        <w:tc>
          <w:tcPr>
            <w:tcW w:w="1266" w:type="dxa"/>
            <w:tcBorders>
              <w:top w:val="nil"/>
              <w:left w:val="nil"/>
              <w:bottom w:val="nil"/>
              <w:right w:val="nil"/>
            </w:tcBorders>
            <w:shd w:val="clear" w:color="auto" w:fill="auto"/>
            <w:noWrap/>
            <w:vAlign w:val="center"/>
            <w:hideMark/>
          </w:tcPr>
          <w:p w14:paraId="3593AF2C"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(0.0232) </w:t>
            </w:r>
          </w:p>
        </w:tc>
        <w:tc>
          <w:tcPr>
            <w:tcW w:w="1361" w:type="dxa"/>
            <w:tcBorders>
              <w:top w:val="nil"/>
              <w:left w:val="nil"/>
              <w:bottom w:val="nil"/>
              <w:right w:val="nil"/>
            </w:tcBorders>
            <w:shd w:val="clear" w:color="auto" w:fill="auto"/>
            <w:noWrap/>
            <w:vAlign w:val="center"/>
            <w:hideMark/>
          </w:tcPr>
          <w:p w14:paraId="7DB3FC6E"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(0.0521) </w:t>
            </w:r>
          </w:p>
        </w:tc>
        <w:tc>
          <w:tcPr>
            <w:tcW w:w="1385" w:type="dxa"/>
            <w:tcBorders>
              <w:top w:val="nil"/>
              <w:left w:val="nil"/>
              <w:bottom w:val="nil"/>
              <w:right w:val="nil"/>
            </w:tcBorders>
            <w:shd w:val="clear" w:color="auto" w:fill="auto"/>
            <w:noWrap/>
            <w:vAlign w:val="center"/>
            <w:hideMark/>
          </w:tcPr>
          <w:p w14:paraId="7CE7F2CE"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(0.00937) </w:t>
            </w:r>
          </w:p>
        </w:tc>
        <w:tc>
          <w:tcPr>
            <w:tcW w:w="1250" w:type="dxa"/>
            <w:tcBorders>
              <w:top w:val="nil"/>
              <w:left w:val="nil"/>
              <w:bottom w:val="nil"/>
              <w:right w:val="nil"/>
            </w:tcBorders>
            <w:shd w:val="clear" w:color="auto" w:fill="auto"/>
            <w:noWrap/>
            <w:vAlign w:val="center"/>
            <w:hideMark/>
          </w:tcPr>
          <w:p w14:paraId="695AC9EF"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(0.0367) </w:t>
            </w:r>
          </w:p>
        </w:tc>
        <w:tc>
          <w:tcPr>
            <w:tcW w:w="1250" w:type="dxa"/>
            <w:tcBorders>
              <w:top w:val="nil"/>
              <w:left w:val="nil"/>
              <w:bottom w:val="nil"/>
              <w:right w:val="nil"/>
            </w:tcBorders>
            <w:shd w:val="clear" w:color="auto" w:fill="auto"/>
            <w:noWrap/>
            <w:vAlign w:val="center"/>
            <w:hideMark/>
          </w:tcPr>
          <w:p w14:paraId="5B01D4D4"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(0.0290)  </w:t>
            </w:r>
          </w:p>
        </w:tc>
      </w:tr>
      <w:tr w:rsidR="009616FA" w:rsidRPr="009616FA" w14:paraId="3ACF2CF8" w14:textId="77777777" w:rsidTr="009616FA">
        <w:trPr>
          <w:trHeight w:val="224"/>
        </w:trPr>
        <w:tc>
          <w:tcPr>
            <w:tcW w:w="2604" w:type="dxa"/>
            <w:tcBorders>
              <w:top w:val="nil"/>
              <w:left w:val="nil"/>
              <w:bottom w:val="nil"/>
              <w:right w:val="nil"/>
            </w:tcBorders>
            <w:shd w:val="clear" w:color="auto" w:fill="auto"/>
            <w:noWrap/>
            <w:vAlign w:val="center"/>
            <w:hideMark/>
          </w:tcPr>
          <w:p w14:paraId="131B251F" w14:textId="77777777" w:rsidR="009616FA" w:rsidRPr="009616FA" w:rsidRDefault="009616FA" w:rsidP="009616FA">
            <w:pPr>
              <w:spacing w:after="0" w:line="240" w:lineRule="auto"/>
              <w:jc w:val="center"/>
              <w:rPr>
                <w:rFonts w:ascii="Calibri" w:eastAsia="Times New Roman" w:hAnsi="Calibri" w:cs="Calibri"/>
                <w:color w:val="000000"/>
                <w:sz w:val="22"/>
              </w:rPr>
            </w:pPr>
          </w:p>
        </w:tc>
        <w:tc>
          <w:tcPr>
            <w:tcW w:w="1266" w:type="dxa"/>
            <w:tcBorders>
              <w:top w:val="nil"/>
              <w:left w:val="nil"/>
              <w:bottom w:val="nil"/>
              <w:right w:val="nil"/>
            </w:tcBorders>
            <w:shd w:val="clear" w:color="auto" w:fill="auto"/>
            <w:noWrap/>
            <w:vAlign w:val="center"/>
            <w:hideMark/>
          </w:tcPr>
          <w:p w14:paraId="136BDE92" w14:textId="77777777" w:rsidR="009616FA" w:rsidRPr="009616FA" w:rsidRDefault="009616FA" w:rsidP="009616FA">
            <w:pPr>
              <w:spacing w:after="0" w:line="240" w:lineRule="auto"/>
              <w:rPr>
                <w:rFonts w:eastAsia="Times New Roman" w:cs="Times New Roman"/>
                <w:sz w:val="20"/>
                <w:szCs w:val="20"/>
              </w:rPr>
            </w:pPr>
          </w:p>
        </w:tc>
        <w:tc>
          <w:tcPr>
            <w:tcW w:w="1361" w:type="dxa"/>
            <w:tcBorders>
              <w:top w:val="nil"/>
              <w:left w:val="nil"/>
              <w:bottom w:val="nil"/>
              <w:right w:val="nil"/>
            </w:tcBorders>
            <w:shd w:val="clear" w:color="auto" w:fill="auto"/>
            <w:noWrap/>
            <w:vAlign w:val="center"/>
            <w:hideMark/>
          </w:tcPr>
          <w:p w14:paraId="2C464562" w14:textId="77777777" w:rsidR="009616FA" w:rsidRPr="009616FA" w:rsidRDefault="009616FA" w:rsidP="009616FA">
            <w:pPr>
              <w:spacing w:after="0" w:line="240" w:lineRule="auto"/>
              <w:jc w:val="center"/>
              <w:rPr>
                <w:rFonts w:eastAsia="Times New Roman" w:cs="Times New Roman"/>
                <w:sz w:val="20"/>
                <w:szCs w:val="20"/>
              </w:rPr>
            </w:pPr>
          </w:p>
        </w:tc>
        <w:tc>
          <w:tcPr>
            <w:tcW w:w="1385" w:type="dxa"/>
            <w:tcBorders>
              <w:top w:val="nil"/>
              <w:left w:val="nil"/>
              <w:bottom w:val="nil"/>
              <w:right w:val="nil"/>
            </w:tcBorders>
            <w:shd w:val="clear" w:color="auto" w:fill="auto"/>
            <w:noWrap/>
            <w:vAlign w:val="center"/>
            <w:hideMark/>
          </w:tcPr>
          <w:p w14:paraId="1EE078E0" w14:textId="77777777" w:rsidR="009616FA" w:rsidRPr="009616FA" w:rsidRDefault="009616FA" w:rsidP="009616FA">
            <w:pPr>
              <w:spacing w:after="0" w:line="240" w:lineRule="auto"/>
              <w:jc w:val="center"/>
              <w:rPr>
                <w:rFonts w:eastAsia="Times New Roman" w:cs="Times New Roman"/>
                <w:sz w:val="20"/>
                <w:szCs w:val="20"/>
              </w:rPr>
            </w:pPr>
          </w:p>
        </w:tc>
        <w:tc>
          <w:tcPr>
            <w:tcW w:w="1250" w:type="dxa"/>
            <w:tcBorders>
              <w:top w:val="nil"/>
              <w:left w:val="nil"/>
              <w:bottom w:val="nil"/>
              <w:right w:val="nil"/>
            </w:tcBorders>
            <w:shd w:val="clear" w:color="auto" w:fill="auto"/>
            <w:noWrap/>
            <w:vAlign w:val="center"/>
            <w:hideMark/>
          </w:tcPr>
          <w:p w14:paraId="2489ECAA" w14:textId="77777777" w:rsidR="009616FA" w:rsidRPr="009616FA" w:rsidRDefault="009616FA" w:rsidP="009616FA">
            <w:pPr>
              <w:spacing w:after="0" w:line="240" w:lineRule="auto"/>
              <w:jc w:val="center"/>
              <w:rPr>
                <w:rFonts w:eastAsia="Times New Roman" w:cs="Times New Roman"/>
                <w:sz w:val="20"/>
                <w:szCs w:val="20"/>
              </w:rPr>
            </w:pPr>
          </w:p>
        </w:tc>
        <w:tc>
          <w:tcPr>
            <w:tcW w:w="1250" w:type="dxa"/>
            <w:tcBorders>
              <w:top w:val="nil"/>
              <w:left w:val="nil"/>
              <w:bottom w:val="nil"/>
              <w:right w:val="nil"/>
            </w:tcBorders>
            <w:shd w:val="clear" w:color="auto" w:fill="auto"/>
            <w:noWrap/>
            <w:vAlign w:val="center"/>
            <w:hideMark/>
          </w:tcPr>
          <w:p w14:paraId="5A48ED94" w14:textId="77777777" w:rsidR="009616FA" w:rsidRPr="009616FA" w:rsidRDefault="009616FA" w:rsidP="009616FA">
            <w:pPr>
              <w:spacing w:after="0" w:line="240" w:lineRule="auto"/>
              <w:jc w:val="center"/>
              <w:rPr>
                <w:rFonts w:eastAsia="Times New Roman" w:cs="Times New Roman"/>
                <w:sz w:val="20"/>
                <w:szCs w:val="20"/>
              </w:rPr>
            </w:pPr>
          </w:p>
        </w:tc>
      </w:tr>
      <w:tr w:rsidR="009616FA" w:rsidRPr="009616FA" w14:paraId="1998236F" w14:textId="77777777" w:rsidTr="009616FA">
        <w:trPr>
          <w:trHeight w:val="224"/>
        </w:trPr>
        <w:tc>
          <w:tcPr>
            <w:tcW w:w="2604" w:type="dxa"/>
            <w:tcBorders>
              <w:top w:val="nil"/>
              <w:left w:val="nil"/>
              <w:bottom w:val="nil"/>
              <w:right w:val="nil"/>
            </w:tcBorders>
            <w:shd w:val="clear" w:color="auto" w:fill="auto"/>
            <w:noWrap/>
            <w:vAlign w:val="center"/>
            <w:hideMark/>
          </w:tcPr>
          <w:p w14:paraId="38FCF6A4"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Adj. R-squared</w:t>
            </w:r>
          </w:p>
        </w:tc>
        <w:tc>
          <w:tcPr>
            <w:tcW w:w="1266" w:type="dxa"/>
            <w:tcBorders>
              <w:top w:val="nil"/>
              <w:left w:val="nil"/>
              <w:bottom w:val="nil"/>
              <w:right w:val="nil"/>
            </w:tcBorders>
            <w:shd w:val="clear" w:color="auto" w:fill="auto"/>
            <w:noWrap/>
            <w:vAlign w:val="center"/>
            <w:hideMark/>
          </w:tcPr>
          <w:p w14:paraId="5B8ED588"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0.317 </w:t>
            </w:r>
          </w:p>
        </w:tc>
        <w:tc>
          <w:tcPr>
            <w:tcW w:w="1361" w:type="dxa"/>
            <w:tcBorders>
              <w:top w:val="nil"/>
              <w:left w:val="nil"/>
              <w:bottom w:val="nil"/>
              <w:right w:val="nil"/>
            </w:tcBorders>
            <w:shd w:val="clear" w:color="auto" w:fill="auto"/>
            <w:noWrap/>
            <w:vAlign w:val="center"/>
            <w:hideMark/>
          </w:tcPr>
          <w:p w14:paraId="11A2A816"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0.111 </w:t>
            </w:r>
          </w:p>
        </w:tc>
        <w:tc>
          <w:tcPr>
            <w:tcW w:w="1385" w:type="dxa"/>
            <w:tcBorders>
              <w:top w:val="nil"/>
              <w:left w:val="nil"/>
              <w:bottom w:val="nil"/>
              <w:right w:val="nil"/>
            </w:tcBorders>
            <w:shd w:val="clear" w:color="auto" w:fill="auto"/>
            <w:noWrap/>
            <w:vAlign w:val="center"/>
            <w:hideMark/>
          </w:tcPr>
          <w:p w14:paraId="28171A20"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0.019 </w:t>
            </w:r>
          </w:p>
        </w:tc>
        <w:tc>
          <w:tcPr>
            <w:tcW w:w="1250" w:type="dxa"/>
            <w:tcBorders>
              <w:top w:val="nil"/>
              <w:left w:val="nil"/>
              <w:bottom w:val="nil"/>
              <w:right w:val="nil"/>
            </w:tcBorders>
            <w:shd w:val="clear" w:color="auto" w:fill="auto"/>
            <w:noWrap/>
            <w:vAlign w:val="center"/>
            <w:hideMark/>
          </w:tcPr>
          <w:p w14:paraId="19521811"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0.300  </w:t>
            </w:r>
          </w:p>
        </w:tc>
        <w:tc>
          <w:tcPr>
            <w:tcW w:w="1250" w:type="dxa"/>
            <w:tcBorders>
              <w:top w:val="nil"/>
              <w:left w:val="nil"/>
              <w:bottom w:val="nil"/>
              <w:right w:val="nil"/>
            </w:tcBorders>
            <w:shd w:val="clear" w:color="auto" w:fill="auto"/>
            <w:noWrap/>
            <w:vAlign w:val="center"/>
            <w:hideMark/>
          </w:tcPr>
          <w:p w14:paraId="7D7200DD"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0.323 </w:t>
            </w:r>
          </w:p>
        </w:tc>
      </w:tr>
      <w:tr w:rsidR="009616FA" w:rsidRPr="009616FA" w14:paraId="3B2A1F4C" w14:textId="77777777" w:rsidTr="009616FA">
        <w:trPr>
          <w:trHeight w:val="224"/>
        </w:trPr>
        <w:tc>
          <w:tcPr>
            <w:tcW w:w="3870" w:type="dxa"/>
            <w:gridSpan w:val="2"/>
            <w:tcBorders>
              <w:top w:val="single" w:sz="4" w:space="0" w:color="auto"/>
              <w:left w:val="nil"/>
              <w:bottom w:val="nil"/>
              <w:right w:val="nil"/>
            </w:tcBorders>
            <w:shd w:val="clear" w:color="auto" w:fill="auto"/>
            <w:noWrap/>
            <w:vAlign w:val="center"/>
            <w:hideMark/>
          </w:tcPr>
          <w:p w14:paraId="7C942A9E" w14:textId="77777777" w:rsidR="009616FA" w:rsidRPr="009616FA" w:rsidRDefault="009616FA" w:rsidP="009616FA">
            <w:pPr>
              <w:spacing w:after="0" w:line="240" w:lineRule="auto"/>
              <w:rPr>
                <w:rFonts w:ascii="Calibri" w:eastAsia="Times New Roman" w:hAnsi="Calibri" w:cs="Calibri"/>
                <w:b/>
                <w:bCs/>
                <w:color w:val="000000"/>
                <w:sz w:val="22"/>
              </w:rPr>
            </w:pPr>
            <w:r w:rsidRPr="009616FA">
              <w:rPr>
                <w:rFonts w:ascii="Calibri" w:eastAsia="Times New Roman" w:hAnsi="Calibri" w:cs="Calibri"/>
                <w:b/>
                <w:bCs/>
                <w:color w:val="000000"/>
                <w:sz w:val="22"/>
              </w:rPr>
              <w:t>Panel B. 2SLS Estimation</w:t>
            </w:r>
          </w:p>
        </w:tc>
        <w:tc>
          <w:tcPr>
            <w:tcW w:w="1361" w:type="dxa"/>
            <w:tcBorders>
              <w:top w:val="single" w:sz="4" w:space="0" w:color="auto"/>
              <w:left w:val="nil"/>
              <w:bottom w:val="nil"/>
              <w:right w:val="nil"/>
            </w:tcBorders>
            <w:shd w:val="clear" w:color="auto" w:fill="auto"/>
            <w:noWrap/>
            <w:vAlign w:val="center"/>
            <w:hideMark/>
          </w:tcPr>
          <w:p w14:paraId="5B33F2AC"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c>
          <w:tcPr>
            <w:tcW w:w="1385" w:type="dxa"/>
            <w:tcBorders>
              <w:top w:val="single" w:sz="4" w:space="0" w:color="auto"/>
              <w:left w:val="nil"/>
              <w:bottom w:val="nil"/>
              <w:right w:val="nil"/>
            </w:tcBorders>
            <w:shd w:val="clear" w:color="auto" w:fill="auto"/>
            <w:noWrap/>
            <w:vAlign w:val="center"/>
            <w:hideMark/>
          </w:tcPr>
          <w:p w14:paraId="72F19350"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c>
          <w:tcPr>
            <w:tcW w:w="1250" w:type="dxa"/>
            <w:tcBorders>
              <w:top w:val="single" w:sz="4" w:space="0" w:color="auto"/>
              <w:left w:val="nil"/>
              <w:bottom w:val="nil"/>
              <w:right w:val="nil"/>
            </w:tcBorders>
            <w:shd w:val="clear" w:color="auto" w:fill="auto"/>
            <w:noWrap/>
            <w:vAlign w:val="center"/>
            <w:hideMark/>
          </w:tcPr>
          <w:p w14:paraId="38AD544E"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c>
          <w:tcPr>
            <w:tcW w:w="1250" w:type="dxa"/>
            <w:tcBorders>
              <w:top w:val="single" w:sz="4" w:space="0" w:color="auto"/>
              <w:left w:val="nil"/>
              <w:bottom w:val="nil"/>
              <w:right w:val="nil"/>
            </w:tcBorders>
            <w:shd w:val="clear" w:color="auto" w:fill="auto"/>
            <w:noWrap/>
            <w:vAlign w:val="center"/>
            <w:hideMark/>
          </w:tcPr>
          <w:p w14:paraId="6C881212"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w:t>
            </w:r>
          </w:p>
        </w:tc>
      </w:tr>
      <w:tr w:rsidR="009616FA" w:rsidRPr="009616FA" w14:paraId="453ED485" w14:textId="77777777" w:rsidTr="009616FA">
        <w:trPr>
          <w:trHeight w:val="224"/>
        </w:trPr>
        <w:tc>
          <w:tcPr>
            <w:tcW w:w="2604" w:type="dxa"/>
            <w:tcBorders>
              <w:top w:val="nil"/>
              <w:left w:val="nil"/>
              <w:bottom w:val="nil"/>
              <w:right w:val="nil"/>
            </w:tcBorders>
            <w:shd w:val="clear" w:color="auto" w:fill="auto"/>
            <w:noWrap/>
            <w:vAlign w:val="center"/>
            <w:hideMark/>
          </w:tcPr>
          <w:p w14:paraId="59FF69AB"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Years of education</w:t>
            </w:r>
          </w:p>
        </w:tc>
        <w:tc>
          <w:tcPr>
            <w:tcW w:w="1266" w:type="dxa"/>
            <w:tcBorders>
              <w:top w:val="nil"/>
              <w:left w:val="nil"/>
              <w:bottom w:val="nil"/>
              <w:right w:val="nil"/>
            </w:tcBorders>
            <w:shd w:val="clear" w:color="auto" w:fill="auto"/>
            <w:noWrap/>
            <w:vAlign w:val="center"/>
            <w:hideMark/>
          </w:tcPr>
          <w:p w14:paraId="3685B4C4"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-0.230</w:t>
            </w:r>
          </w:p>
        </w:tc>
        <w:tc>
          <w:tcPr>
            <w:tcW w:w="1361" w:type="dxa"/>
            <w:tcBorders>
              <w:top w:val="nil"/>
              <w:left w:val="nil"/>
              <w:bottom w:val="nil"/>
              <w:right w:val="nil"/>
            </w:tcBorders>
            <w:shd w:val="clear" w:color="auto" w:fill="auto"/>
            <w:noWrap/>
            <w:vAlign w:val="center"/>
            <w:hideMark/>
          </w:tcPr>
          <w:p w14:paraId="42748F68"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0.0278 </w:t>
            </w:r>
          </w:p>
        </w:tc>
        <w:tc>
          <w:tcPr>
            <w:tcW w:w="1385" w:type="dxa"/>
            <w:tcBorders>
              <w:top w:val="nil"/>
              <w:left w:val="nil"/>
              <w:bottom w:val="nil"/>
              <w:right w:val="nil"/>
            </w:tcBorders>
            <w:shd w:val="clear" w:color="auto" w:fill="auto"/>
            <w:noWrap/>
            <w:vAlign w:val="center"/>
            <w:hideMark/>
          </w:tcPr>
          <w:p w14:paraId="0CAE5835"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-0.0478 </w:t>
            </w:r>
          </w:p>
        </w:tc>
        <w:tc>
          <w:tcPr>
            <w:tcW w:w="1250" w:type="dxa"/>
            <w:tcBorders>
              <w:top w:val="nil"/>
              <w:left w:val="nil"/>
              <w:bottom w:val="nil"/>
              <w:right w:val="nil"/>
            </w:tcBorders>
            <w:shd w:val="clear" w:color="auto" w:fill="auto"/>
            <w:noWrap/>
            <w:vAlign w:val="center"/>
            <w:hideMark/>
          </w:tcPr>
          <w:p w14:paraId="177AB16A"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-0.971** </w:t>
            </w:r>
          </w:p>
        </w:tc>
        <w:tc>
          <w:tcPr>
            <w:tcW w:w="1250" w:type="dxa"/>
            <w:tcBorders>
              <w:top w:val="nil"/>
              <w:left w:val="nil"/>
              <w:bottom w:val="nil"/>
              <w:right w:val="nil"/>
            </w:tcBorders>
            <w:shd w:val="clear" w:color="auto" w:fill="auto"/>
            <w:noWrap/>
            <w:vAlign w:val="center"/>
            <w:hideMark/>
          </w:tcPr>
          <w:p w14:paraId="58F4DFE9"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-0.182 </w:t>
            </w:r>
          </w:p>
        </w:tc>
      </w:tr>
      <w:tr w:rsidR="009616FA" w:rsidRPr="009616FA" w14:paraId="064D5734" w14:textId="77777777" w:rsidTr="009616FA">
        <w:trPr>
          <w:trHeight w:val="224"/>
        </w:trPr>
        <w:tc>
          <w:tcPr>
            <w:tcW w:w="2604" w:type="dxa"/>
            <w:tcBorders>
              <w:top w:val="nil"/>
              <w:left w:val="nil"/>
              <w:bottom w:val="nil"/>
              <w:right w:val="nil"/>
            </w:tcBorders>
            <w:shd w:val="clear" w:color="auto" w:fill="auto"/>
            <w:vAlign w:val="center"/>
            <w:hideMark/>
          </w:tcPr>
          <w:p w14:paraId="166BDB38" w14:textId="77777777" w:rsidR="009616FA" w:rsidRPr="009616FA" w:rsidRDefault="009616FA" w:rsidP="009616FA">
            <w:pPr>
              <w:spacing w:after="0" w:line="240" w:lineRule="auto"/>
              <w:jc w:val="center"/>
              <w:rPr>
                <w:rFonts w:ascii="Calibri" w:eastAsia="Times New Roman" w:hAnsi="Calibri" w:cs="Calibri"/>
                <w:color w:val="000000"/>
                <w:sz w:val="22"/>
              </w:rPr>
            </w:pPr>
          </w:p>
        </w:tc>
        <w:tc>
          <w:tcPr>
            <w:tcW w:w="1266" w:type="dxa"/>
            <w:tcBorders>
              <w:top w:val="nil"/>
              <w:left w:val="nil"/>
              <w:bottom w:val="nil"/>
              <w:right w:val="nil"/>
            </w:tcBorders>
            <w:shd w:val="clear" w:color="auto" w:fill="auto"/>
            <w:noWrap/>
            <w:vAlign w:val="center"/>
            <w:hideMark/>
          </w:tcPr>
          <w:p w14:paraId="42C5B235"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(0.389) </w:t>
            </w:r>
          </w:p>
        </w:tc>
        <w:tc>
          <w:tcPr>
            <w:tcW w:w="1361" w:type="dxa"/>
            <w:tcBorders>
              <w:top w:val="nil"/>
              <w:left w:val="nil"/>
              <w:bottom w:val="nil"/>
              <w:right w:val="nil"/>
            </w:tcBorders>
            <w:shd w:val="clear" w:color="auto" w:fill="auto"/>
            <w:noWrap/>
            <w:vAlign w:val="center"/>
            <w:hideMark/>
          </w:tcPr>
          <w:p w14:paraId="3552844E"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(1.305) </w:t>
            </w:r>
          </w:p>
        </w:tc>
        <w:tc>
          <w:tcPr>
            <w:tcW w:w="1385" w:type="dxa"/>
            <w:tcBorders>
              <w:top w:val="nil"/>
              <w:left w:val="nil"/>
              <w:bottom w:val="nil"/>
              <w:right w:val="nil"/>
            </w:tcBorders>
            <w:shd w:val="clear" w:color="auto" w:fill="auto"/>
            <w:noWrap/>
            <w:vAlign w:val="center"/>
            <w:hideMark/>
          </w:tcPr>
          <w:p w14:paraId="39AA7123"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(0.0751)  </w:t>
            </w:r>
          </w:p>
        </w:tc>
        <w:tc>
          <w:tcPr>
            <w:tcW w:w="1250" w:type="dxa"/>
            <w:tcBorders>
              <w:top w:val="nil"/>
              <w:left w:val="nil"/>
              <w:bottom w:val="nil"/>
              <w:right w:val="nil"/>
            </w:tcBorders>
            <w:shd w:val="clear" w:color="auto" w:fill="auto"/>
            <w:noWrap/>
            <w:vAlign w:val="center"/>
            <w:hideMark/>
          </w:tcPr>
          <w:p w14:paraId="5AC32C85"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(0.485) </w:t>
            </w:r>
          </w:p>
        </w:tc>
        <w:tc>
          <w:tcPr>
            <w:tcW w:w="1250" w:type="dxa"/>
            <w:tcBorders>
              <w:top w:val="nil"/>
              <w:left w:val="nil"/>
              <w:bottom w:val="nil"/>
              <w:right w:val="nil"/>
            </w:tcBorders>
            <w:shd w:val="clear" w:color="auto" w:fill="auto"/>
            <w:noWrap/>
            <w:vAlign w:val="center"/>
            <w:hideMark/>
          </w:tcPr>
          <w:p w14:paraId="0C8FDE3C"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(0.468) </w:t>
            </w:r>
          </w:p>
        </w:tc>
      </w:tr>
      <w:tr w:rsidR="009616FA" w:rsidRPr="009616FA" w14:paraId="4D79532B" w14:textId="77777777" w:rsidTr="009616FA">
        <w:trPr>
          <w:trHeight w:val="224"/>
        </w:trPr>
        <w:tc>
          <w:tcPr>
            <w:tcW w:w="2604" w:type="dxa"/>
            <w:tcBorders>
              <w:top w:val="nil"/>
              <w:left w:val="nil"/>
              <w:bottom w:val="nil"/>
              <w:right w:val="nil"/>
            </w:tcBorders>
            <w:shd w:val="clear" w:color="auto" w:fill="auto"/>
            <w:vAlign w:val="center"/>
            <w:hideMark/>
          </w:tcPr>
          <w:p w14:paraId="60170A3B" w14:textId="77777777" w:rsidR="009616FA" w:rsidRPr="009616FA" w:rsidRDefault="009616FA" w:rsidP="009616FA">
            <w:pPr>
              <w:spacing w:after="0" w:line="240" w:lineRule="auto"/>
              <w:jc w:val="center"/>
              <w:rPr>
                <w:rFonts w:ascii="Calibri" w:eastAsia="Times New Roman" w:hAnsi="Calibri" w:cs="Calibri"/>
                <w:color w:val="000000"/>
                <w:sz w:val="22"/>
              </w:rPr>
            </w:pPr>
          </w:p>
        </w:tc>
        <w:tc>
          <w:tcPr>
            <w:tcW w:w="1266" w:type="dxa"/>
            <w:tcBorders>
              <w:top w:val="nil"/>
              <w:left w:val="nil"/>
              <w:bottom w:val="nil"/>
              <w:right w:val="nil"/>
            </w:tcBorders>
            <w:shd w:val="clear" w:color="auto" w:fill="auto"/>
            <w:noWrap/>
            <w:vAlign w:val="center"/>
            <w:hideMark/>
          </w:tcPr>
          <w:p w14:paraId="6EF056F1" w14:textId="77777777" w:rsidR="009616FA" w:rsidRPr="009616FA" w:rsidRDefault="009616FA" w:rsidP="009616FA">
            <w:pPr>
              <w:spacing w:after="0" w:line="240" w:lineRule="auto"/>
              <w:rPr>
                <w:rFonts w:eastAsia="Times New Roman" w:cs="Times New Roman"/>
                <w:sz w:val="20"/>
                <w:szCs w:val="20"/>
              </w:rPr>
            </w:pPr>
          </w:p>
        </w:tc>
        <w:tc>
          <w:tcPr>
            <w:tcW w:w="1361" w:type="dxa"/>
            <w:tcBorders>
              <w:top w:val="nil"/>
              <w:left w:val="nil"/>
              <w:bottom w:val="nil"/>
              <w:right w:val="nil"/>
            </w:tcBorders>
            <w:shd w:val="clear" w:color="auto" w:fill="auto"/>
            <w:noWrap/>
            <w:vAlign w:val="center"/>
            <w:hideMark/>
          </w:tcPr>
          <w:p w14:paraId="15444FC4" w14:textId="77777777" w:rsidR="009616FA" w:rsidRPr="009616FA" w:rsidRDefault="009616FA" w:rsidP="009616FA">
            <w:pPr>
              <w:spacing w:after="0" w:line="240" w:lineRule="auto"/>
              <w:jc w:val="center"/>
              <w:rPr>
                <w:rFonts w:eastAsia="Times New Roman" w:cs="Times New Roman"/>
                <w:sz w:val="20"/>
                <w:szCs w:val="20"/>
              </w:rPr>
            </w:pPr>
          </w:p>
        </w:tc>
        <w:tc>
          <w:tcPr>
            <w:tcW w:w="1385" w:type="dxa"/>
            <w:tcBorders>
              <w:top w:val="nil"/>
              <w:left w:val="nil"/>
              <w:bottom w:val="nil"/>
              <w:right w:val="nil"/>
            </w:tcBorders>
            <w:shd w:val="clear" w:color="auto" w:fill="auto"/>
            <w:noWrap/>
            <w:vAlign w:val="center"/>
            <w:hideMark/>
          </w:tcPr>
          <w:p w14:paraId="78B4E18D" w14:textId="77777777" w:rsidR="009616FA" w:rsidRPr="009616FA" w:rsidRDefault="009616FA" w:rsidP="009616FA">
            <w:pPr>
              <w:spacing w:after="0" w:line="240" w:lineRule="auto"/>
              <w:jc w:val="center"/>
              <w:rPr>
                <w:rFonts w:eastAsia="Times New Roman" w:cs="Times New Roman"/>
                <w:sz w:val="20"/>
                <w:szCs w:val="20"/>
              </w:rPr>
            </w:pPr>
          </w:p>
        </w:tc>
        <w:tc>
          <w:tcPr>
            <w:tcW w:w="1250" w:type="dxa"/>
            <w:tcBorders>
              <w:top w:val="nil"/>
              <w:left w:val="nil"/>
              <w:bottom w:val="nil"/>
              <w:right w:val="nil"/>
            </w:tcBorders>
            <w:shd w:val="clear" w:color="auto" w:fill="auto"/>
            <w:noWrap/>
            <w:vAlign w:val="center"/>
            <w:hideMark/>
          </w:tcPr>
          <w:p w14:paraId="4E3DC5C6" w14:textId="77777777" w:rsidR="009616FA" w:rsidRPr="009616FA" w:rsidRDefault="009616FA" w:rsidP="009616FA">
            <w:pPr>
              <w:spacing w:after="0" w:line="240" w:lineRule="auto"/>
              <w:jc w:val="center"/>
              <w:rPr>
                <w:rFonts w:eastAsia="Times New Roman" w:cs="Times New Roman"/>
                <w:sz w:val="20"/>
                <w:szCs w:val="20"/>
              </w:rPr>
            </w:pPr>
          </w:p>
        </w:tc>
        <w:tc>
          <w:tcPr>
            <w:tcW w:w="1250" w:type="dxa"/>
            <w:tcBorders>
              <w:top w:val="nil"/>
              <w:left w:val="nil"/>
              <w:bottom w:val="nil"/>
              <w:right w:val="nil"/>
            </w:tcBorders>
            <w:shd w:val="clear" w:color="auto" w:fill="auto"/>
            <w:noWrap/>
            <w:vAlign w:val="center"/>
            <w:hideMark/>
          </w:tcPr>
          <w:p w14:paraId="32D917F8" w14:textId="77777777" w:rsidR="009616FA" w:rsidRPr="009616FA" w:rsidRDefault="009616FA" w:rsidP="009616FA">
            <w:pPr>
              <w:spacing w:after="0" w:line="240" w:lineRule="auto"/>
              <w:jc w:val="center"/>
              <w:rPr>
                <w:rFonts w:eastAsia="Times New Roman" w:cs="Times New Roman"/>
                <w:sz w:val="20"/>
                <w:szCs w:val="20"/>
              </w:rPr>
            </w:pPr>
          </w:p>
        </w:tc>
      </w:tr>
      <w:tr w:rsidR="009616FA" w:rsidRPr="009616FA" w14:paraId="5F13AB15" w14:textId="77777777" w:rsidTr="009616FA">
        <w:trPr>
          <w:trHeight w:val="224"/>
        </w:trPr>
        <w:tc>
          <w:tcPr>
            <w:tcW w:w="2604" w:type="dxa"/>
            <w:tcBorders>
              <w:top w:val="nil"/>
              <w:left w:val="nil"/>
              <w:bottom w:val="nil"/>
              <w:right w:val="nil"/>
            </w:tcBorders>
            <w:shd w:val="clear" w:color="auto" w:fill="auto"/>
            <w:noWrap/>
            <w:vAlign w:val="center"/>
            <w:hideMark/>
          </w:tcPr>
          <w:p w14:paraId="42787CCD"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Observation</w:t>
            </w:r>
          </w:p>
        </w:tc>
        <w:tc>
          <w:tcPr>
            <w:tcW w:w="1266" w:type="dxa"/>
            <w:tcBorders>
              <w:top w:val="nil"/>
              <w:left w:val="nil"/>
              <w:bottom w:val="nil"/>
              <w:right w:val="nil"/>
            </w:tcBorders>
            <w:shd w:val="clear" w:color="auto" w:fill="auto"/>
            <w:noWrap/>
            <w:vAlign w:val="center"/>
            <w:hideMark/>
          </w:tcPr>
          <w:p w14:paraId="235898B2"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10,489</w:t>
            </w:r>
          </w:p>
        </w:tc>
        <w:tc>
          <w:tcPr>
            <w:tcW w:w="1361" w:type="dxa"/>
            <w:tcBorders>
              <w:top w:val="nil"/>
              <w:left w:val="nil"/>
              <w:bottom w:val="nil"/>
              <w:right w:val="nil"/>
            </w:tcBorders>
            <w:shd w:val="clear" w:color="auto" w:fill="auto"/>
            <w:noWrap/>
            <w:vAlign w:val="center"/>
            <w:hideMark/>
          </w:tcPr>
          <w:p w14:paraId="18E69E70"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4,942</w:t>
            </w:r>
          </w:p>
        </w:tc>
        <w:tc>
          <w:tcPr>
            <w:tcW w:w="1385" w:type="dxa"/>
            <w:tcBorders>
              <w:top w:val="nil"/>
              <w:left w:val="nil"/>
              <w:bottom w:val="nil"/>
              <w:right w:val="nil"/>
            </w:tcBorders>
            <w:shd w:val="clear" w:color="auto" w:fill="auto"/>
            <w:noWrap/>
            <w:vAlign w:val="center"/>
            <w:hideMark/>
          </w:tcPr>
          <w:p w14:paraId="6258E3E3"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5,547</w:t>
            </w:r>
          </w:p>
        </w:tc>
        <w:tc>
          <w:tcPr>
            <w:tcW w:w="1250" w:type="dxa"/>
            <w:tcBorders>
              <w:top w:val="nil"/>
              <w:left w:val="nil"/>
              <w:bottom w:val="nil"/>
              <w:right w:val="nil"/>
            </w:tcBorders>
            <w:shd w:val="clear" w:color="auto" w:fill="auto"/>
            <w:noWrap/>
            <w:vAlign w:val="center"/>
            <w:hideMark/>
          </w:tcPr>
          <w:p w14:paraId="072B53F5"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3,603</w:t>
            </w:r>
          </w:p>
        </w:tc>
        <w:tc>
          <w:tcPr>
            <w:tcW w:w="1250" w:type="dxa"/>
            <w:tcBorders>
              <w:top w:val="nil"/>
              <w:left w:val="nil"/>
              <w:bottom w:val="nil"/>
              <w:right w:val="nil"/>
            </w:tcBorders>
            <w:shd w:val="clear" w:color="auto" w:fill="auto"/>
            <w:noWrap/>
            <w:vAlign w:val="center"/>
            <w:hideMark/>
          </w:tcPr>
          <w:p w14:paraId="2440A556"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 xml:space="preserve">6,886 </w:t>
            </w:r>
          </w:p>
        </w:tc>
      </w:tr>
      <w:tr w:rsidR="009616FA" w:rsidRPr="009616FA" w14:paraId="63DB121E" w14:textId="77777777" w:rsidTr="009616FA">
        <w:trPr>
          <w:trHeight w:val="224"/>
        </w:trPr>
        <w:tc>
          <w:tcPr>
            <w:tcW w:w="3870" w:type="dxa"/>
            <w:gridSpan w:val="2"/>
            <w:tcBorders>
              <w:top w:val="nil"/>
              <w:left w:val="nil"/>
              <w:bottom w:val="nil"/>
              <w:right w:val="nil"/>
            </w:tcBorders>
            <w:shd w:val="clear" w:color="auto" w:fill="auto"/>
            <w:noWrap/>
            <w:vAlign w:val="center"/>
            <w:hideMark/>
          </w:tcPr>
          <w:p w14:paraId="1097327A"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Weak-identification test</w:t>
            </w:r>
          </w:p>
        </w:tc>
        <w:tc>
          <w:tcPr>
            <w:tcW w:w="1361" w:type="dxa"/>
            <w:tcBorders>
              <w:top w:val="nil"/>
              <w:left w:val="nil"/>
              <w:bottom w:val="nil"/>
              <w:right w:val="nil"/>
            </w:tcBorders>
            <w:shd w:val="clear" w:color="auto" w:fill="auto"/>
            <w:noWrap/>
            <w:vAlign w:val="center"/>
            <w:hideMark/>
          </w:tcPr>
          <w:p w14:paraId="137830BD" w14:textId="77777777" w:rsidR="009616FA" w:rsidRPr="009616FA" w:rsidRDefault="009616FA" w:rsidP="009616FA">
            <w:pPr>
              <w:spacing w:after="0" w:line="240" w:lineRule="auto"/>
              <w:rPr>
                <w:rFonts w:ascii="Calibri" w:eastAsia="Times New Roman" w:hAnsi="Calibri" w:cs="Calibri"/>
                <w:color w:val="000000"/>
                <w:sz w:val="22"/>
              </w:rPr>
            </w:pPr>
          </w:p>
        </w:tc>
        <w:tc>
          <w:tcPr>
            <w:tcW w:w="1385" w:type="dxa"/>
            <w:tcBorders>
              <w:top w:val="nil"/>
              <w:left w:val="nil"/>
              <w:bottom w:val="nil"/>
              <w:right w:val="nil"/>
            </w:tcBorders>
            <w:shd w:val="clear" w:color="auto" w:fill="auto"/>
            <w:noWrap/>
            <w:vAlign w:val="center"/>
            <w:hideMark/>
          </w:tcPr>
          <w:p w14:paraId="04F281E7" w14:textId="77777777" w:rsidR="009616FA" w:rsidRPr="009616FA" w:rsidRDefault="009616FA" w:rsidP="009616FA">
            <w:pPr>
              <w:spacing w:after="0" w:line="240" w:lineRule="auto"/>
              <w:jc w:val="center"/>
              <w:rPr>
                <w:rFonts w:eastAsia="Times New Roman" w:cs="Times New Roman"/>
                <w:sz w:val="20"/>
                <w:szCs w:val="20"/>
              </w:rPr>
            </w:pPr>
          </w:p>
        </w:tc>
        <w:tc>
          <w:tcPr>
            <w:tcW w:w="1250" w:type="dxa"/>
            <w:tcBorders>
              <w:top w:val="nil"/>
              <w:left w:val="nil"/>
              <w:bottom w:val="nil"/>
              <w:right w:val="nil"/>
            </w:tcBorders>
            <w:shd w:val="clear" w:color="auto" w:fill="auto"/>
            <w:noWrap/>
            <w:vAlign w:val="center"/>
            <w:hideMark/>
          </w:tcPr>
          <w:p w14:paraId="666E3A15" w14:textId="77777777" w:rsidR="009616FA" w:rsidRPr="009616FA" w:rsidRDefault="009616FA" w:rsidP="009616FA">
            <w:pPr>
              <w:spacing w:after="0" w:line="240" w:lineRule="auto"/>
              <w:jc w:val="center"/>
              <w:rPr>
                <w:rFonts w:eastAsia="Times New Roman" w:cs="Times New Roman"/>
                <w:sz w:val="20"/>
                <w:szCs w:val="20"/>
              </w:rPr>
            </w:pPr>
          </w:p>
        </w:tc>
        <w:tc>
          <w:tcPr>
            <w:tcW w:w="1250" w:type="dxa"/>
            <w:tcBorders>
              <w:top w:val="nil"/>
              <w:left w:val="nil"/>
              <w:bottom w:val="nil"/>
              <w:right w:val="nil"/>
            </w:tcBorders>
            <w:shd w:val="clear" w:color="auto" w:fill="auto"/>
            <w:noWrap/>
            <w:vAlign w:val="center"/>
            <w:hideMark/>
          </w:tcPr>
          <w:p w14:paraId="2DB71631" w14:textId="77777777" w:rsidR="009616FA" w:rsidRPr="009616FA" w:rsidRDefault="009616FA" w:rsidP="009616FA">
            <w:pPr>
              <w:spacing w:after="0" w:line="240" w:lineRule="auto"/>
              <w:jc w:val="center"/>
              <w:rPr>
                <w:rFonts w:eastAsia="Times New Roman" w:cs="Times New Roman"/>
                <w:sz w:val="20"/>
                <w:szCs w:val="20"/>
              </w:rPr>
            </w:pPr>
          </w:p>
        </w:tc>
      </w:tr>
      <w:tr w:rsidR="009616FA" w:rsidRPr="009616FA" w14:paraId="3E7E8E28" w14:textId="77777777" w:rsidTr="009616FA">
        <w:trPr>
          <w:trHeight w:val="448"/>
        </w:trPr>
        <w:tc>
          <w:tcPr>
            <w:tcW w:w="2604" w:type="dxa"/>
            <w:tcBorders>
              <w:top w:val="nil"/>
              <w:left w:val="nil"/>
              <w:bottom w:val="nil"/>
              <w:right w:val="nil"/>
            </w:tcBorders>
            <w:shd w:val="clear" w:color="auto" w:fill="auto"/>
            <w:vAlign w:val="center"/>
            <w:hideMark/>
          </w:tcPr>
          <w:p w14:paraId="6652EB34"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 xml:space="preserve">     Kleibergen-Paap F Statistic</w:t>
            </w:r>
          </w:p>
        </w:tc>
        <w:tc>
          <w:tcPr>
            <w:tcW w:w="1266" w:type="dxa"/>
            <w:tcBorders>
              <w:top w:val="nil"/>
              <w:left w:val="nil"/>
              <w:bottom w:val="nil"/>
              <w:right w:val="nil"/>
            </w:tcBorders>
            <w:shd w:val="clear" w:color="auto" w:fill="auto"/>
            <w:noWrap/>
            <w:vAlign w:val="center"/>
            <w:hideMark/>
          </w:tcPr>
          <w:p w14:paraId="16160FB9"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17.056</w:t>
            </w:r>
          </w:p>
        </w:tc>
        <w:tc>
          <w:tcPr>
            <w:tcW w:w="1361" w:type="dxa"/>
            <w:tcBorders>
              <w:top w:val="nil"/>
              <w:left w:val="nil"/>
              <w:bottom w:val="nil"/>
              <w:right w:val="nil"/>
            </w:tcBorders>
            <w:shd w:val="clear" w:color="auto" w:fill="auto"/>
            <w:noWrap/>
            <w:vAlign w:val="center"/>
            <w:hideMark/>
          </w:tcPr>
          <w:p w14:paraId="6765D9E9"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3.229</w:t>
            </w:r>
          </w:p>
        </w:tc>
        <w:tc>
          <w:tcPr>
            <w:tcW w:w="1385" w:type="dxa"/>
            <w:tcBorders>
              <w:top w:val="nil"/>
              <w:left w:val="nil"/>
              <w:bottom w:val="nil"/>
              <w:right w:val="nil"/>
            </w:tcBorders>
            <w:shd w:val="clear" w:color="auto" w:fill="auto"/>
            <w:noWrap/>
            <w:vAlign w:val="center"/>
            <w:hideMark/>
          </w:tcPr>
          <w:p w14:paraId="4965B834"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16.499</w:t>
            </w:r>
          </w:p>
        </w:tc>
        <w:tc>
          <w:tcPr>
            <w:tcW w:w="1250" w:type="dxa"/>
            <w:tcBorders>
              <w:top w:val="nil"/>
              <w:left w:val="nil"/>
              <w:bottom w:val="nil"/>
              <w:right w:val="nil"/>
            </w:tcBorders>
            <w:shd w:val="clear" w:color="auto" w:fill="auto"/>
            <w:noWrap/>
            <w:vAlign w:val="center"/>
            <w:hideMark/>
          </w:tcPr>
          <w:p w14:paraId="5E5886B2"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10.771</w:t>
            </w:r>
          </w:p>
        </w:tc>
        <w:tc>
          <w:tcPr>
            <w:tcW w:w="1250" w:type="dxa"/>
            <w:tcBorders>
              <w:top w:val="nil"/>
              <w:left w:val="nil"/>
              <w:bottom w:val="nil"/>
              <w:right w:val="nil"/>
            </w:tcBorders>
            <w:shd w:val="clear" w:color="auto" w:fill="auto"/>
            <w:noWrap/>
            <w:vAlign w:val="center"/>
            <w:hideMark/>
          </w:tcPr>
          <w:p w14:paraId="05343269"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13.946</w:t>
            </w:r>
          </w:p>
        </w:tc>
      </w:tr>
      <w:tr w:rsidR="009616FA" w:rsidRPr="009616FA" w14:paraId="17356125" w14:textId="77777777" w:rsidTr="009616FA">
        <w:trPr>
          <w:trHeight w:val="224"/>
        </w:trPr>
        <w:tc>
          <w:tcPr>
            <w:tcW w:w="3870" w:type="dxa"/>
            <w:gridSpan w:val="2"/>
            <w:tcBorders>
              <w:top w:val="nil"/>
              <w:left w:val="nil"/>
              <w:bottom w:val="nil"/>
              <w:right w:val="nil"/>
            </w:tcBorders>
            <w:shd w:val="clear" w:color="auto" w:fill="auto"/>
            <w:noWrap/>
            <w:vAlign w:val="center"/>
            <w:hideMark/>
          </w:tcPr>
          <w:p w14:paraId="18206E39"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Over-identification test</w:t>
            </w:r>
          </w:p>
        </w:tc>
        <w:tc>
          <w:tcPr>
            <w:tcW w:w="1361" w:type="dxa"/>
            <w:tcBorders>
              <w:top w:val="nil"/>
              <w:left w:val="nil"/>
              <w:bottom w:val="nil"/>
              <w:right w:val="nil"/>
            </w:tcBorders>
            <w:shd w:val="clear" w:color="auto" w:fill="auto"/>
            <w:noWrap/>
            <w:vAlign w:val="center"/>
            <w:hideMark/>
          </w:tcPr>
          <w:p w14:paraId="2F314472" w14:textId="77777777" w:rsidR="009616FA" w:rsidRPr="009616FA" w:rsidRDefault="009616FA" w:rsidP="009616FA">
            <w:pPr>
              <w:spacing w:after="0" w:line="240" w:lineRule="auto"/>
              <w:rPr>
                <w:rFonts w:ascii="Calibri" w:eastAsia="Times New Roman" w:hAnsi="Calibri" w:cs="Calibri"/>
                <w:color w:val="000000"/>
                <w:sz w:val="22"/>
              </w:rPr>
            </w:pPr>
          </w:p>
        </w:tc>
        <w:tc>
          <w:tcPr>
            <w:tcW w:w="1385" w:type="dxa"/>
            <w:tcBorders>
              <w:top w:val="nil"/>
              <w:left w:val="nil"/>
              <w:bottom w:val="nil"/>
              <w:right w:val="nil"/>
            </w:tcBorders>
            <w:shd w:val="clear" w:color="auto" w:fill="auto"/>
            <w:noWrap/>
            <w:vAlign w:val="center"/>
            <w:hideMark/>
          </w:tcPr>
          <w:p w14:paraId="101B84B0" w14:textId="77777777" w:rsidR="009616FA" w:rsidRPr="009616FA" w:rsidRDefault="009616FA" w:rsidP="009616FA">
            <w:pPr>
              <w:spacing w:after="0" w:line="240" w:lineRule="auto"/>
              <w:jc w:val="center"/>
              <w:rPr>
                <w:rFonts w:eastAsia="Times New Roman" w:cs="Times New Roman"/>
                <w:sz w:val="20"/>
                <w:szCs w:val="20"/>
              </w:rPr>
            </w:pPr>
          </w:p>
        </w:tc>
        <w:tc>
          <w:tcPr>
            <w:tcW w:w="1250" w:type="dxa"/>
            <w:tcBorders>
              <w:top w:val="nil"/>
              <w:left w:val="nil"/>
              <w:bottom w:val="nil"/>
              <w:right w:val="nil"/>
            </w:tcBorders>
            <w:shd w:val="clear" w:color="auto" w:fill="auto"/>
            <w:noWrap/>
            <w:vAlign w:val="center"/>
            <w:hideMark/>
          </w:tcPr>
          <w:p w14:paraId="0ABDFB0E" w14:textId="77777777" w:rsidR="009616FA" w:rsidRPr="009616FA" w:rsidRDefault="009616FA" w:rsidP="009616FA">
            <w:pPr>
              <w:spacing w:after="0" w:line="240" w:lineRule="auto"/>
              <w:jc w:val="center"/>
              <w:rPr>
                <w:rFonts w:eastAsia="Times New Roman" w:cs="Times New Roman"/>
                <w:sz w:val="20"/>
                <w:szCs w:val="20"/>
              </w:rPr>
            </w:pPr>
          </w:p>
        </w:tc>
        <w:tc>
          <w:tcPr>
            <w:tcW w:w="1250" w:type="dxa"/>
            <w:tcBorders>
              <w:top w:val="nil"/>
              <w:left w:val="nil"/>
              <w:bottom w:val="nil"/>
              <w:right w:val="nil"/>
            </w:tcBorders>
            <w:shd w:val="clear" w:color="auto" w:fill="auto"/>
            <w:noWrap/>
            <w:vAlign w:val="center"/>
            <w:hideMark/>
          </w:tcPr>
          <w:p w14:paraId="3554F485" w14:textId="77777777" w:rsidR="009616FA" w:rsidRPr="009616FA" w:rsidRDefault="009616FA" w:rsidP="009616FA">
            <w:pPr>
              <w:spacing w:after="0" w:line="240" w:lineRule="auto"/>
              <w:jc w:val="center"/>
              <w:rPr>
                <w:rFonts w:eastAsia="Times New Roman" w:cs="Times New Roman"/>
                <w:sz w:val="20"/>
                <w:szCs w:val="20"/>
              </w:rPr>
            </w:pPr>
          </w:p>
        </w:tc>
      </w:tr>
      <w:tr w:rsidR="009616FA" w:rsidRPr="009616FA" w14:paraId="2CF3C7BB" w14:textId="77777777" w:rsidTr="009616FA">
        <w:trPr>
          <w:trHeight w:val="224"/>
        </w:trPr>
        <w:tc>
          <w:tcPr>
            <w:tcW w:w="2604" w:type="dxa"/>
            <w:tcBorders>
              <w:top w:val="nil"/>
              <w:left w:val="nil"/>
              <w:bottom w:val="nil"/>
              <w:right w:val="nil"/>
            </w:tcBorders>
            <w:shd w:val="clear" w:color="auto" w:fill="auto"/>
            <w:noWrap/>
            <w:vAlign w:val="center"/>
            <w:hideMark/>
          </w:tcPr>
          <w:p w14:paraId="75DC7F36"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 xml:space="preserve">      Hansen J Statistic</w:t>
            </w:r>
          </w:p>
        </w:tc>
        <w:tc>
          <w:tcPr>
            <w:tcW w:w="1266" w:type="dxa"/>
            <w:tcBorders>
              <w:top w:val="nil"/>
              <w:left w:val="nil"/>
              <w:bottom w:val="nil"/>
              <w:right w:val="nil"/>
            </w:tcBorders>
            <w:shd w:val="clear" w:color="auto" w:fill="auto"/>
            <w:noWrap/>
            <w:vAlign w:val="center"/>
            <w:hideMark/>
          </w:tcPr>
          <w:p w14:paraId="2709325B"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0.425</w:t>
            </w:r>
          </w:p>
        </w:tc>
        <w:tc>
          <w:tcPr>
            <w:tcW w:w="1361" w:type="dxa"/>
            <w:tcBorders>
              <w:top w:val="nil"/>
              <w:left w:val="nil"/>
              <w:bottom w:val="nil"/>
              <w:right w:val="nil"/>
            </w:tcBorders>
            <w:shd w:val="clear" w:color="auto" w:fill="auto"/>
            <w:noWrap/>
            <w:vAlign w:val="center"/>
            <w:hideMark/>
          </w:tcPr>
          <w:p w14:paraId="26DD8ABA"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0.435</w:t>
            </w:r>
          </w:p>
        </w:tc>
        <w:tc>
          <w:tcPr>
            <w:tcW w:w="1385" w:type="dxa"/>
            <w:tcBorders>
              <w:top w:val="nil"/>
              <w:left w:val="nil"/>
              <w:bottom w:val="nil"/>
              <w:right w:val="nil"/>
            </w:tcBorders>
            <w:shd w:val="clear" w:color="auto" w:fill="auto"/>
            <w:noWrap/>
            <w:vAlign w:val="center"/>
            <w:hideMark/>
          </w:tcPr>
          <w:p w14:paraId="1C1FC7DB"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0.389</w:t>
            </w:r>
          </w:p>
        </w:tc>
        <w:tc>
          <w:tcPr>
            <w:tcW w:w="1250" w:type="dxa"/>
            <w:tcBorders>
              <w:top w:val="nil"/>
              <w:left w:val="nil"/>
              <w:bottom w:val="nil"/>
              <w:right w:val="nil"/>
            </w:tcBorders>
            <w:shd w:val="clear" w:color="auto" w:fill="auto"/>
            <w:noWrap/>
            <w:vAlign w:val="center"/>
            <w:hideMark/>
          </w:tcPr>
          <w:p w14:paraId="0A42DE93"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0.441</w:t>
            </w:r>
          </w:p>
        </w:tc>
        <w:tc>
          <w:tcPr>
            <w:tcW w:w="1250" w:type="dxa"/>
            <w:tcBorders>
              <w:top w:val="nil"/>
              <w:left w:val="nil"/>
              <w:bottom w:val="nil"/>
              <w:right w:val="nil"/>
            </w:tcBorders>
            <w:shd w:val="clear" w:color="auto" w:fill="auto"/>
            <w:noWrap/>
            <w:vAlign w:val="center"/>
            <w:hideMark/>
          </w:tcPr>
          <w:p w14:paraId="426161DA"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0.503</w:t>
            </w:r>
          </w:p>
        </w:tc>
      </w:tr>
      <w:tr w:rsidR="009616FA" w:rsidRPr="009616FA" w14:paraId="6F407F0F" w14:textId="77777777" w:rsidTr="009616FA">
        <w:trPr>
          <w:trHeight w:val="233"/>
        </w:trPr>
        <w:tc>
          <w:tcPr>
            <w:tcW w:w="2604" w:type="dxa"/>
            <w:tcBorders>
              <w:top w:val="nil"/>
              <w:left w:val="nil"/>
              <w:bottom w:val="double" w:sz="6" w:space="0" w:color="auto"/>
              <w:right w:val="nil"/>
            </w:tcBorders>
            <w:shd w:val="clear" w:color="auto" w:fill="auto"/>
            <w:noWrap/>
            <w:vAlign w:val="center"/>
            <w:hideMark/>
          </w:tcPr>
          <w:p w14:paraId="1F421B1D" w14:textId="77777777" w:rsidR="009616FA" w:rsidRPr="009616FA" w:rsidRDefault="009616FA" w:rsidP="009616FA">
            <w:pPr>
              <w:spacing w:after="0" w:line="240" w:lineRule="auto"/>
              <w:rPr>
                <w:rFonts w:ascii="Calibri" w:eastAsia="Times New Roman" w:hAnsi="Calibri" w:cs="Calibri"/>
                <w:color w:val="000000"/>
                <w:sz w:val="22"/>
              </w:rPr>
            </w:pPr>
            <w:r w:rsidRPr="009616FA">
              <w:rPr>
                <w:rFonts w:ascii="Calibri" w:eastAsia="Times New Roman" w:hAnsi="Calibri" w:cs="Calibri"/>
                <w:color w:val="000000"/>
                <w:sz w:val="22"/>
              </w:rPr>
              <w:t xml:space="preserve">      P-values for J test </w:t>
            </w:r>
          </w:p>
        </w:tc>
        <w:tc>
          <w:tcPr>
            <w:tcW w:w="1266" w:type="dxa"/>
            <w:tcBorders>
              <w:top w:val="nil"/>
              <w:left w:val="nil"/>
              <w:bottom w:val="double" w:sz="6" w:space="0" w:color="auto"/>
              <w:right w:val="nil"/>
            </w:tcBorders>
            <w:shd w:val="clear" w:color="auto" w:fill="auto"/>
            <w:noWrap/>
            <w:vAlign w:val="center"/>
            <w:hideMark/>
          </w:tcPr>
          <w:p w14:paraId="4616FAA1"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0.515</w:t>
            </w:r>
          </w:p>
        </w:tc>
        <w:tc>
          <w:tcPr>
            <w:tcW w:w="1361" w:type="dxa"/>
            <w:tcBorders>
              <w:top w:val="nil"/>
              <w:left w:val="nil"/>
              <w:bottom w:val="double" w:sz="6" w:space="0" w:color="auto"/>
              <w:right w:val="nil"/>
            </w:tcBorders>
            <w:shd w:val="clear" w:color="auto" w:fill="auto"/>
            <w:noWrap/>
            <w:vAlign w:val="center"/>
            <w:hideMark/>
          </w:tcPr>
          <w:p w14:paraId="7A99DD2F"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0.510</w:t>
            </w:r>
          </w:p>
        </w:tc>
        <w:tc>
          <w:tcPr>
            <w:tcW w:w="1385" w:type="dxa"/>
            <w:tcBorders>
              <w:top w:val="nil"/>
              <w:left w:val="nil"/>
              <w:bottom w:val="double" w:sz="6" w:space="0" w:color="auto"/>
              <w:right w:val="nil"/>
            </w:tcBorders>
            <w:shd w:val="clear" w:color="auto" w:fill="auto"/>
            <w:noWrap/>
            <w:vAlign w:val="center"/>
            <w:hideMark/>
          </w:tcPr>
          <w:p w14:paraId="7BC74716"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0.533</w:t>
            </w:r>
          </w:p>
        </w:tc>
        <w:tc>
          <w:tcPr>
            <w:tcW w:w="1250" w:type="dxa"/>
            <w:tcBorders>
              <w:top w:val="nil"/>
              <w:left w:val="nil"/>
              <w:bottom w:val="double" w:sz="6" w:space="0" w:color="auto"/>
              <w:right w:val="nil"/>
            </w:tcBorders>
            <w:shd w:val="clear" w:color="auto" w:fill="auto"/>
            <w:noWrap/>
            <w:vAlign w:val="center"/>
            <w:hideMark/>
          </w:tcPr>
          <w:p w14:paraId="26FF104E"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0.506</w:t>
            </w:r>
          </w:p>
        </w:tc>
        <w:tc>
          <w:tcPr>
            <w:tcW w:w="1250" w:type="dxa"/>
            <w:tcBorders>
              <w:top w:val="nil"/>
              <w:left w:val="nil"/>
              <w:bottom w:val="double" w:sz="6" w:space="0" w:color="auto"/>
              <w:right w:val="nil"/>
            </w:tcBorders>
            <w:shd w:val="clear" w:color="auto" w:fill="auto"/>
            <w:noWrap/>
            <w:vAlign w:val="center"/>
            <w:hideMark/>
          </w:tcPr>
          <w:p w14:paraId="222136D0" w14:textId="77777777" w:rsidR="009616FA" w:rsidRPr="009616FA" w:rsidRDefault="009616FA" w:rsidP="009616FA">
            <w:pPr>
              <w:spacing w:after="0" w:line="240" w:lineRule="auto"/>
              <w:jc w:val="center"/>
              <w:rPr>
                <w:rFonts w:ascii="Calibri" w:eastAsia="Times New Roman" w:hAnsi="Calibri" w:cs="Calibri"/>
                <w:color w:val="000000"/>
                <w:sz w:val="22"/>
              </w:rPr>
            </w:pPr>
            <w:r w:rsidRPr="009616FA">
              <w:rPr>
                <w:rFonts w:ascii="Calibri" w:eastAsia="Times New Roman" w:hAnsi="Calibri" w:cs="Calibri"/>
                <w:color w:val="000000"/>
                <w:sz w:val="22"/>
              </w:rPr>
              <w:t>0.478</w:t>
            </w:r>
          </w:p>
        </w:tc>
      </w:tr>
    </w:tbl>
    <w:p w14:paraId="30BB191F" w14:textId="77777777" w:rsidR="008B70F4" w:rsidRPr="006B4002" w:rsidRDefault="008B70F4" w:rsidP="008B70F4">
      <w:pPr>
        <w:rPr>
          <w:sz w:val="22"/>
          <w:szCs w:val="20"/>
        </w:rPr>
      </w:pPr>
      <w:r w:rsidRPr="006B4002">
        <w:rPr>
          <w:i/>
          <w:iCs/>
          <w:sz w:val="22"/>
          <w:szCs w:val="20"/>
        </w:rPr>
        <w:t>Notes</w:t>
      </w:r>
      <w:r w:rsidRPr="006B4002">
        <w:rPr>
          <w:sz w:val="22"/>
          <w:szCs w:val="20"/>
        </w:rPr>
        <w:t xml:space="preserve">: All columns control for all demographic characteristics and all fixed effects. </w:t>
      </w:r>
    </w:p>
    <w:p w14:paraId="2C2BF967" w14:textId="1047081C" w:rsidR="008B70F4" w:rsidRPr="006B4002" w:rsidRDefault="008B70F4" w:rsidP="00B6507E">
      <w:pPr>
        <w:rPr>
          <w:rFonts w:cs="Times New Roman"/>
          <w:sz w:val="22"/>
          <w:lang w:val="en-US"/>
        </w:rPr>
      </w:pPr>
      <w:r w:rsidRPr="006B4002">
        <w:rPr>
          <w:sz w:val="22"/>
          <w:szCs w:val="20"/>
        </w:rPr>
        <w:t xml:space="preserve">***p&lt;0.01, **p&lt;0.05. *p&lt;0.1. </w:t>
      </w:r>
    </w:p>
    <w:p w14:paraId="32ECE27E" w14:textId="0E94998D" w:rsidR="009616FA" w:rsidRPr="00712560" w:rsidRDefault="00B6507E" w:rsidP="004A6FA2">
      <w:pPr>
        <w:spacing w:line="360" w:lineRule="auto"/>
        <w:ind w:firstLine="567"/>
        <w:jc w:val="both"/>
        <w:rPr>
          <w:strike/>
        </w:rPr>
      </w:pPr>
      <w:r w:rsidRPr="00B6507E">
        <w:lastRenderedPageBreak/>
        <w:t xml:space="preserve">Table 12 measures the effect of education on the number of cigarettes smoked per day. Panel A implies that education can effectively reduce cigarette consumption, where an additional year of schooling decreases the number of cigarettes by 0.12 units per day at 1% significant level in general. Panel B shows that one more year of education can reduce the number of </w:t>
      </w:r>
      <w:proofErr w:type="gramStart"/>
      <w:r w:rsidRPr="00B6507E">
        <w:t>cigarette</w:t>
      </w:r>
      <w:proofErr w:type="gramEnd"/>
      <w:r w:rsidRPr="00B6507E">
        <w:t xml:space="preserve"> smoking by about 1 unit in urban, which is about 6 times larger than its OLS coefficient (0.16), but there is no significant overall causal effect. </w:t>
      </w:r>
    </w:p>
    <w:p w14:paraId="6382C33E" w14:textId="77777777" w:rsidR="00B6507E" w:rsidRPr="002973B5" w:rsidRDefault="00B6507E" w:rsidP="004F1AAC">
      <w:pPr>
        <w:spacing w:line="360" w:lineRule="auto"/>
        <w:ind w:firstLine="567"/>
      </w:pPr>
    </w:p>
    <w:p w14:paraId="657AB22C" w14:textId="410E4394" w:rsidR="00CD42DA" w:rsidRPr="00140CC8" w:rsidRDefault="008F7B1E" w:rsidP="008F7B1E">
      <w:pPr>
        <w:pStyle w:val="Heading3"/>
        <w:spacing w:line="360" w:lineRule="auto"/>
      </w:pPr>
      <w:bookmarkStart w:id="35" w:name="_Toc41312376"/>
      <w:r>
        <w:t>5.2</w:t>
      </w:r>
      <w:r w:rsidR="00CD42DA">
        <w:t>.</w:t>
      </w:r>
      <w:r w:rsidR="00EE6890">
        <w:t xml:space="preserve">4 </w:t>
      </w:r>
      <w:r w:rsidR="00CD42DA">
        <w:t xml:space="preserve">Effect of education on physical </w:t>
      </w:r>
      <w:r w:rsidR="00CD42DA">
        <w:rPr>
          <w:rFonts w:hint="eastAsia"/>
        </w:rPr>
        <w:t>activit</w:t>
      </w:r>
      <w:r w:rsidR="006A4C6B">
        <w:t>y</w:t>
      </w:r>
      <w:bookmarkEnd w:id="35"/>
    </w:p>
    <w:p w14:paraId="7D0EAE4D" w14:textId="5C15F802" w:rsidR="005B3A45" w:rsidRDefault="005B3A45" w:rsidP="008F7B1E">
      <w:r>
        <w:rPr>
          <w:rFonts w:hint="eastAsia"/>
        </w:rPr>
        <w:t>Ta</w:t>
      </w:r>
      <w:r>
        <w:t xml:space="preserve">ble </w:t>
      </w:r>
      <w:r w:rsidR="00957379">
        <w:t>1</w:t>
      </w:r>
      <w:r w:rsidR="00283BCE">
        <w:t>3</w:t>
      </w:r>
      <w:r>
        <w:t xml:space="preserve">. </w:t>
      </w:r>
      <w:r w:rsidR="00462BC5">
        <w:t>R</w:t>
      </w:r>
      <w:r>
        <w:t xml:space="preserve">esults of education on physical </w:t>
      </w:r>
      <w:r>
        <w:rPr>
          <w:rFonts w:hint="eastAsia"/>
        </w:rPr>
        <w:t>activit</w:t>
      </w:r>
      <w:r w:rsidR="006A4C6B">
        <w:t>y</w:t>
      </w:r>
    </w:p>
    <w:tbl>
      <w:tblPr>
        <w:tblW w:w="9156" w:type="dxa"/>
        <w:tblLook w:val="04A0" w:firstRow="1" w:lastRow="0" w:firstColumn="1" w:lastColumn="0" w:noHBand="0" w:noVBand="1"/>
      </w:tblPr>
      <w:tblGrid>
        <w:gridCol w:w="2519"/>
        <w:gridCol w:w="1328"/>
        <w:gridCol w:w="1326"/>
        <w:gridCol w:w="1328"/>
        <w:gridCol w:w="1326"/>
        <w:gridCol w:w="1329"/>
      </w:tblGrid>
      <w:tr w:rsidR="00A85915" w:rsidRPr="00A85915" w14:paraId="6A606233" w14:textId="77777777" w:rsidTr="00A85915">
        <w:trPr>
          <w:trHeight w:val="231"/>
        </w:trPr>
        <w:tc>
          <w:tcPr>
            <w:tcW w:w="2519" w:type="dxa"/>
            <w:tcBorders>
              <w:top w:val="single" w:sz="4" w:space="0" w:color="auto"/>
              <w:left w:val="nil"/>
              <w:bottom w:val="nil"/>
              <w:right w:val="nil"/>
            </w:tcBorders>
            <w:shd w:val="clear" w:color="auto" w:fill="auto"/>
            <w:noWrap/>
            <w:vAlign w:val="bottom"/>
            <w:hideMark/>
          </w:tcPr>
          <w:p w14:paraId="2D2C1886" w14:textId="77777777" w:rsidR="00A85915" w:rsidRPr="00A85915" w:rsidRDefault="00A85915" w:rsidP="00A85915">
            <w:pPr>
              <w:spacing w:after="0" w:line="240" w:lineRule="auto"/>
              <w:rPr>
                <w:rFonts w:ascii="Calibri" w:eastAsia="Times New Roman" w:hAnsi="Calibri" w:cs="Calibri"/>
                <w:color w:val="000000"/>
                <w:sz w:val="22"/>
              </w:rPr>
            </w:pPr>
            <w:r w:rsidRPr="00A85915">
              <w:rPr>
                <w:rFonts w:ascii="Calibri" w:eastAsia="Times New Roman" w:hAnsi="Calibri" w:cs="Calibri"/>
                <w:color w:val="000000"/>
                <w:sz w:val="22"/>
              </w:rPr>
              <w:t> </w:t>
            </w:r>
          </w:p>
        </w:tc>
        <w:tc>
          <w:tcPr>
            <w:tcW w:w="1328" w:type="dxa"/>
            <w:tcBorders>
              <w:top w:val="single" w:sz="4" w:space="0" w:color="auto"/>
              <w:left w:val="nil"/>
              <w:bottom w:val="nil"/>
              <w:right w:val="nil"/>
            </w:tcBorders>
            <w:shd w:val="clear" w:color="auto" w:fill="auto"/>
            <w:noWrap/>
            <w:vAlign w:val="center"/>
            <w:hideMark/>
          </w:tcPr>
          <w:p w14:paraId="0FB5900B"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(1)</w:t>
            </w:r>
          </w:p>
        </w:tc>
        <w:tc>
          <w:tcPr>
            <w:tcW w:w="1326" w:type="dxa"/>
            <w:tcBorders>
              <w:top w:val="single" w:sz="4" w:space="0" w:color="auto"/>
              <w:left w:val="nil"/>
              <w:bottom w:val="nil"/>
              <w:right w:val="nil"/>
            </w:tcBorders>
            <w:shd w:val="clear" w:color="auto" w:fill="auto"/>
            <w:noWrap/>
            <w:vAlign w:val="center"/>
            <w:hideMark/>
          </w:tcPr>
          <w:p w14:paraId="4363B4C9"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(2)</w:t>
            </w:r>
          </w:p>
        </w:tc>
        <w:tc>
          <w:tcPr>
            <w:tcW w:w="1328" w:type="dxa"/>
            <w:tcBorders>
              <w:top w:val="single" w:sz="4" w:space="0" w:color="auto"/>
              <w:left w:val="nil"/>
              <w:bottom w:val="nil"/>
              <w:right w:val="nil"/>
            </w:tcBorders>
            <w:shd w:val="clear" w:color="auto" w:fill="auto"/>
            <w:noWrap/>
            <w:vAlign w:val="center"/>
            <w:hideMark/>
          </w:tcPr>
          <w:p w14:paraId="631B6519"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(3)</w:t>
            </w:r>
          </w:p>
        </w:tc>
        <w:tc>
          <w:tcPr>
            <w:tcW w:w="1326" w:type="dxa"/>
            <w:tcBorders>
              <w:top w:val="single" w:sz="4" w:space="0" w:color="auto"/>
              <w:left w:val="nil"/>
              <w:bottom w:val="nil"/>
              <w:right w:val="nil"/>
            </w:tcBorders>
            <w:shd w:val="clear" w:color="auto" w:fill="auto"/>
            <w:noWrap/>
            <w:vAlign w:val="center"/>
            <w:hideMark/>
          </w:tcPr>
          <w:p w14:paraId="2D02675F"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(4)</w:t>
            </w:r>
          </w:p>
        </w:tc>
        <w:tc>
          <w:tcPr>
            <w:tcW w:w="1328" w:type="dxa"/>
            <w:tcBorders>
              <w:top w:val="single" w:sz="4" w:space="0" w:color="auto"/>
              <w:left w:val="nil"/>
              <w:bottom w:val="nil"/>
              <w:right w:val="nil"/>
            </w:tcBorders>
            <w:shd w:val="clear" w:color="auto" w:fill="auto"/>
            <w:noWrap/>
            <w:vAlign w:val="center"/>
            <w:hideMark/>
          </w:tcPr>
          <w:p w14:paraId="50446195"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(5)</w:t>
            </w:r>
          </w:p>
        </w:tc>
      </w:tr>
      <w:tr w:rsidR="00A85915" w:rsidRPr="00A85915" w14:paraId="06286AB9" w14:textId="77777777" w:rsidTr="00A85915">
        <w:trPr>
          <w:trHeight w:val="231"/>
        </w:trPr>
        <w:tc>
          <w:tcPr>
            <w:tcW w:w="2519" w:type="dxa"/>
            <w:vMerge w:val="restart"/>
            <w:tcBorders>
              <w:top w:val="nil"/>
              <w:left w:val="nil"/>
              <w:bottom w:val="single" w:sz="4" w:space="0" w:color="000000"/>
              <w:right w:val="nil"/>
            </w:tcBorders>
            <w:shd w:val="clear" w:color="auto" w:fill="auto"/>
            <w:noWrap/>
            <w:vAlign w:val="center"/>
            <w:hideMark/>
          </w:tcPr>
          <w:p w14:paraId="0EA42CE6" w14:textId="77777777" w:rsidR="00A85915" w:rsidRPr="00A85915" w:rsidRDefault="00A85915" w:rsidP="00A85915">
            <w:pPr>
              <w:spacing w:after="0" w:line="240" w:lineRule="auto"/>
              <w:rPr>
                <w:rFonts w:ascii="Calibri" w:eastAsia="Times New Roman" w:hAnsi="Calibri" w:cs="Calibri"/>
                <w:color w:val="000000"/>
                <w:sz w:val="22"/>
              </w:rPr>
            </w:pPr>
            <w:r w:rsidRPr="00A85915">
              <w:rPr>
                <w:rFonts w:ascii="Calibri" w:eastAsia="Times New Roman" w:hAnsi="Calibri" w:cs="Calibri"/>
                <w:color w:val="000000"/>
                <w:sz w:val="22"/>
              </w:rPr>
              <w:t>Variables</w:t>
            </w:r>
          </w:p>
        </w:tc>
        <w:tc>
          <w:tcPr>
            <w:tcW w:w="6637" w:type="dxa"/>
            <w:gridSpan w:val="5"/>
            <w:tcBorders>
              <w:top w:val="nil"/>
              <w:left w:val="nil"/>
              <w:bottom w:val="single" w:sz="4" w:space="0" w:color="auto"/>
              <w:right w:val="nil"/>
            </w:tcBorders>
            <w:shd w:val="clear" w:color="auto" w:fill="auto"/>
            <w:noWrap/>
            <w:vAlign w:val="center"/>
            <w:hideMark/>
          </w:tcPr>
          <w:p w14:paraId="4B5B3C62"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Physical Activity</w:t>
            </w:r>
          </w:p>
        </w:tc>
      </w:tr>
      <w:tr w:rsidR="00A85915" w:rsidRPr="00A85915" w14:paraId="6480E4D6" w14:textId="77777777" w:rsidTr="00A85915">
        <w:trPr>
          <w:trHeight w:val="231"/>
        </w:trPr>
        <w:tc>
          <w:tcPr>
            <w:tcW w:w="2519" w:type="dxa"/>
            <w:vMerge/>
            <w:tcBorders>
              <w:top w:val="nil"/>
              <w:left w:val="nil"/>
              <w:bottom w:val="single" w:sz="4" w:space="0" w:color="000000"/>
              <w:right w:val="nil"/>
            </w:tcBorders>
            <w:vAlign w:val="center"/>
            <w:hideMark/>
          </w:tcPr>
          <w:p w14:paraId="5792FCFE" w14:textId="77777777" w:rsidR="00A85915" w:rsidRPr="00A85915" w:rsidRDefault="00A85915" w:rsidP="00A85915">
            <w:pPr>
              <w:spacing w:after="0" w:line="240" w:lineRule="auto"/>
              <w:rPr>
                <w:rFonts w:ascii="Calibri" w:eastAsia="Times New Roman" w:hAnsi="Calibri" w:cs="Calibri"/>
                <w:color w:val="000000"/>
                <w:sz w:val="22"/>
              </w:rPr>
            </w:pPr>
          </w:p>
        </w:tc>
        <w:tc>
          <w:tcPr>
            <w:tcW w:w="1328" w:type="dxa"/>
            <w:tcBorders>
              <w:top w:val="nil"/>
              <w:left w:val="nil"/>
              <w:bottom w:val="single" w:sz="4" w:space="0" w:color="auto"/>
              <w:right w:val="nil"/>
            </w:tcBorders>
            <w:shd w:val="clear" w:color="auto" w:fill="auto"/>
            <w:noWrap/>
            <w:vAlign w:val="center"/>
            <w:hideMark/>
          </w:tcPr>
          <w:p w14:paraId="3D00888C"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All Sample</w:t>
            </w:r>
          </w:p>
        </w:tc>
        <w:tc>
          <w:tcPr>
            <w:tcW w:w="1326" w:type="dxa"/>
            <w:tcBorders>
              <w:top w:val="nil"/>
              <w:left w:val="nil"/>
              <w:bottom w:val="single" w:sz="4" w:space="0" w:color="auto"/>
              <w:right w:val="nil"/>
            </w:tcBorders>
            <w:shd w:val="clear" w:color="auto" w:fill="auto"/>
            <w:noWrap/>
            <w:vAlign w:val="center"/>
            <w:hideMark/>
          </w:tcPr>
          <w:p w14:paraId="58832864"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Male</w:t>
            </w:r>
          </w:p>
        </w:tc>
        <w:tc>
          <w:tcPr>
            <w:tcW w:w="1328" w:type="dxa"/>
            <w:tcBorders>
              <w:top w:val="nil"/>
              <w:left w:val="nil"/>
              <w:bottom w:val="single" w:sz="4" w:space="0" w:color="auto"/>
              <w:right w:val="nil"/>
            </w:tcBorders>
            <w:shd w:val="clear" w:color="auto" w:fill="auto"/>
            <w:noWrap/>
            <w:vAlign w:val="center"/>
            <w:hideMark/>
          </w:tcPr>
          <w:p w14:paraId="3AB173BF"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Female</w:t>
            </w:r>
          </w:p>
        </w:tc>
        <w:tc>
          <w:tcPr>
            <w:tcW w:w="1326" w:type="dxa"/>
            <w:tcBorders>
              <w:top w:val="nil"/>
              <w:left w:val="nil"/>
              <w:bottom w:val="single" w:sz="4" w:space="0" w:color="auto"/>
              <w:right w:val="nil"/>
            </w:tcBorders>
            <w:shd w:val="clear" w:color="auto" w:fill="auto"/>
            <w:noWrap/>
            <w:vAlign w:val="center"/>
            <w:hideMark/>
          </w:tcPr>
          <w:p w14:paraId="44B2440C"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Urban</w:t>
            </w:r>
          </w:p>
        </w:tc>
        <w:tc>
          <w:tcPr>
            <w:tcW w:w="1328" w:type="dxa"/>
            <w:tcBorders>
              <w:top w:val="nil"/>
              <w:left w:val="nil"/>
              <w:bottom w:val="single" w:sz="4" w:space="0" w:color="auto"/>
              <w:right w:val="nil"/>
            </w:tcBorders>
            <w:shd w:val="clear" w:color="auto" w:fill="auto"/>
            <w:noWrap/>
            <w:vAlign w:val="center"/>
            <w:hideMark/>
          </w:tcPr>
          <w:p w14:paraId="05E95C27"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Rural</w:t>
            </w:r>
          </w:p>
        </w:tc>
      </w:tr>
      <w:tr w:rsidR="00A85915" w:rsidRPr="00A85915" w14:paraId="3D01E097" w14:textId="77777777" w:rsidTr="00A85915">
        <w:trPr>
          <w:trHeight w:val="231"/>
        </w:trPr>
        <w:tc>
          <w:tcPr>
            <w:tcW w:w="3847" w:type="dxa"/>
            <w:gridSpan w:val="2"/>
            <w:tcBorders>
              <w:top w:val="single" w:sz="4" w:space="0" w:color="auto"/>
              <w:left w:val="nil"/>
              <w:bottom w:val="nil"/>
              <w:right w:val="nil"/>
            </w:tcBorders>
            <w:shd w:val="clear" w:color="auto" w:fill="auto"/>
            <w:noWrap/>
            <w:vAlign w:val="center"/>
            <w:hideMark/>
          </w:tcPr>
          <w:p w14:paraId="3FD7C713" w14:textId="77777777" w:rsidR="00A85915" w:rsidRPr="00A85915" w:rsidRDefault="00A85915" w:rsidP="00A85915">
            <w:pPr>
              <w:spacing w:after="0" w:line="240" w:lineRule="auto"/>
              <w:rPr>
                <w:rFonts w:ascii="Calibri" w:eastAsia="Times New Roman" w:hAnsi="Calibri" w:cs="Calibri"/>
                <w:b/>
                <w:bCs/>
                <w:color w:val="000000"/>
                <w:sz w:val="22"/>
              </w:rPr>
            </w:pPr>
            <w:r w:rsidRPr="00A85915">
              <w:rPr>
                <w:rFonts w:ascii="Calibri" w:eastAsia="Times New Roman" w:hAnsi="Calibri" w:cs="Calibri"/>
                <w:b/>
                <w:bCs/>
                <w:color w:val="000000"/>
                <w:sz w:val="22"/>
              </w:rPr>
              <w:t>Panel A. OLS Estimation</w:t>
            </w:r>
          </w:p>
        </w:tc>
        <w:tc>
          <w:tcPr>
            <w:tcW w:w="1326" w:type="dxa"/>
            <w:tcBorders>
              <w:top w:val="nil"/>
              <w:left w:val="nil"/>
              <w:bottom w:val="nil"/>
              <w:right w:val="nil"/>
            </w:tcBorders>
            <w:shd w:val="clear" w:color="auto" w:fill="auto"/>
            <w:noWrap/>
            <w:vAlign w:val="center"/>
            <w:hideMark/>
          </w:tcPr>
          <w:p w14:paraId="53FCFBDE" w14:textId="77777777" w:rsidR="00A85915" w:rsidRPr="00A85915" w:rsidRDefault="00A85915" w:rsidP="00A85915">
            <w:pPr>
              <w:spacing w:after="0" w:line="240" w:lineRule="auto"/>
              <w:rPr>
                <w:rFonts w:ascii="Calibri" w:eastAsia="Times New Roman" w:hAnsi="Calibri" w:cs="Calibri"/>
                <w:b/>
                <w:bCs/>
                <w:color w:val="000000"/>
                <w:sz w:val="22"/>
              </w:rPr>
            </w:pPr>
          </w:p>
        </w:tc>
        <w:tc>
          <w:tcPr>
            <w:tcW w:w="1328" w:type="dxa"/>
            <w:tcBorders>
              <w:top w:val="nil"/>
              <w:left w:val="nil"/>
              <w:bottom w:val="nil"/>
              <w:right w:val="nil"/>
            </w:tcBorders>
            <w:shd w:val="clear" w:color="auto" w:fill="auto"/>
            <w:noWrap/>
            <w:vAlign w:val="center"/>
            <w:hideMark/>
          </w:tcPr>
          <w:p w14:paraId="2B5756EE" w14:textId="77777777" w:rsidR="00A85915" w:rsidRPr="00A85915" w:rsidRDefault="00A85915" w:rsidP="00A85915">
            <w:pPr>
              <w:spacing w:after="0" w:line="240" w:lineRule="auto"/>
              <w:rPr>
                <w:rFonts w:eastAsia="Times New Roman" w:cs="Times New Roman"/>
                <w:sz w:val="20"/>
                <w:szCs w:val="20"/>
              </w:rPr>
            </w:pPr>
          </w:p>
        </w:tc>
        <w:tc>
          <w:tcPr>
            <w:tcW w:w="1326" w:type="dxa"/>
            <w:tcBorders>
              <w:top w:val="nil"/>
              <w:left w:val="nil"/>
              <w:bottom w:val="nil"/>
              <w:right w:val="nil"/>
            </w:tcBorders>
            <w:shd w:val="clear" w:color="auto" w:fill="auto"/>
            <w:noWrap/>
            <w:vAlign w:val="center"/>
            <w:hideMark/>
          </w:tcPr>
          <w:p w14:paraId="50AEB5C9"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 </w:t>
            </w:r>
          </w:p>
        </w:tc>
        <w:tc>
          <w:tcPr>
            <w:tcW w:w="1328" w:type="dxa"/>
            <w:tcBorders>
              <w:top w:val="nil"/>
              <w:left w:val="nil"/>
              <w:bottom w:val="nil"/>
              <w:right w:val="nil"/>
            </w:tcBorders>
            <w:shd w:val="clear" w:color="auto" w:fill="auto"/>
            <w:noWrap/>
            <w:vAlign w:val="center"/>
            <w:hideMark/>
          </w:tcPr>
          <w:p w14:paraId="5980CB3E"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 </w:t>
            </w:r>
          </w:p>
        </w:tc>
      </w:tr>
      <w:tr w:rsidR="00A85915" w:rsidRPr="00A85915" w14:paraId="2A7D88E2" w14:textId="77777777" w:rsidTr="00A85915">
        <w:trPr>
          <w:trHeight w:val="231"/>
        </w:trPr>
        <w:tc>
          <w:tcPr>
            <w:tcW w:w="2519" w:type="dxa"/>
            <w:tcBorders>
              <w:top w:val="nil"/>
              <w:left w:val="nil"/>
              <w:bottom w:val="nil"/>
              <w:right w:val="nil"/>
            </w:tcBorders>
            <w:shd w:val="clear" w:color="auto" w:fill="auto"/>
            <w:noWrap/>
            <w:vAlign w:val="center"/>
            <w:hideMark/>
          </w:tcPr>
          <w:p w14:paraId="0C11DD3F" w14:textId="77777777" w:rsidR="00A85915" w:rsidRPr="00A85915" w:rsidRDefault="00A85915" w:rsidP="00A85915">
            <w:pPr>
              <w:spacing w:after="0" w:line="240" w:lineRule="auto"/>
              <w:rPr>
                <w:rFonts w:ascii="Calibri" w:eastAsia="Times New Roman" w:hAnsi="Calibri" w:cs="Calibri"/>
                <w:color w:val="000000"/>
                <w:sz w:val="22"/>
              </w:rPr>
            </w:pPr>
            <w:r w:rsidRPr="00A85915">
              <w:rPr>
                <w:rFonts w:ascii="Calibri" w:eastAsia="Times New Roman" w:hAnsi="Calibri" w:cs="Calibri"/>
                <w:color w:val="000000"/>
                <w:sz w:val="22"/>
              </w:rPr>
              <w:t>Years of education</w:t>
            </w:r>
          </w:p>
        </w:tc>
        <w:tc>
          <w:tcPr>
            <w:tcW w:w="1328" w:type="dxa"/>
            <w:tcBorders>
              <w:top w:val="nil"/>
              <w:left w:val="nil"/>
              <w:bottom w:val="nil"/>
              <w:right w:val="nil"/>
            </w:tcBorders>
            <w:shd w:val="clear" w:color="auto" w:fill="auto"/>
            <w:noWrap/>
            <w:vAlign w:val="center"/>
            <w:hideMark/>
          </w:tcPr>
          <w:p w14:paraId="24616BF1"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 xml:space="preserve">0.0169*** </w:t>
            </w:r>
          </w:p>
        </w:tc>
        <w:tc>
          <w:tcPr>
            <w:tcW w:w="1326" w:type="dxa"/>
            <w:tcBorders>
              <w:top w:val="nil"/>
              <w:left w:val="nil"/>
              <w:bottom w:val="nil"/>
              <w:right w:val="nil"/>
            </w:tcBorders>
            <w:shd w:val="clear" w:color="auto" w:fill="auto"/>
            <w:noWrap/>
            <w:vAlign w:val="center"/>
            <w:hideMark/>
          </w:tcPr>
          <w:p w14:paraId="4876BCEA"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 xml:space="preserve">0.0205*** </w:t>
            </w:r>
          </w:p>
        </w:tc>
        <w:tc>
          <w:tcPr>
            <w:tcW w:w="1328" w:type="dxa"/>
            <w:tcBorders>
              <w:top w:val="nil"/>
              <w:left w:val="nil"/>
              <w:bottom w:val="nil"/>
              <w:right w:val="nil"/>
            </w:tcBorders>
            <w:shd w:val="clear" w:color="auto" w:fill="auto"/>
            <w:noWrap/>
            <w:vAlign w:val="center"/>
            <w:hideMark/>
          </w:tcPr>
          <w:p w14:paraId="0E3A37F9"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 xml:space="preserve"> 0.0153*** </w:t>
            </w:r>
          </w:p>
        </w:tc>
        <w:tc>
          <w:tcPr>
            <w:tcW w:w="1326" w:type="dxa"/>
            <w:tcBorders>
              <w:top w:val="nil"/>
              <w:left w:val="nil"/>
              <w:bottom w:val="nil"/>
              <w:right w:val="nil"/>
            </w:tcBorders>
            <w:shd w:val="clear" w:color="auto" w:fill="auto"/>
            <w:noWrap/>
            <w:vAlign w:val="center"/>
            <w:hideMark/>
          </w:tcPr>
          <w:p w14:paraId="6A821290"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0.0187***</w:t>
            </w:r>
          </w:p>
        </w:tc>
        <w:tc>
          <w:tcPr>
            <w:tcW w:w="1328" w:type="dxa"/>
            <w:tcBorders>
              <w:top w:val="nil"/>
              <w:left w:val="nil"/>
              <w:bottom w:val="nil"/>
              <w:right w:val="nil"/>
            </w:tcBorders>
            <w:shd w:val="clear" w:color="auto" w:fill="auto"/>
            <w:noWrap/>
            <w:vAlign w:val="center"/>
            <w:hideMark/>
          </w:tcPr>
          <w:p w14:paraId="1B0F069E"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 xml:space="preserve">0.0169*** </w:t>
            </w:r>
          </w:p>
        </w:tc>
      </w:tr>
      <w:tr w:rsidR="00A85915" w:rsidRPr="00A85915" w14:paraId="5EB465D2" w14:textId="77777777" w:rsidTr="00A85915">
        <w:trPr>
          <w:trHeight w:val="231"/>
        </w:trPr>
        <w:tc>
          <w:tcPr>
            <w:tcW w:w="2519" w:type="dxa"/>
            <w:tcBorders>
              <w:top w:val="nil"/>
              <w:left w:val="nil"/>
              <w:bottom w:val="nil"/>
              <w:right w:val="nil"/>
            </w:tcBorders>
            <w:shd w:val="clear" w:color="auto" w:fill="auto"/>
            <w:noWrap/>
            <w:vAlign w:val="center"/>
            <w:hideMark/>
          </w:tcPr>
          <w:p w14:paraId="2CF90365" w14:textId="77777777" w:rsidR="00A85915" w:rsidRPr="00A85915" w:rsidRDefault="00A85915" w:rsidP="00A85915">
            <w:pPr>
              <w:spacing w:after="0" w:line="240" w:lineRule="auto"/>
              <w:jc w:val="center"/>
              <w:rPr>
                <w:rFonts w:ascii="Calibri" w:eastAsia="Times New Roman" w:hAnsi="Calibri" w:cs="Calibri"/>
                <w:color w:val="000000"/>
                <w:sz w:val="22"/>
              </w:rPr>
            </w:pPr>
          </w:p>
        </w:tc>
        <w:tc>
          <w:tcPr>
            <w:tcW w:w="1328" w:type="dxa"/>
            <w:tcBorders>
              <w:top w:val="nil"/>
              <w:left w:val="nil"/>
              <w:bottom w:val="nil"/>
              <w:right w:val="nil"/>
            </w:tcBorders>
            <w:shd w:val="clear" w:color="auto" w:fill="auto"/>
            <w:noWrap/>
            <w:vAlign w:val="center"/>
            <w:hideMark/>
          </w:tcPr>
          <w:p w14:paraId="6804037E"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 xml:space="preserve">(0.00121)  </w:t>
            </w:r>
          </w:p>
        </w:tc>
        <w:tc>
          <w:tcPr>
            <w:tcW w:w="1326" w:type="dxa"/>
            <w:tcBorders>
              <w:top w:val="nil"/>
              <w:left w:val="nil"/>
              <w:bottom w:val="nil"/>
              <w:right w:val="nil"/>
            </w:tcBorders>
            <w:shd w:val="clear" w:color="auto" w:fill="auto"/>
            <w:noWrap/>
            <w:vAlign w:val="center"/>
            <w:hideMark/>
          </w:tcPr>
          <w:p w14:paraId="7D06F5C0"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 xml:space="preserve">(0.00199) </w:t>
            </w:r>
          </w:p>
        </w:tc>
        <w:tc>
          <w:tcPr>
            <w:tcW w:w="1328" w:type="dxa"/>
            <w:tcBorders>
              <w:top w:val="nil"/>
              <w:left w:val="nil"/>
              <w:bottom w:val="nil"/>
              <w:right w:val="nil"/>
            </w:tcBorders>
            <w:shd w:val="clear" w:color="auto" w:fill="auto"/>
            <w:noWrap/>
            <w:vAlign w:val="center"/>
            <w:hideMark/>
          </w:tcPr>
          <w:p w14:paraId="0F0EC60E"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 xml:space="preserve">(0.00155) </w:t>
            </w:r>
          </w:p>
        </w:tc>
        <w:tc>
          <w:tcPr>
            <w:tcW w:w="1326" w:type="dxa"/>
            <w:tcBorders>
              <w:top w:val="nil"/>
              <w:left w:val="nil"/>
              <w:bottom w:val="nil"/>
              <w:right w:val="nil"/>
            </w:tcBorders>
            <w:shd w:val="clear" w:color="auto" w:fill="auto"/>
            <w:noWrap/>
            <w:vAlign w:val="center"/>
            <w:hideMark/>
          </w:tcPr>
          <w:p w14:paraId="44D0D1F0"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(0.00236)</w:t>
            </w:r>
          </w:p>
        </w:tc>
        <w:tc>
          <w:tcPr>
            <w:tcW w:w="1328" w:type="dxa"/>
            <w:tcBorders>
              <w:top w:val="nil"/>
              <w:left w:val="nil"/>
              <w:bottom w:val="nil"/>
              <w:right w:val="nil"/>
            </w:tcBorders>
            <w:shd w:val="clear" w:color="auto" w:fill="auto"/>
            <w:noWrap/>
            <w:vAlign w:val="center"/>
            <w:hideMark/>
          </w:tcPr>
          <w:p w14:paraId="1A12CFA3"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 xml:space="preserve">(0.00139)  </w:t>
            </w:r>
          </w:p>
        </w:tc>
      </w:tr>
      <w:tr w:rsidR="00A85915" w:rsidRPr="00A85915" w14:paraId="5FBF2B9C" w14:textId="77777777" w:rsidTr="00A85915">
        <w:trPr>
          <w:trHeight w:val="231"/>
        </w:trPr>
        <w:tc>
          <w:tcPr>
            <w:tcW w:w="2519" w:type="dxa"/>
            <w:tcBorders>
              <w:top w:val="nil"/>
              <w:left w:val="nil"/>
              <w:bottom w:val="nil"/>
              <w:right w:val="nil"/>
            </w:tcBorders>
            <w:shd w:val="clear" w:color="auto" w:fill="auto"/>
            <w:noWrap/>
            <w:vAlign w:val="center"/>
            <w:hideMark/>
          </w:tcPr>
          <w:p w14:paraId="49B31FAD" w14:textId="77777777" w:rsidR="00A85915" w:rsidRPr="00A85915" w:rsidRDefault="00A85915" w:rsidP="00A85915">
            <w:pPr>
              <w:spacing w:after="0" w:line="240" w:lineRule="auto"/>
              <w:jc w:val="center"/>
              <w:rPr>
                <w:rFonts w:ascii="Calibri" w:eastAsia="Times New Roman" w:hAnsi="Calibri" w:cs="Calibri"/>
                <w:color w:val="000000"/>
                <w:sz w:val="22"/>
              </w:rPr>
            </w:pPr>
          </w:p>
        </w:tc>
        <w:tc>
          <w:tcPr>
            <w:tcW w:w="1328" w:type="dxa"/>
            <w:tcBorders>
              <w:top w:val="nil"/>
              <w:left w:val="nil"/>
              <w:bottom w:val="nil"/>
              <w:right w:val="nil"/>
            </w:tcBorders>
            <w:shd w:val="clear" w:color="auto" w:fill="auto"/>
            <w:noWrap/>
            <w:vAlign w:val="center"/>
            <w:hideMark/>
          </w:tcPr>
          <w:p w14:paraId="77D30962" w14:textId="77777777" w:rsidR="00A85915" w:rsidRPr="00A85915" w:rsidRDefault="00A85915" w:rsidP="00A85915">
            <w:pPr>
              <w:spacing w:after="0" w:line="240" w:lineRule="auto"/>
              <w:rPr>
                <w:rFonts w:eastAsia="Times New Roman" w:cs="Times New Roman"/>
                <w:sz w:val="20"/>
                <w:szCs w:val="20"/>
              </w:rPr>
            </w:pPr>
          </w:p>
        </w:tc>
        <w:tc>
          <w:tcPr>
            <w:tcW w:w="1326" w:type="dxa"/>
            <w:tcBorders>
              <w:top w:val="nil"/>
              <w:left w:val="nil"/>
              <w:bottom w:val="nil"/>
              <w:right w:val="nil"/>
            </w:tcBorders>
            <w:shd w:val="clear" w:color="auto" w:fill="auto"/>
            <w:noWrap/>
            <w:vAlign w:val="center"/>
            <w:hideMark/>
          </w:tcPr>
          <w:p w14:paraId="761BF720" w14:textId="77777777" w:rsidR="00A85915" w:rsidRPr="00A85915" w:rsidRDefault="00A85915" w:rsidP="00A85915">
            <w:pPr>
              <w:spacing w:after="0" w:line="240" w:lineRule="auto"/>
              <w:jc w:val="center"/>
              <w:rPr>
                <w:rFonts w:eastAsia="Times New Roman" w:cs="Times New Roman"/>
                <w:sz w:val="20"/>
                <w:szCs w:val="20"/>
              </w:rPr>
            </w:pPr>
          </w:p>
        </w:tc>
        <w:tc>
          <w:tcPr>
            <w:tcW w:w="1328" w:type="dxa"/>
            <w:tcBorders>
              <w:top w:val="nil"/>
              <w:left w:val="nil"/>
              <w:bottom w:val="nil"/>
              <w:right w:val="nil"/>
            </w:tcBorders>
            <w:shd w:val="clear" w:color="auto" w:fill="auto"/>
            <w:noWrap/>
            <w:vAlign w:val="center"/>
            <w:hideMark/>
          </w:tcPr>
          <w:p w14:paraId="29E470A6" w14:textId="77777777" w:rsidR="00A85915" w:rsidRPr="00A85915" w:rsidRDefault="00A85915" w:rsidP="00A85915">
            <w:pPr>
              <w:spacing w:after="0" w:line="240" w:lineRule="auto"/>
              <w:jc w:val="center"/>
              <w:rPr>
                <w:rFonts w:eastAsia="Times New Roman" w:cs="Times New Roman"/>
                <w:sz w:val="20"/>
                <w:szCs w:val="20"/>
              </w:rPr>
            </w:pPr>
          </w:p>
        </w:tc>
        <w:tc>
          <w:tcPr>
            <w:tcW w:w="1326" w:type="dxa"/>
            <w:tcBorders>
              <w:top w:val="nil"/>
              <w:left w:val="nil"/>
              <w:bottom w:val="nil"/>
              <w:right w:val="nil"/>
            </w:tcBorders>
            <w:shd w:val="clear" w:color="auto" w:fill="auto"/>
            <w:noWrap/>
            <w:vAlign w:val="center"/>
            <w:hideMark/>
          </w:tcPr>
          <w:p w14:paraId="3BC26B0B" w14:textId="77777777" w:rsidR="00A85915" w:rsidRPr="00A85915" w:rsidRDefault="00A85915" w:rsidP="00A85915">
            <w:pPr>
              <w:spacing w:after="0" w:line="240" w:lineRule="auto"/>
              <w:jc w:val="center"/>
              <w:rPr>
                <w:rFonts w:eastAsia="Times New Roman" w:cs="Times New Roman"/>
                <w:sz w:val="20"/>
                <w:szCs w:val="20"/>
              </w:rPr>
            </w:pPr>
          </w:p>
        </w:tc>
        <w:tc>
          <w:tcPr>
            <w:tcW w:w="1328" w:type="dxa"/>
            <w:tcBorders>
              <w:top w:val="nil"/>
              <w:left w:val="nil"/>
              <w:bottom w:val="nil"/>
              <w:right w:val="nil"/>
            </w:tcBorders>
            <w:shd w:val="clear" w:color="auto" w:fill="auto"/>
            <w:noWrap/>
            <w:vAlign w:val="center"/>
            <w:hideMark/>
          </w:tcPr>
          <w:p w14:paraId="2C915D90" w14:textId="77777777" w:rsidR="00A85915" w:rsidRPr="00A85915" w:rsidRDefault="00A85915" w:rsidP="00A85915">
            <w:pPr>
              <w:spacing w:after="0" w:line="240" w:lineRule="auto"/>
              <w:jc w:val="center"/>
              <w:rPr>
                <w:rFonts w:eastAsia="Times New Roman" w:cs="Times New Roman"/>
                <w:sz w:val="20"/>
                <w:szCs w:val="20"/>
              </w:rPr>
            </w:pPr>
          </w:p>
        </w:tc>
      </w:tr>
      <w:tr w:rsidR="00A85915" w:rsidRPr="00A85915" w14:paraId="61B6B672" w14:textId="77777777" w:rsidTr="00A85915">
        <w:trPr>
          <w:trHeight w:val="231"/>
        </w:trPr>
        <w:tc>
          <w:tcPr>
            <w:tcW w:w="2519" w:type="dxa"/>
            <w:tcBorders>
              <w:top w:val="nil"/>
              <w:left w:val="nil"/>
              <w:bottom w:val="nil"/>
              <w:right w:val="nil"/>
            </w:tcBorders>
            <w:shd w:val="clear" w:color="auto" w:fill="auto"/>
            <w:noWrap/>
            <w:vAlign w:val="center"/>
            <w:hideMark/>
          </w:tcPr>
          <w:p w14:paraId="43F8F8C2" w14:textId="77777777" w:rsidR="00A85915" w:rsidRPr="00A85915" w:rsidRDefault="00A85915" w:rsidP="00A85915">
            <w:pPr>
              <w:spacing w:after="0" w:line="240" w:lineRule="auto"/>
              <w:rPr>
                <w:rFonts w:ascii="Calibri" w:eastAsia="Times New Roman" w:hAnsi="Calibri" w:cs="Calibri"/>
                <w:color w:val="000000"/>
                <w:sz w:val="22"/>
              </w:rPr>
            </w:pPr>
            <w:r w:rsidRPr="00A85915">
              <w:rPr>
                <w:rFonts w:ascii="Calibri" w:eastAsia="Times New Roman" w:hAnsi="Calibri" w:cs="Calibri"/>
                <w:color w:val="000000"/>
                <w:sz w:val="22"/>
              </w:rPr>
              <w:t>Adj. R-squared</w:t>
            </w:r>
          </w:p>
        </w:tc>
        <w:tc>
          <w:tcPr>
            <w:tcW w:w="1328" w:type="dxa"/>
            <w:tcBorders>
              <w:top w:val="nil"/>
              <w:left w:val="nil"/>
              <w:bottom w:val="nil"/>
              <w:right w:val="nil"/>
            </w:tcBorders>
            <w:shd w:val="clear" w:color="auto" w:fill="auto"/>
            <w:noWrap/>
            <w:vAlign w:val="center"/>
            <w:hideMark/>
          </w:tcPr>
          <w:p w14:paraId="416BF255"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 xml:space="preserve">0.156 </w:t>
            </w:r>
          </w:p>
        </w:tc>
        <w:tc>
          <w:tcPr>
            <w:tcW w:w="1326" w:type="dxa"/>
            <w:tcBorders>
              <w:top w:val="nil"/>
              <w:left w:val="nil"/>
              <w:bottom w:val="nil"/>
              <w:right w:val="nil"/>
            </w:tcBorders>
            <w:shd w:val="clear" w:color="auto" w:fill="auto"/>
            <w:noWrap/>
            <w:vAlign w:val="center"/>
            <w:hideMark/>
          </w:tcPr>
          <w:p w14:paraId="653C8822"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 xml:space="preserve"> 0.128 </w:t>
            </w:r>
          </w:p>
        </w:tc>
        <w:tc>
          <w:tcPr>
            <w:tcW w:w="1328" w:type="dxa"/>
            <w:tcBorders>
              <w:top w:val="nil"/>
              <w:left w:val="nil"/>
              <w:bottom w:val="nil"/>
              <w:right w:val="nil"/>
            </w:tcBorders>
            <w:shd w:val="clear" w:color="auto" w:fill="auto"/>
            <w:noWrap/>
            <w:vAlign w:val="center"/>
            <w:hideMark/>
          </w:tcPr>
          <w:p w14:paraId="5E3F77B6"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 xml:space="preserve">0.202   </w:t>
            </w:r>
          </w:p>
        </w:tc>
        <w:tc>
          <w:tcPr>
            <w:tcW w:w="1326" w:type="dxa"/>
            <w:tcBorders>
              <w:top w:val="nil"/>
              <w:left w:val="nil"/>
              <w:bottom w:val="nil"/>
              <w:right w:val="nil"/>
            </w:tcBorders>
            <w:shd w:val="clear" w:color="auto" w:fill="auto"/>
            <w:noWrap/>
            <w:vAlign w:val="center"/>
            <w:hideMark/>
          </w:tcPr>
          <w:p w14:paraId="43E06885"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 xml:space="preserve">0.131 </w:t>
            </w:r>
          </w:p>
        </w:tc>
        <w:tc>
          <w:tcPr>
            <w:tcW w:w="1328" w:type="dxa"/>
            <w:tcBorders>
              <w:top w:val="nil"/>
              <w:left w:val="nil"/>
              <w:bottom w:val="nil"/>
              <w:right w:val="nil"/>
            </w:tcBorders>
            <w:shd w:val="clear" w:color="auto" w:fill="auto"/>
            <w:noWrap/>
            <w:vAlign w:val="center"/>
            <w:hideMark/>
          </w:tcPr>
          <w:p w14:paraId="13168345"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 xml:space="preserve">0.121 </w:t>
            </w:r>
          </w:p>
        </w:tc>
      </w:tr>
      <w:tr w:rsidR="00A85915" w:rsidRPr="00A85915" w14:paraId="6EBE29E9" w14:textId="77777777" w:rsidTr="00A85915">
        <w:trPr>
          <w:trHeight w:val="231"/>
        </w:trPr>
        <w:tc>
          <w:tcPr>
            <w:tcW w:w="3847" w:type="dxa"/>
            <w:gridSpan w:val="2"/>
            <w:tcBorders>
              <w:top w:val="single" w:sz="4" w:space="0" w:color="auto"/>
              <w:left w:val="nil"/>
              <w:bottom w:val="nil"/>
              <w:right w:val="nil"/>
            </w:tcBorders>
            <w:shd w:val="clear" w:color="auto" w:fill="auto"/>
            <w:noWrap/>
            <w:vAlign w:val="center"/>
            <w:hideMark/>
          </w:tcPr>
          <w:p w14:paraId="39821F16" w14:textId="77777777" w:rsidR="00A85915" w:rsidRPr="00A85915" w:rsidRDefault="00A85915" w:rsidP="00A85915">
            <w:pPr>
              <w:spacing w:after="0" w:line="240" w:lineRule="auto"/>
              <w:rPr>
                <w:rFonts w:ascii="Calibri" w:eastAsia="Times New Roman" w:hAnsi="Calibri" w:cs="Calibri"/>
                <w:b/>
                <w:bCs/>
                <w:color w:val="000000"/>
                <w:sz w:val="22"/>
              </w:rPr>
            </w:pPr>
            <w:r w:rsidRPr="00A85915">
              <w:rPr>
                <w:rFonts w:ascii="Calibri" w:eastAsia="Times New Roman" w:hAnsi="Calibri" w:cs="Calibri"/>
                <w:b/>
                <w:bCs/>
                <w:color w:val="000000"/>
                <w:sz w:val="22"/>
              </w:rPr>
              <w:t>Panel B. 2SLS Estimation</w:t>
            </w:r>
          </w:p>
        </w:tc>
        <w:tc>
          <w:tcPr>
            <w:tcW w:w="1326" w:type="dxa"/>
            <w:tcBorders>
              <w:top w:val="single" w:sz="4" w:space="0" w:color="auto"/>
              <w:left w:val="nil"/>
              <w:bottom w:val="nil"/>
              <w:right w:val="nil"/>
            </w:tcBorders>
            <w:shd w:val="clear" w:color="auto" w:fill="auto"/>
            <w:noWrap/>
            <w:vAlign w:val="center"/>
            <w:hideMark/>
          </w:tcPr>
          <w:p w14:paraId="4FEF6981"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 </w:t>
            </w:r>
          </w:p>
        </w:tc>
        <w:tc>
          <w:tcPr>
            <w:tcW w:w="1328" w:type="dxa"/>
            <w:tcBorders>
              <w:top w:val="single" w:sz="4" w:space="0" w:color="auto"/>
              <w:left w:val="nil"/>
              <w:bottom w:val="nil"/>
              <w:right w:val="nil"/>
            </w:tcBorders>
            <w:shd w:val="clear" w:color="auto" w:fill="auto"/>
            <w:noWrap/>
            <w:vAlign w:val="center"/>
            <w:hideMark/>
          </w:tcPr>
          <w:p w14:paraId="2EAF63E3"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 </w:t>
            </w:r>
          </w:p>
        </w:tc>
        <w:tc>
          <w:tcPr>
            <w:tcW w:w="1326" w:type="dxa"/>
            <w:tcBorders>
              <w:top w:val="single" w:sz="4" w:space="0" w:color="auto"/>
              <w:left w:val="nil"/>
              <w:bottom w:val="nil"/>
              <w:right w:val="nil"/>
            </w:tcBorders>
            <w:shd w:val="clear" w:color="auto" w:fill="auto"/>
            <w:noWrap/>
            <w:vAlign w:val="center"/>
            <w:hideMark/>
          </w:tcPr>
          <w:p w14:paraId="1997D621"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 </w:t>
            </w:r>
          </w:p>
        </w:tc>
        <w:tc>
          <w:tcPr>
            <w:tcW w:w="1328" w:type="dxa"/>
            <w:tcBorders>
              <w:top w:val="single" w:sz="4" w:space="0" w:color="auto"/>
              <w:left w:val="nil"/>
              <w:bottom w:val="nil"/>
              <w:right w:val="nil"/>
            </w:tcBorders>
            <w:shd w:val="clear" w:color="auto" w:fill="auto"/>
            <w:noWrap/>
            <w:vAlign w:val="center"/>
            <w:hideMark/>
          </w:tcPr>
          <w:p w14:paraId="70FE8195"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 </w:t>
            </w:r>
          </w:p>
        </w:tc>
      </w:tr>
      <w:tr w:rsidR="00A85915" w:rsidRPr="00A85915" w14:paraId="17E041CB" w14:textId="77777777" w:rsidTr="00A85915">
        <w:trPr>
          <w:trHeight w:val="231"/>
        </w:trPr>
        <w:tc>
          <w:tcPr>
            <w:tcW w:w="2519" w:type="dxa"/>
            <w:tcBorders>
              <w:top w:val="nil"/>
              <w:left w:val="nil"/>
              <w:bottom w:val="nil"/>
              <w:right w:val="nil"/>
            </w:tcBorders>
            <w:shd w:val="clear" w:color="auto" w:fill="auto"/>
            <w:noWrap/>
            <w:vAlign w:val="center"/>
            <w:hideMark/>
          </w:tcPr>
          <w:p w14:paraId="105AC85B" w14:textId="77777777" w:rsidR="00A85915" w:rsidRPr="00A85915" w:rsidRDefault="00A85915" w:rsidP="00A85915">
            <w:pPr>
              <w:spacing w:after="0" w:line="240" w:lineRule="auto"/>
              <w:rPr>
                <w:rFonts w:ascii="Calibri" w:eastAsia="Times New Roman" w:hAnsi="Calibri" w:cs="Calibri"/>
                <w:color w:val="000000"/>
                <w:sz w:val="22"/>
              </w:rPr>
            </w:pPr>
            <w:r w:rsidRPr="00A85915">
              <w:rPr>
                <w:rFonts w:ascii="Calibri" w:eastAsia="Times New Roman" w:hAnsi="Calibri" w:cs="Calibri"/>
                <w:color w:val="000000"/>
                <w:sz w:val="22"/>
              </w:rPr>
              <w:t>Years of education</w:t>
            </w:r>
          </w:p>
        </w:tc>
        <w:tc>
          <w:tcPr>
            <w:tcW w:w="1328" w:type="dxa"/>
            <w:tcBorders>
              <w:top w:val="nil"/>
              <w:left w:val="nil"/>
              <w:bottom w:val="nil"/>
              <w:right w:val="nil"/>
            </w:tcBorders>
            <w:shd w:val="clear" w:color="auto" w:fill="auto"/>
            <w:noWrap/>
            <w:vAlign w:val="center"/>
            <w:hideMark/>
          </w:tcPr>
          <w:p w14:paraId="05C51684"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0.0757**</w:t>
            </w:r>
          </w:p>
        </w:tc>
        <w:tc>
          <w:tcPr>
            <w:tcW w:w="1326" w:type="dxa"/>
            <w:tcBorders>
              <w:top w:val="nil"/>
              <w:left w:val="nil"/>
              <w:bottom w:val="nil"/>
              <w:right w:val="nil"/>
            </w:tcBorders>
            <w:shd w:val="clear" w:color="auto" w:fill="auto"/>
            <w:noWrap/>
            <w:vAlign w:val="center"/>
            <w:hideMark/>
          </w:tcPr>
          <w:p w14:paraId="74FD760E"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 xml:space="preserve">-0.0569 </w:t>
            </w:r>
          </w:p>
        </w:tc>
        <w:tc>
          <w:tcPr>
            <w:tcW w:w="1328" w:type="dxa"/>
            <w:tcBorders>
              <w:top w:val="nil"/>
              <w:left w:val="nil"/>
              <w:bottom w:val="nil"/>
              <w:right w:val="nil"/>
            </w:tcBorders>
            <w:shd w:val="clear" w:color="auto" w:fill="auto"/>
            <w:noWrap/>
            <w:vAlign w:val="center"/>
            <w:hideMark/>
          </w:tcPr>
          <w:p w14:paraId="3AA6E874"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0.0929***</w:t>
            </w:r>
          </w:p>
        </w:tc>
        <w:tc>
          <w:tcPr>
            <w:tcW w:w="1326" w:type="dxa"/>
            <w:tcBorders>
              <w:top w:val="nil"/>
              <w:left w:val="nil"/>
              <w:bottom w:val="nil"/>
              <w:right w:val="nil"/>
            </w:tcBorders>
            <w:shd w:val="clear" w:color="auto" w:fill="auto"/>
            <w:noWrap/>
            <w:vAlign w:val="center"/>
            <w:hideMark/>
          </w:tcPr>
          <w:p w14:paraId="30307D3D"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0.120***</w:t>
            </w:r>
          </w:p>
        </w:tc>
        <w:tc>
          <w:tcPr>
            <w:tcW w:w="1328" w:type="dxa"/>
            <w:tcBorders>
              <w:top w:val="nil"/>
              <w:left w:val="nil"/>
              <w:bottom w:val="nil"/>
              <w:right w:val="nil"/>
            </w:tcBorders>
            <w:shd w:val="clear" w:color="auto" w:fill="auto"/>
            <w:noWrap/>
            <w:vAlign w:val="center"/>
            <w:hideMark/>
          </w:tcPr>
          <w:p w14:paraId="4F41517F"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 xml:space="preserve">0.00374  </w:t>
            </w:r>
          </w:p>
        </w:tc>
      </w:tr>
      <w:tr w:rsidR="00A85915" w:rsidRPr="00A85915" w14:paraId="73EEEB72" w14:textId="77777777" w:rsidTr="00A85915">
        <w:trPr>
          <w:trHeight w:val="231"/>
        </w:trPr>
        <w:tc>
          <w:tcPr>
            <w:tcW w:w="2519" w:type="dxa"/>
            <w:tcBorders>
              <w:top w:val="nil"/>
              <w:left w:val="nil"/>
              <w:bottom w:val="nil"/>
              <w:right w:val="nil"/>
            </w:tcBorders>
            <w:shd w:val="clear" w:color="auto" w:fill="auto"/>
            <w:vAlign w:val="center"/>
            <w:hideMark/>
          </w:tcPr>
          <w:p w14:paraId="1148B542" w14:textId="77777777" w:rsidR="00A85915" w:rsidRPr="00A85915" w:rsidRDefault="00A85915" w:rsidP="00A85915">
            <w:pPr>
              <w:spacing w:after="0" w:line="240" w:lineRule="auto"/>
              <w:jc w:val="center"/>
              <w:rPr>
                <w:rFonts w:ascii="Calibri" w:eastAsia="Times New Roman" w:hAnsi="Calibri" w:cs="Calibri"/>
                <w:color w:val="000000"/>
                <w:sz w:val="22"/>
              </w:rPr>
            </w:pPr>
          </w:p>
        </w:tc>
        <w:tc>
          <w:tcPr>
            <w:tcW w:w="1328" w:type="dxa"/>
            <w:tcBorders>
              <w:top w:val="nil"/>
              <w:left w:val="nil"/>
              <w:bottom w:val="nil"/>
              <w:right w:val="nil"/>
            </w:tcBorders>
            <w:shd w:val="clear" w:color="auto" w:fill="auto"/>
            <w:noWrap/>
            <w:vAlign w:val="center"/>
            <w:hideMark/>
          </w:tcPr>
          <w:p w14:paraId="2D5E5468"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(0.0299)</w:t>
            </w:r>
          </w:p>
        </w:tc>
        <w:tc>
          <w:tcPr>
            <w:tcW w:w="1326" w:type="dxa"/>
            <w:tcBorders>
              <w:top w:val="nil"/>
              <w:left w:val="nil"/>
              <w:bottom w:val="nil"/>
              <w:right w:val="nil"/>
            </w:tcBorders>
            <w:shd w:val="clear" w:color="auto" w:fill="auto"/>
            <w:noWrap/>
            <w:vAlign w:val="center"/>
            <w:hideMark/>
          </w:tcPr>
          <w:p w14:paraId="16D8F2CD"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(0.0728)</w:t>
            </w:r>
          </w:p>
        </w:tc>
        <w:tc>
          <w:tcPr>
            <w:tcW w:w="1328" w:type="dxa"/>
            <w:tcBorders>
              <w:top w:val="nil"/>
              <w:left w:val="nil"/>
              <w:bottom w:val="nil"/>
              <w:right w:val="nil"/>
            </w:tcBorders>
            <w:shd w:val="clear" w:color="auto" w:fill="auto"/>
            <w:noWrap/>
            <w:vAlign w:val="center"/>
            <w:hideMark/>
          </w:tcPr>
          <w:p w14:paraId="1BE74DDC"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 xml:space="preserve">(0.0284) </w:t>
            </w:r>
          </w:p>
        </w:tc>
        <w:tc>
          <w:tcPr>
            <w:tcW w:w="1326" w:type="dxa"/>
            <w:tcBorders>
              <w:top w:val="nil"/>
              <w:left w:val="nil"/>
              <w:bottom w:val="nil"/>
              <w:right w:val="nil"/>
            </w:tcBorders>
            <w:shd w:val="clear" w:color="auto" w:fill="auto"/>
            <w:noWrap/>
            <w:vAlign w:val="center"/>
            <w:hideMark/>
          </w:tcPr>
          <w:p w14:paraId="13A2AAEB"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 xml:space="preserve">(0.0434) </w:t>
            </w:r>
          </w:p>
        </w:tc>
        <w:tc>
          <w:tcPr>
            <w:tcW w:w="1328" w:type="dxa"/>
            <w:tcBorders>
              <w:top w:val="nil"/>
              <w:left w:val="nil"/>
              <w:bottom w:val="nil"/>
              <w:right w:val="nil"/>
            </w:tcBorders>
            <w:shd w:val="clear" w:color="auto" w:fill="auto"/>
            <w:noWrap/>
            <w:vAlign w:val="center"/>
            <w:hideMark/>
          </w:tcPr>
          <w:p w14:paraId="6283C379"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 xml:space="preserve">(0.0259) </w:t>
            </w:r>
          </w:p>
        </w:tc>
      </w:tr>
      <w:tr w:rsidR="00A85915" w:rsidRPr="00A85915" w14:paraId="611FEABF" w14:textId="77777777" w:rsidTr="00A85915">
        <w:trPr>
          <w:trHeight w:val="231"/>
        </w:trPr>
        <w:tc>
          <w:tcPr>
            <w:tcW w:w="2519" w:type="dxa"/>
            <w:tcBorders>
              <w:top w:val="nil"/>
              <w:left w:val="nil"/>
              <w:bottom w:val="nil"/>
              <w:right w:val="nil"/>
            </w:tcBorders>
            <w:shd w:val="clear" w:color="auto" w:fill="auto"/>
            <w:vAlign w:val="center"/>
            <w:hideMark/>
          </w:tcPr>
          <w:p w14:paraId="2FCB633C" w14:textId="77777777" w:rsidR="00A85915" w:rsidRPr="00A85915" w:rsidRDefault="00A85915" w:rsidP="00A85915">
            <w:pPr>
              <w:spacing w:after="0" w:line="240" w:lineRule="auto"/>
              <w:jc w:val="center"/>
              <w:rPr>
                <w:rFonts w:ascii="Calibri" w:eastAsia="Times New Roman" w:hAnsi="Calibri" w:cs="Calibri"/>
                <w:color w:val="000000"/>
                <w:sz w:val="22"/>
              </w:rPr>
            </w:pPr>
          </w:p>
        </w:tc>
        <w:tc>
          <w:tcPr>
            <w:tcW w:w="1328" w:type="dxa"/>
            <w:tcBorders>
              <w:top w:val="nil"/>
              <w:left w:val="nil"/>
              <w:bottom w:val="nil"/>
              <w:right w:val="nil"/>
            </w:tcBorders>
            <w:shd w:val="clear" w:color="auto" w:fill="auto"/>
            <w:noWrap/>
            <w:vAlign w:val="center"/>
            <w:hideMark/>
          </w:tcPr>
          <w:p w14:paraId="28AAC127" w14:textId="77777777" w:rsidR="00A85915" w:rsidRPr="00A85915" w:rsidRDefault="00A85915" w:rsidP="00A85915">
            <w:pPr>
              <w:spacing w:after="0" w:line="240" w:lineRule="auto"/>
              <w:rPr>
                <w:rFonts w:eastAsia="Times New Roman" w:cs="Times New Roman"/>
                <w:sz w:val="20"/>
                <w:szCs w:val="20"/>
              </w:rPr>
            </w:pPr>
          </w:p>
        </w:tc>
        <w:tc>
          <w:tcPr>
            <w:tcW w:w="1326" w:type="dxa"/>
            <w:tcBorders>
              <w:top w:val="nil"/>
              <w:left w:val="nil"/>
              <w:bottom w:val="nil"/>
              <w:right w:val="nil"/>
            </w:tcBorders>
            <w:shd w:val="clear" w:color="auto" w:fill="auto"/>
            <w:noWrap/>
            <w:vAlign w:val="center"/>
            <w:hideMark/>
          </w:tcPr>
          <w:p w14:paraId="39C0AC2B" w14:textId="77777777" w:rsidR="00A85915" w:rsidRPr="00A85915" w:rsidRDefault="00A85915" w:rsidP="00A85915">
            <w:pPr>
              <w:spacing w:after="0" w:line="240" w:lineRule="auto"/>
              <w:jc w:val="center"/>
              <w:rPr>
                <w:rFonts w:eastAsia="Times New Roman" w:cs="Times New Roman"/>
                <w:sz w:val="20"/>
                <w:szCs w:val="20"/>
              </w:rPr>
            </w:pPr>
          </w:p>
        </w:tc>
        <w:tc>
          <w:tcPr>
            <w:tcW w:w="1328" w:type="dxa"/>
            <w:tcBorders>
              <w:top w:val="nil"/>
              <w:left w:val="nil"/>
              <w:bottom w:val="nil"/>
              <w:right w:val="nil"/>
            </w:tcBorders>
            <w:shd w:val="clear" w:color="auto" w:fill="auto"/>
            <w:noWrap/>
            <w:vAlign w:val="center"/>
            <w:hideMark/>
          </w:tcPr>
          <w:p w14:paraId="2F99AD89" w14:textId="77777777" w:rsidR="00A85915" w:rsidRPr="00A85915" w:rsidRDefault="00A85915" w:rsidP="00A85915">
            <w:pPr>
              <w:spacing w:after="0" w:line="240" w:lineRule="auto"/>
              <w:jc w:val="center"/>
              <w:rPr>
                <w:rFonts w:eastAsia="Times New Roman" w:cs="Times New Roman"/>
                <w:sz w:val="20"/>
                <w:szCs w:val="20"/>
              </w:rPr>
            </w:pPr>
          </w:p>
        </w:tc>
        <w:tc>
          <w:tcPr>
            <w:tcW w:w="1326" w:type="dxa"/>
            <w:tcBorders>
              <w:top w:val="nil"/>
              <w:left w:val="nil"/>
              <w:bottom w:val="nil"/>
              <w:right w:val="nil"/>
            </w:tcBorders>
            <w:shd w:val="clear" w:color="auto" w:fill="auto"/>
            <w:noWrap/>
            <w:vAlign w:val="center"/>
            <w:hideMark/>
          </w:tcPr>
          <w:p w14:paraId="35A33849" w14:textId="77777777" w:rsidR="00A85915" w:rsidRPr="00A85915" w:rsidRDefault="00A85915" w:rsidP="00A85915">
            <w:pPr>
              <w:spacing w:after="0" w:line="240" w:lineRule="auto"/>
              <w:jc w:val="center"/>
              <w:rPr>
                <w:rFonts w:eastAsia="Times New Roman" w:cs="Times New Roman"/>
                <w:sz w:val="20"/>
                <w:szCs w:val="20"/>
              </w:rPr>
            </w:pPr>
          </w:p>
        </w:tc>
        <w:tc>
          <w:tcPr>
            <w:tcW w:w="1328" w:type="dxa"/>
            <w:tcBorders>
              <w:top w:val="nil"/>
              <w:left w:val="nil"/>
              <w:bottom w:val="nil"/>
              <w:right w:val="nil"/>
            </w:tcBorders>
            <w:shd w:val="clear" w:color="auto" w:fill="auto"/>
            <w:noWrap/>
            <w:vAlign w:val="center"/>
            <w:hideMark/>
          </w:tcPr>
          <w:p w14:paraId="51B3285A" w14:textId="77777777" w:rsidR="00A85915" w:rsidRPr="00A85915" w:rsidRDefault="00A85915" w:rsidP="00A85915">
            <w:pPr>
              <w:spacing w:after="0" w:line="240" w:lineRule="auto"/>
              <w:jc w:val="center"/>
              <w:rPr>
                <w:rFonts w:eastAsia="Times New Roman" w:cs="Times New Roman"/>
                <w:sz w:val="20"/>
                <w:szCs w:val="20"/>
              </w:rPr>
            </w:pPr>
          </w:p>
        </w:tc>
      </w:tr>
      <w:tr w:rsidR="00A85915" w:rsidRPr="00A85915" w14:paraId="27B4D01D" w14:textId="77777777" w:rsidTr="00A85915">
        <w:trPr>
          <w:trHeight w:val="231"/>
        </w:trPr>
        <w:tc>
          <w:tcPr>
            <w:tcW w:w="2519" w:type="dxa"/>
            <w:tcBorders>
              <w:top w:val="nil"/>
              <w:left w:val="nil"/>
              <w:bottom w:val="nil"/>
              <w:right w:val="nil"/>
            </w:tcBorders>
            <w:shd w:val="clear" w:color="auto" w:fill="auto"/>
            <w:noWrap/>
            <w:vAlign w:val="center"/>
            <w:hideMark/>
          </w:tcPr>
          <w:p w14:paraId="207D8A5D" w14:textId="77777777" w:rsidR="00A85915" w:rsidRPr="00A85915" w:rsidRDefault="00A85915" w:rsidP="00A85915">
            <w:pPr>
              <w:spacing w:after="0" w:line="240" w:lineRule="auto"/>
              <w:rPr>
                <w:rFonts w:ascii="Calibri" w:eastAsia="Times New Roman" w:hAnsi="Calibri" w:cs="Calibri"/>
                <w:color w:val="000000"/>
                <w:sz w:val="22"/>
              </w:rPr>
            </w:pPr>
            <w:r w:rsidRPr="00A85915">
              <w:rPr>
                <w:rFonts w:ascii="Calibri" w:eastAsia="Times New Roman" w:hAnsi="Calibri" w:cs="Calibri"/>
                <w:color w:val="000000"/>
                <w:sz w:val="22"/>
              </w:rPr>
              <w:t>Observation</w:t>
            </w:r>
          </w:p>
        </w:tc>
        <w:tc>
          <w:tcPr>
            <w:tcW w:w="1328" w:type="dxa"/>
            <w:tcBorders>
              <w:top w:val="nil"/>
              <w:left w:val="nil"/>
              <w:bottom w:val="nil"/>
              <w:right w:val="nil"/>
            </w:tcBorders>
            <w:shd w:val="clear" w:color="auto" w:fill="auto"/>
            <w:noWrap/>
            <w:vAlign w:val="center"/>
            <w:hideMark/>
          </w:tcPr>
          <w:p w14:paraId="0B31D79F"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10,489</w:t>
            </w:r>
          </w:p>
        </w:tc>
        <w:tc>
          <w:tcPr>
            <w:tcW w:w="1326" w:type="dxa"/>
            <w:tcBorders>
              <w:top w:val="nil"/>
              <w:left w:val="nil"/>
              <w:bottom w:val="nil"/>
              <w:right w:val="nil"/>
            </w:tcBorders>
            <w:shd w:val="clear" w:color="auto" w:fill="auto"/>
            <w:noWrap/>
            <w:vAlign w:val="center"/>
            <w:hideMark/>
          </w:tcPr>
          <w:p w14:paraId="1229AD54"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4,942</w:t>
            </w:r>
          </w:p>
        </w:tc>
        <w:tc>
          <w:tcPr>
            <w:tcW w:w="1328" w:type="dxa"/>
            <w:tcBorders>
              <w:top w:val="nil"/>
              <w:left w:val="nil"/>
              <w:bottom w:val="nil"/>
              <w:right w:val="nil"/>
            </w:tcBorders>
            <w:shd w:val="clear" w:color="auto" w:fill="auto"/>
            <w:noWrap/>
            <w:vAlign w:val="center"/>
            <w:hideMark/>
          </w:tcPr>
          <w:p w14:paraId="63EB3CB1"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5,547</w:t>
            </w:r>
          </w:p>
        </w:tc>
        <w:tc>
          <w:tcPr>
            <w:tcW w:w="1326" w:type="dxa"/>
            <w:tcBorders>
              <w:top w:val="nil"/>
              <w:left w:val="nil"/>
              <w:bottom w:val="nil"/>
              <w:right w:val="nil"/>
            </w:tcBorders>
            <w:shd w:val="clear" w:color="auto" w:fill="auto"/>
            <w:noWrap/>
            <w:vAlign w:val="center"/>
            <w:hideMark/>
          </w:tcPr>
          <w:p w14:paraId="52842F96"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3,603</w:t>
            </w:r>
          </w:p>
        </w:tc>
        <w:tc>
          <w:tcPr>
            <w:tcW w:w="1328" w:type="dxa"/>
            <w:tcBorders>
              <w:top w:val="nil"/>
              <w:left w:val="nil"/>
              <w:bottom w:val="nil"/>
              <w:right w:val="nil"/>
            </w:tcBorders>
            <w:shd w:val="clear" w:color="auto" w:fill="auto"/>
            <w:noWrap/>
            <w:vAlign w:val="center"/>
            <w:hideMark/>
          </w:tcPr>
          <w:p w14:paraId="34226CCD"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 xml:space="preserve">6,886 </w:t>
            </w:r>
          </w:p>
        </w:tc>
      </w:tr>
      <w:tr w:rsidR="00A85915" w:rsidRPr="00A85915" w14:paraId="6DA111A2" w14:textId="77777777" w:rsidTr="00A85915">
        <w:trPr>
          <w:trHeight w:val="231"/>
        </w:trPr>
        <w:tc>
          <w:tcPr>
            <w:tcW w:w="3847" w:type="dxa"/>
            <w:gridSpan w:val="2"/>
            <w:tcBorders>
              <w:top w:val="nil"/>
              <w:left w:val="nil"/>
              <w:bottom w:val="nil"/>
              <w:right w:val="nil"/>
            </w:tcBorders>
            <w:shd w:val="clear" w:color="auto" w:fill="auto"/>
            <w:noWrap/>
            <w:vAlign w:val="center"/>
            <w:hideMark/>
          </w:tcPr>
          <w:p w14:paraId="5EA0A1A1" w14:textId="77777777" w:rsidR="00A85915" w:rsidRPr="00A85915" w:rsidRDefault="00A85915" w:rsidP="00A85915">
            <w:pPr>
              <w:spacing w:after="0" w:line="240" w:lineRule="auto"/>
              <w:rPr>
                <w:rFonts w:ascii="Calibri" w:eastAsia="Times New Roman" w:hAnsi="Calibri" w:cs="Calibri"/>
                <w:color w:val="000000"/>
                <w:sz w:val="22"/>
              </w:rPr>
            </w:pPr>
            <w:r w:rsidRPr="00A85915">
              <w:rPr>
                <w:rFonts w:ascii="Calibri" w:eastAsia="Times New Roman" w:hAnsi="Calibri" w:cs="Calibri"/>
                <w:color w:val="000000"/>
                <w:sz w:val="22"/>
              </w:rPr>
              <w:t>Weak-identification test</w:t>
            </w:r>
          </w:p>
        </w:tc>
        <w:tc>
          <w:tcPr>
            <w:tcW w:w="1326" w:type="dxa"/>
            <w:tcBorders>
              <w:top w:val="nil"/>
              <w:left w:val="nil"/>
              <w:bottom w:val="nil"/>
              <w:right w:val="nil"/>
            </w:tcBorders>
            <w:shd w:val="clear" w:color="auto" w:fill="auto"/>
            <w:noWrap/>
            <w:vAlign w:val="center"/>
            <w:hideMark/>
          </w:tcPr>
          <w:p w14:paraId="53658710" w14:textId="77777777" w:rsidR="00A85915" w:rsidRPr="00A85915" w:rsidRDefault="00A85915" w:rsidP="00A85915">
            <w:pPr>
              <w:spacing w:after="0" w:line="240" w:lineRule="auto"/>
              <w:rPr>
                <w:rFonts w:ascii="Calibri" w:eastAsia="Times New Roman" w:hAnsi="Calibri" w:cs="Calibri"/>
                <w:color w:val="000000"/>
                <w:sz w:val="22"/>
              </w:rPr>
            </w:pPr>
          </w:p>
        </w:tc>
        <w:tc>
          <w:tcPr>
            <w:tcW w:w="1328" w:type="dxa"/>
            <w:tcBorders>
              <w:top w:val="nil"/>
              <w:left w:val="nil"/>
              <w:bottom w:val="nil"/>
              <w:right w:val="nil"/>
            </w:tcBorders>
            <w:shd w:val="clear" w:color="auto" w:fill="auto"/>
            <w:noWrap/>
            <w:vAlign w:val="center"/>
            <w:hideMark/>
          </w:tcPr>
          <w:p w14:paraId="78FB4807" w14:textId="77777777" w:rsidR="00A85915" w:rsidRPr="00A85915" w:rsidRDefault="00A85915" w:rsidP="00A85915">
            <w:pPr>
              <w:spacing w:after="0" w:line="240" w:lineRule="auto"/>
              <w:jc w:val="center"/>
              <w:rPr>
                <w:rFonts w:eastAsia="Times New Roman" w:cs="Times New Roman"/>
                <w:sz w:val="20"/>
                <w:szCs w:val="20"/>
              </w:rPr>
            </w:pPr>
          </w:p>
        </w:tc>
        <w:tc>
          <w:tcPr>
            <w:tcW w:w="1326" w:type="dxa"/>
            <w:tcBorders>
              <w:top w:val="nil"/>
              <w:left w:val="nil"/>
              <w:bottom w:val="nil"/>
              <w:right w:val="nil"/>
            </w:tcBorders>
            <w:shd w:val="clear" w:color="auto" w:fill="auto"/>
            <w:noWrap/>
            <w:vAlign w:val="center"/>
            <w:hideMark/>
          </w:tcPr>
          <w:p w14:paraId="5B071EDD" w14:textId="77777777" w:rsidR="00A85915" w:rsidRPr="00A85915" w:rsidRDefault="00A85915" w:rsidP="00A85915">
            <w:pPr>
              <w:spacing w:after="0" w:line="240" w:lineRule="auto"/>
              <w:jc w:val="center"/>
              <w:rPr>
                <w:rFonts w:eastAsia="Times New Roman" w:cs="Times New Roman"/>
                <w:sz w:val="20"/>
                <w:szCs w:val="20"/>
              </w:rPr>
            </w:pPr>
          </w:p>
        </w:tc>
        <w:tc>
          <w:tcPr>
            <w:tcW w:w="1328" w:type="dxa"/>
            <w:tcBorders>
              <w:top w:val="nil"/>
              <w:left w:val="nil"/>
              <w:bottom w:val="nil"/>
              <w:right w:val="nil"/>
            </w:tcBorders>
            <w:shd w:val="clear" w:color="auto" w:fill="auto"/>
            <w:noWrap/>
            <w:vAlign w:val="center"/>
            <w:hideMark/>
          </w:tcPr>
          <w:p w14:paraId="3B37FAE6" w14:textId="77777777" w:rsidR="00A85915" w:rsidRPr="00A85915" w:rsidRDefault="00A85915" w:rsidP="00A85915">
            <w:pPr>
              <w:spacing w:after="0" w:line="240" w:lineRule="auto"/>
              <w:jc w:val="center"/>
              <w:rPr>
                <w:rFonts w:eastAsia="Times New Roman" w:cs="Times New Roman"/>
                <w:sz w:val="20"/>
                <w:szCs w:val="20"/>
              </w:rPr>
            </w:pPr>
          </w:p>
        </w:tc>
      </w:tr>
      <w:tr w:rsidR="00A85915" w:rsidRPr="00A85915" w14:paraId="3C776BD3" w14:textId="77777777" w:rsidTr="00A85915">
        <w:trPr>
          <w:trHeight w:val="463"/>
        </w:trPr>
        <w:tc>
          <w:tcPr>
            <w:tcW w:w="2519" w:type="dxa"/>
            <w:tcBorders>
              <w:top w:val="nil"/>
              <w:left w:val="nil"/>
              <w:bottom w:val="nil"/>
              <w:right w:val="nil"/>
            </w:tcBorders>
            <w:shd w:val="clear" w:color="auto" w:fill="auto"/>
            <w:vAlign w:val="center"/>
            <w:hideMark/>
          </w:tcPr>
          <w:p w14:paraId="572E6A03" w14:textId="77777777" w:rsidR="00A85915" w:rsidRPr="00A85915" w:rsidRDefault="00A85915" w:rsidP="00A85915">
            <w:pPr>
              <w:spacing w:after="0" w:line="240" w:lineRule="auto"/>
              <w:rPr>
                <w:rFonts w:ascii="Calibri" w:eastAsia="Times New Roman" w:hAnsi="Calibri" w:cs="Calibri"/>
                <w:color w:val="000000"/>
                <w:sz w:val="22"/>
              </w:rPr>
            </w:pPr>
            <w:r w:rsidRPr="00A85915">
              <w:rPr>
                <w:rFonts w:ascii="Calibri" w:eastAsia="Times New Roman" w:hAnsi="Calibri" w:cs="Calibri"/>
                <w:color w:val="000000"/>
                <w:sz w:val="22"/>
              </w:rPr>
              <w:t xml:space="preserve">     Kleibergen-Paap F Statistic</w:t>
            </w:r>
          </w:p>
        </w:tc>
        <w:tc>
          <w:tcPr>
            <w:tcW w:w="1328" w:type="dxa"/>
            <w:tcBorders>
              <w:top w:val="nil"/>
              <w:left w:val="nil"/>
              <w:bottom w:val="nil"/>
              <w:right w:val="nil"/>
            </w:tcBorders>
            <w:shd w:val="clear" w:color="auto" w:fill="auto"/>
            <w:noWrap/>
            <w:vAlign w:val="center"/>
            <w:hideMark/>
          </w:tcPr>
          <w:p w14:paraId="2AA5E02A"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17.056</w:t>
            </w:r>
          </w:p>
        </w:tc>
        <w:tc>
          <w:tcPr>
            <w:tcW w:w="1326" w:type="dxa"/>
            <w:tcBorders>
              <w:top w:val="nil"/>
              <w:left w:val="nil"/>
              <w:bottom w:val="nil"/>
              <w:right w:val="nil"/>
            </w:tcBorders>
            <w:shd w:val="clear" w:color="auto" w:fill="auto"/>
            <w:noWrap/>
            <w:vAlign w:val="center"/>
            <w:hideMark/>
          </w:tcPr>
          <w:p w14:paraId="38957463"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3.229</w:t>
            </w:r>
          </w:p>
        </w:tc>
        <w:tc>
          <w:tcPr>
            <w:tcW w:w="1328" w:type="dxa"/>
            <w:tcBorders>
              <w:top w:val="nil"/>
              <w:left w:val="nil"/>
              <w:bottom w:val="nil"/>
              <w:right w:val="nil"/>
            </w:tcBorders>
            <w:shd w:val="clear" w:color="auto" w:fill="auto"/>
            <w:noWrap/>
            <w:vAlign w:val="center"/>
            <w:hideMark/>
          </w:tcPr>
          <w:p w14:paraId="589EDE98"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16.499</w:t>
            </w:r>
          </w:p>
        </w:tc>
        <w:tc>
          <w:tcPr>
            <w:tcW w:w="1326" w:type="dxa"/>
            <w:tcBorders>
              <w:top w:val="nil"/>
              <w:left w:val="nil"/>
              <w:bottom w:val="nil"/>
              <w:right w:val="nil"/>
            </w:tcBorders>
            <w:shd w:val="clear" w:color="auto" w:fill="auto"/>
            <w:noWrap/>
            <w:vAlign w:val="center"/>
            <w:hideMark/>
          </w:tcPr>
          <w:p w14:paraId="61CE44E2"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10.771</w:t>
            </w:r>
          </w:p>
        </w:tc>
        <w:tc>
          <w:tcPr>
            <w:tcW w:w="1328" w:type="dxa"/>
            <w:tcBorders>
              <w:top w:val="nil"/>
              <w:left w:val="nil"/>
              <w:bottom w:val="nil"/>
              <w:right w:val="nil"/>
            </w:tcBorders>
            <w:shd w:val="clear" w:color="auto" w:fill="auto"/>
            <w:noWrap/>
            <w:vAlign w:val="center"/>
            <w:hideMark/>
          </w:tcPr>
          <w:p w14:paraId="41357FDF"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13.946</w:t>
            </w:r>
          </w:p>
        </w:tc>
      </w:tr>
      <w:tr w:rsidR="00A85915" w:rsidRPr="00A85915" w14:paraId="3F6B14B9" w14:textId="77777777" w:rsidTr="00A85915">
        <w:trPr>
          <w:trHeight w:val="231"/>
        </w:trPr>
        <w:tc>
          <w:tcPr>
            <w:tcW w:w="3847" w:type="dxa"/>
            <w:gridSpan w:val="2"/>
            <w:tcBorders>
              <w:top w:val="nil"/>
              <w:left w:val="nil"/>
              <w:bottom w:val="nil"/>
              <w:right w:val="nil"/>
            </w:tcBorders>
            <w:shd w:val="clear" w:color="auto" w:fill="auto"/>
            <w:noWrap/>
            <w:vAlign w:val="center"/>
            <w:hideMark/>
          </w:tcPr>
          <w:p w14:paraId="4C704103" w14:textId="77777777" w:rsidR="00A85915" w:rsidRPr="00A85915" w:rsidRDefault="00A85915" w:rsidP="00A85915">
            <w:pPr>
              <w:spacing w:after="0" w:line="240" w:lineRule="auto"/>
              <w:rPr>
                <w:rFonts w:ascii="Calibri" w:eastAsia="Times New Roman" w:hAnsi="Calibri" w:cs="Calibri"/>
                <w:color w:val="000000"/>
                <w:sz w:val="22"/>
              </w:rPr>
            </w:pPr>
            <w:r w:rsidRPr="00A85915">
              <w:rPr>
                <w:rFonts w:ascii="Calibri" w:eastAsia="Times New Roman" w:hAnsi="Calibri" w:cs="Calibri"/>
                <w:color w:val="000000"/>
                <w:sz w:val="22"/>
              </w:rPr>
              <w:t>Over-identification test</w:t>
            </w:r>
          </w:p>
        </w:tc>
        <w:tc>
          <w:tcPr>
            <w:tcW w:w="1326" w:type="dxa"/>
            <w:tcBorders>
              <w:top w:val="nil"/>
              <w:left w:val="nil"/>
              <w:bottom w:val="nil"/>
              <w:right w:val="nil"/>
            </w:tcBorders>
            <w:shd w:val="clear" w:color="auto" w:fill="auto"/>
            <w:noWrap/>
            <w:vAlign w:val="center"/>
            <w:hideMark/>
          </w:tcPr>
          <w:p w14:paraId="097AF53F" w14:textId="77777777" w:rsidR="00A85915" w:rsidRPr="00A85915" w:rsidRDefault="00A85915" w:rsidP="00A85915">
            <w:pPr>
              <w:spacing w:after="0" w:line="240" w:lineRule="auto"/>
              <w:rPr>
                <w:rFonts w:ascii="Calibri" w:eastAsia="Times New Roman" w:hAnsi="Calibri" w:cs="Calibri"/>
                <w:color w:val="000000"/>
                <w:sz w:val="22"/>
              </w:rPr>
            </w:pPr>
          </w:p>
        </w:tc>
        <w:tc>
          <w:tcPr>
            <w:tcW w:w="1328" w:type="dxa"/>
            <w:tcBorders>
              <w:top w:val="nil"/>
              <w:left w:val="nil"/>
              <w:bottom w:val="nil"/>
              <w:right w:val="nil"/>
            </w:tcBorders>
            <w:shd w:val="clear" w:color="auto" w:fill="auto"/>
            <w:noWrap/>
            <w:vAlign w:val="center"/>
            <w:hideMark/>
          </w:tcPr>
          <w:p w14:paraId="4D1F2D9B" w14:textId="77777777" w:rsidR="00A85915" w:rsidRPr="00A85915" w:rsidRDefault="00A85915" w:rsidP="00A85915">
            <w:pPr>
              <w:spacing w:after="0" w:line="240" w:lineRule="auto"/>
              <w:jc w:val="center"/>
              <w:rPr>
                <w:rFonts w:eastAsia="Times New Roman" w:cs="Times New Roman"/>
                <w:sz w:val="20"/>
                <w:szCs w:val="20"/>
              </w:rPr>
            </w:pPr>
          </w:p>
        </w:tc>
        <w:tc>
          <w:tcPr>
            <w:tcW w:w="1326" w:type="dxa"/>
            <w:tcBorders>
              <w:top w:val="nil"/>
              <w:left w:val="nil"/>
              <w:bottom w:val="nil"/>
              <w:right w:val="nil"/>
            </w:tcBorders>
            <w:shd w:val="clear" w:color="auto" w:fill="auto"/>
            <w:noWrap/>
            <w:vAlign w:val="center"/>
            <w:hideMark/>
          </w:tcPr>
          <w:p w14:paraId="4025643B" w14:textId="77777777" w:rsidR="00A85915" w:rsidRPr="00A85915" w:rsidRDefault="00A85915" w:rsidP="00A85915">
            <w:pPr>
              <w:spacing w:after="0" w:line="240" w:lineRule="auto"/>
              <w:jc w:val="center"/>
              <w:rPr>
                <w:rFonts w:eastAsia="Times New Roman" w:cs="Times New Roman"/>
                <w:sz w:val="20"/>
                <w:szCs w:val="20"/>
              </w:rPr>
            </w:pPr>
          </w:p>
        </w:tc>
        <w:tc>
          <w:tcPr>
            <w:tcW w:w="1328" w:type="dxa"/>
            <w:tcBorders>
              <w:top w:val="nil"/>
              <w:left w:val="nil"/>
              <w:bottom w:val="nil"/>
              <w:right w:val="nil"/>
            </w:tcBorders>
            <w:shd w:val="clear" w:color="auto" w:fill="auto"/>
            <w:noWrap/>
            <w:vAlign w:val="center"/>
            <w:hideMark/>
          </w:tcPr>
          <w:p w14:paraId="75830BDD" w14:textId="77777777" w:rsidR="00A85915" w:rsidRPr="00A85915" w:rsidRDefault="00A85915" w:rsidP="00A85915">
            <w:pPr>
              <w:spacing w:after="0" w:line="240" w:lineRule="auto"/>
              <w:jc w:val="center"/>
              <w:rPr>
                <w:rFonts w:eastAsia="Times New Roman" w:cs="Times New Roman"/>
                <w:sz w:val="20"/>
                <w:szCs w:val="20"/>
              </w:rPr>
            </w:pPr>
          </w:p>
        </w:tc>
      </w:tr>
      <w:tr w:rsidR="00A85915" w:rsidRPr="00A85915" w14:paraId="0752A41F" w14:textId="77777777" w:rsidTr="00A85915">
        <w:trPr>
          <w:trHeight w:val="231"/>
        </w:trPr>
        <w:tc>
          <w:tcPr>
            <w:tcW w:w="2519" w:type="dxa"/>
            <w:tcBorders>
              <w:top w:val="nil"/>
              <w:left w:val="nil"/>
              <w:bottom w:val="nil"/>
              <w:right w:val="nil"/>
            </w:tcBorders>
            <w:shd w:val="clear" w:color="auto" w:fill="auto"/>
            <w:noWrap/>
            <w:vAlign w:val="center"/>
            <w:hideMark/>
          </w:tcPr>
          <w:p w14:paraId="0A06C55E" w14:textId="77777777" w:rsidR="00A85915" w:rsidRPr="00A85915" w:rsidRDefault="00A85915" w:rsidP="00A85915">
            <w:pPr>
              <w:spacing w:after="0" w:line="240" w:lineRule="auto"/>
              <w:rPr>
                <w:rFonts w:ascii="Calibri" w:eastAsia="Times New Roman" w:hAnsi="Calibri" w:cs="Calibri"/>
                <w:color w:val="000000"/>
                <w:sz w:val="22"/>
              </w:rPr>
            </w:pPr>
            <w:r w:rsidRPr="00A85915">
              <w:rPr>
                <w:rFonts w:ascii="Calibri" w:eastAsia="Times New Roman" w:hAnsi="Calibri" w:cs="Calibri"/>
                <w:color w:val="000000"/>
                <w:sz w:val="22"/>
              </w:rPr>
              <w:t xml:space="preserve">      Hansen J Statistic</w:t>
            </w:r>
          </w:p>
        </w:tc>
        <w:tc>
          <w:tcPr>
            <w:tcW w:w="1328" w:type="dxa"/>
            <w:tcBorders>
              <w:top w:val="nil"/>
              <w:left w:val="nil"/>
              <w:bottom w:val="nil"/>
              <w:right w:val="nil"/>
            </w:tcBorders>
            <w:shd w:val="clear" w:color="auto" w:fill="auto"/>
            <w:noWrap/>
            <w:vAlign w:val="center"/>
            <w:hideMark/>
          </w:tcPr>
          <w:p w14:paraId="40CE578D"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1.365</w:t>
            </w:r>
          </w:p>
        </w:tc>
        <w:tc>
          <w:tcPr>
            <w:tcW w:w="1326" w:type="dxa"/>
            <w:tcBorders>
              <w:top w:val="nil"/>
              <w:left w:val="nil"/>
              <w:bottom w:val="nil"/>
              <w:right w:val="nil"/>
            </w:tcBorders>
            <w:shd w:val="clear" w:color="auto" w:fill="auto"/>
            <w:noWrap/>
            <w:vAlign w:val="center"/>
            <w:hideMark/>
          </w:tcPr>
          <w:p w14:paraId="4701A319"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0.338</w:t>
            </w:r>
          </w:p>
        </w:tc>
        <w:tc>
          <w:tcPr>
            <w:tcW w:w="1328" w:type="dxa"/>
            <w:tcBorders>
              <w:top w:val="nil"/>
              <w:left w:val="nil"/>
              <w:bottom w:val="nil"/>
              <w:right w:val="nil"/>
            </w:tcBorders>
            <w:shd w:val="clear" w:color="auto" w:fill="auto"/>
            <w:noWrap/>
            <w:vAlign w:val="center"/>
            <w:hideMark/>
          </w:tcPr>
          <w:p w14:paraId="24DADEFC"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1.564</w:t>
            </w:r>
          </w:p>
        </w:tc>
        <w:tc>
          <w:tcPr>
            <w:tcW w:w="1326" w:type="dxa"/>
            <w:tcBorders>
              <w:top w:val="nil"/>
              <w:left w:val="nil"/>
              <w:bottom w:val="nil"/>
              <w:right w:val="nil"/>
            </w:tcBorders>
            <w:shd w:val="clear" w:color="auto" w:fill="auto"/>
            <w:noWrap/>
            <w:vAlign w:val="center"/>
            <w:hideMark/>
          </w:tcPr>
          <w:p w14:paraId="7BA92869"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0.041</w:t>
            </w:r>
          </w:p>
        </w:tc>
        <w:tc>
          <w:tcPr>
            <w:tcW w:w="1328" w:type="dxa"/>
            <w:tcBorders>
              <w:top w:val="nil"/>
              <w:left w:val="nil"/>
              <w:bottom w:val="nil"/>
              <w:right w:val="nil"/>
            </w:tcBorders>
            <w:shd w:val="clear" w:color="auto" w:fill="auto"/>
            <w:noWrap/>
            <w:vAlign w:val="center"/>
            <w:hideMark/>
          </w:tcPr>
          <w:p w14:paraId="23802D32"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0.005</w:t>
            </w:r>
          </w:p>
        </w:tc>
      </w:tr>
      <w:tr w:rsidR="00A85915" w:rsidRPr="00A85915" w14:paraId="334FD2B7" w14:textId="77777777" w:rsidTr="00A85915">
        <w:trPr>
          <w:trHeight w:val="241"/>
        </w:trPr>
        <w:tc>
          <w:tcPr>
            <w:tcW w:w="2519" w:type="dxa"/>
            <w:tcBorders>
              <w:top w:val="nil"/>
              <w:left w:val="nil"/>
              <w:bottom w:val="double" w:sz="6" w:space="0" w:color="auto"/>
              <w:right w:val="nil"/>
            </w:tcBorders>
            <w:shd w:val="clear" w:color="auto" w:fill="auto"/>
            <w:noWrap/>
            <w:vAlign w:val="center"/>
            <w:hideMark/>
          </w:tcPr>
          <w:p w14:paraId="086EDB48" w14:textId="77777777" w:rsidR="00A85915" w:rsidRPr="00A85915" w:rsidRDefault="00A85915" w:rsidP="00A85915">
            <w:pPr>
              <w:spacing w:after="0" w:line="240" w:lineRule="auto"/>
              <w:rPr>
                <w:rFonts w:ascii="Calibri" w:eastAsia="Times New Roman" w:hAnsi="Calibri" w:cs="Calibri"/>
                <w:color w:val="000000"/>
                <w:sz w:val="22"/>
              </w:rPr>
            </w:pPr>
            <w:r w:rsidRPr="00A85915">
              <w:rPr>
                <w:rFonts w:ascii="Calibri" w:eastAsia="Times New Roman" w:hAnsi="Calibri" w:cs="Calibri"/>
                <w:color w:val="000000"/>
                <w:sz w:val="22"/>
              </w:rPr>
              <w:t xml:space="preserve">      P-values for J test </w:t>
            </w:r>
          </w:p>
        </w:tc>
        <w:tc>
          <w:tcPr>
            <w:tcW w:w="1328" w:type="dxa"/>
            <w:tcBorders>
              <w:top w:val="nil"/>
              <w:left w:val="nil"/>
              <w:bottom w:val="double" w:sz="6" w:space="0" w:color="auto"/>
              <w:right w:val="nil"/>
            </w:tcBorders>
            <w:shd w:val="clear" w:color="auto" w:fill="auto"/>
            <w:noWrap/>
            <w:vAlign w:val="center"/>
            <w:hideMark/>
          </w:tcPr>
          <w:p w14:paraId="1FDF1E78"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0.243</w:t>
            </w:r>
          </w:p>
        </w:tc>
        <w:tc>
          <w:tcPr>
            <w:tcW w:w="1326" w:type="dxa"/>
            <w:tcBorders>
              <w:top w:val="nil"/>
              <w:left w:val="nil"/>
              <w:bottom w:val="double" w:sz="6" w:space="0" w:color="auto"/>
              <w:right w:val="nil"/>
            </w:tcBorders>
            <w:shd w:val="clear" w:color="auto" w:fill="auto"/>
            <w:noWrap/>
            <w:vAlign w:val="center"/>
            <w:hideMark/>
          </w:tcPr>
          <w:p w14:paraId="4DA095BE"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0.561</w:t>
            </w:r>
          </w:p>
        </w:tc>
        <w:tc>
          <w:tcPr>
            <w:tcW w:w="1328" w:type="dxa"/>
            <w:tcBorders>
              <w:top w:val="nil"/>
              <w:left w:val="nil"/>
              <w:bottom w:val="double" w:sz="6" w:space="0" w:color="auto"/>
              <w:right w:val="nil"/>
            </w:tcBorders>
            <w:shd w:val="clear" w:color="auto" w:fill="auto"/>
            <w:noWrap/>
            <w:vAlign w:val="center"/>
            <w:hideMark/>
          </w:tcPr>
          <w:p w14:paraId="249D840D"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0.211</w:t>
            </w:r>
          </w:p>
        </w:tc>
        <w:tc>
          <w:tcPr>
            <w:tcW w:w="1326" w:type="dxa"/>
            <w:tcBorders>
              <w:top w:val="nil"/>
              <w:left w:val="nil"/>
              <w:bottom w:val="double" w:sz="6" w:space="0" w:color="auto"/>
              <w:right w:val="nil"/>
            </w:tcBorders>
            <w:shd w:val="clear" w:color="auto" w:fill="auto"/>
            <w:noWrap/>
            <w:vAlign w:val="center"/>
            <w:hideMark/>
          </w:tcPr>
          <w:p w14:paraId="49DF9B06"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0.841</w:t>
            </w:r>
          </w:p>
        </w:tc>
        <w:tc>
          <w:tcPr>
            <w:tcW w:w="1328" w:type="dxa"/>
            <w:tcBorders>
              <w:top w:val="nil"/>
              <w:left w:val="nil"/>
              <w:bottom w:val="double" w:sz="6" w:space="0" w:color="auto"/>
              <w:right w:val="nil"/>
            </w:tcBorders>
            <w:shd w:val="clear" w:color="auto" w:fill="auto"/>
            <w:noWrap/>
            <w:vAlign w:val="center"/>
            <w:hideMark/>
          </w:tcPr>
          <w:p w14:paraId="224B06C7" w14:textId="77777777" w:rsidR="00A85915" w:rsidRPr="00A85915" w:rsidRDefault="00A85915" w:rsidP="00A85915">
            <w:pPr>
              <w:spacing w:after="0" w:line="240" w:lineRule="auto"/>
              <w:jc w:val="center"/>
              <w:rPr>
                <w:rFonts w:ascii="Calibri" w:eastAsia="Times New Roman" w:hAnsi="Calibri" w:cs="Calibri"/>
                <w:color w:val="000000"/>
                <w:sz w:val="22"/>
              </w:rPr>
            </w:pPr>
            <w:r w:rsidRPr="00A85915">
              <w:rPr>
                <w:rFonts w:ascii="Calibri" w:eastAsia="Times New Roman" w:hAnsi="Calibri" w:cs="Calibri"/>
                <w:color w:val="000000"/>
                <w:sz w:val="22"/>
              </w:rPr>
              <w:t>0.941</w:t>
            </w:r>
          </w:p>
        </w:tc>
      </w:tr>
    </w:tbl>
    <w:p w14:paraId="2E0BB0D9" w14:textId="03A23A2C" w:rsidR="008B70F4" w:rsidRDefault="008B70F4" w:rsidP="008B70F4">
      <w:r w:rsidRPr="00F005DC">
        <w:rPr>
          <w:i/>
          <w:iCs/>
        </w:rPr>
        <w:t>Notes</w:t>
      </w:r>
      <w:r>
        <w:t xml:space="preserve">: All columns control for all demographic characteristics and all fixed effects. </w:t>
      </w:r>
    </w:p>
    <w:p w14:paraId="118C32CD" w14:textId="77777777" w:rsidR="008B70F4" w:rsidRDefault="008B70F4" w:rsidP="008B70F4">
      <w:pPr>
        <w:rPr>
          <w:rFonts w:cs="Times New Roman"/>
          <w:szCs w:val="24"/>
          <w:lang w:val="en-US"/>
        </w:rPr>
      </w:pPr>
      <w:r>
        <w:t xml:space="preserve">***p&lt;0.01, **p&lt;0.05. *p&lt;0.1. </w:t>
      </w:r>
    </w:p>
    <w:p w14:paraId="5C73DF5E" w14:textId="77777777" w:rsidR="00F431A3" w:rsidRDefault="00F431A3" w:rsidP="008061C9">
      <w:pPr>
        <w:spacing w:line="360" w:lineRule="auto"/>
        <w:ind w:firstLine="567"/>
      </w:pPr>
    </w:p>
    <w:p w14:paraId="01E66070" w14:textId="72524FC3" w:rsidR="00A85915" w:rsidRDefault="00CB10AD" w:rsidP="004A6FA2">
      <w:pPr>
        <w:spacing w:line="360" w:lineRule="auto"/>
        <w:ind w:firstLine="567"/>
        <w:jc w:val="both"/>
      </w:pPr>
      <w:r w:rsidRPr="00CB10AD">
        <w:t xml:space="preserve">Table 13 Panel A indicates that physical activity and education level are significantly positively correlated, and one year of education increase can rise 1.7 percentage points for doing physical activity at 1% significant level. Panel B illustrates that there is significant causality in general, female, and urban. In the subsample columns, the 2SLS coefficient is about </w:t>
      </w:r>
      <w:r w:rsidR="00A85915">
        <w:t>5</w:t>
      </w:r>
      <w:r w:rsidRPr="00CB10AD">
        <w:t xml:space="preserve"> times large than the OLS coefficient in females and urban, respectively. Recall that the physical activity only </w:t>
      </w:r>
      <w:r w:rsidRPr="00CB10AD">
        <w:lastRenderedPageBreak/>
        <w:t>includes sports and exercises in this paper and does not include job-related behaviors such as farming, and people in farm usually do physically heavy work such as plowing the field, so they will not purposely do exercise because they consume too much energy in their usual work.</w:t>
      </w:r>
      <w:r w:rsidR="006E49BF">
        <w:rPr>
          <w:rStyle w:val="FootnoteReference"/>
        </w:rPr>
        <w:footnoteReference w:id="5"/>
      </w:r>
    </w:p>
    <w:p w14:paraId="41D2DC3E" w14:textId="51581A2D" w:rsidR="00FD5D21" w:rsidRDefault="00FD5D21" w:rsidP="008061C9">
      <w:pPr>
        <w:spacing w:line="360" w:lineRule="auto"/>
        <w:ind w:firstLine="567"/>
      </w:pPr>
    </w:p>
    <w:p w14:paraId="3BF12084" w14:textId="77777777" w:rsidR="00FD5D21" w:rsidRPr="0024546D" w:rsidRDefault="00FD5D21" w:rsidP="008061C9">
      <w:pPr>
        <w:spacing w:line="360" w:lineRule="auto"/>
        <w:ind w:firstLine="567"/>
        <w:rPr>
          <w:color w:val="FF0000"/>
        </w:rPr>
      </w:pPr>
    </w:p>
    <w:p w14:paraId="611FF75F" w14:textId="2D7C2AD8" w:rsidR="00937AA6" w:rsidRPr="008F7B1E" w:rsidRDefault="008F7B1E" w:rsidP="00FD5D21">
      <w:pPr>
        <w:pStyle w:val="Heading2"/>
        <w:spacing w:line="360" w:lineRule="auto"/>
      </w:pPr>
      <w:bookmarkStart w:id="36" w:name="_Toc41312377"/>
      <w:r w:rsidRPr="008F7B1E">
        <w:t>5.3</w:t>
      </w:r>
      <w:r w:rsidR="00937AA6" w:rsidRPr="008F7B1E">
        <w:t xml:space="preserve"> Robustness Check</w:t>
      </w:r>
      <w:bookmarkEnd w:id="36"/>
    </w:p>
    <w:p w14:paraId="51F634B5" w14:textId="08EB5865" w:rsidR="003677C2" w:rsidRPr="003677C2" w:rsidRDefault="008F7B1E" w:rsidP="00FD5D21">
      <w:pPr>
        <w:pStyle w:val="Heading3"/>
        <w:spacing w:line="360" w:lineRule="auto"/>
      </w:pPr>
      <w:bookmarkStart w:id="37" w:name="_Toc41312378"/>
      <w:r>
        <w:t>5.3.</w:t>
      </w:r>
      <w:r w:rsidR="00910E81">
        <w:t xml:space="preserve">1 </w:t>
      </w:r>
      <w:r w:rsidR="003677C2">
        <w:t>Robustness of e</w:t>
      </w:r>
      <w:r w:rsidR="00910E81">
        <w:t>xcluding high income</w:t>
      </w:r>
      <w:bookmarkEnd w:id="37"/>
    </w:p>
    <w:p w14:paraId="452C61E8" w14:textId="64761D15" w:rsidR="002973B5" w:rsidRDefault="002973B5" w:rsidP="008F7B1E">
      <w:r>
        <w:rPr>
          <w:rFonts w:hint="eastAsia"/>
        </w:rPr>
        <w:t>Table</w:t>
      </w:r>
      <w:r>
        <w:t xml:space="preserve"> 1</w:t>
      </w:r>
      <w:r w:rsidR="00283BCE">
        <w:t>4</w:t>
      </w:r>
      <w:r>
        <w:t xml:space="preserve">. </w:t>
      </w:r>
      <w:r w:rsidR="00EF00B1">
        <w:t>S</w:t>
      </w:r>
      <w:r w:rsidR="00EF00B1">
        <w:rPr>
          <w:rFonts w:hint="eastAsia"/>
        </w:rPr>
        <w:t>ummary</w:t>
      </w:r>
      <w:r w:rsidR="00EF00B1">
        <w:t xml:space="preserve"> </w:t>
      </w:r>
      <w:r>
        <w:t xml:space="preserve">of </w:t>
      </w:r>
      <w:r>
        <w:rPr>
          <w:rFonts w:hint="eastAsia"/>
        </w:rPr>
        <w:t>household</w:t>
      </w:r>
      <w:r>
        <w:t xml:space="preserve"> </w:t>
      </w:r>
      <w:r>
        <w:rPr>
          <w:rFonts w:hint="eastAsia"/>
        </w:rPr>
        <w:t>income</w:t>
      </w:r>
      <w:r>
        <w:t xml:space="preserve"> </w:t>
      </w:r>
      <w:r>
        <w:rPr>
          <w:rFonts w:hint="eastAsia"/>
        </w:rPr>
        <w:t>per</w:t>
      </w:r>
      <w:r>
        <w:t xml:space="preserve"> </w:t>
      </w:r>
      <w:r>
        <w:rPr>
          <w:rFonts w:hint="eastAsia"/>
        </w:rPr>
        <w:t>capita</w:t>
      </w:r>
    </w:p>
    <w:tbl>
      <w:tblPr>
        <w:tblW w:w="7833" w:type="dxa"/>
        <w:tblLook w:val="04A0" w:firstRow="1" w:lastRow="0" w:firstColumn="1" w:lastColumn="0" w:noHBand="0" w:noVBand="1"/>
      </w:tblPr>
      <w:tblGrid>
        <w:gridCol w:w="1020"/>
        <w:gridCol w:w="2315"/>
        <w:gridCol w:w="402"/>
        <w:gridCol w:w="2220"/>
        <w:gridCol w:w="1876"/>
      </w:tblGrid>
      <w:tr w:rsidR="00FD5D21" w:rsidRPr="00FD5D21" w14:paraId="49878B83" w14:textId="77777777" w:rsidTr="00FD5D21">
        <w:trPr>
          <w:trHeight w:val="257"/>
        </w:trPr>
        <w:tc>
          <w:tcPr>
            <w:tcW w:w="7833" w:type="dxa"/>
            <w:gridSpan w:val="5"/>
            <w:tcBorders>
              <w:top w:val="single" w:sz="4" w:space="0" w:color="auto"/>
              <w:left w:val="nil"/>
              <w:bottom w:val="single" w:sz="4" w:space="0" w:color="auto"/>
              <w:right w:val="nil"/>
            </w:tcBorders>
            <w:shd w:val="clear" w:color="auto" w:fill="auto"/>
            <w:noWrap/>
            <w:vAlign w:val="center"/>
            <w:hideMark/>
          </w:tcPr>
          <w:p w14:paraId="44B0B11D"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Household income per capita (thousand)</w:t>
            </w:r>
          </w:p>
        </w:tc>
      </w:tr>
      <w:tr w:rsidR="00FD5D21" w:rsidRPr="00FD5D21" w14:paraId="04DA61ED" w14:textId="77777777" w:rsidTr="00FD5D21">
        <w:trPr>
          <w:trHeight w:val="257"/>
        </w:trPr>
        <w:tc>
          <w:tcPr>
            <w:tcW w:w="1020" w:type="dxa"/>
            <w:tcBorders>
              <w:top w:val="nil"/>
              <w:left w:val="nil"/>
              <w:bottom w:val="nil"/>
              <w:right w:val="nil"/>
            </w:tcBorders>
            <w:shd w:val="clear" w:color="auto" w:fill="auto"/>
            <w:noWrap/>
            <w:vAlign w:val="bottom"/>
            <w:hideMark/>
          </w:tcPr>
          <w:p w14:paraId="70000298"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 </w:t>
            </w:r>
          </w:p>
        </w:tc>
        <w:tc>
          <w:tcPr>
            <w:tcW w:w="2315" w:type="dxa"/>
            <w:tcBorders>
              <w:top w:val="nil"/>
              <w:left w:val="nil"/>
              <w:bottom w:val="nil"/>
              <w:right w:val="nil"/>
            </w:tcBorders>
            <w:shd w:val="clear" w:color="auto" w:fill="auto"/>
            <w:noWrap/>
            <w:vAlign w:val="bottom"/>
            <w:hideMark/>
          </w:tcPr>
          <w:p w14:paraId="4B707189"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 xml:space="preserve">Percentile </w:t>
            </w:r>
          </w:p>
        </w:tc>
        <w:tc>
          <w:tcPr>
            <w:tcW w:w="402" w:type="dxa"/>
            <w:tcBorders>
              <w:top w:val="nil"/>
              <w:left w:val="nil"/>
              <w:bottom w:val="nil"/>
              <w:right w:val="nil"/>
            </w:tcBorders>
            <w:shd w:val="clear" w:color="auto" w:fill="auto"/>
            <w:noWrap/>
            <w:vAlign w:val="bottom"/>
            <w:hideMark/>
          </w:tcPr>
          <w:p w14:paraId="33C07966"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 </w:t>
            </w:r>
          </w:p>
        </w:tc>
        <w:tc>
          <w:tcPr>
            <w:tcW w:w="2220" w:type="dxa"/>
            <w:tcBorders>
              <w:top w:val="nil"/>
              <w:left w:val="nil"/>
              <w:bottom w:val="nil"/>
              <w:right w:val="nil"/>
            </w:tcBorders>
            <w:shd w:val="clear" w:color="auto" w:fill="auto"/>
            <w:noWrap/>
            <w:vAlign w:val="bottom"/>
            <w:hideMark/>
          </w:tcPr>
          <w:p w14:paraId="79FE15B8"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 </w:t>
            </w:r>
          </w:p>
        </w:tc>
        <w:tc>
          <w:tcPr>
            <w:tcW w:w="1873" w:type="dxa"/>
            <w:tcBorders>
              <w:top w:val="nil"/>
              <w:left w:val="nil"/>
              <w:bottom w:val="nil"/>
              <w:right w:val="nil"/>
            </w:tcBorders>
            <w:shd w:val="clear" w:color="auto" w:fill="auto"/>
            <w:noWrap/>
            <w:vAlign w:val="bottom"/>
            <w:hideMark/>
          </w:tcPr>
          <w:p w14:paraId="2394219E"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 </w:t>
            </w:r>
          </w:p>
        </w:tc>
      </w:tr>
      <w:tr w:rsidR="00FD5D21" w:rsidRPr="00FD5D21" w14:paraId="4D2CBB76" w14:textId="77777777" w:rsidTr="00FD5D21">
        <w:trPr>
          <w:trHeight w:val="257"/>
        </w:trPr>
        <w:tc>
          <w:tcPr>
            <w:tcW w:w="1020" w:type="dxa"/>
            <w:tcBorders>
              <w:top w:val="nil"/>
              <w:left w:val="nil"/>
              <w:bottom w:val="nil"/>
              <w:right w:val="nil"/>
            </w:tcBorders>
            <w:shd w:val="clear" w:color="auto" w:fill="auto"/>
            <w:noWrap/>
            <w:vAlign w:val="bottom"/>
            <w:hideMark/>
          </w:tcPr>
          <w:p w14:paraId="48EB6510"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1%</w:t>
            </w:r>
          </w:p>
        </w:tc>
        <w:tc>
          <w:tcPr>
            <w:tcW w:w="2315" w:type="dxa"/>
            <w:tcBorders>
              <w:top w:val="nil"/>
              <w:left w:val="nil"/>
              <w:bottom w:val="nil"/>
              <w:right w:val="nil"/>
            </w:tcBorders>
            <w:shd w:val="clear" w:color="auto" w:fill="auto"/>
            <w:noWrap/>
            <w:vAlign w:val="bottom"/>
            <w:hideMark/>
          </w:tcPr>
          <w:p w14:paraId="0990F7D9"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0</w:t>
            </w:r>
          </w:p>
        </w:tc>
        <w:tc>
          <w:tcPr>
            <w:tcW w:w="402" w:type="dxa"/>
            <w:tcBorders>
              <w:top w:val="nil"/>
              <w:left w:val="nil"/>
              <w:bottom w:val="nil"/>
              <w:right w:val="nil"/>
            </w:tcBorders>
            <w:shd w:val="clear" w:color="auto" w:fill="auto"/>
            <w:noWrap/>
            <w:vAlign w:val="bottom"/>
            <w:hideMark/>
          </w:tcPr>
          <w:p w14:paraId="1980FBED" w14:textId="77777777" w:rsidR="00FD5D21" w:rsidRPr="00FD5D21" w:rsidRDefault="00FD5D21" w:rsidP="00FD5D21">
            <w:pPr>
              <w:spacing w:after="0" w:line="240" w:lineRule="auto"/>
              <w:jc w:val="center"/>
              <w:rPr>
                <w:rFonts w:ascii="Calibri" w:eastAsia="Times New Roman" w:hAnsi="Calibri" w:cs="Calibri"/>
                <w:color w:val="000000"/>
                <w:sz w:val="22"/>
              </w:rPr>
            </w:pPr>
          </w:p>
        </w:tc>
        <w:tc>
          <w:tcPr>
            <w:tcW w:w="2220" w:type="dxa"/>
            <w:tcBorders>
              <w:top w:val="nil"/>
              <w:left w:val="nil"/>
              <w:bottom w:val="nil"/>
              <w:right w:val="nil"/>
            </w:tcBorders>
            <w:shd w:val="clear" w:color="auto" w:fill="auto"/>
            <w:noWrap/>
            <w:vAlign w:val="bottom"/>
            <w:hideMark/>
          </w:tcPr>
          <w:p w14:paraId="044D8081"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Smallest</w:t>
            </w:r>
          </w:p>
        </w:tc>
        <w:tc>
          <w:tcPr>
            <w:tcW w:w="1873" w:type="dxa"/>
            <w:tcBorders>
              <w:top w:val="nil"/>
              <w:left w:val="nil"/>
              <w:bottom w:val="nil"/>
              <w:right w:val="nil"/>
            </w:tcBorders>
            <w:shd w:val="clear" w:color="auto" w:fill="auto"/>
            <w:noWrap/>
            <w:vAlign w:val="bottom"/>
            <w:hideMark/>
          </w:tcPr>
          <w:p w14:paraId="2C477A54"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0</w:t>
            </w:r>
          </w:p>
        </w:tc>
      </w:tr>
      <w:tr w:rsidR="00FD5D21" w:rsidRPr="00FD5D21" w14:paraId="54EDE4EC" w14:textId="77777777" w:rsidTr="00FD5D21">
        <w:trPr>
          <w:trHeight w:val="257"/>
        </w:trPr>
        <w:tc>
          <w:tcPr>
            <w:tcW w:w="1020" w:type="dxa"/>
            <w:tcBorders>
              <w:top w:val="nil"/>
              <w:left w:val="nil"/>
              <w:bottom w:val="nil"/>
              <w:right w:val="nil"/>
            </w:tcBorders>
            <w:shd w:val="clear" w:color="auto" w:fill="auto"/>
            <w:noWrap/>
            <w:vAlign w:val="bottom"/>
            <w:hideMark/>
          </w:tcPr>
          <w:p w14:paraId="48207AA1"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5%</w:t>
            </w:r>
          </w:p>
        </w:tc>
        <w:tc>
          <w:tcPr>
            <w:tcW w:w="2315" w:type="dxa"/>
            <w:tcBorders>
              <w:top w:val="nil"/>
              <w:left w:val="nil"/>
              <w:bottom w:val="nil"/>
              <w:right w:val="nil"/>
            </w:tcBorders>
            <w:shd w:val="clear" w:color="auto" w:fill="auto"/>
            <w:noWrap/>
            <w:vAlign w:val="bottom"/>
            <w:hideMark/>
          </w:tcPr>
          <w:p w14:paraId="210D4762"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1.40625</w:t>
            </w:r>
          </w:p>
        </w:tc>
        <w:tc>
          <w:tcPr>
            <w:tcW w:w="402" w:type="dxa"/>
            <w:tcBorders>
              <w:top w:val="nil"/>
              <w:left w:val="nil"/>
              <w:bottom w:val="nil"/>
              <w:right w:val="nil"/>
            </w:tcBorders>
            <w:shd w:val="clear" w:color="auto" w:fill="auto"/>
            <w:noWrap/>
            <w:vAlign w:val="bottom"/>
            <w:hideMark/>
          </w:tcPr>
          <w:p w14:paraId="15784CBA" w14:textId="77777777" w:rsidR="00FD5D21" w:rsidRPr="00FD5D21" w:rsidRDefault="00FD5D21" w:rsidP="00FD5D21">
            <w:pPr>
              <w:spacing w:after="0" w:line="240" w:lineRule="auto"/>
              <w:jc w:val="center"/>
              <w:rPr>
                <w:rFonts w:ascii="Calibri" w:eastAsia="Times New Roman" w:hAnsi="Calibri" w:cs="Calibri"/>
                <w:color w:val="000000"/>
                <w:sz w:val="22"/>
              </w:rPr>
            </w:pPr>
          </w:p>
        </w:tc>
        <w:tc>
          <w:tcPr>
            <w:tcW w:w="2220" w:type="dxa"/>
            <w:tcBorders>
              <w:top w:val="nil"/>
              <w:left w:val="nil"/>
              <w:bottom w:val="nil"/>
              <w:right w:val="nil"/>
            </w:tcBorders>
            <w:shd w:val="clear" w:color="auto" w:fill="auto"/>
            <w:noWrap/>
            <w:vAlign w:val="bottom"/>
            <w:hideMark/>
          </w:tcPr>
          <w:p w14:paraId="4324320B"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Largest</w:t>
            </w:r>
          </w:p>
        </w:tc>
        <w:tc>
          <w:tcPr>
            <w:tcW w:w="1873" w:type="dxa"/>
            <w:tcBorders>
              <w:top w:val="nil"/>
              <w:left w:val="nil"/>
              <w:bottom w:val="nil"/>
              <w:right w:val="nil"/>
            </w:tcBorders>
            <w:shd w:val="clear" w:color="auto" w:fill="auto"/>
            <w:noWrap/>
            <w:vAlign w:val="bottom"/>
            <w:hideMark/>
          </w:tcPr>
          <w:p w14:paraId="5EA0ABDB"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2264.15</w:t>
            </w:r>
          </w:p>
        </w:tc>
      </w:tr>
      <w:tr w:rsidR="00FD5D21" w:rsidRPr="00FD5D21" w14:paraId="4D3142C1" w14:textId="77777777" w:rsidTr="00FD5D21">
        <w:trPr>
          <w:trHeight w:val="257"/>
        </w:trPr>
        <w:tc>
          <w:tcPr>
            <w:tcW w:w="1020" w:type="dxa"/>
            <w:tcBorders>
              <w:top w:val="nil"/>
              <w:left w:val="nil"/>
              <w:bottom w:val="nil"/>
              <w:right w:val="nil"/>
            </w:tcBorders>
            <w:shd w:val="clear" w:color="auto" w:fill="auto"/>
            <w:noWrap/>
            <w:vAlign w:val="bottom"/>
            <w:hideMark/>
          </w:tcPr>
          <w:p w14:paraId="45740EF2"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20%</w:t>
            </w:r>
          </w:p>
        </w:tc>
        <w:tc>
          <w:tcPr>
            <w:tcW w:w="2315" w:type="dxa"/>
            <w:tcBorders>
              <w:top w:val="nil"/>
              <w:left w:val="nil"/>
              <w:bottom w:val="nil"/>
              <w:right w:val="nil"/>
            </w:tcBorders>
            <w:shd w:val="clear" w:color="auto" w:fill="auto"/>
            <w:noWrap/>
            <w:vAlign w:val="bottom"/>
            <w:hideMark/>
          </w:tcPr>
          <w:p w14:paraId="106E3242"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2.440092</w:t>
            </w:r>
          </w:p>
        </w:tc>
        <w:tc>
          <w:tcPr>
            <w:tcW w:w="402" w:type="dxa"/>
            <w:tcBorders>
              <w:top w:val="nil"/>
              <w:left w:val="nil"/>
              <w:bottom w:val="nil"/>
              <w:right w:val="nil"/>
            </w:tcBorders>
            <w:shd w:val="clear" w:color="auto" w:fill="auto"/>
            <w:noWrap/>
            <w:vAlign w:val="bottom"/>
            <w:hideMark/>
          </w:tcPr>
          <w:p w14:paraId="6E8AC75E" w14:textId="77777777" w:rsidR="00FD5D21" w:rsidRPr="00FD5D21" w:rsidRDefault="00FD5D21" w:rsidP="00FD5D21">
            <w:pPr>
              <w:spacing w:after="0" w:line="240" w:lineRule="auto"/>
              <w:jc w:val="center"/>
              <w:rPr>
                <w:rFonts w:ascii="Calibri" w:eastAsia="Times New Roman" w:hAnsi="Calibri" w:cs="Calibri"/>
                <w:color w:val="000000"/>
                <w:sz w:val="22"/>
              </w:rPr>
            </w:pPr>
          </w:p>
        </w:tc>
        <w:tc>
          <w:tcPr>
            <w:tcW w:w="2220" w:type="dxa"/>
            <w:tcBorders>
              <w:top w:val="nil"/>
              <w:left w:val="nil"/>
              <w:bottom w:val="nil"/>
              <w:right w:val="nil"/>
            </w:tcBorders>
            <w:shd w:val="clear" w:color="auto" w:fill="auto"/>
            <w:noWrap/>
            <w:vAlign w:val="bottom"/>
            <w:hideMark/>
          </w:tcPr>
          <w:p w14:paraId="5D0F6698" w14:textId="77777777" w:rsidR="00FD5D21" w:rsidRPr="00FD5D21" w:rsidRDefault="00FD5D21" w:rsidP="00FD5D21">
            <w:pPr>
              <w:spacing w:after="0" w:line="240" w:lineRule="auto"/>
              <w:jc w:val="center"/>
              <w:rPr>
                <w:rFonts w:eastAsia="Times New Roman" w:cs="Times New Roman"/>
                <w:sz w:val="20"/>
                <w:szCs w:val="20"/>
              </w:rPr>
            </w:pPr>
          </w:p>
        </w:tc>
        <w:tc>
          <w:tcPr>
            <w:tcW w:w="1873" w:type="dxa"/>
            <w:tcBorders>
              <w:top w:val="nil"/>
              <w:left w:val="nil"/>
              <w:bottom w:val="nil"/>
              <w:right w:val="nil"/>
            </w:tcBorders>
            <w:shd w:val="clear" w:color="auto" w:fill="auto"/>
            <w:noWrap/>
            <w:vAlign w:val="bottom"/>
            <w:hideMark/>
          </w:tcPr>
          <w:p w14:paraId="32DFC264" w14:textId="77777777" w:rsidR="00FD5D21" w:rsidRPr="00FD5D21" w:rsidRDefault="00FD5D21" w:rsidP="00FD5D21">
            <w:pPr>
              <w:spacing w:after="0" w:line="240" w:lineRule="auto"/>
              <w:jc w:val="center"/>
              <w:rPr>
                <w:rFonts w:eastAsia="Times New Roman" w:cs="Times New Roman"/>
                <w:sz w:val="20"/>
                <w:szCs w:val="20"/>
              </w:rPr>
            </w:pPr>
          </w:p>
        </w:tc>
      </w:tr>
      <w:tr w:rsidR="00FD5D21" w:rsidRPr="00FD5D21" w14:paraId="28341147" w14:textId="77777777" w:rsidTr="00FD5D21">
        <w:trPr>
          <w:trHeight w:val="257"/>
        </w:trPr>
        <w:tc>
          <w:tcPr>
            <w:tcW w:w="1020" w:type="dxa"/>
            <w:tcBorders>
              <w:top w:val="nil"/>
              <w:left w:val="nil"/>
              <w:bottom w:val="nil"/>
              <w:right w:val="nil"/>
            </w:tcBorders>
            <w:shd w:val="clear" w:color="auto" w:fill="auto"/>
            <w:noWrap/>
            <w:vAlign w:val="bottom"/>
            <w:hideMark/>
          </w:tcPr>
          <w:p w14:paraId="75DACA70"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25%</w:t>
            </w:r>
          </w:p>
        </w:tc>
        <w:tc>
          <w:tcPr>
            <w:tcW w:w="2315" w:type="dxa"/>
            <w:tcBorders>
              <w:top w:val="nil"/>
              <w:left w:val="nil"/>
              <w:bottom w:val="nil"/>
              <w:right w:val="nil"/>
            </w:tcBorders>
            <w:shd w:val="clear" w:color="auto" w:fill="auto"/>
            <w:noWrap/>
            <w:vAlign w:val="bottom"/>
            <w:hideMark/>
          </w:tcPr>
          <w:p w14:paraId="65953334"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4.791667</w:t>
            </w:r>
          </w:p>
        </w:tc>
        <w:tc>
          <w:tcPr>
            <w:tcW w:w="402" w:type="dxa"/>
            <w:tcBorders>
              <w:top w:val="nil"/>
              <w:left w:val="nil"/>
              <w:bottom w:val="nil"/>
              <w:right w:val="nil"/>
            </w:tcBorders>
            <w:shd w:val="clear" w:color="auto" w:fill="auto"/>
            <w:noWrap/>
            <w:vAlign w:val="bottom"/>
            <w:hideMark/>
          </w:tcPr>
          <w:p w14:paraId="27DA504C" w14:textId="77777777" w:rsidR="00FD5D21" w:rsidRPr="00FD5D21" w:rsidRDefault="00FD5D21" w:rsidP="00FD5D21">
            <w:pPr>
              <w:spacing w:after="0" w:line="240" w:lineRule="auto"/>
              <w:jc w:val="center"/>
              <w:rPr>
                <w:rFonts w:ascii="Calibri" w:eastAsia="Times New Roman" w:hAnsi="Calibri" w:cs="Calibri"/>
                <w:color w:val="000000"/>
                <w:sz w:val="22"/>
              </w:rPr>
            </w:pPr>
          </w:p>
        </w:tc>
        <w:tc>
          <w:tcPr>
            <w:tcW w:w="2220" w:type="dxa"/>
            <w:tcBorders>
              <w:top w:val="nil"/>
              <w:left w:val="nil"/>
              <w:bottom w:val="nil"/>
              <w:right w:val="nil"/>
            </w:tcBorders>
            <w:shd w:val="clear" w:color="auto" w:fill="auto"/>
            <w:noWrap/>
            <w:vAlign w:val="bottom"/>
            <w:hideMark/>
          </w:tcPr>
          <w:p w14:paraId="7D47377E" w14:textId="77777777" w:rsidR="00FD5D21" w:rsidRPr="00FD5D21" w:rsidRDefault="00FD5D21" w:rsidP="00FD5D21">
            <w:pPr>
              <w:spacing w:after="0" w:line="240" w:lineRule="auto"/>
              <w:jc w:val="center"/>
              <w:rPr>
                <w:rFonts w:ascii="Calibri" w:eastAsia="Times New Roman" w:hAnsi="Calibri" w:cs="Calibri"/>
                <w:color w:val="000000"/>
                <w:sz w:val="22"/>
              </w:rPr>
            </w:pPr>
            <w:proofErr w:type="spellStart"/>
            <w:r w:rsidRPr="00FD5D21">
              <w:rPr>
                <w:rFonts w:ascii="Calibri" w:eastAsia="Times New Roman" w:hAnsi="Calibri" w:cs="Calibri"/>
                <w:color w:val="000000"/>
                <w:sz w:val="22"/>
              </w:rPr>
              <w:t>Obs</w:t>
            </w:r>
            <w:proofErr w:type="spellEnd"/>
          </w:p>
        </w:tc>
        <w:tc>
          <w:tcPr>
            <w:tcW w:w="1873" w:type="dxa"/>
            <w:tcBorders>
              <w:top w:val="nil"/>
              <w:left w:val="nil"/>
              <w:bottom w:val="nil"/>
              <w:right w:val="nil"/>
            </w:tcBorders>
            <w:shd w:val="clear" w:color="auto" w:fill="auto"/>
            <w:noWrap/>
            <w:vAlign w:val="bottom"/>
            <w:hideMark/>
          </w:tcPr>
          <w:p w14:paraId="3028CC58"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10,489</w:t>
            </w:r>
          </w:p>
        </w:tc>
      </w:tr>
      <w:tr w:rsidR="00FD5D21" w:rsidRPr="00FD5D21" w14:paraId="57448F57" w14:textId="77777777" w:rsidTr="00FD5D21">
        <w:trPr>
          <w:trHeight w:val="257"/>
        </w:trPr>
        <w:tc>
          <w:tcPr>
            <w:tcW w:w="1020" w:type="dxa"/>
            <w:tcBorders>
              <w:top w:val="nil"/>
              <w:left w:val="nil"/>
              <w:bottom w:val="nil"/>
              <w:right w:val="nil"/>
            </w:tcBorders>
            <w:shd w:val="clear" w:color="auto" w:fill="auto"/>
            <w:noWrap/>
            <w:vAlign w:val="bottom"/>
            <w:hideMark/>
          </w:tcPr>
          <w:p w14:paraId="7087AB4E" w14:textId="77777777" w:rsidR="00FD5D21" w:rsidRPr="00FD5D21" w:rsidRDefault="00FD5D21" w:rsidP="00FD5D21">
            <w:pPr>
              <w:spacing w:after="0" w:line="240" w:lineRule="auto"/>
              <w:jc w:val="center"/>
              <w:rPr>
                <w:rFonts w:ascii="Calibri" w:eastAsia="Times New Roman" w:hAnsi="Calibri" w:cs="Calibri"/>
                <w:color w:val="000000"/>
                <w:sz w:val="22"/>
              </w:rPr>
            </w:pPr>
          </w:p>
        </w:tc>
        <w:tc>
          <w:tcPr>
            <w:tcW w:w="2315" w:type="dxa"/>
            <w:tcBorders>
              <w:top w:val="nil"/>
              <w:left w:val="nil"/>
              <w:bottom w:val="nil"/>
              <w:right w:val="nil"/>
            </w:tcBorders>
            <w:shd w:val="clear" w:color="auto" w:fill="auto"/>
            <w:noWrap/>
            <w:vAlign w:val="bottom"/>
            <w:hideMark/>
          </w:tcPr>
          <w:p w14:paraId="1FC3B95D" w14:textId="77777777" w:rsidR="00FD5D21" w:rsidRPr="00FD5D21" w:rsidRDefault="00FD5D21" w:rsidP="00FD5D21">
            <w:pPr>
              <w:spacing w:after="0" w:line="240" w:lineRule="auto"/>
              <w:jc w:val="center"/>
              <w:rPr>
                <w:rFonts w:eastAsia="Times New Roman" w:cs="Times New Roman"/>
                <w:sz w:val="20"/>
                <w:szCs w:val="20"/>
              </w:rPr>
            </w:pPr>
          </w:p>
        </w:tc>
        <w:tc>
          <w:tcPr>
            <w:tcW w:w="402" w:type="dxa"/>
            <w:tcBorders>
              <w:top w:val="nil"/>
              <w:left w:val="nil"/>
              <w:bottom w:val="nil"/>
              <w:right w:val="nil"/>
            </w:tcBorders>
            <w:shd w:val="clear" w:color="auto" w:fill="auto"/>
            <w:noWrap/>
            <w:vAlign w:val="bottom"/>
            <w:hideMark/>
          </w:tcPr>
          <w:p w14:paraId="32AAD929" w14:textId="77777777" w:rsidR="00FD5D21" w:rsidRPr="00FD5D21" w:rsidRDefault="00FD5D21" w:rsidP="00FD5D21">
            <w:pPr>
              <w:spacing w:after="0" w:line="240" w:lineRule="auto"/>
              <w:jc w:val="center"/>
              <w:rPr>
                <w:rFonts w:eastAsia="Times New Roman" w:cs="Times New Roman"/>
                <w:sz w:val="20"/>
                <w:szCs w:val="20"/>
              </w:rPr>
            </w:pPr>
          </w:p>
        </w:tc>
        <w:tc>
          <w:tcPr>
            <w:tcW w:w="2220" w:type="dxa"/>
            <w:tcBorders>
              <w:top w:val="nil"/>
              <w:left w:val="nil"/>
              <w:bottom w:val="nil"/>
              <w:right w:val="nil"/>
            </w:tcBorders>
            <w:shd w:val="clear" w:color="auto" w:fill="auto"/>
            <w:noWrap/>
            <w:vAlign w:val="bottom"/>
            <w:hideMark/>
          </w:tcPr>
          <w:p w14:paraId="5F59D275" w14:textId="77777777" w:rsidR="00FD5D21" w:rsidRPr="00FD5D21" w:rsidRDefault="00FD5D21" w:rsidP="00FD5D21">
            <w:pPr>
              <w:spacing w:after="0" w:line="240" w:lineRule="auto"/>
              <w:jc w:val="center"/>
              <w:rPr>
                <w:rFonts w:eastAsia="Times New Roman" w:cs="Times New Roman"/>
                <w:sz w:val="20"/>
                <w:szCs w:val="20"/>
              </w:rPr>
            </w:pPr>
          </w:p>
        </w:tc>
        <w:tc>
          <w:tcPr>
            <w:tcW w:w="1873" w:type="dxa"/>
            <w:tcBorders>
              <w:top w:val="nil"/>
              <w:left w:val="nil"/>
              <w:bottom w:val="nil"/>
              <w:right w:val="nil"/>
            </w:tcBorders>
            <w:shd w:val="clear" w:color="auto" w:fill="auto"/>
            <w:noWrap/>
            <w:vAlign w:val="bottom"/>
            <w:hideMark/>
          </w:tcPr>
          <w:p w14:paraId="13EBC72C" w14:textId="77777777" w:rsidR="00FD5D21" w:rsidRPr="00FD5D21" w:rsidRDefault="00FD5D21" w:rsidP="00FD5D21">
            <w:pPr>
              <w:spacing w:after="0" w:line="240" w:lineRule="auto"/>
              <w:jc w:val="center"/>
              <w:rPr>
                <w:rFonts w:eastAsia="Times New Roman" w:cs="Times New Roman"/>
                <w:sz w:val="20"/>
                <w:szCs w:val="20"/>
              </w:rPr>
            </w:pPr>
          </w:p>
        </w:tc>
      </w:tr>
      <w:tr w:rsidR="00FD5D21" w:rsidRPr="00FD5D21" w14:paraId="78FEAB3D" w14:textId="77777777" w:rsidTr="00FD5D21">
        <w:trPr>
          <w:trHeight w:val="257"/>
        </w:trPr>
        <w:tc>
          <w:tcPr>
            <w:tcW w:w="1020" w:type="dxa"/>
            <w:tcBorders>
              <w:top w:val="nil"/>
              <w:left w:val="nil"/>
              <w:bottom w:val="nil"/>
              <w:right w:val="nil"/>
            </w:tcBorders>
            <w:shd w:val="clear" w:color="auto" w:fill="auto"/>
            <w:noWrap/>
            <w:vAlign w:val="bottom"/>
            <w:hideMark/>
          </w:tcPr>
          <w:p w14:paraId="7C3BEAD2"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50%</w:t>
            </w:r>
          </w:p>
        </w:tc>
        <w:tc>
          <w:tcPr>
            <w:tcW w:w="2315" w:type="dxa"/>
            <w:tcBorders>
              <w:top w:val="nil"/>
              <w:left w:val="nil"/>
              <w:bottom w:val="nil"/>
              <w:right w:val="nil"/>
            </w:tcBorders>
            <w:shd w:val="clear" w:color="auto" w:fill="auto"/>
            <w:noWrap/>
            <w:vAlign w:val="bottom"/>
            <w:hideMark/>
          </w:tcPr>
          <w:p w14:paraId="21AC81E9"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10.21034</w:t>
            </w:r>
          </w:p>
        </w:tc>
        <w:tc>
          <w:tcPr>
            <w:tcW w:w="402" w:type="dxa"/>
            <w:tcBorders>
              <w:top w:val="nil"/>
              <w:left w:val="nil"/>
              <w:bottom w:val="nil"/>
              <w:right w:val="nil"/>
            </w:tcBorders>
            <w:shd w:val="clear" w:color="auto" w:fill="auto"/>
            <w:noWrap/>
            <w:vAlign w:val="bottom"/>
            <w:hideMark/>
          </w:tcPr>
          <w:p w14:paraId="720098CA" w14:textId="77777777" w:rsidR="00FD5D21" w:rsidRPr="00FD5D21" w:rsidRDefault="00FD5D21" w:rsidP="00FD5D21">
            <w:pPr>
              <w:spacing w:after="0" w:line="240" w:lineRule="auto"/>
              <w:jc w:val="center"/>
              <w:rPr>
                <w:rFonts w:ascii="Calibri" w:eastAsia="Times New Roman" w:hAnsi="Calibri" w:cs="Calibri"/>
                <w:color w:val="000000"/>
                <w:sz w:val="22"/>
              </w:rPr>
            </w:pPr>
          </w:p>
        </w:tc>
        <w:tc>
          <w:tcPr>
            <w:tcW w:w="2220" w:type="dxa"/>
            <w:tcBorders>
              <w:top w:val="nil"/>
              <w:left w:val="nil"/>
              <w:bottom w:val="nil"/>
              <w:right w:val="nil"/>
            </w:tcBorders>
            <w:shd w:val="clear" w:color="auto" w:fill="auto"/>
            <w:noWrap/>
            <w:vAlign w:val="bottom"/>
            <w:hideMark/>
          </w:tcPr>
          <w:p w14:paraId="1BF272B9"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Mean</w:t>
            </w:r>
          </w:p>
        </w:tc>
        <w:tc>
          <w:tcPr>
            <w:tcW w:w="1873" w:type="dxa"/>
            <w:tcBorders>
              <w:top w:val="nil"/>
              <w:left w:val="nil"/>
              <w:bottom w:val="nil"/>
              <w:right w:val="nil"/>
            </w:tcBorders>
            <w:shd w:val="clear" w:color="auto" w:fill="auto"/>
            <w:noWrap/>
            <w:vAlign w:val="bottom"/>
            <w:hideMark/>
          </w:tcPr>
          <w:p w14:paraId="3F27E811"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18.3683</w:t>
            </w:r>
          </w:p>
        </w:tc>
      </w:tr>
      <w:tr w:rsidR="00FD5D21" w:rsidRPr="00FD5D21" w14:paraId="3ECA5871" w14:textId="77777777" w:rsidTr="00FD5D21">
        <w:trPr>
          <w:trHeight w:val="257"/>
        </w:trPr>
        <w:tc>
          <w:tcPr>
            <w:tcW w:w="1020" w:type="dxa"/>
            <w:tcBorders>
              <w:top w:val="nil"/>
              <w:left w:val="nil"/>
              <w:bottom w:val="nil"/>
              <w:right w:val="nil"/>
            </w:tcBorders>
            <w:shd w:val="clear" w:color="auto" w:fill="auto"/>
            <w:noWrap/>
            <w:vAlign w:val="bottom"/>
            <w:hideMark/>
          </w:tcPr>
          <w:p w14:paraId="5CFC45E9" w14:textId="77777777" w:rsidR="00FD5D21" w:rsidRPr="00FD5D21" w:rsidRDefault="00FD5D21" w:rsidP="00FD5D21">
            <w:pPr>
              <w:spacing w:after="0" w:line="240" w:lineRule="auto"/>
              <w:jc w:val="center"/>
              <w:rPr>
                <w:rFonts w:ascii="Calibri" w:eastAsia="Times New Roman" w:hAnsi="Calibri" w:cs="Calibri"/>
                <w:color w:val="000000"/>
                <w:sz w:val="22"/>
              </w:rPr>
            </w:pPr>
          </w:p>
        </w:tc>
        <w:tc>
          <w:tcPr>
            <w:tcW w:w="2315" w:type="dxa"/>
            <w:tcBorders>
              <w:top w:val="nil"/>
              <w:left w:val="nil"/>
              <w:bottom w:val="nil"/>
              <w:right w:val="nil"/>
            </w:tcBorders>
            <w:shd w:val="clear" w:color="auto" w:fill="auto"/>
            <w:noWrap/>
            <w:vAlign w:val="bottom"/>
            <w:hideMark/>
          </w:tcPr>
          <w:p w14:paraId="5512D422" w14:textId="77777777" w:rsidR="00FD5D21" w:rsidRPr="00FD5D21" w:rsidRDefault="00FD5D21" w:rsidP="00FD5D21">
            <w:pPr>
              <w:spacing w:after="0" w:line="240" w:lineRule="auto"/>
              <w:jc w:val="center"/>
              <w:rPr>
                <w:rFonts w:eastAsia="Times New Roman" w:cs="Times New Roman"/>
                <w:sz w:val="20"/>
                <w:szCs w:val="20"/>
              </w:rPr>
            </w:pPr>
          </w:p>
        </w:tc>
        <w:tc>
          <w:tcPr>
            <w:tcW w:w="402" w:type="dxa"/>
            <w:tcBorders>
              <w:top w:val="nil"/>
              <w:left w:val="nil"/>
              <w:bottom w:val="nil"/>
              <w:right w:val="nil"/>
            </w:tcBorders>
            <w:shd w:val="clear" w:color="auto" w:fill="auto"/>
            <w:noWrap/>
            <w:vAlign w:val="bottom"/>
            <w:hideMark/>
          </w:tcPr>
          <w:p w14:paraId="4E610A0C" w14:textId="77777777" w:rsidR="00FD5D21" w:rsidRPr="00FD5D21" w:rsidRDefault="00FD5D21" w:rsidP="00FD5D21">
            <w:pPr>
              <w:spacing w:after="0" w:line="240" w:lineRule="auto"/>
              <w:jc w:val="center"/>
              <w:rPr>
                <w:rFonts w:eastAsia="Times New Roman" w:cs="Times New Roman"/>
                <w:sz w:val="20"/>
                <w:szCs w:val="20"/>
              </w:rPr>
            </w:pPr>
          </w:p>
        </w:tc>
        <w:tc>
          <w:tcPr>
            <w:tcW w:w="2220" w:type="dxa"/>
            <w:tcBorders>
              <w:top w:val="nil"/>
              <w:left w:val="nil"/>
              <w:bottom w:val="nil"/>
              <w:right w:val="nil"/>
            </w:tcBorders>
            <w:shd w:val="clear" w:color="auto" w:fill="auto"/>
            <w:noWrap/>
            <w:vAlign w:val="bottom"/>
            <w:hideMark/>
          </w:tcPr>
          <w:p w14:paraId="7BCB4533"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Std. Dev.</w:t>
            </w:r>
          </w:p>
        </w:tc>
        <w:tc>
          <w:tcPr>
            <w:tcW w:w="1873" w:type="dxa"/>
            <w:tcBorders>
              <w:top w:val="nil"/>
              <w:left w:val="nil"/>
              <w:bottom w:val="nil"/>
              <w:right w:val="nil"/>
            </w:tcBorders>
            <w:shd w:val="clear" w:color="auto" w:fill="auto"/>
            <w:noWrap/>
            <w:vAlign w:val="bottom"/>
            <w:hideMark/>
          </w:tcPr>
          <w:p w14:paraId="402AA35F"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44.8684</w:t>
            </w:r>
          </w:p>
        </w:tc>
      </w:tr>
      <w:tr w:rsidR="00FD5D21" w:rsidRPr="00FD5D21" w14:paraId="3F7B1D19" w14:textId="77777777" w:rsidTr="00FD5D21">
        <w:trPr>
          <w:trHeight w:val="257"/>
        </w:trPr>
        <w:tc>
          <w:tcPr>
            <w:tcW w:w="1020" w:type="dxa"/>
            <w:tcBorders>
              <w:top w:val="nil"/>
              <w:left w:val="nil"/>
              <w:bottom w:val="nil"/>
              <w:right w:val="nil"/>
            </w:tcBorders>
            <w:shd w:val="clear" w:color="auto" w:fill="auto"/>
            <w:noWrap/>
            <w:vAlign w:val="bottom"/>
            <w:hideMark/>
          </w:tcPr>
          <w:p w14:paraId="73AFB439"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75%</w:t>
            </w:r>
          </w:p>
        </w:tc>
        <w:tc>
          <w:tcPr>
            <w:tcW w:w="2315" w:type="dxa"/>
            <w:tcBorders>
              <w:top w:val="nil"/>
              <w:left w:val="nil"/>
              <w:bottom w:val="nil"/>
              <w:right w:val="nil"/>
            </w:tcBorders>
            <w:shd w:val="clear" w:color="auto" w:fill="auto"/>
            <w:noWrap/>
            <w:vAlign w:val="bottom"/>
            <w:hideMark/>
          </w:tcPr>
          <w:p w14:paraId="36A1F25B"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21.05263</w:t>
            </w:r>
          </w:p>
        </w:tc>
        <w:tc>
          <w:tcPr>
            <w:tcW w:w="402" w:type="dxa"/>
            <w:tcBorders>
              <w:top w:val="nil"/>
              <w:left w:val="nil"/>
              <w:bottom w:val="nil"/>
              <w:right w:val="nil"/>
            </w:tcBorders>
            <w:shd w:val="clear" w:color="auto" w:fill="auto"/>
            <w:noWrap/>
            <w:vAlign w:val="bottom"/>
            <w:hideMark/>
          </w:tcPr>
          <w:p w14:paraId="7DDB6C70" w14:textId="77777777" w:rsidR="00FD5D21" w:rsidRPr="00FD5D21" w:rsidRDefault="00FD5D21" w:rsidP="00FD5D21">
            <w:pPr>
              <w:spacing w:after="0" w:line="240" w:lineRule="auto"/>
              <w:jc w:val="center"/>
              <w:rPr>
                <w:rFonts w:ascii="Calibri" w:eastAsia="Times New Roman" w:hAnsi="Calibri" w:cs="Calibri"/>
                <w:color w:val="000000"/>
                <w:sz w:val="22"/>
              </w:rPr>
            </w:pPr>
          </w:p>
        </w:tc>
        <w:tc>
          <w:tcPr>
            <w:tcW w:w="2220" w:type="dxa"/>
            <w:tcBorders>
              <w:top w:val="nil"/>
              <w:left w:val="nil"/>
              <w:bottom w:val="nil"/>
              <w:right w:val="nil"/>
            </w:tcBorders>
            <w:shd w:val="clear" w:color="auto" w:fill="auto"/>
            <w:noWrap/>
            <w:vAlign w:val="bottom"/>
            <w:hideMark/>
          </w:tcPr>
          <w:p w14:paraId="65DC0DA8" w14:textId="77777777" w:rsidR="00FD5D21" w:rsidRPr="00FD5D21" w:rsidRDefault="00FD5D21" w:rsidP="00FD5D21">
            <w:pPr>
              <w:spacing w:after="0" w:line="240" w:lineRule="auto"/>
              <w:jc w:val="center"/>
              <w:rPr>
                <w:rFonts w:eastAsia="Times New Roman" w:cs="Times New Roman"/>
                <w:sz w:val="20"/>
                <w:szCs w:val="20"/>
              </w:rPr>
            </w:pPr>
          </w:p>
        </w:tc>
        <w:tc>
          <w:tcPr>
            <w:tcW w:w="1873" w:type="dxa"/>
            <w:tcBorders>
              <w:top w:val="nil"/>
              <w:left w:val="nil"/>
              <w:bottom w:val="nil"/>
              <w:right w:val="nil"/>
            </w:tcBorders>
            <w:shd w:val="clear" w:color="auto" w:fill="auto"/>
            <w:noWrap/>
            <w:vAlign w:val="bottom"/>
            <w:hideMark/>
          </w:tcPr>
          <w:p w14:paraId="4604C15E" w14:textId="77777777" w:rsidR="00FD5D21" w:rsidRPr="00FD5D21" w:rsidRDefault="00FD5D21" w:rsidP="00FD5D21">
            <w:pPr>
              <w:spacing w:after="0" w:line="240" w:lineRule="auto"/>
              <w:jc w:val="center"/>
              <w:rPr>
                <w:rFonts w:eastAsia="Times New Roman" w:cs="Times New Roman"/>
                <w:sz w:val="20"/>
                <w:szCs w:val="20"/>
              </w:rPr>
            </w:pPr>
          </w:p>
        </w:tc>
      </w:tr>
      <w:tr w:rsidR="00FD5D21" w:rsidRPr="00FD5D21" w14:paraId="13433E2A" w14:textId="77777777" w:rsidTr="00FD5D21">
        <w:trPr>
          <w:trHeight w:val="257"/>
        </w:trPr>
        <w:tc>
          <w:tcPr>
            <w:tcW w:w="1020" w:type="dxa"/>
            <w:tcBorders>
              <w:top w:val="nil"/>
              <w:left w:val="nil"/>
              <w:bottom w:val="nil"/>
              <w:right w:val="nil"/>
            </w:tcBorders>
            <w:shd w:val="clear" w:color="auto" w:fill="auto"/>
            <w:noWrap/>
            <w:vAlign w:val="bottom"/>
            <w:hideMark/>
          </w:tcPr>
          <w:p w14:paraId="71181BC6"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90%</w:t>
            </w:r>
          </w:p>
        </w:tc>
        <w:tc>
          <w:tcPr>
            <w:tcW w:w="2315" w:type="dxa"/>
            <w:tcBorders>
              <w:top w:val="nil"/>
              <w:left w:val="nil"/>
              <w:bottom w:val="nil"/>
              <w:right w:val="nil"/>
            </w:tcBorders>
            <w:shd w:val="clear" w:color="auto" w:fill="auto"/>
            <w:noWrap/>
            <w:vAlign w:val="bottom"/>
            <w:hideMark/>
          </w:tcPr>
          <w:p w14:paraId="44EE7703"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37.93103</w:t>
            </w:r>
          </w:p>
        </w:tc>
        <w:tc>
          <w:tcPr>
            <w:tcW w:w="402" w:type="dxa"/>
            <w:tcBorders>
              <w:top w:val="nil"/>
              <w:left w:val="nil"/>
              <w:bottom w:val="nil"/>
              <w:right w:val="nil"/>
            </w:tcBorders>
            <w:shd w:val="clear" w:color="auto" w:fill="auto"/>
            <w:noWrap/>
            <w:vAlign w:val="bottom"/>
            <w:hideMark/>
          </w:tcPr>
          <w:p w14:paraId="0B588024" w14:textId="77777777" w:rsidR="00FD5D21" w:rsidRPr="00FD5D21" w:rsidRDefault="00FD5D21" w:rsidP="00FD5D21">
            <w:pPr>
              <w:spacing w:after="0" w:line="240" w:lineRule="auto"/>
              <w:jc w:val="center"/>
              <w:rPr>
                <w:rFonts w:ascii="Calibri" w:eastAsia="Times New Roman" w:hAnsi="Calibri" w:cs="Calibri"/>
                <w:color w:val="000000"/>
                <w:sz w:val="22"/>
              </w:rPr>
            </w:pPr>
          </w:p>
        </w:tc>
        <w:tc>
          <w:tcPr>
            <w:tcW w:w="2220" w:type="dxa"/>
            <w:tcBorders>
              <w:top w:val="nil"/>
              <w:left w:val="nil"/>
              <w:bottom w:val="nil"/>
              <w:right w:val="nil"/>
            </w:tcBorders>
            <w:shd w:val="clear" w:color="auto" w:fill="auto"/>
            <w:noWrap/>
            <w:vAlign w:val="bottom"/>
            <w:hideMark/>
          </w:tcPr>
          <w:p w14:paraId="5D389495"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Variance</w:t>
            </w:r>
          </w:p>
        </w:tc>
        <w:tc>
          <w:tcPr>
            <w:tcW w:w="1873" w:type="dxa"/>
            <w:tcBorders>
              <w:top w:val="nil"/>
              <w:left w:val="nil"/>
              <w:bottom w:val="nil"/>
              <w:right w:val="nil"/>
            </w:tcBorders>
            <w:shd w:val="clear" w:color="auto" w:fill="auto"/>
            <w:noWrap/>
            <w:vAlign w:val="bottom"/>
            <w:hideMark/>
          </w:tcPr>
          <w:p w14:paraId="5EA8F81C"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2013.18</w:t>
            </w:r>
          </w:p>
        </w:tc>
      </w:tr>
      <w:tr w:rsidR="00FD5D21" w:rsidRPr="00FD5D21" w14:paraId="7F7CF271" w14:textId="77777777" w:rsidTr="00FD5D21">
        <w:trPr>
          <w:trHeight w:val="257"/>
        </w:trPr>
        <w:tc>
          <w:tcPr>
            <w:tcW w:w="1020" w:type="dxa"/>
            <w:tcBorders>
              <w:top w:val="nil"/>
              <w:left w:val="nil"/>
              <w:bottom w:val="nil"/>
              <w:right w:val="nil"/>
            </w:tcBorders>
            <w:shd w:val="clear" w:color="auto" w:fill="auto"/>
            <w:noWrap/>
            <w:vAlign w:val="bottom"/>
            <w:hideMark/>
          </w:tcPr>
          <w:p w14:paraId="15B48BA1"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95%</w:t>
            </w:r>
          </w:p>
        </w:tc>
        <w:tc>
          <w:tcPr>
            <w:tcW w:w="2315" w:type="dxa"/>
            <w:tcBorders>
              <w:top w:val="nil"/>
              <w:left w:val="nil"/>
              <w:bottom w:val="nil"/>
              <w:right w:val="nil"/>
            </w:tcBorders>
            <w:shd w:val="clear" w:color="auto" w:fill="auto"/>
            <w:noWrap/>
            <w:vAlign w:val="bottom"/>
            <w:hideMark/>
          </w:tcPr>
          <w:p w14:paraId="4A5D6612"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52.8</w:t>
            </w:r>
          </w:p>
        </w:tc>
        <w:tc>
          <w:tcPr>
            <w:tcW w:w="402" w:type="dxa"/>
            <w:tcBorders>
              <w:top w:val="nil"/>
              <w:left w:val="nil"/>
              <w:bottom w:val="nil"/>
              <w:right w:val="nil"/>
            </w:tcBorders>
            <w:shd w:val="clear" w:color="auto" w:fill="auto"/>
            <w:noWrap/>
            <w:vAlign w:val="bottom"/>
            <w:hideMark/>
          </w:tcPr>
          <w:p w14:paraId="7C219E6C" w14:textId="77777777" w:rsidR="00FD5D21" w:rsidRPr="00FD5D21" w:rsidRDefault="00FD5D21" w:rsidP="00FD5D21">
            <w:pPr>
              <w:spacing w:after="0" w:line="240" w:lineRule="auto"/>
              <w:jc w:val="center"/>
              <w:rPr>
                <w:rFonts w:ascii="Calibri" w:eastAsia="Times New Roman" w:hAnsi="Calibri" w:cs="Calibri"/>
                <w:color w:val="000000"/>
                <w:sz w:val="22"/>
              </w:rPr>
            </w:pPr>
          </w:p>
        </w:tc>
        <w:tc>
          <w:tcPr>
            <w:tcW w:w="2220" w:type="dxa"/>
            <w:tcBorders>
              <w:top w:val="nil"/>
              <w:left w:val="nil"/>
              <w:bottom w:val="nil"/>
              <w:right w:val="nil"/>
            </w:tcBorders>
            <w:shd w:val="clear" w:color="auto" w:fill="auto"/>
            <w:noWrap/>
            <w:vAlign w:val="bottom"/>
            <w:hideMark/>
          </w:tcPr>
          <w:p w14:paraId="30C785EE"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Skewness</w:t>
            </w:r>
          </w:p>
        </w:tc>
        <w:tc>
          <w:tcPr>
            <w:tcW w:w="1873" w:type="dxa"/>
            <w:tcBorders>
              <w:top w:val="nil"/>
              <w:left w:val="nil"/>
              <w:bottom w:val="nil"/>
              <w:right w:val="nil"/>
            </w:tcBorders>
            <w:shd w:val="clear" w:color="auto" w:fill="auto"/>
            <w:noWrap/>
            <w:vAlign w:val="bottom"/>
            <w:hideMark/>
          </w:tcPr>
          <w:p w14:paraId="7169B621"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28.7842</w:t>
            </w:r>
          </w:p>
        </w:tc>
      </w:tr>
      <w:tr w:rsidR="00FD5D21" w:rsidRPr="00FD5D21" w14:paraId="6D37DCE9" w14:textId="77777777" w:rsidTr="00FD5D21">
        <w:trPr>
          <w:trHeight w:val="268"/>
        </w:trPr>
        <w:tc>
          <w:tcPr>
            <w:tcW w:w="1020" w:type="dxa"/>
            <w:tcBorders>
              <w:top w:val="nil"/>
              <w:left w:val="nil"/>
              <w:bottom w:val="double" w:sz="6" w:space="0" w:color="auto"/>
              <w:right w:val="nil"/>
            </w:tcBorders>
            <w:shd w:val="clear" w:color="auto" w:fill="auto"/>
            <w:noWrap/>
            <w:vAlign w:val="bottom"/>
            <w:hideMark/>
          </w:tcPr>
          <w:p w14:paraId="776DCCF6"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99%</w:t>
            </w:r>
          </w:p>
        </w:tc>
        <w:tc>
          <w:tcPr>
            <w:tcW w:w="2315" w:type="dxa"/>
            <w:tcBorders>
              <w:top w:val="nil"/>
              <w:left w:val="nil"/>
              <w:bottom w:val="double" w:sz="6" w:space="0" w:color="auto"/>
              <w:right w:val="nil"/>
            </w:tcBorders>
            <w:shd w:val="clear" w:color="auto" w:fill="auto"/>
            <w:noWrap/>
            <w:vAlign w:val="bottom"/>
            <w:hideMark/>
          </w:tcPr>
          <w:p w14:paraId="4A5CF992"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120.128</w:t>
            </w:r>
          </w:p>
        </w:tc>
        <w:tc>
          <w:tcPr>
            <w:tcW w:w="402" w:type="dxa"/>
            <w:tcBorders>
              <w:top w:val="nil"/>
              <w:left w:val="nil"/>
              <w:bottom w:val="double" w:sz="6" w:space="0" w:color="auto"/>
              <w:right w:val="nil"/>
            </w:tcBorders>
            <w:shd w:val="clear" w:color="auto" w:fill="auto"/>
            <w:noWrap/>
            <w:vAlign w:val="bottom"/>
            <w:hideMark/>
          </w:tcPr>
          <w:p w14:paraId="6BDF27C9"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 </w:t>
            </w:r>
          </w:p>
        </w:tc>
        <w:tc>
          <w:tcPr>
            <w:tcW w:w="2220" w:type="dxa"/>
            <w:tcBorders>
              <w:top w:val="nil"/>
              <w:left w:val="nil"/>
              <w:bottom w:val="double" w:sz="6" w:space="0" w:color="auto"/>
              <w:right w:val="nil"/>
            </w:tcBorders>
            <w:shd w:val="clear" w:color="auto" w:fill="auto"/>
            <w:noWrap/>
            <w:vAlign w:val="bottom"/>
            <w:hideMark/>
          </w:tcPr>
          <w:p w14:paraId="6B062A60"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Kurtosis</w:t>
            </w:r>
          </w:p>
        </w:tc>
        <w:tc>
          <w:tcPr>
            <w:tcW w:w="1873" w:type="dxa"/>
            <w:tcBorders>
              <w:top w:val="nil"/>
              <w:left w:val="nil"/>
              <w:bottom w:val="double" w:sz="6" w:space="0" w:color="auto"/>
              <w:right w:val="nil"/>
            </w:tcBorders>
            <w:shd w:val="clear" w:color="auto" w:fill="auto"/>
            <w:noWrap/>
            <w:vAlign w:val="bottom"/>
            <w:hideMark/>
          </w:tcPr>
          <w:p w14:paraId="6694957D" w14:textId="77777777" w:rsidR="00FD5D21" w:rsidRPr="00FD5D21" w:rsidRDefault="00FD5D21" w:rsidP="00FD5D21">
            <w:pPr>
              <w:spacing w:after="0" w:line="240" w:lineRule="auto"/>
              <w:jc w:val="center"/>
              <w:rPr>
                <w:rFonts w:ascii="Calibri" w:eastAsia="Times New Roman" w:hAnsi="Calibri" w:cs="Calibri"/>
                <w:color w:val="000000"/>
                <w:sz w:val="22"/>
              </w:rPr>
            </w:pPr>
            <w:r w:rsidRPr="00FD5D21">
              <w:rPr>
                <w:rFonts w:ascii="Calibri" w:eastAsia="Times New Roman" w:hAnsi="Calibri" w:cs="Calibri"/>
                <w:color w:val="000000"/>
                <w:sz w:val="22"/>
              </w:rPr>
              <w:t>1290.92</w:t>
            </w:r>
          </w:p>
        </w:tc>
      </w:tr>
    </w:tbl>
    <w:p w14:paraId="6745328C" w14:textId="77777777" w:rsidR="00EF00B1" w:rsidRDefault="00EF00B1" w:rsidP="002973B5"/>
    <w:p w14:paraId="3C0DDAC8" w14:textId="4679B0F0" w:rsidR="0050564B" w:rsidRDefault="008061C9" w:rsidP="00F80257">
      <w:pPr>
        <w:spacing w:line="360" w:lineRule="auto"/>
        <w:ind w:firstLine="567"/>
        <w:jc w:val="both"/>
      </w:pPr>
      <w:r w:rsidRPr="008061C9">
        <w:t xml:space="preserve">According to the percentile of household income per capita, </w:t>
      </w:r>
      <w:r w:rsidR="00F431A3">
        <w:t xml:space="preserve">Table 14 </w:t>
      </w:r>
      <w:r w:rsidRPr="008061C9">
        <w:t xml:space="preserve">illustrates that about 95% of people have income that less than </w:t>
      </w:r>
      <w:r w:rsidR="00FD5D21">
        <w:t>53</w:t>
      </w:r>
      <w:r w:rsidRPr="008061C9">
        <w:t xml:space="preserve"> thousand Chinese Yuan, while the richest </w:t>
      </w:r>
      <w:r w:rsidR="00FD5D21">
        <w:rPr>
          <w:rFonts w:hint="eastAsia"/>
        </w:rPr>
        <w:t>value</w:t>
      </w:r>
      <w:r w:rsidR="00FD5D21">
        <w:t xml:space="preserve"> </w:t>
      </w:r>
      <w:r w:rsidRPr="008061C9">
        <w:t>can exceed 2 million Chinese Yuan household income per capita. Therefore, this part will exclude observations whose household income per capita exceeds 5</w:t>
      </w:r>
      <w:r w:rsidR="00FD5D21">
        <w:t>3</w:t>
      </w:r>
      <w:r w:rsidRPr="008061C9">
        <w:t xml:space="preserve"> thousand to measure the robustness.</w:t>
      </w:r>
    </w:p>
    <w:p w14:paraId="4585C393" w14:textId="37ACB6D2" w:rsidR="006E49BF" w:rsidRDefault="006E49BF" w:rsidP="00F80257">
      <w:pPr>
        <w:spacing w:line="360" w:lineRule="auto"/>
        <w:ind w:firstLine="567"/>
        <w:jc w:val="both"/>
      </w:pPr>
    </w:p>
    <w:p w14:paraId="77EE56A6" w14:textId="0D7F1FA2" w:rsidR="006E49BF" w:rsidRDefault="006E49BF" w:rsidP="00F80257">
      <w:pPr>
        <w:spacing w:line="360" w:lineRule="auto"/>
        <w:ind w:firstLine="567"/>
        <w:jc w:val="both"/>
      </w:pPr>
    </w:p>
    <w:p w14:paraId="60ED511B" w14:textId="77777777" w:rsidR="006E49BF" w:rsidRPr="00F80257" w:rsidRDefault="006E49BF" w:rsidP="00F80257">
      <w:pPr>
        <w:spacing w:line="360" w:lineRule="auto"/>
        <w:ind w:firstLine="567"/>
        <w:jc w:val="both"/>
      </w:pPr>
    </w:p>
    <w:p w14:paraId="6A561C75" w14:textId="0A7A8C67" w:rsidR="002973B5" w:rsidRDefault="002973B5" w:rsidP="008F7B1E">
      <w:r>
        <w:rPr>
          <w:rFonts w:hint="eastAsia"/>
        </w:rPr>
        <w:lastRenderedPageBreak/>
        <w:t>Table</w:t>
      </w:r>
      <w:r>
        <w:t xml:space="preserve"> 1</w:t>
      </w:r>
      <w:r w:rsidR="00283BCE">
        <w:t>5</w:t>
      </w:r>
      <w:r>
        <w:t xml:space="preserve">. Robustness results of </w:t>
      </w:r>
      <w:r w:rsidRPr="00B24D8D">
        <w:t>trimmed Income</w:t>
      </w:r>
      <w:r>
        <w:t xml:space="preserve"> in self-report </w:t>
      </w:r>
      <w:r w:rsidR="00EF00B1">
        <w:t xml:space="preserve">health </w:t>
      </w:r>
      <w:r>
        <w:t>and BMI</w:t>
      </w:r>
    </w:p>
    <w:tbl>
      <w:tblPr>
        <w:tblW w:w="9017" w:type="dxa"/>
        <w:tblLook w:val="04A0" w:firstRow="1" w:lastRow="0" w:firstColumn="1" w:lastColumn="0" w:noHBand="0" w:noVBand="1"/>
      </w:tblPr>
      <w:tblGrid>
        <w:gridCol w:w="2948"/>
        <w:gridCol w:w="1387"/>
        <w:gridCol w:w="1387"/>
        <w:gridCol w:w="1821"/>
        <w:gridCol w:w="1474"/>
      </w:tblGrid>
      <w:tr w:rsidR="00585463" w:rsidRPr="00585463" w14:paraId="56B273E5" w14:textId="77777777" w:rsidTr="00585463">
        <w:trPr>
          <w:trHeight w:val="241"/>
        </w:trPr>
        <w:tc>
          <w:tcPr>
            <w:tcW w:w="2948" w:type="dxa"/>
            <w:tcBorders>
              <w:top w:val="single" w:sz="4" w:space="0" w:color="auto"/>
              <w:left w:val="nil"/>
              <w:bottom w:val="nil"/>
              <w:right w:val="nil"/>
            </w:tcBorders>
            <w:shd w:val="clear" w:color="auto" w:fill="auto"/>
            <w:noWrap/>
            <w:vAlign w:val="bottom"/>
            <w:hideMark/>
          </w:tcPr>
          <w:p w14:paraId="58EF0078"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 </w:t>
            </w:r>
          </w:p>
        </w:tc>
        <w:tc>
          <w:tcPr>
            <w:tcW w:w="1387" w:type="dxa"/>
            <w:tcBorders>
              <w:top w:val="single" w:sz="4" w:space="0" w:color="auto"/>
              <w:left w:val="nil"/>
              <w:bottom w:val="nil"/>
              <w:right w:val="nil"/>
            </w:tcBorders>
            <w:shd w:val="clear" w:color="auto" w:fill="auto"/>
            <w:noWrap/>
            <w:vAlign w:val="center"/>
            <w:hideMark/>
          </w:tcPr>
          <w:p w14:paraId="63F1CE3D"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(1)</w:t>
            </w:r>
          </w:p>
        </w:tc>
        <w:tc>
          <w:tcPr>
            <w:tcW w:w="1387" w:type="dxa"/>
            <w:tcBorders>
              <w:top w:val="single" w:sz="4" w:space="0" w:color="auto"/>
              <w:left w:val="nil"/>
              <w:bottom w:val="nil"/>
              <w:right w:val="nil"/>
            </w:tcBorders>
            <w:shd w:val="clear" w:color="auto" w:fill="auto"/>
            <w:noWrap/>
            <w:vAlign w:val="center"/>
            <w:hideMark/>
          </w:tcPr>
          <w:p w14:paraId="4E81E169"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(2)</w:t>
            </w:r>
          </w:p>
        </w:tc>
        <w:tc>
          <w:tcPr>
            <w:tcW w:w="1821" w:type="dxa"/>
            <w:tcBorders>
              <w:top w:val="single" w:sz="4" w:space="0" w:color="auto"/>
              <w:left w:val="nil"/>
              <w:bottom w:val="nil"/>
              <w:right w:val="nil"/>
            </w:tcBorders>
            <w:shd w:val="clear" w:color="auto" w:fill="auto"/>
            <w:noWrap/>
            <w:vAlign w:val="center"/>
            <w:hideMark/>
          </w:tcPr>
          <w:p w14:paraId="67B15E85"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(3)</w:t>
            </w:r>
          </w:p>
        </w:tc>
        <w:tc>
          <w:tcPr>
            <w:tcW w:w="1474" w:type="dxa"/>
            <w:tcBorders>
              <w:top w:val="single" w:sz="4" w:space="0" w:color="auto"/>
              <w:left w:val="nil"/>
              <w:bottom w:val="nil"/>
              <w:right w:val="nil"/>
            </w:tcBorders>
            <w:shd w:val="clear" w:color="auto" w:fill="auto"/>
            <w:noWrap/>
            <w:vAlign w:val="center"/>
            <w:hideMark/>
          </w:tcPr>
          <w:p w14:paraId="1A840B4E"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(4)</w:t>
            </w:r>
          </w:p>
        </w:tc>
      </w:tr>
      <w:tr w:rsidR="00585463" w:rsidRPr="00585463" w14:paraId="4812D1C6" w14:textId="77777777" w:rsidTr="00585463">
        <w:trPr>
          <w:trHeight w:val="493"/>
        </w:trPr>
        <w:tc>
          <w:tcPr>
            <w:tcW w:w="2948" w:type="dxa"/>
            <w:tcBorders>
              <w:top w:val="nil"/>
              <w:left w:val="nil"/>
              <w:bottom w:val="nil"/>
              <w:right w:val="nil"/>
            </w:tcBorders>
            <w:shd w:val="clear" w:color="auto" w:fill="auto"/>
            <w:noWrap/>
            <w:vAlign w:val="center"/>
            <w:hideMark/>
          </w:tcPr>
          <w:p w14:paraId="1714F9C0"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Variables</w:t>
            </w:r>
          </w:p>
        </w:tc>
        <w:tc>
          <w:tcPr>
            <w:tcW w:w="1387" w:type="dxa"/>
            <w:tcBorders>
              <w:top w:val="nil"/>
              <w:left w:val="nil"/>
              <w:bottom w:val="single" w:sz="4" w:space="0" w:color="auto"/>
              <w:right w:val="nil"/>
            </w:tcBorders>
            <w:shd w:val="clear" w:color="auto" w:fill="auto"/>
            <w:vAlign w:val="center"/>
            <w:hideMark/>
          </w:tcPr>
          <w:p w14:paraId="1ABE0143"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Self-reported health</w:t>
            </w:r>
          </w:p>
        </w:tc>
        <w:tc>
          <w:tcPr>
            <w:tcW w:w="1387" w:type="dxa"/>
            <w:tcBorders>
              <w:top w:val="nil"/>
              <w:left w:val="nil"/>
              <w:bottom w:val="single" w:sz="4" w:space="0" w:color="auto"/>
              <w:right w:val="nil"/>
            </w:tcBorders>
            <w:shd w:val="clear" w:color="auto" w:fill="auto"/>
            <w:noWrap/>
            <w:vAlign w:val="center"/>
            <w:hideMark/>
          </w:tcPr>
          <w:p w14:paraId="064317E6"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BMI</w:t>
            </w:r>
          </w:p>
        </w:tc>
        <w:tc>
          <w:tcPr>
            <w:tcW w:w="1821" w:type="dxa"/>
            <w:tcBorders>
              <w:top w:val="nil"/>
              <w:left w:val="nil"/>
              <w:bottom w:val="single" w:sz="4" w:space="0" w:color="auto"/>
              <w:right w:val="nil"/>
            </w:tcBorders>
            <w:shd w:val="clear" w:color="auto" w:fill="auto"/>
            <w:noWrap/>
            <w:vAlign w:val="center"/>
            <w:hideMark/>
          </w:tcPr>
          <w:p w14:paraId="56F87AA4"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Overweight</w:t>
            </w:r>
          </w:p>
        </w:tc>
        <w:tc>
          <w:tcPr>
            <w:tcW w:w="1474" w:type="dxa"/>
            <w:tcBorders>
              <w:top w:val="nil"/>
              <w:left w:val="nil"/>
              <w:bottom w:val="single" w:sz="4" w:space="0" w:color="auto"/>
              <w:right w:val="nil"/>
            </w:tcBorders>
            <w:shd w:val="clear" w:color="auto" w:fill="auto"/>
            <w:noWrap/>
            <w:vAlign w:val="center"/>
            <w:hideMark/>
          </w:tcPr>
          <w:p w14:paraId="1585C63D"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Obesity</w:t>
            </w:r>
          </w:p>
        </w:tc>
      </w:tr>
      <w:tr w:rsidR="00585463" w:rsidRPr="00585463" w14:paraId="6860F7C0" w14:textId="77777777" w:rsidTr="00585463">
        <w:trPr>
          <w:trHeight w:val="241"/>
        </w:trPr>
        <w:tc>
          <w:tcPr>
            <w:tcW w:w="4335" w:type="dxa"/>
            <w:gridSpan w:val="2"/>
            <w:tcBorders>
              <w:top w:val="single" w:sz="4" w:space="0" w:color="auto"/>
              <w:left w:val="nil"/>
              <w:bottom w:val="nil"/>
              <w:right w:val="nil"/>
            </w:tcBorders>
            <w:shd w:val="clear" w:color="auto" w:fill="auto"/>
            <w:noWrap/>
            <w:vAlign w:val="center"/>
            <w:hideMark/>
          </w:tcPr>
          <w:p w14:paraId="15067AF0" w14:textId="77777777" w:rsidR="00585463" w:rsidRPr="00585463" w:rsidRDefault="00585463" w:rsidP="00585463">
            <w:pPr>
              <w:spacing w:after="0" w:line="240" w:lineRule="auto"/>
              <w:rPr>
                <w:rFonts w:ascii="Calibri" w:eastAsia="Times New Roman" w:hAnsi="Calibri" w:cs="Calibri"/>
                <w:b/>
                <w:bCs/>
                <w:color w:val="000000"/>
                <w:sz w:val="22"/>
              </w:rPr>
            </w:pPr>
            <w:r w:rsidRPr="00585463">
              <w:rPr>
                <w:rFonts w:ascii="Calibri" w:eastAsia="Times New Roman" w:hAnsi="Calibri" w:cs="Calibri"/>
                <w:b/>
                <w:bCs/>
                <w:color w:val="000000"/>
                <w:sz w:val="22"/>
              </w:rPr>
              <w:t>Panel A. OLS Estimation</w:t>
            </w:r>
          </w:p>
        </w:tc>
        <w:tc>
          <w:tcPr>
            <w:tcW w:w="1387" w:type="dxa"/>
            <w:tcBorders>
              <w:top w:val="nil"/>
              <w:left w:val="nil"/>
              <w:bottom w:val="nil"/>
              <w:right w:val="nil"/>
            </w:tcBorders>
            <w:shd w:val="clear" w:color="auto" w:fill="auto"/>
            <w:noWrap/>
            <w:vAlign w:val="center"/>
            <w:hideMark/>
          </w:tcPr>
          <w:p w14:paraId="34A71325" w14:textId="77777777" w:rsidR="00585463" w:rsidRPr="00585463" w:rsidRDefault="00585463" w:rsidP="00585463">
            <w:pPr>
              <w:spacing w:after="0" w:line="240" w:lineRule="auto"/>
              <w:rPr>
                <w:rFonts w:ascii="Calibri" w:eastAsia="Times New Roman" w:hAnsi="Calibri" w:cs="Calibri"/>
                <w:b/>
                <w:bCs/>
                <w:color w:val="000000"/>
                <w:sz w:val="22"/>
              </w:rPr>
            </w:pPr>
          </w:p>
        </w:tc>
        <w:tc>
          <w:tcPr>
            <w:tcW w:w="1821" w:type="dxa"/>
            <w:tcBorders>
              <w:top w:val="nil"/>
              <w:left w:val="nil"/>
              <w:bottom w:val="nil"/>
              <w:right w:val="nil"/>
            </w:tcBorders>
            <w:shd w:val="clear" w:color="auto" w:fill="auto"/>
            <w:noWrap/>
            <w:vAlign w:val="center"/>
            <w:hideMark/>
          </w:tcPr>
          <w:p w14:paraId="089630A3" w14:textId="77777777" w:rsidR="00585463" w:rsidRPr="00585463" w:rsidRDefault="00585463" w:rsidP="00585463">
            <w:pPr>
              <w:spacing w:after="0" w:line="240" w:lineRule="auto"/>
              <w:rPr>
                <w:rFonts w:eastAsia="Times New Roman" w:cs="Times New Roman"/>
                <w:sz w:val="20"/>
                <w:szCs w:val="20"/>
              </w:rPr>
            </w:pPr>
          </w:p>
        </w:tc>
        <w:tc>
          <w:tcPr>
            <w:tcW w:w="1474" w:type="dxa"/>
            <w:tcBorders>
              <w:top w:val="nil"/>
              <w:left w:val="nil"/>
              <w:bottom w:val="nil"/>
              <w:right w:val="nil"/>
            </w:tcBorders>
            <w:shd w:val="clear" w:color="auto" w:fill="auto"/>
            <w:noWrap/>
            <w:vAlign w:val="center"/>
            <w:hideMark/>
          </w:tcPr>
          <w:p w14:paraId="04D4878E"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w:t>
            </w:r>
          </w:p>
        </w:tc>
      </w:tr>
      <w:tr w:rsidR="00585463" w:rsidRPr="00585463" w14:paraId="38F02C79" w14:textId="77777777" w:rsidTr="00585463">
        <w:trPr>
          <w:trHeight w:val="241"/>
        </w:trPr>
        <w:tc>
          <w:tcPr>
            <w:tcW w:w="2948" w:type="dxa"/>
            <w:tcBorders>
              <w:top w:val="nil"/>
              <w:left w:val="nil"/>
              <w:bottom w:val="nil"/>
              <w:right w:val="nil"/>
            </w:tcBorders>
            <w:shd w:val="clear" w:color="auto" w:fill="auto"/>
            <w:noWrap/>
            <w:vAlign w:val="center"/>
            <w:hideMark/>
          </w:tcPr>
          <w:p w14:paraId="6B0D5E2F"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Years of education</w:t>
            </w:r>
          </w:p>
        </w:tc>
        <w:tc>
          <w:tcPr>
            <w:tcW w:w="1387" w:type="dxa"/>
            <w:tcBorders>
              <w:top w:val="nil"/>
              <w:left w:val="nil"/>
              <w:bottom w:val="nil"/>
              <w:right w:val="nil"/>
            </w:tcBorders>
            <w:shd w:val="clear" w:color="auto" w:fill="auto"/>
            <w:noWrap/>
            <w:vAlign w:val="center"/>
            <w:hideMark/>
          </w:tcPr>
          <w:p w14:paraId="7AE31E51"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0.00721*** </w:t>
            </w:r>
          </w:p>
        </w:tc>
        <w:tc>
          <w:tcPr>
            <w:tcW w:w="1387" w:type="dxa"/>
            <w:tcBorders>
              <w:top w:val="nil"/>
              <w:left w:val="nil"/>
              <w:bottom w:val="nil"/>
              <w:right w:val="nil"/>
            </w:tcBorders>
            <w:shd w:val="clear" w:color="auto" w:fill="auto"/>
            <w:noWrap/>
            <w:vAlign w:val="center"/>
            <w:hideMark/>
          </w:tcPr>
          <w:p w14:paraId="760F0355"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-0.0252** </w:t>
            </w:r>
          </w:p>
        </w:tc>
        <w:tc>
          <w:tcPr>
            <w:tcW w:w="1821" w:type="dxa"/>
            <w:tcBorders>
              <w:top w:val="nil"/>
              <w:left w:val="nil"/>
              <w:bottom w:val="nil"/>
              <w:right w:val="nil"/>
            </w:tcBorders>
            <w:shd w:val="clear" w:color="auto" w:fill="auto"/>
            <w:noWrap/>
            <w:vAlign w:val="center"/>
            <w:hideMark/>
          </w:tcPr>
          <w:p w14:paraId="38FFC219"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-0.00929*</w:t>
            </w:r>
          </w:p>
        </w:tc>
        <w:tc>
          <w:tcPr>
            <w:tcW w:w="1474" w:type="dxa"/>
            <w:tcBorders>
              <w:top w:val="nil"/>
              <w:left w:val="nil"/>
              <w:bottom w:val="nil"/>
              <w:right w:val="nil"/>
            </w:tcBorders>
            <w:shd w:val="clear" w:color="auto" w:fill="auto"/>
            <w:noWrap/>
            <w:vAlign w:val="center"/>
            <w:hideMark/>
          </w:tcPr>
          <w:p w14:paraId="46C61A6A"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-0.00136 </w:t>
            </w:r>
          </w:p>
        </w:tc>
      </w:tr>
      <w:tr w:rsidR="00585463" w:rsidRPr="00585463" w14:paraId="5C261B13" w14:textId="77777777" w:rsidTr="00585463">
        <w:trPr>
          <w:trHeight w:val="241"/>
        </w:trPr>
        <w:tc>
          <w:tcPr>
            <w:tcW w:w="2948" w:type="dxa"/>
            <w:tcBorders>
              <w:top w:val="nil"/>
              <w:left w:val="nil"/>
              <w:bottom w:val="nil"/>
              <w:right w:val="nil"/>
            </w:tcBorders>
            <w:shd w:val="clear" w:color="auto" w:fill="auto"/>
            <w:noWrap/>
            <w:vAlign w:val="center"/>
            <w:hideMark/>
          </w:tcPr>
          <w:p w14:paraId="70E7013C" w14:textId="77777777" w:rsidR="00585463" w:rsidRPr="00585463" w:rsidRDefault="00585463" w:rsidP="00585463">
            <w:pPr>
              <w:spacing w:after="0" w:line="240" w:lineRule="auto"/>
              <w:jc w:val="center"/>
              <w:rPr>
                <w:rFonts w:ascii="Calibri" w:eastAsia="Times New Roman" w:hAnsi="Calibri" w:cs="Calibri"/>
                <w:color w:val="000000"/>
                <w:sz w:val="22"/>
              </w:rPr>
            </w:pPr>
          </w:p>
        </w:tc>
        <w:tc>
          <w:tcPr>
            <w:tcW w:w="1387" w:type="dxa"/>
            <w:tcBorders>
              <w:top w:val="nil"/>
              <w:left w:val="nil"/>
              <w:bottom w:val="nil"/>
              <w:right w:val="nil"/>
            </w:tcBorders>
            <w:shd w:val="clear" w:color="auto" w:fill="auto"/>
            <w:noWrap/>
            <w:vAlign w:val="center"/>
            <w:hideMark/>
          </w:tcPr>
          <w:p w14:paraId="69274E7C"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(0.00151) </w:t>
            </w:r>
          </w:p>
        </w:tc>
        <w:tc>
          <w:tcPr>
            <w:tcW w:w="1387" w:type="dxa"/>
            <w:tcBorders>
              <w:top w:val="nil"/>
              <w:left w:val="nil"/>
              <w:bottom w:val="nil"/>
              <w:right w:val="nil"/>
            </w:tcBorders>
            <w:shd w:val="clear" w:color="auto" w:fill="auto"/>
            <w:noWrap/>
            <w:vAlign w:val="center"/>
            <w:hideMark/>
          </w:tcPr>
          <w:p w14:paraId="23FAD645"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(0.0105) </w:t>
            </w:r>
          </w:p>
        </w:tc>
        <w:tc>
          <w:tcPr>
            <w:tcW w:w="1821" w:type="dxa"/>
            <w:tcBorders>
              <w:top w:val="nil"/>
              <w:left w:val="nil"/>
              <w:bottom w:val="nil"/>
              <w:right w:val="nil"/>
            </w:tcBorders>
            <w:shd w:val="clear" w:color="auto" w:fill="auto"/>
            <w:noWrap/>
            <w:vAlign w:val="center"/>
            <w:hideMark/>
          </w:tcPr>
          <w:p w14:paraId="68FAEC22"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(0.00515)</w:t>
            </w:r>
          </w:p>
        </w:tc>
        <w:tc>
          <w:tcPr>
            <w:tcW w:w="1474" w:type="dxa"/>
            <w:tcBorders>
              <w:top w:val="nil"/>
              <w:left w:val="nil"/>
              <w:bottom w:val="nil"/>
              <w:right w:val="nil"/>
            </w:tcBorders>
            <w:shd w:val="clear" w:color="auto" w:fill="auto"/>
            <w:noWrap/>
            <w:vAlign w:val="center"/>
            <w:hideMark/>
          </w:tcPr>
          <w:p w14:paraId="7D41B0BC"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(0.00160) </w:t>
            </w:r>
          </w:p>
        </w:tc>
      </w:tr>
      <w:tr w:rsidR="00585463" w:rsidRPr="00585463" w14:paraId="4EA98DD0" w14:textId="77777777" w:rsidTr="00585463">
        <w:trPr>
          <w:trHeight w:val="241"/>
        </w:trPr>
        <w:tc>
          <w:tcPr>
            <w:tcW w:w="2948" w:type="dxa"/>
            <w:tcBorders>
              <w:top w:val="nil"/>
              <w:left w:val="nil"/>
              <w:bottom w:val="nil"/>
              <w:right w:val="nil"/>
            </w:tcBorders>
            <w:shd w:val="clear" w:color="auto" w:fill="auto"/>
            <w:noWrap/>
            <w:vAlign w:val="center"/>
            <w:hideMark/>
          </w:tcPr>
          <w:p w14:paraId="3CE98EA1" w14:textId="77777777" w:rsidR="00585463" w:rsidRPr="00585463" w:rsidRDefault="00585463" w:rsidP="00585463">
            <w:pPr>
              <w:spacing w:after="0" w:line="240" w:lineRule="auto"/>
              <w:jc w:val="center"/>
              <w:rPr>
                <w:rFonts w:ascii="Calibri" w:eastAsia="Times New Roman" w:hAnsi="Calibri" w:cs="Calibri"/>
                <w:color w:val="000000"/>
                <w:sz w:val="22"/>
              </w:rPr>
            </w:pPr>
          </w:p>
        </w:tc>
        <w:tc>
          <w:tcPr>
            <w:tcW w:w="1387" w:type="dxa"/>
            <w:tcBorders>
              <w:top w:val="nil"/>
              <w:left w:val="nil"/>
              <w:bottom w:val="nil"/>
              <w:right w:val="nil"/>
            </w:tcBorders>
            <w:shd w:val="clear" w:color="auto" w:fill="auto"/>
            <w:noWrap/>
            <w:vAlign w:val="center"/>
            <w:hideMark/>
          </w:tcPr>
          <w:p w14:paraId="67119173" w14:textId="77777777" w:rsidR="00585463" w:rsidRPr="00585463" w:rsidRDefault="00585463" w:rsidP="00585463">
            <w:pPr>
              <w:spacing w:after="0" w:line="240" w:lineRule="auto"/>
              <w:rPr>
                <w:rFonts w:eastAsia="Times New Roman" w:cs="Times New Roman"/>
                <w:sz w:val="20"/>
                <w:szCs w:val="20"/>
              </w:rPr>
            </w:pPr>
          </w:p>
        </w:tc>
        <w:tc>
          <w:tcPr>
            <w:tcW w:w="1387" w:type="dxa"/>
            <w:tcBorders>
              <w:top w:val="nil"/>
              <w:left w:val="nil"/>
              <w:bottom w:val="nil"/>
              <w:right w:val="nil"/>
            </w:tcBorders>
            <w:shd w:val="clear" w:color="auto" w:fill="auto"/>
            <w:noWrap/>
            <w:vAlign w:val="center"/>
            <w:hideMark/>
          </w:tcPr>
          <w:p w14:paraId="2805D640" w14:textId="77777777" w:rsidR="00585463" w:rsidRPr="00585463" w:rsidRDefault="00585463" w:rsidP="00585463">
            <w:pPr>
              <w:spacing w:after="0" w:line="240" w:lineRule="auto"/>
              <w:jc w:val="center"/>
              <w:rPr>
                <w:rFonts w:eastAsia="Times New Roman" w:cs="Times New Roman"/>
                <w:sz w:val="20"/>
                <w:szCs w:val="20"/>
              </w:rPr>
            </w:pPr>
          </w:p>
        </w:tc>
        <w:tc>
          <w:tcPr>
            <w:tcW w:w="1821" w:type="dxa"/>
            <w:tcBorders>
              <w:top w:val="nil"/>
              <w:left w:val="nil"/>
              <w:bottom w:val="nil"/>
              <w:right w:val="nil"/>
            </w:tcBorders>
            <w:shd w:val="clear" w:color="auto" w:fill="auto"/>
            <w:noWrap/>
            <w:vAlign w:val="center"/>
            <w:hideMark/>
          </w:tcPr>
          <w:p w14:paraId="02F91731" w14:textId="77777777" w:rsidR="00585463" w:rsidRPr="00585463" w:rsidRDefault="00585463" w:rsidP="00585463">
            <w:pPr>
              <w:spacing w:after="0" w:line="240" w:lineRule="auto"/>
              <w:jc w:val="center"/>
              <w:rPr>
                <w:rFonts w:eastAsia="Times New Roman" w:cs="Times New Roman"/>
                <w:sz w:val="20"/>
                <w:szCs w:val="20"/>
              </w:rPr>
            </w:pPr>
          </w:p>
        </w:tc>
        <w:tc>
          <w:tcPr>
            <w:tcW w:w="1474" w:type="dxa"/>
            <w:tcBorders>
              <w:top w:val="nil"/>
              <w:left w:val="nil"/>
              <w:bottom w:val="nil"/>
              <w:right w:val="nil"/>
            </w:tcBorders>
            <w:shd w:val="clear" w:color="auto" w:fill="auto"/>
            <w:noWrap/>
            <w:vAlign w:val="center"/>
            <w:hideMark/>
          </w:tcPr>
          <w:p w14:paraId="28FB6049" w14:textId="77777777" w:rsidR="00585463" w:rsidRPr="00585463" w:rsidRDefault="00585463" w:rsidP="00585463">
            <w:pPr>
              <w:spacing w:after="0" w:line="240" w:lineRule="auto"/>
              <w:jc w:val="center"/>
              <w:rPr>
                <w:rFonts w:eastAsia="Times New Roman" w:cs="Times New Roman"/>
                <w:sz w:val="20"/>
                <w:szCs w:val="20"/>
              </w:rPr>
            </w:pPr>
          </w:p>
        </w:tc>
      </w:tr>
      <w:tr w:rsidR="00585463" w:rsidRPr="00585463" w14:paraId="2B5E8C88" w14:textId="77777777" w:rsidTr="00585463">
        <w:trPr>
          <w:trHeight w:val="241"/>
        </w:trPr>
        <w:tc>
          <w:tcPr>
            <w:tcW w:w="2948" w:type="dxa"/>
            <w:tcBorders>
              <w:top w:val="nil"/>
              <w:left w:val="nil"/>
              <w:bottom w:val="nil"/>
              <w:right w:val="nil"/>
            </w:tcBorders>
            <w:shd w:val="clear" w:color="auto" w:fill="auto"/>
            <w:noWrap/>
            <w:vAlign w:val="center"/>
            <w:hideMark/>
          </w:tcPr>
          <w:p w14:paraId="59B2455E"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Adj. R-squared</w:t>
            </w:r>
          </w:p>
        </w:tc>
        <w:tc>
          <w:tcPr>
            <w:tcW w:w="1387" w:type="dxa"/>
            <w:tcBorders>
              <w:top w:val="nil"/>
              <w:left w:val="nil"/>
              <w:bottom w:val="nil"/>
              <w:right w:val="nil"/>
            </w:tcBorders>
            <w:shd w:val="clear" w:color="auto" w:fill="auto"/>
            <w:noWrap/>
            <w:vAlign w:val="center"/>
            <w:hideMark/>
          </w:tcPr>
          <w:p w14:paraId="271C1B10"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0.067</w:t>
            </w:r>
          </w:p>
        </w:tc>
        <w:tc>
          <w:tcPr>
            <w:tcW w:w="1387" w:type="dxa"/>
            <w:tcBorders>
              <w:top w:val="nil"/>
              <w:left w:val="nil"/>
              <w:bottom w:val="nil"/>
              <w:right w:val="nil"/>
            </w:tcBorders>
            <w:shd w:val="clear" w:color="auto" w:fill="auto"/>
            <w:noWrap/>
            <w:vAlign w:val="center"/>
            <w:hideMark/>
          </w:tcPr>
          <w:p w14:paraId="7C470E93"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0.158 </w:t>
            </w:r>
          </w:p>
        </w:tc>
        <w:tc>
          <w:tcPr>
            <w:tcW w:w="1821" w:type="dxa"/>
            <w:tcBorders>
              <w:top w:val="nil"/>
              <w:left w:val="nil"/>
              <w:bottom w:val="nil"/>
              <w:right w:val="nil"/>
            </w:tcBorders>
            <w:shd w:val="clear" w:color="auto" w:fill="auto"/>
            <w:noWrap/>
            <w:vAlign w:val="center"/>
            <w:hideMark/>
          </w:tcPr>
          <w:p w14:paraId="4D070E78"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0.066 </w:t>
            </w:r>
          </w:p>
        </w:tc>
        <w:tc>
          <w:tcPr>
            <w:tcW w:w="1474" w:type="dxa"/>
            <w:tcBorders>
              <w:top w:val="nil"/>
              <w:left w:val="nil"/>
              <w:bottom w:val="nil"/>
              <w:right w:val="nil"/>
            </w:tcBorders>
            <w:shd w:val="clear" w:color="auto" w:fill="auto"/>
            <w:noWrap/>
            <w:vAlign w:val="center"/>
            <w:hideMark/>
          </w:tcPr>
          <w:p w14:paraId="22C2EF2E"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0.014</w:t>
            </w:r>
          </w:p>
        </w:tc>
      </w:tr>
      <w:tr w:rsidR="00585463" w:rsidRPr="00585463" w14:paraId="3EDEBDCF" w14:textId="77777777" w:rsidTr="00585463">
        <w:trPr>
          <w:trHeight w:val="241"/>
        </w:trPr>
        <w:tc>
          <w:tcPr>
            <w:tcW w:w="4335" w:type="dxa"/>
            <w:gridSpan w:val="2"/>
            <w:tcBorders>
              <w:top w:val="single" w:sz="4" w:space="0" w:color="auto"/>
              <w:left w:val="nil"/>
              <w:bottom w:val="nil"/>
              <w:right w:val="nil"/>
            </w:tcBorders>
            <w:shd w:val="clear" w:color="auto" w:fill="auto"/>
            <w:noWrap/>
            <w:vAlign w:val="center"/>
            <w:hideMark/>
          </w:tcPr>
          <w:p w14:paraId="6542088F" w14:textId="77777777" w:rsidR="00585463" w:rsidRPr="00585463" w:rsidRDefault="00585463" w:rsidP="00585463">
            <w:pPr>
              <w:spacing w:after="0" w:line="240" w:lineRule="auto"/>
              <w:rPr>
                <w:rFonts w:ascii="Calibri" w:eastAsia="Times New Roman" w:hAnsi="Calibri" w:cs="Calibri"/>
                <w:b/>
                <w:bCs/>
                <w:color w:val="000000"/>
                <w:sz w:val="22"/>
              </w:rPr>
            </w:pPr>
            <w:r w:rsidRPr="00585463">
              <w:rPr>
                <w:rFonts w:ascii="Calibri" w:eastAsia="Times New Roman" w:hAnsi="Calibri" w:cs="Calibri"/>
                <w:b/>
                <w:bCs/>
                <w:color w:val="000000"/>
                <w:sz w:val="22"/>
              </w:rPr>
              <w:t>Panel B. 2SLS Estimation</w:t>
            </w:r>
          </w:p>
        </w:tc>
        <w:tc>
          <w:tcPr>
            <w:tcW w:w="1387" w:type="dxa"/>
            <w:tcBorders>
              <w:top w:val="single" w:sz="4" w:space="0" w:color="auto"/>
              <w:left w:val="nil"/>
              <w:bottom w:val="nil"/>
              <w:right w:val="nil"/>
            </w:tcBorders>
            <w:shd w:val="clear" w:color="auto" w:fill="auto"/>
            <w:noWrap/>
            <w:vAlign w:val="center"/>
            <w:hideMark/>
          </w:tcPr>
          <w:p w14:paraId="314F36E8"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w:t>
            </w:r>
          </w:p>
        </w:tc>
        <w:tc>
          <w:tcPr>
            <w:tcW w:w="1821" w:type="dxa"/>
            <w:tcBorders>
              <w:top w:val="single" w:sz="4" w:space="0" w:color="auto"/>
              <w:left w:val="nil"/>
              <w:bottom w:val="nil"/>
              <w:right w:val="nil"/>
            </w:tcBorders>
            <w:shd w:val="clear" w:color="auto" w:fill="auto"/>
            <w:noWrap/>
            <w:vAlign w:val="center"/>
            <w:hideMark/>
          </w:tcPr>
          <w:p w14:paraId="46FA3DC5"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w:t>
            </w:r>
          </w:p>
        </w:tc>
        <w:tc>
          <w:tcPr>
            <w:tcW w:w="1474" w:type="dxa"/>
            <w:tcBorders>
              <w:top w:val="single" w:sz="4" w:space="0" w:color="auto"/>
              <w:left w:val="nil"/>
              <w:bottom w:val="nil"/>
              <w:right w:val="nil"/>
            </w:tcBorders>
            <w:shd w:val="clear" w:color="auto" w:fill="auto"/>
            <w:noWrap/>
            <w:vAlign w:val="center"/>
            <w:hideMark/>
          </w:tcPr>
          <w:p w14:paraId="09208018"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w:t>
            </w:r>
          </w:p>
        </w:tc>
      </w:tr>
      <w:tr w:rsidR="00585463" w:rsidRPr="00585463" w14:paraId="325877FB" w14:textId="77777777" w:rsidTr="00585463">
        <w:trPr>
          <w:trHeight w:val="241"/>
        </w:trPr>
        <w:tc>
          <w:tcPr>
            <w:tcW w:w="2948" w:type="dxa"/>
            <w:tcBorders>
              <w:top w:val="nil"/>
              <w:left w:val="nil"/>
              <w:bottom w:val="nil"/>
              <w:right w:val="nil"/>
            </w:tcBorders>
            <w:shd w:val="clear" w:color="auto" w:fill="auto"/>
            <w:noWrap/>
            <w:vAlign w:val="center"/>
            <w:hideMark/>
          </w:tcPr>
          <w:p w14:paraId="022484AC"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Years of education</w:t>
            </w:r>
          </w:p>
        </w:tc>
        <w:tc>
          <w:tcPr>
            <w:tcW w:w="1387" w:type="dxa"/>
            <w:tcBorders>
              <w:top w:val="nil"/>
              <w:left w:val="nil"/>
              <w:bottom w:val="nil"/>
              <w:right w:val="nil"/>
            </w:tcBorders>
            <w:shd w:val="clear" w:color="auto" w:fill="auto"/>
            <w:noWrap/>
            <w:vAlign w:val="center"/>
            <w:hideMark/>
          </w:tcPr>
          <w:p w14:paraId="4E025F20"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0.0534*  </w:t>
            </w:r>
          </w:p>
        </w:tc>
        <w:tc>
          <w:tcPr>
            <w:tcW w:w="1387" w:type="dxa"/>
            <w:tcBorders>
              <w:top w:val="nil"/>
              <w:left w:val="nil"/>
              <w:bottom w:val="nil"/>
              <w:right w:val="nil"/>
            </w:tcBorders>
            <w:shd w:val="clear" w:color="auto" w:fill="auto"/>
            <w:noWrap/>
            <w:vAlign w:val="center"/>
            <w:hideMark/>
          </w:tcPr>
          <w:p w14:paraId="4C0821A6"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-0.0227 </w:t>
            </w:r>
          </w:p>
        </w:tc>
        <w:tc>
          <w:tcPr>
            <w:tcW w:w="1821" w:type="dxa"/>
            <w:tcBorders>
              <w:top w:val="nil"/>
              <w:left w:val="nil"/>
              <w:bottom w:val="nil"/>
              <w:right w:val="nil"/>
            </w:tcBorders>
            <w:shd w:val="clear" w:color="auto" w:fill="auto"/>
            <w:noWrap/>
            <w:vAlign w:val="center"/>
            <w:hideMark/>
          </w:tcPr>
          <w:p w14:paraId="6EFFB1AC"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-0.0838  </w:t>
            </w:r>
          </w:p>
        </w:tc>
        <w:tc>
          <w:tcPr>
            <w:tcW w:w="1474" w:type="dxa"/>
            <w:tcBorders>
              <w:top w:val="nil"/>
              <w:left w:val="nil"/>
              <w:bottom w:val="nil"/>
              <w:right w:val="nil"/>
            </w:tcBorders>
            <w:shd w:val="clear" w:color="auto" w:fill="auto"/>
            <w:noWrap/>
            <w:vAlign w:val="center"/>
            <w:hideMark/>
          </w:tcPr>
          <w:p w14:paraId="6250018D"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-0.0180 </w:t>
            </w:r>
          </w:p>
        </w:tc>
      </w:tr>
      <w:tr w:rsidR="00585463" w:rsidRPr="00585463" w14:paraId="2ED8639C" w14:textId="77777777" w:rsidTr="00585463">
        <w:trPr>
          <w:trHeight w:val="241"/>
        </w:trPr>
        <w:tc>
          <w:tcPr>
            <w:tcW w:w="2948" w:type="dxa"/>
            <w:tcBorders>
              <w:top w:val="nil"/>
              <w:left w:val="nil"/>
              <w:bottom w:val="nil"/>
              <w:right w:val="nil"/>
            </w:tcBorders>
            <w:shd w:val="clear" w:color="auto" w:fill="auto"/>
            <w:vAlign w:val="center"/>
            <w:hideMark/>
          </w:tcPr>
          <w:p w14:paraId="06FFB865" w14:textId="77777777" w:rsidR="00585463" w:rsidRPr="00585463" w:rsidRDefault="00585463" w:rsidP="00585463">
            <w:pPr>
              <w:spacing w:after="0" w:line="240" w:lineRule="auto"/>
              <w:jc w:val="center"/>
              <w:rPr>
                <w:rFonts w:ascii="Calibri" w:eastAsia="Times New Roman" w:hAnsi="Calibri" w:cs="Calibri"/>
                <w:color w:val="000000"/>
                <w:sz w:val="22"/>
              </w:rPr>
            </w:pPr>
          </w:p>
        </w:tc>
        <w:tc>
          <w:tcPr>
            <w:tcW w:w="1387" w:type="dxa"/>
            <w:tcBorders>
              <w:top w:val="nil"/>
              <w:left w:val="nil"/>
              <w:bottom w:val="nil"/>
              <w:right w:val="nil"/>
            </w:tcBorders>
            <w:shd w:val="clear" w:color="auto" w:fill="auto"/>
            <w:noWrap/>
            <w:vAlign w:val="center"/>
            <w:hideMark/>
          </w:tcPr>
          <w:p w14:paraId="1B51B6DD"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(0.0277) </w:t>
            </w:r>
          </w:p>
        </w:tc>
        <w:tc>
          <w:tcPr>
            <w:tcW w:w="1387" w:type="dxa"/>
            <w:tcBorders>
              <w:top w:val="nil"/>
              <w:left w:val="nil"/>
              <w:bottom w:val="nil"/>
              <w:right w:val="nil"/>
            </w:tcBorders>
            <w:shd w:val="clear" w:color="auto" w:fill="auto"/>
            <w:noWrap/>
            <w:vAlign w:val="center"/>
            <w:hideMark/>
          </w:tcPr>
          <w:p w14:paraId="28E0EA4B"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(0.201) </w:t>
            </w:r>
          </w:p>
        </w:tc>
        <w:tc>
          <w:tcPr>
            <w:tcW w:w="1821" w:type="dxa"/>
            <w:tcBorders>
              <w:top w:val="nil"/>
              <w:left w:val="nil"/>
              <w:bottom w:val="nil"/>
              <w:right w:val="nil"/>
            </w:tcBorders>
            <w:shd w:val="clear" w:color="auto" w:fill="auto"/>
            <w:noWrap/>
            <w:vAlign w:val="center"/>
            <w:hideMark/>
          </w:tcPr>
          <w:p w14:paraId="578906F4"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(0.105) </w:t>
            </w:r>
          </w:p>
        </w:tc>
        <w:tc>
          <w:tcPr>
            <w:tcW w:w="1474" w:type="dxa"/>
            <w:tcBorders>
              <w:top w:val="nil"/>
              <w:left w:val="nil"/>
              <w:bottom w:val="nil"/>
              <w:right w:val="nil"/>
            </w:tcBorders>
            <w:shd w:val="clear" w:color="auto" w:fill="auto"/>
            <w:noWrap/>
            <w:vAlign w:val="center"/>
            <w:hideMark/>
          </w:tcPr>
          <w:p w14:paraId="3EDC91F6"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(0.0407)</w:t>
            </w:r>
          </w:p>
        </w:tc>
      </w:tr>
      <w:tr w:rsidR="00585463" w:rsidRPr="00585463" w14:paraId="0342E031" w14:textId="77777777" w:rsidTr="00585463">
        <w:trPr>
          <w:trHeight w:val="241"/>
        </w:trPr>
        <w:tc>
          <w:tcPr>
            <w:tcW w:w="2948" w:type="dxa"/>
            <w:tcBorders>
              <w:top w:val="nil"/>
              <w:left w:val="nil"/>
              <w:bottom w:val="nil"/>
              <w:right w:val="nil"/>
            </w:tcBorders>
            <w:shd w:val="clear" w:color="auto" w:fill="auto"/>
            <w:vAlign w:val="center"/>
            <w:hideMark/>
          </w:tcPr>
          <w:p w14:paraId="3E7217F6" w14:textId="77777777" w:rsidR="00585463" w:rsidRPr="00585463" w:rsidRDefault="00585463" w:rsidP="00585463">
            <w:pPr>
              <w:spacing w:after="0" w:line="240" w:lineRule="auto"/>
              <w:jc w:val="center"/>
              <w:rPr>
                <w:rFonts w:ascii="Calibri" w:eastAsia="Times New Roman" w:hAnsi="Calibri" w:cs="Calibri"/>
                <w:color w:val="000000"/>
                <w:sz w:val="22"/>
              </w:rPr>
            </w:pPr>
          </w:p>
        </w:tc>
        <w:tc>
          <w:tcPr>
            <w:tcW w:w="1387" w:type="dxa"/>
            <w:tcBorders>
              <w:top w:val="nil"/>
              <w:left w:val="nil"/>
              <w:bottom w:val="nil"/>
              <w:right w:val="nil"/>
            </w:tcBorders>
            <w:shd w:val="clear" w:color="auto" w:fill="auto"/>
            <w:noWrap/>
            <w:vAlign w:val="center"/>
            <w:hideMark/>
          </w:tcPr>
          <w:p w14:paraId="3A0E0C5D" w14:textId="77777777" w:rsidR="00585463" w:rsidRPr="00585463" w:rsidRDefault="00585463" w:rsidP="00585463">
            <w:pPr>
              <w:spacing w:after="0" w:line="240" w:lineRule="auto"/>
              <w:rPr>
                <w:rFonts w:eastAsia="Times New Roman" w:cs="Times New Roman"/>
                <w:sz w:val="20"/>
                <w:szCs w:val="20"/>
              </w:rPr>
            </w:pPr>
          </w:p>
        </w:tc>
        <w:tc>
          <w:tcPr>
            <w:tcW w:w="1387" w:type="dxa"/>
            <w:tcBorders>
              <w:top w:val="nil"/>
              <w:left w:val="nil"/>
              <w:bottom w:val="nil"/>
              <w:right w:val="nil"/>
            </w:tcBorders>
            <w:shd w:val="clear" w:color="auto" w:fill="auto"/>
            <w:noWrap/>
            <w:vAlign w:val="center"/>
            <w:hideMark/>
          </w:tcPr>
          <w:p w14:paraId="47FD1703" w14:textId="77777777" w:rsidR="00585463" w:rsidRPr="00585463" w:rsidRDefault="00585463" w:rsidP="00585463">
            <w:pPr>
              <w:spacing w:after="0" w:line="240" w:lineRule="auto"/>
              <w:jc w:val="center"/>
              <w:rPr>
                <w:rFonts w:eastAsia="Times New Roman" w:cs="Times New Roman"/>
                <w:sz w:val="20"/>
                <w:szCs w:val="20"/>
              </w:rPr>
            </w:pPr>
          </w:p>
        </w:tc>
        <w:tc>
          <w:tcPr>
            <w:tcW w:w="1821" w:type="dxa"/>
            <w:tcBorders>
              <w:top w:val="nil"/>
              <w:left w:val="nil"/>
              <w:bottom w:val="nil"/>
              <w:right w:val="nil"/>
            </w:tcBorders>
            <w:shd w:val="clear" w:color="auto" w:fill="auto"/>
            <w:noWrap/>
            <w:vAlign w:val="center"/>
            <w:hideMark/>
          </w:tcPr>
          <w:p w14:paraId="5368B604" w14:textId="77777777" w:rsidR="00585463" w:rsidRPr="00585463" w:rsidRDefault="00585463" w:rsidP="00585463">
            <w:pPr>
              <w:spacing w:after="0" w:line="240" w:lineRule="auto"/>
              <w:jc w:val="center"/>
              <w:rPr>
                <w:rFonts w:eastAsia="Times New Roman" w:cs="Times New Roman"/>
                <w:sz w:val="20"/>
                <w:szCs w:val="20"/>
              </w:rPr>
            </w:pPr>
          </w:p>
        </w:tc>
        <w:tc>
          <w:tcPr>
            <w:tcW w:w="1474" w:type="dxa"/>
            <w:tcBorders>
              <w:top w:val="nil"/>
              <w:left w:val="nil"/>
              <w:bottom w:val="nil"/>
              <w:right w:val="nil"/>
            </w:tcBorders>
            <w:shd w:val="clear" w:color="auto" w:fill="auto"/>
            <w:noWrap/>
            <w:vAlign w:val="center"/>
            <w:hideMark/>
          </w:tcPr>
          <w:p w14:paraId="731B8ED1" w14:textId="77777777" w:rsidR="00585463" w:rsidRPr="00585463" w:rsidRDefault="00585463" w:rsidP="00585463">
            <w:pPr>
              <w:spacing w:after="0" w:line="240" w:lineRule="auto"/>
              <w:jc w:val="center"/>
              <w:rPr>
                <w:rFonts w:eastAsia="Times New Roman" w:cs="Times New Roman"/>
                <w:sz w:val="20"/>
                <w:szCs w:val="20"/>
              </w:rPr>
            </w:pPr>
          </w:p>
        </w:tc>
      </w:tr>
      <w:tr w:rsidR="00585463" w:rsidRPr="00585463" w14:paraId="61FB3808" w14:textId="77777777" w:rsidTr="00585463">
        <w:trPr>
          <w:trHeight w:val="241"/>
        </w:trPr>
        <w:tc>
          <w:tcPr>
            <w:tcW w:w="2948" w:type="dxa"/>
            <w:tcBorders>
              <w:top w:val="nil"/>
              <w:left w:val="nil"/>
              <w:bottom w:val="nil"/>
              <w:right w:val="nil"/>
            </w:tcBorders>
            <w:shd w:val="clear" w:color="auto" w:fill="auto"/>
            <w:noWrap/>
            <w:vAlign w:val="center"/>
            <w:hideMark/>
          </w:tcPr>
          <w:p w14:paraId="379F5972"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Observation</w:t>
            </w:r>
          </w:p>
        </w:tc>
        <w:tc>
          <w:tcPr>
            <w:tcW w:w="1387" w:type="dxa"/>
            <w:tcBorders>
              <w:top w:val="nil"/>
              <w:left w:val="nil"/>
              <w:bottom w:val="nil"/>
              <w:right w:val="nil"/>
            </w:tcBorders>
            <w:shd w:val="clear" w:color="auto" w:fill="auto"/>
            <w:noWrap/>
            <w:vAlign w:val="center"/>
            <w:hideMark/>
          </w:tcPr>
          <w:p w14:paraId="7737333E"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9,978</w:t>
            </w:r>
          </w:p>
        </w:tc>
        <w:tc>
          <w:tcPr>
            <w:tcW w:w="1387" w:type="dxa"/>
            <w:tcBorders>
              <w:top w:val="nil"/>
              <w:left w:val="nil"/>
              <w:bottom w:val="nil"/>
              <w:right w:val="nil"/>
            </w:tcBorders>
            <w:shd w:val="clear" w:color="auto" w:fill="auto"/>
            <w:noWrap/>
            <w:vAlign w:val="center"/>
            <w:hideMark/>
          </w:tcPr>
          <w:p w14:paraId="1BB5D7A6"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9,978</w:t>
            </w:r>
          </w:p>
        </w:tc>
        <w:tc>
          <w:tcPr>
            <w:tcW w:w="1821" w:type="dxa"/>
            <w:tcBorders>
              <w:top w:val="nil"/>
              <w:left w:val="nil"/>
              <w:bottom w:val="nil"/>
              <w:right w:val="nil"/>
            </w:tcBorders>
            <w:shd w:val="clear" w:color="auto" w:fill="auto"/>
            <w:noWrap/>
            <w:vAlign w:val="center"/>
            <w:hideMark/>
          </w:tcPr>
          <w:p w14:paraId="2A1EB42D"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9,978</w:t>
            </w:r>
          </w:p>
        </w:tc>
        <w:tc>
          <w:tcPr>
            <w:tcW w:w="1474" w:type="dxa"/>
            <w:tcBorders>
              <w:top w:val="nil"/>
              <w:left w:val="nil"/>
              <w:bottom w:val="nil"/>
              <w:right w:val="nil"/>
            </w:tcBorders>
            <w:shd w:val="clear" w:color="auto" w:fill="auto"/>
            <w:noWrap/>
            <w:vAlign w:val="center"/>
            <w:hideMark/>
          </w:tcPr>
          <w:p w14:paraId="76F2F703"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9,978</w:t>
            </w:r>
          </w:p>
        </w:tc>
      </w:tr>
      <w:tr w:rsidR="00585463" w:rsidRPr="00585463" w14:paraId="556DB5A5" w14:textId="77777777" w:rsidTr="00585463">
        <w:trPr>
          <w:trHeight w:val="241"/>
        </w:trPr>
        <w:tc>
          <w:tcPr>
            <w:tcW w:w="4335" w:type="dxa"/>
            <w:gridSpan w:val="2"/>
            <w:tcBorders>
              <w:top w:val="nil"/>
              <w:left w:val="nil"/>
              <w:bottom w:val="nil"/>
              <w:right w:val="nil"/>
            </w:tcBorders>
            <w:shd w:val="clear" w:color="auto" w:fill="auto"/>
            <w:noWrap/>
            <w:vAlign w:val="center"/>
            <w:hideMark/>
          </w:tcPr>
          <w:p w14:paraId="7DA1742D"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Weak-identification test</w:t>
            </w:r>
          </w:p>
        </w:tc>
        <w:tc>
          <w:tcPr>
            <w:tcW w:w="1387" w:type="dxa"/>
            <w:tcBorders>
              <w:top w:val="nil"/>
              <w:left w:val="nil"/>
              <w:bottom w:val="nil"/>
              <w:right w:val="nil"/>
            </w:tcBorders>
            <w:shd w:val="clear" w:color="auto" w:fill="auto"/>
            <w:noWrap/>
            <w:vAlign w:val="center"/>
            <w:hideMark/>
          </w:tcPr>
          <w:p w14:paraId="35F2EA6B" w14:textId="77777777" w:rsidR="00585463" w:rsidRPr="00585463" w:rsidRDefault="00585463" w:rsidP="00585463">
            <w:pPr>
              <w:spacing w:after="0" w:line="240" w:lineRule="auto"/>
              <w:rPr>
                <w:rFonts w:ascii="Calibri" w:eastAsia="Times New Roman" w:hAnsi="Calibri" w:cs="Calibri"/>
                <w:color w:val="000000"/>
                <w:sz w:val="22"/>
              </w:rPr>
            </w:pPr>
          </w:p>
        </w:tc>
        <w:tc>
          <w:tcPr>
            <w:tcW w:w="1821" w:type="dxa"/>
            <w:tcBorders>
              <w:top w:val="nil"/>
              <w:left w:val="nil"/>
              <w:bottom w:val="nil"/>
              <w:right w:val="nil"/>
            </w:tcBorders>
            <w:shd w:val="clear" w:color="auto" w:fill="auto"/>
            <w:noWrap/>
            <w:vAlign w:val="center"/>
            <w:hideMark/>
          </w:tcPr>
          <w:p w14:paraId="4317DF51" w14:textId="77777777" w:rsidR="00585463" w:rsidRPr="00585463" w:rsidRDefault="00585463" w:rsidP="00585463">
            <w:pPr>
              <w:spacing w:after="0" w:line="240" w:lineRule="auto"/>
              <w:jc w:val="center"/>
              <w:rPr>
                <w:rFonts w:eastAsia="Times New Roman" w:cs="Times New Roman"/>
                <w:sz w:val="20"/>
                <w:szCs w:val="20"/>
              </w:rPr>
            </w:pPr>
          </w:p>
        </w:tc>
        <w:tc>
          <w:tcPr>
            <w:tcW w:w="1474" w:type="dxa"/>
            <w:tcBorders>
              <w:top w:val="nil"/>
              <w:left w:val="nil"/>
              <w:bottom w:val="nil"/>
              <w:right w:val="nil"/>
            </w:tcBorders>
            <w:shd w:val="clear" w:color="auto" w:fill="auto"/>
            <w:noWrap/>
            <w:vAlign w:val="center"/>
            <w:hideMark/>
          </w:tcPr>
          <w:p w14:paraId="05DEF51B" w14:textId="77777777" w:rsidR="00585463" w:rsidRPr="00585463" w:rsidRDefault="00585463" w:rsidP="00585463">
            <w:pPr>
              <w:spacing w:after="0" w:line="240" w:lineRule="auto"/>
              <w:jc w:val="center"/>
              <w:rPr>
                <w:rFonts w:eastAsia="Times New Roman" w:cs="Times New Roman"/>
                <w:sz w:val="20"/>
                <w:szCs w:val="20"/>
              </w:rPr>
            </w:pPr>
          </w:p>
        </w:tc>
      </w:tr>
      <w:tr w:rsidR="00585463" w:rsidRPr="00585463" w14:paraId="7F7CD9A4" w14:textId="77777777" w:rsidTr="00585463">
        <w:trPr>
          <w:trHeight w:val="251"/>
        </w:trPr>
        <w:tc>
          <w:tcPr>
            <w:tcW w:w="2948" w:type="dxa"/>
            <w:tcBorders>
              <w:top w:val="nil"/>
              <w:left w:val="nil"/>
              <w:bottom w:val="nil"/>
              <w:right w:val="nil"/>
            </w:tcBorders>
            <w:shd w:val="clear" w:color="auto" w:fill="auto"/>
            <w:vAlign w:val="center"/>
            <w:hideMark/>
          </w:tcPr>
          <w:p w14:paraId="6CDE548E" w14:textId="36A61936"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 xml:space="preserve">     </w:t>
            </w:r>
            <w:r>
              <w:rPr>
                <w:rFonts w:ascii="Calibri" w:eastAsia="Times New Roman" w:hAnsi="Calibri" w:cs="Calibri"/>
                <w:color w:val="000000"/>
                <w:sz w:val="22"/>
              </w:rPr>
              <w:t xml:space="preserve"> </w:t>
            </w:r>
            <w:r w:rsidRPr="00585463">
              <w:rPr>
                <w:rFonts w:ascii="Calibri" w:eastAsia="Times New Roman" w:hAnsi="Calibri" w:cs="Calibri"/>
                <w:color w:val="000000"/>
                <w:sz w:val="22"/>
              </w:rPr>
              <w:t>Kleibergen-Paap F Statistic</w:t>
            </w:r>
          </w:p>
        </w:tc>
        <w:tc>
          <w:tcPr>
            <w:tcW w:w="1387" w:type="dxa"/>
            <w:tcBorders>
              <w:top w:val="nil"/>
              <w:left w:val="nil"/>
              <w:bottom w:val="nil"/>
              <w:right w:val="nil"/>
            </w:tcBorders>
            <w:shd w:val="clear" w:color="auto" w:fill="auto"/>
            <w:noWrap/>
            <w:vAlign w:val="center"/>
            <w:hideMark/>
          </w:tcPr>
          <w:p w14:paraId="285EAEB8"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18.348</w:t>
            </w:r>
          </w:p>
        </w:tc>
        <w:tc>
          <w:tcPr>
            <w:tcW w:w="1387" w:type="dxa"/>
            <w:tcBorders>
              <w:top w:val="nil"/>
              <w:left w:val="nil"/>
              <w:bottom w:val="nil"/>
              <w:right w:val="nil"/>
            </w:tcBorders>
            <w:shd w:val="clear" w:color="auto" w:fill="auto"/>
            <w:noWrap/>
            <w:vAlign w:val="center"/>
            <w:hideMark/>
          </w:tcPr>
          <w:p w14:paraId="5361884F"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18.348</w:t>
            </w:r>
          </w:p>
        </w:tc>
        <w:tc>
          <w:tcPr>
            <w:tcW w:w="1821" w:type="dxa"/>
            <w:tcBorders>
              <w:top w:val="nil"/>
              <w:left w:val="nil"/>
              <w:bottom w:val="nil"/>
              <w:right w:val="nil"/>
            </w:tcBorders>
            <w:shd w:val="clear" w:color="auto" w:fill="auto"/>
            <w:noWrap/>
            <w:vAlign w:val="center"/>
            <w:hideMark/>
          </w:tcPr>
          <w:p w14:paraId="5FB712C4"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18.348</w:t>
            </w:r>
          </w:p>
        </w:tc>
        <w:tc>
          <w:tcPr>
            <w:tcW w:w="1474" w:type="dxa"/>
            <w:tcBorders>
              <w:top w:val="nil"/>
              <w:left w:val="nil"/>
              <w:bottom w:val="nil"/>
              <w:right w:val="nil"/>
            </w:tcBorders>
            <w:shd w:val="clear" w:color="auto" w:fill="auto"/>
            <w:noWrap/>
            <w:vAlign w:val="center"/>
            <w:hideMark/>
          </w:tcPr>
          <w:p w14:paraId="0D57E1C4"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18.348</w:t>
            </w:r>
          </w:p>
        </w:tc>
      </w:tr>
      <w:tr w:rsidR="00585463" w:rsidRPr="00585463" w14:paraId="71637DBD" w14:textId="77777777" w:rsidTr="00585463">
        <w:trPr>
          <w:trHeight w:val="241"/>
        </w:trPr>
        <w:tc>
          <w:tcPr>
            <w:tcW w:w="4335" w:type="dxa"/>
            <w:gridSpan w:val="2"/>
            <w:tcBorders>
              <w:top w:val="nil"/>
              <w:left w:val="nil"/>
              <w:bottom w:val="nil"/>
              <w:right w:val="nil"/>
            </w:tcBorders>
            <w:shd w:val="clear" w:color="auto" w:fill="auto"/>
            <w:noWrap/>
            <w:vAlign w:val="center"/>
            <w:hideMark/>
          </w:tcPr>
          <w:p w14:paraId="73B666AE"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Over-identification test</w:t>
            </w:r>
          </w:p>
        </w:tc>
        <w:tc>
          <w:tcPr>
            <w:tcW w:w="1387" w:type="dxa"/>
            <w:tcBorders>
              <w:top w:val="nil"/>
              <w:left w:val="nil"/>
              <w:bottom w:val="nil"/>
              <w:right w:val="nil"/>
            </w:tcBorders>
            <w:shd w:val="clear" w:color="auto" w:fill="auto"/>
            <w:noWrap/>
            <w:vAlign w:val="center"/>
            <w:hideMark/>
          </w:tcPr>
          <w:p w14:paraId="378E1606" w14:textId="77777777" w:rsidR="00585463" w:rsidRPr="00585463" w:rsidRDefault="00585463" w:rsidP="00585463">
            <w:pPr>
              <w:spacing w:after="0" w:line="240" w:lineRule="auto"/>
              <w:rPr>
                <w:rFonts w:ascii="Calibri" w:eastAsia="Times New Roman" w:hAnsi="Calibri" w:cs="Calibri"/>
                <w:color w:val="000000"/>
                <w:sz w:val="22"/>
              </w:rPr>
            </w:pPr>
          </w:p>
        </w:tc>
        <w:tc>
          <w:tcPr>
            <w:tcW w:w="1821" w:type="dxa"/>
            <w:tcBorders>
              <w:top w:val="nil"/>
              <w:left w:val="nil"/>
              <w:bottom w:val="nil"/>
              <w:right w:val="nil"/>
            </w:tcBorders>
            <w:shd w:val="clear" w:color="auto" w:fill="auto"/>
            <w:noWrap/>
            <w:vAlign w:val="center"/>
            <w:hideMark/>
          </w:tcPr>
          <w:p w14:paraId="60EFC4E9" w14:textId="77777777" w:rsidR="00585463" w:rsidRPr="00585463" w:rsidRDefault="00585463" w:rsidP="00585463">
            <w:pPr>
              <w:spacing w:after="0" w:line="240" w:lineRule="auto"/>
              <w:jc w:val="center"/>
              <w:rPr>
                <w:rFonts w:eastAsia="Times New Roman" w:cs="Times New Roman"/>
                <w:sz w:val="20"/>
                <w:szCs w:val="20"/>
              </w:rPr>
            </w:pPr>
          </w:p>
        </w:tc>
        <w:tc>
          <w:tcPr>
            <w:tcW w:w="1474" w:type="dxa"/>
            <w:tcBorders>
              <w:top w:val="nil"/>
              <w:left w:val="nil"/>
              <w:bottom w:val="nil"/>
              <w:right w:val="nil"/>
            </w:tcBorders>
            <w:shd w:val="clear" w:color="auto" w:fill="auto"/>
            <w:noWrap/>
            <w:vAlign w:val="center"/>
            <w:hideMark/>
          </w:tcPr>
          <w:p w14:paraId="69620B97" w14:textId="77777777" w:rsidR="00585463" w:rsidRPr="00585463" w:rsidRDefault="00585463" w:rsidP="00585463">
            <w:pPr>
              <w:spacing w:after="0" w:line="240" w:lineRule="auto"/>
              <w:jc w:val="center"/>
              <w:rPr>
                <w:rFonts w:eastAsia="Times New Roman" w:cs="Times New Roman"/>
                <w:sz w:val="20"/>
                <w:szCs w:val="20"/>
              </w:rPr>
            </w:pPr>
          </w:p>
        </w:tc>
      </w:tr>
      <w:tr w:rsidR="00585463" w:rsidRPr="00585463" w14:paraId="194512F9" w14:textId="77777777" w:rsidTr="00585463">
        <w:trPr>
          <w:trHeight w:val="241"/>
        </w:trPr>
        <w:tc>
          <w:tcPr>
            <w:tcW w:w="2948" w:type="dxa"/>
            <w:tcBorders>
              <w:top w:val="nil"/>
              <w:left w:val="nil"/>
              <w:bottom w:val="nil"/>
              <w:right w:val="nil"/>
            </w:tcBorders>
            <w:shd w:val="clear" w:color="auto" w:fill="auto"/>
            <w:noWrap/>
            <w:vAlign w:val="center"/>
            <w:hideMark/>
          </w:tcPr>
          <w:p w14:paraId="10DBAC5B"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 xml:space="preserve">      Hansen J Statistic</w:t>
            </w:r>
          </w:p>
        </w:tc>
        <w:tc>
          <w:tcPr>
            <w:tcW w:w="1387" w:type="dxa"/>
            <w:tcBorders>
              <w:top w:val="nil"/>
              <w:left w:val="nil"/>
              <w:bottom w:val="nil"/>
              <w:right w:val="nil"/>
            </w:tcBorders>
            <w:shd w:val="clear" w:color="auto" w:fill="auto"/>
            <w:noWrap/>
            <w:vAlign w:val="center"/>
            <w:hideMark/>
          </w:tcPr>
          <w:p w14:paraId="566FD9BA"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0.094</w:t>
            </w:r>
          </w:p>
        </w:tc>
        <w:tc>
          <w:tcPr>
            <w:tcW w:w="1387" w:type="dxa"/>
            <w:tcBorders>
              <w:top w:val="nil"/>
              <w:left w:val="nil"/>
              <w:bottom w:val="nil"/>
              <w:right w:val="nil"/>
            </w:tcBorders>
            <w:shd w:val="clear" w:color="auto" w:fill="auto"/>
            <w:noWrap/>
            <w:vAlign w:val="center"/>
            <w:hideMark/>
          </w:tcPr>
          <w:p w14:paraId="1C009707"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2.583</w:t>
            </w:r>
          </w:p>
        </w:tc>
        <w:tc>
          <w:tcPr>
            <w:tcW w:w="1821" w:type="dxa"/>
            <w:tcBorders>
              <w:top w:val="nil"/>
              <w:left w:val="nil"/>
              <w:bottom w:val="nil"/>
              <w:right w:val="nil"/>
            </w:tcBorders>
            <w:shd w:val="clear" w:color="auto" w:fill="auto"/>
            <w:noWrap/>
            <w:vAlign w:val="center"/>
            <w:hideMark/>
          </w:tcPr>
          <w:p w14:paraId="5DAEB4F1"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2.498</w:t>
            </w:r>
          </w:p>
        </w:tc>
        <w:tc>
          <w:tcPr>
            <w:tcW w:w="1474" w:type="dxa"/>
            <w:tcBorders>
              <w:top w:val="nil"/>
              <w:left w:val="nil"/>
              <w:bottom w:val="nil"/>
              <w:right w:val="nil"/>
            </w:tcBorders>
            <w:shd w:val="clear" w:color="auto" w:fill="auto"/>
            <w:noWrap/>
            <w:vAlign w:val="center"/>
            <w:hideMark/>
          </w:tcPr>
          <w:p w14:paraId="126073BF"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0.483</w:t>
            </w:r>
          </w:p>
        </w:tc>
      </w:tr>
      <w:tr w:rsidR="00585463" w:rsidRPr="00585463" w14:paraId="18F2109F" w14:textId="77777777" w:rsidTr="00585463">
        <w:trPr>
          <w:trHeight w:val="251"/>
        </w:trPr>
        <w:tc>
          <w:tcPr>
            <w:tcW w:w="2948" w:type="dxa"/>
            <w:tcBorders>
              <w:top w:val="nil"/>
              <w:left w:val="nil"/>
              <w:bottom w:val="double" w:sz="6" w:space="0" w:color="auto"/>
              <w:right w:val="nil"/>
            </w:tcBorders>
            <w:shd w:val="clear" w:color="auto" w:fill="auto"/>
            <w:noWrap/>
            <w:vAlign w:val="center"/>
            <w:hideMark/>
          </w:tcPr>
          <w:p w14:paraId="09F590DC"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 xml:space="preserve">      P-values for J test </w:t>
            </w:r>
          </w:p>
        </w:tc>
        <w:tc>
          <w:tcPr>
            <w:tcW w:w="1387" w:type="dxa"/>
            <w:tcBorders>
              <w:top w:val="nil"/>
              <w:left w:val="nil"/>
              <w:bottom w:val="double" w:sz="6" w:space="0" w:color="auto"/>
              <w:right w:val="nil"/>
            </w:tcBorders>
            <w:shd w:val="clear" w:color="auto" w:fill="auto"/>
            <w:noWrap/>
            <w:vAlign w:val="center"/>
            <w:hideMark/>
          </w:tcPr>
          <w:p w14:paraId="2CC2F674"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0.759</w:t>
            </w:r>
          </w:p>
        </w:tc>
        <w:tc>
          <w:tcPr>
            <w:tcW w:w="1387" w:type="dxa"/>
            <w:tcBorders>
              <w:top w:val="nil"/>
              <w:left w:val="nil"/>
              <w:bottom w:val="double" w:sz="6" w:space="0" w:color="auto"/>
              <w:right w:val="nil"/>
            </w:tcBorders>
            <w:shd w:val="clear" w:color="auto" w:fill="auto"/>
            <w:noWrap/>
            <w:vAlign w:val="center"/>
            <w:hideMark/>
          </w:tcPr>
          <w:p w14:paraId="4E759243"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0.108</w:t>
            </w:r>
          </w:p>
        </w:tc>
        <w:tc>
          <w:tcPr>
            <w:tcW w:w="1821" w:type="dxa"/>
            <w:tcBorders>
              <w:top w:val="nil"/>
              <w:left w:val="nil"/>
              <w:bottom w:val="double" w:sz="6" w:space="0" w:color="auto"/>
              <w:right w:val="nil"/>
            </w:tcBorders>
            <w:shd w:val="clear" w:color="auto" w:fill="auto"/>
            <w:noWrap/>
            <w:vAlign w:val="center"/>
            <w:hideMark/>
          </w:tcPr>
          <w:p w14:paraId="0F78F12E"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0.114</w:t>
            </w:r>
          </w:p>
        </w:tc>
        <w:tc>
          <w:tcPr>
            <w:tcW w:w="1474" w:type="dxa"/>
            <w:tcBorders>
              <w:top w:val="nil"/>
              <w:left w:val="nil"/>
              <w:bottom w:val="double" w:sz="6" w:space="0" w:color="auto"/>
              <w:right w:val="nil"/>
            </w:tcBorders>
            <w:shd w:val="clear" w:color="auto" w:fill="auto"/>
            <w:noWrap/>
            <w:vAlign w:val="center"/>
            <w:hideMark/>
          </w:tcPr>
          <w:p w14:paraId="2DC92736"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0.487</w:t>
            </w:r>
          </w:p>
        </w:tc>
      </w:tr>
    </w:tbl>
    <w:p w14:paraId="4A859E44" w14:textId="1FE7E96F" w:rsidR="008B70F4" w:rsidRDefault="008B70F4" w:rsidP="008B70F4">
      <w:r w:rsidRPr="00F005DC">
        <w:rPr>
          <w:i/>
          <w:iCs/>
        </w:rPr>
        <w:t>Notes</w:t>
      </w:r>
      <w:r>
        <w:t xml:space="preserve">: All columns control for all demographic characteristics and all fixed effects. </w:t>
      </w:r>
    </w:p>
    <w:p w14:paraId="03156E99" w14:textId="77777777" w:rsidR="008B70F4" w:rsidRDefault="008B70F4" w:rsidP="008B70F4">
      <w:pPr>
        <w:rPr>
          <w:rFonts w:cs="Times New Roman"/>
          <w:szCs w:val="24"/>
          <w:lang w:val="en-US"/>
        </w:rPr>
      </w:pPr>
      <w:r>
        <w:t xml:space="preserve">***p&lt;0.01, **p&lt;0.05. *p&lt;0.1. </w:t>
      </w:r>
    </w:p>
    <w:p w14:paraId="114EC7DC" w14:textId="77777777" w:rsidR="008B70F4" w:rsidRDefault="008B70F4" w:rsidP="001E3C13">
      <w:pPr>
        <w:spacing w:line="360" w:lineRule="auto"/>
        <w:ind w:firstLine="567"/>
        <w:rPr>
          <w:lang w:val="en-US"/>
        </w:rPr>
      </w:pPr>
    </w:p>
    <w:p w14:paraId="708C49B5" w14:textId="77777777" w:rsidR="009A6571" w:rsidRDefault="009A6571" w:rsidP="004A6FA2">
      <w:pPr>
        <w:spacing w:line="360" w:lineRule="auto"/>
        <w:ind w:firstLine="567"/>
        <w:jc w:val="both"/>
      </w:pPr>
      <w:r>
        <w:t>Table 15 reports that the robustness results of self-report health and BMI-related variables excluding the sample of high household income per capita. Comparing with Table 7, column (1) indicates that an additional year of education has 0.7 percentage points increase in self-reported health, which is about 0.1 percentage points lower than the coefficient. The second-stage results show that education has a slightly significant causal effect on self-reported health, where it has less 1.6 percentage points causal impact than the previous results.</w:t>
      </w:r>
    </w:p>
    <w:p w14:paraId="54E4C9A7" w14:textId="4FD171B8" w:rsidR="00585463" w:rsidRDefault="009A6571" w:rsidP="004A6FA2">
      <w:pPr>
        <w:spacing w:line="360" w:lineRule="auto"/>
        <w:ind w:firstLine="567"/>
        <w:jc w:val="both"/>
      </w:pPr>
      <w:r>
        <w:t>The rest of the three columns are related to BMI. Comparing the estimations in Table 8, 9, and 10, panel A reveals that the OLS relationship between education and all BMI-related variables become less significant. Panel B demonstrates that education has no significant evidence just as previous results.</w:t>
      </w:r>
    </w:p>
    <w:p w14:paraId="310484B3" w14:textId="77777777" w:rsidR="009A6571" w:rsidRDefault="009A6571" w:rsidP="009A6571">
      <w:pPr>
        <w:spacing w:line="360" w:lineRule="auto"/>
        <w:ind w:firstLine="567"/>
        <w:rPr>
          <w:rFonts w:asciiTheme="majorHAnsi" w:eastAsiaTheme="majorEastAsia" w:hAnsiTheme="majorHAnsi" w:cstheme="majorBidi"/>
          <w:color w:val="1F3763" w:themeColor="accent1" w:themeShade="7F"/>
          <w:szCs w:val="24"/>
        </w:rPr>
      </w:pPr>
    </w:p>
    <w:p w14:paraId="28F3D529" w14:textId="77777777" w:rsidR="009A6571" w:rsidRDefault="009A6571" w:rsidP="0066721A">
      <w:pPr>
        <w:spacing w:line="360" w:lineRule="auto"/>
        <w:ind w:firstLine="567"/>
        <w:rPr>
          <w:rFonts w:asciiTheme="majorHAnsi" w:eastAsiaTheme="majorEastAsia" w:hAnsiTheme="majorHAnsi" w:cstheme="majorBidi"/>
          <w:color w:val="1F3763" w:themeColor="accent1" w:themeShade="7F"/>
          <w:szCs w:val="24"/>
        </w:rPr>
      </w:pPr>
    </w:p>
    <w:p w14:paraId="4DE84253" w14:textId="4946A605" w:rsidR="002973B5" w:rsidRDefault="002973B5" w:rsidP="008F7B1E">
      <w:r>
        <w:lastRenderedPageBreak/>
        <w:t>Table 1</w:t>
      </w:r>
      <w:r w:rsidR="00283BCE">
        <w:t>6</w:t>
      </w:r>
      <w:r>
        <w:t xml:space="preserve">. Robustness results of </w:t>
      </w:r>
      <w:r w:rsidRPr="00B24D8D">
        <w:t>trimmed Income</w:t>
      </w:r>
      <w:r>
        <w:t xml:space="preserve"> in smoking and physical activity</w:t>
      </w:r>
    </w:p>
    <w:tbl>
      <w:tblPr>
        <w:tblW w:w="9238" w:type="dxa"/>
        <w:tblLook w:val="04A0" w:firstRow="1" w:lastRow="0" w:firstColumn="1" w:lastColumn="0" w:noHBand="0" w:noVBand="1"/>
      </w:tblPr>
      <w:tblGrid>
        <w:gridCol w:w="3170"/>
        <w:gridCol w:w="1993"/>
        <w:gridCol w:w="2287"/>
        <w:gridCol w:w="1788"/>
      </w:tblGrid>
      <w:tr w:rsidR="00585463" w:rsidRPr="00585463" w14:paraId="4586E170" w14:textId="77777777" w:rsidTr="00585463">
        <w:trPr>
          <w:trHeight w:val="227"/>
        </w:trPr>
        <w:tc>
          <w:tcPr>
            <w:tcW w:w="3170" w:type="dxa"/>
            <w:tcBorders>
              <w:top w:val="single" w:sz="4" w:space="0" w:color="auto"/>
              <w:left w:val="nil"/>
              <w:bottom w:val="nil"/>
              <w:right w:val="nil"/>
            </w:tcBorders>
            <w:shd w:val="clear" w:color="auto" w:fill="auto"/>
            <w:noWrap/>
            <w:vAlign w:val="bottom"/>
            <w:hideMark/>
          </w:tcPr>
          <w:p w14:paraId="471EC878"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 </w:t>
            </w:r>
          </w:p>
        </w:tc>
        <w:tc>
          <w:tcPr>
            <w:tcW w:w="1993" w:type="dxa"/>
            <w:tcBorders>
              <w:top w:val="single" w:sz="4" w:space="0" w:color="auto"/>
              <w:left w:val="nil"/>
              <w:bottom w:val="nil"/>
              <w:right w:val="nil"/>
            </w:tcBorders>
            <w:shd w:val="clear" w:color="auto" w:fill="auto"/>
            <w:noWrap/>
            <w:vAlign w:val="center"/>
            <w:hideMark/>
          </w:tcPr>
          <w:p w14:paraId="02FD84B4"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(1)</w:t>
            </w:r>
          </w:p>
        </w:tc>
        <w:tc>
          <w:tcPr>
            <w:tcW w:w="2287" w:type="dxa"/>
            <w:tcBorders>
              <w:top w:val="single" w:sz="4" w:space="0" w:color="auto"/>
              <w:left w:val="nil"/>
              <w:bottom w:val="nil"/>
              <w:right w:val="nil"/>
            </w:tcBorders>
            <w:shd w:val="clear" w:color="auto" w:fill="auto"/>
            <w:noWrap/>
            <w:vAlign w:val="center"/>
            <w:hideMark/>
          </w:tcPr>
          <w:p w14:paraId="52D8B073"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(2)</w:t>
            </w:r>
          </w:p>
        </w:tc>
        <w:tc>
          <w:tcPr>
            <w:tcW w:w="1788" w:type="dxa"/>
            <w:tcBorders>
              <w:top w:val="single" w:sz="4" w:space="0" w:color="auto"/>
              <w:left w:val="nil"/>
              <w:bottom w:val="nil"/>
              <w:right w:val="nil"/>
            </w:tcBorders>
            <w:shd w:val="clear" w:color="auto" w:fill="auto"/>
            <w:noWrap/>
            <w:vAlign w:val="center"/>
            <w:hideMark/>
          </w:tcPr>
          <w:p w14:paraId="5DF61B6C"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(3)</w:t>
            </w:r>
          </w:p>
        </w:tc>
      </w:tr>
      <w:tr w:rsidR="00585463" w:rsidRPr="00585463" w14:paraId="4BB89DE6" w14:textId="77777777" w:rsidTr="00585463">
        <w:trPr>
          <w:trHeight w:val="465"/>
        </w:trPr>
        <w:tc>
          <w:tcPr>
            <w:tcW w:w="3170" w:type="dxa"/>
            <w:tcBorders>
              <w:top w:val="nil"/>
              <w:left w:val="nil"/>
              <w:bottom w:val="nil"/>
              <w:right w:val="nil"/>
            </w:tcBorders>
            <w:shd w:val="clear" w:color="auto" w:fill="auto"/>
            <w:noWrap/>
            <w:vAlign w:val="center"/>
            <w:hideMark/>
          </w:tcPr>
          <w:p w14:paraId="62837268"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Variables</w:t>
            </w:r>
          </w:p>
        </w:tc>
        <w:tc>
          <w:tcPr>
            <w:tcW w:w="1993" w:type="dxa"/>
            <w:tcBorders>
              <w:top w:val="nil"/>
              <w:left w:val="nil"/>
              <w:bottom w:val="single" w:sz="4" w:space="0" w:color="auto"/>
              <w:right w:val="nil"/>
            </w:tcBorders>
            <w:shd w:val="clear" w:color="auto" w:fill="auto"/>
            <w:noWrap/>
            <w:vAlign w:val="center"/>
            <w:hideMark/>
          </w:tcPr>
          <w:p w14:paraId="67C8EF1F"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Smoking</w:t>
            </w:r>
          </w:p>
        </w:tc>
        <w:tc>
          <w:tcPr>
            <w:tcW w:w="2287" w:type="dxa"/>
            <w:tcBorders>
              <w:top w:val="nil"/>
              <w:left w:val="nil"/>
              <w:bottom w:val="single" w:sz="4" w:space="0" w:color="auto"/>
              <w:right w:val="nil"/>
            </w:tcBorders>
            <w:shd w:val="clear" w:color="auto" w:fill="auto"/>
            <w:vAlign w:val="center"/>
            <w:hideMark/>
          </w:tcPr>
          <w:p w14:paraId="228A7552"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Number of cigarettes</w:t>
            </w:r>
          </w:p>
        </w:tc>
        <w:tc>
          <w:tcPr>
            <w:tcW w:w="1788" w:type="dxa"/>
            <w:tcBorders>
              <w:top w:val="nil"/>
              <w:left w:val="nil"/>
              <w:bottom w:val="single" w:sz="4" w:space="0" w:color="auto"/>
              <w:right w:val="nil"/>
            </w:tcBorders>
            <w:shd w:val="clear" w:color="auto" w:fill="auto"/>
            <w:vAlign w:val="center"/>
            <w:hideMark/>
          </w:tcPr>
          <w:p w14:paraId="34C38456"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Physical activity</w:t>
            </w:r>
          </w:p>
        </w:tc>
      </w:tr>
      <w:tr w:rsidR="00585463" w:rsidRPr="00585463" w14:paraId="45A4F561" w14:textId="77777777" w:rsidTr="00585463">
        <w:trPr>
          <w:trHeight w:val="227"/>
        </w:trPr>
        <w:tc>
          <w:tcPr>
            <w:tcW w:w="5163" w:type="dxa"/>
            <w:gridSpan w:val="2"/>
            <w:tcBorders>
              <w:top w:val="single" w:sz="4" w:space="0" w:color="auto"/>
              <w:left w:val="nil"/>
              <w:bottom w:val="nil"/>
              <w:right w:val="nil"/>
            </w:tcBorders>
            <w:shd w:val="clear" w:color="auto" w:fill="auto"/>
            <w:noWrap/>
            <w:vAlign w:val="center"/>
            <w:hideMark/>
          </w:tcPr>
          <w:p w14:paraId="048E656A" w14:textId="77777777" w:rsidR="00585463" w:rsidRPr="00585463" w:rsidRDefault="00585463" w:rsidP="00585463">
            <w:pPr>
              <w:spacing w:after="0" w:line="240" w:lineRule="auto"/>
              <w:rPr>
                <w:rFonts w:ascii="Calibri" w:eastAsia="Times New Roman" w:hAnsi="Calibri" w:cs="Calibri"/>
                <w:b/>
                <w:bCs/>
                <w:color w:val="000000"/>
                <w:sz w:val="22"/>
              </w:rPr>
            </w:pPr>
            <w:r w:rsidRPr="00585463">
              <w:rPr>
                <w:rFonts w:ascii="Calibri" w:eastAsia="Times New Roman" w:hAnsi="Calibri" w:cs="Calibri"/>
                <w:b/>
                <w:bCs/>
                <w:color w:val="000000"/>
                <w:sz w:val="22"/>
              </w:rPr>
              <w:t>Panel A. OLS Estimation</w:t>
            </w:r>
          </w:p>
        </w:tc>
        <w:tc>
          <w:tcPr>
            <w:tcW w:w="2287" w:type="dxa"/>
            <w:tcBorders>
              <w:top w:val="nil"/>
              <w:left w:val="nil"/>
              <w:bottom w:val="nil"/>
              <w:right w:val="nil"/>
            </w:tcBorders>
            <w:shd w:val="clear" w:color="auto" w:fill="auto"/>
            <w:noWrap/>
            <w:vAlign w:val="center"/>
            <w:hideMark/>
          </w:tcPr>
          <w:p w14:paraId="65D5335A" w14:textId="77777777" w:rsidR="00585463" w:rsidRPr="00585463" w:rsidRDefault="00585463" w:rsidP="00585463">
            <w:pPr>
              <w:spacing w:after="0" w:line="240" w:lineRule="auto"/>
              <w:rPr>
                <w:rFonts w:ascii="Calibri" w:eastAsia="Times New Roman" w:hAnsi="Calibri" w:cs="Calibri"/>
                <w:b/>
                <w:bCs/>
                <w:color w:val="000000"/>
                <w:sz w:val="22"/>
              </w:rPr>
            </w:pPr>
          </w:p>
        </w:tc>
        <w:tc>
          <w:tcPr>
            <w:tcW w:w="1788" w:type="dxa"/>
            <w:tcBorders>
              <w:top w:val="nil"/>
              <w:left w:val="nil"/>
              <w:bottom w:val="nil"/>
              <w:right w:val="nil"/>
            </w:tcBorders>
            <w:shd w:val="clear" w:color="auto" w:fill="auto"/>
            <w:noWrap/>
            <w:vAlign w:val="center"/>
            <w:hideMark/>
          </w:tcPr>
          <w:p w14:paraId="3F1FE51A" w14:textId="77777777" w:rsidR="00585463" w:rsidRPr="00585463" w:rsidRDefault="00585463" w:rsidP="00585463">
            <w:pPr>
              <w:spacing w:after="0" w:line="240" w:lineRule="auto"/>
              <w:rPr>
                <w:rFonts w:eastAsia="Times New Roman" w:cs="Times New Roman"/>
                <w:sz w:val="20"/>
                <w:szCs w:val="20"/>
              </w:rPr>
            </w:pPr>
          </w:p>
        </w:tc>
      </w:tr>
      <w:tr w:rsidR="00585463" w:rsidRPr="00585463" w14:paraId="0D4BCA3A" w14:textId="77777777" w:rsidTr="00585463">
        <w:trPr>
          <w:trHeight w:val="227"/>
        </w:trPr>
        <w:tc>
          <w:tcPr>
            <w:tcW w:w="3170" w:type="dxa"/>
            <w:tcBorders>
              <w:top w:val="nil"/>
              <w:left w:val="nil"/>
              <w:bottom w:val="nil"/>
              <w:right w:val="nil"/>
            </w:tcBorders>
            <w:shd w:val="clear" w:color="auto" w:fill="auto"/>
            <w:noWrap/>
            <w:vAlign w:val="center"/>
            <w:hideMark/>
          </w:tcPr>
          <w:p w14:paraId="64666965"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Years of education</w:t>
            </w:r>
          </w:p>
        </w:tc>
        <w:tc>
          <w:tcPr>
            <w:tcW w:w="1993" w:type="dxa"/>
            <w:tcBorders>
              <w:top w:val="nil"/>
              <w:left w:val="nil"/>
              <w:bottom w:val="nil"/>
              <w:right w:val="nil"/>
            </w:tcBorders>
            <w:shd w:val="clear" w:color="auto" w:fill="auto"/>
            <w:noWrap/>
            <w:vAlign w:val="center"/>
            <w:hideMark/>
          </w:tcPr>
          <w:p w14:paraId="47E63BC1"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-0.00470***</w:t>
            </w:r>
          </w:p>
        </w:tc>
        <w:tc>
          <w:tcPr>
            <w:tcW w:w="2287" w:type="dxa"/>
            <w:tcBorders>
              <w:top w:val="nil"/>
              <w:left w:val="nil"/>
              <w:bottom w:val="nil"/>
              <w:right w:val="nil"/>
            </w:tcBorders>
            <w:shd w:val="clear" w:color="auto" w:fill="auto"/>
            <w:noWrap/>
            <w:vAlign w:val="center"/>
            <w:hideMark/>
          </w:tcPr>
          <w:p w14:paraId="668F42D0"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-0.105***</w:t>
            </w:r>
          </w:p>
        </w:tc>
        <w:tc>
          <w:tcPr>
            <w:tcW w:w="1788" w:type="dxa"/>
            <w:tcBorders>
              <w:top w:val="nil"/>
              <w:left w:val="nil"/>
              <w:bottom w:val="nil"/>
              <w:right w:val="nil"/>
            </w:tcBorders>
            <w:shd w:val="clear" w:color="auto" w:fill="auto"/>
            <w:noWrap/>
            <w:vAlign w:val="center"/>
            <w:hideMark/>
          </w:tcPr>
          <w:p w14:paraId="21030E64"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0.0164*** </w:t>
            </w:r>
          </w:p>
        </w:tc>
      </w:tr>
      <w:tr w:rsidR="00585463" w:rsidRPr="00585463" w14:paraId="415AC832" w14:textId="77777777" w:rsidTr="00585463">
        <w:trPr>
          <w:trHeight w:val="227"/>
        </w:trPr>
        <w:tc>
          <w:tcPr>
            <w:tcW w:w="3170" w:type="dxa"/>
            <w:tcBorders>
              <w:top w:val="nil"/>
              <w:left w:val="nil"/>
              <w:bottom w:val="nil"/>
              <w:right w:val="nil"/>
            </w:tcBorders>
            <w:shd w:val="clear" w:color="auto" w:fill="auto"/>
            <w:noWrap/>
            <w:vAlign w:val="center"/>
            <w:hideMark/>
          </w:tcPr>
          <w:p w14:paraId="2F99D9E1" w14:textId="77777777" w:rsidR="00585463" w:rsidRPr="00585463" w:rsidRDefault="00585463" w:rsidP="00585463">
            <w:pPr>
              <w:spacing w:after="0" w:line="240" w:lineRule="auto"/>
              <w:jc w:val="center"/>
              <w:rPr>
                <w:rFonts w:ascii="Calibri" w:eastAsia="Times New Roman" w:hAnsi="Calibri" w:cs="Calibri"/>
                <w:color w:val="000000"/>
                <w:sz w:val="22"/>
              </w:rPr>
            </w:pPr>
          </w:p>
        </w:tc>
        <w:tc>
          <w:tcPr>
            <w:tcW w:w="1993" w:type="dxa"/>
            <w:tcBorders>
              <w:top w:val="nil"/>
              <w:left w:val="nil"/>
              <w:bottom w:val="nil"/>
              <w:right w:val="nil"/>
            </w:tcBorders>
            <w:shd w:val="clear" w:color="auto" w:fill="auto"/>
            <w:noWrap/>
            <w:vAlign w:val="center"/>
            <w:hideMark/>
          </w:tcPr>
          <w:p w14:paraId="3C48592A"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(0.00113)</w:t>
            </w:r>
          </w:p>
        </w:tc>
        <w:tc>
          <w:tcPr>
            <w:tcW w:w="2287" w:type="dxa"/>
            <w:tcBorders>
              <w:top w:val="nil"/>
              <w:left w:val="nil"/>
              <w:bottom w:val="nil"/>
              <w:right w:val="nil"/>
            </w:tcBorders>
            <w:shd w:val="clear" w:color="auto" w:fill="auto"/>
            <w:noWrap/>
            <w:vAlign w:val="center"/>
            <w:hideMark/>
          </w:tcPr>
          <w:p w14:paraId="3E918496"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(0.0237)</w:t>
            </w:r>
          </w:p>
        </w:tc>
        <w:tc>
          <w:tcPr>
            <w:tcW w:w="1788" w:type="dxa"/>
            <w:tcBorders>
              <w:top w:val="nil"/>
              <w:left w:val="nil"/>
              <w:bottom w:val="nil"/>
              <w:right w:val="nil"/>
            </w:tcBorders>
            <w:shd w:val="clear" w:color="auto" w:fill="auto"/>
            <w:noWrap/>
            <w:vAlign w:val="center"/>
            <w:hideMark/>
          </w:tcPr>
          <w:p w14:paraId="6F9850A5"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 (0.00124) </w:t>
            </w:r>
          </w:p>
        </w:tc>
      </w:tr>
      <w:tr w:rsidR="00585463" w:rsidRPr="00585463" w14:paraId="01405137" w14:textId="77777777" w:rsidTr="00585463">
        <w:trPr>
          <w:trHeight w:val="227"/>
        </w:trPr>
        <w:tc>
          <w:tcPr>
            <w:tcW w:w="3170" w:type="dxa"/>
            <w:tcBorders>
              <w:top w:val="nil"/>
              <w:left w:val="nil"/>
              <w:bottom w:val="nil"/>
              <w:right w:val="nil"/>
            </w:tcBorders>
            <w:shd w:val="clear" w:color="auto" w:fill="auto"/>
            <w:noWrap/>
            <w:vAlign w:val="center"/>
            <w:hideMark/>
          </w:tcPr>
          <w:p w14:paraId="52BF028D" w14:textId="77777777" w:rsidR="00585463" w:rsidRPr="00585463" w:rsidRDefault="00585463" w:rsidP="00585463">
            <w:pPr>
              <w:spacing w:after="0" w:line="240" w:lineRule="auto"/>
              <w:jc w:val="center"/>
              <w:rPr>
                <w:rFonts w:ascii="Calibri" w:eastAsia="Times New Roman" w:hAnsi="Calibri" w:cs="Calibri"/>
                <w:color w:val="000000"/>
                <w:sz w:val="22"/>
              </w:rPr>
            </w:pPr>
          </w:p>
        </w:tc>
        <w:tc>
          <w:tcPr>
            <w:tcW w:w="1993" w:type="dxa"/>
            <w:tcBorders>
              <w:top w:val="nil"/>
              <w:left w:val="nil"/>
              <w:bottom w:val="nil"/>
              <w:right w:val="nil"/>
            </w:tcBorders>
            <w:shd w:val="clear" w:color="auto" w:fill="auto"/>
            <w:noWrap/>
            <w:vAlign w:val="center"/>
            <w:hideMark/>
          </w:tcPr>
          <w:p w14:paraId="04D1B3A4" w14:textId="77777777" w:rsidR="00585463" w:rsidRPr="00585463" w:rsidRDefault="00585463" w:rsidP="00585463">
            <w:pPr>
              <w:spacing w:after="0" w:line="240" w:lineRule="auto"/>
              <w:rPr>
                <w:rFonts w:eastAsia="Times New Roman" w:cs="Times New Roman"/>
                <w:sz w:val="20"/>
                <w:szCs w:val="20"/>
              </w:rPr>
            </w:pPr>
          </w:p>
        </w:tc>
        <w:tc>
          <w:tcPr>
            <w:tcW w:w="2287" w:type="dxa"/>
            <w:tcBorders>
              <w:top w:val="nil"/>
              <w:left w:val="nil"/>
              <w:bottom w:val="nil"/>
              <w:right w:val="nil"/>
            </w:tcBorders>
            <w:shd w:val="clear" w:color="auto" w:fill="auto"/>
            <w:noWrap/>
            <w:vAlign w:val="center"/>
            <w:hideMark/>
          </w:tcPr>
          <w:p w14:paraId="7BE55AF0" w14:textId="77777777" w:rsidR="00585463" w:rsidRPr="00585463" w:rsidRDefault="00585463" w:rsidP="00585463">
            <w:pPr>
              <w:spacing w:after="0" w:line="240" w:lineRule="auto"/>
              <w:jc w:val="center"/>
              <w:rPr>
                <w:rFonts w:eastAsia="Times New Roman" w:cs="Times New Roman"/>
                <w:sz w:val="20"/>
                <w:szCs w:val="20"/>
              </w:rPr>
            </w:pPr>
          </w:p>
        </w:tc>
        <w:tc>
          <w:tcPr>
            <w:tcW w:w="1788" w:type="dxa"/>
            <w:tcBorders>
              <w:top w:val="nil"/>
              <w:left w:val="nil"/>
              <w:bottom w:val="nil"/>
              <w:right w:val="nil"/>
            </w:tcBorders>
            <w:shd w:val="clear" w:color="auto" w:fill="auto"/>
            <w:noWrap/>
            <w:vAlign w:val="center"/>
            <w:hideMark/>
          </w:tcPr>
          <w:p w14:paraId="28DEAA84" w14:textId="77777777" w:rsidR="00585463" w:rsidRPr="00585463" w:rsidRDefault="00585463" w:rsidP="00585463">
            <w:pPr>
              <w:spacing w:after="0" w:line="240" w:lineRule="auto"/>
              <w:jc w:val="center"/>
              <w:rPr>
                <w:rFonts w:eastAsia="Times New Roman" w:cs="Times New Roman"/>
                <w:sz w:val="20"/>
                <w:szCs w:val="20"/>
              </w:rPr>
            </w:pPr>
          </w:p>
        </w:tc>
      </w:tr>
      <w:tr w:rsidR="00585463" w:rsidRPr="00585463" w14:paraId="2A64894B" w14:textId="77777777" w:rsidTr="00585463">
        <w:trPr>
          <w:trHeight w:val="227"/>
        </w:trPr>
        <w:tc>
          <w:tcPr>
            <w:tcW w:w="3170" w:type="dxa"/>
            <w:tcBorders>
              <w:top w:val="nil"/>
              <w:left w:val="nil"/>
              <w:bottom w:val="nil"/>
              <w:right w:val="nil"/>
            </w:tcBorders>
            <w:shd w:val="clear" w:color="auto" w:fill="auto"/>
            <w:noWrap/>
            <w:vAlign w:val="center"/>
            <w:hideMark/>
          </w:tcPr>
          <w:p w14:paraId="1B78547E"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Adj. R-squared</w:t>
            </w:r>
          </w:p>
        </w:tc>
        <w:tc>
          <w:tcPr>
            <w:tcW w:w="1993" w:type="dxa"/>
            <w:tcBorders>
              <w:top w:val="nil"/>
              <w:left w:val="nil"/>
              <w:bottom w:val="nil"/>
              <w:right w:val="nil"/>
            </w:tcBorders>
            <w:shd w:val="clear" w:color="auto" w:fill="auto"/>
            <w:noWrap/>
            <w:vAlign w:val="center"/>
            <w:hideMark/>
          </w:tcPr>
          <w:p w14:paraId="724E3160"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0.404  </w:t>
            </w:r>
          </w:p>
        </w:tc>
        <w:tc>
          <w:tcPr>
            <w:tcW w:w="2287" w:type="dxa"/>
            <w:tcBorders>
              <w:top w:val="nil"/>
              <w:left w:val="nil"/>
              <w:bottom w:val="nil"/>
              <w:right w:val="nil"/>
            </w:tcBorders>
            <w:shd w:val="clear" w:color="auto" w:fill="auto"/>
            <w:noWrap/>
            <w:vAlign w:val="center"/>
            <w:hideMark/>
          </w:tcPr>
          <w:p w14:paraId="3CC91FC8"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0.314  </w:t>
            </w:r>
          </w:p>
        </w:tc>
        <w:tc>
          <w:tcPr>
            <w:tcW w:w="1788" w:type="dxa"/>
            <w:tcBorders>
              <w:top w:val="nil"/>
              <w:left w:val="nil"/>
              <w:bottom w:val="nil"/>
              <w:right w:val="nil"/>
            </w:tcBorders>
            <w:shd w:val="clear" w:color="auto" w:fill="auto"/>
            <w:noWrap/>
            <w:vAlign w:val="center"/>
            <w:hideMark/>
          </w:tcPr>
          <w:p w14:paraId="0AD50D1B"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0.146</w:t>
            </w:r>
          </w:p>
        </w:tc>
      </w:tr>
      <w:tr w:rsidR="00585463" w:rsidRPr="00585463" w14:paraId="0EFEDA10" w14:textId="77777777" w:rsidTr="00585463">
        <w:trPr>
          <w:trHeight w:val="227"/>
        </w:trPr>
        <w:tc>
          <w:tcPr>
            <w:tcW w:w="5163" w:type="dxa"/>
            <w:gridSpan w:val="2"/>
            <w:tcBorders>
              <w:top w:val="single" w:sz="4" w:space="0" w:color="auto"/>
              <w:left w:val="nil"/>
              <w:bottom w:val="nil"/>
              <w:right w:val="nil"/>
            </w:tcBorders>
            <w:shd w:val="clear" w:color="auto" w:fill="auto"/>
            <w:noWrap/>
            <w:vAlign w:val="center"/>
            <w:hideMark/>
          </w:tcPr>
          <w:p w14:paraId="6DF3DCD5" w14:textId="77777777" w:rsidR="00585463" w:rsidRPr="00585463" w:rsidRDefault="00585463" w:rsidP="00585463">
            <w:pPr>
              <w:spacing w:after="0" w:line="240" w:lineRule="auto"/>
              <w:rPr>
                <w:rFonts w:ascii="Calibri" w:eastAsia="Times New Roman" w:hAnsi="Calibri" w:cs="Calibri"/>
                <w:b/>
                <w:bCs/>
                <w:color w:val="000000"/>
                <w:sz w:val="22"/>
              </w:rPr>
            </w:pPr>
            <w:r w:rsidRPr="00585463">
              <w:rPr>
                <w:rFonts w:ascii="Calibri" w:eastAsia="Times New Roman" w:hAnsi="Calibri" w:cs="Calibri"/>
                <w:b/>
                <w:bCs/>
                <w:color w:val="000000"/>
                <w:sz w:val="22"/>
              </w:rPr>
              <w:t>Panel B. 2SLS Estimation</w:t>
            </w:r>
          </w:p>
        </w:tc>
        <w:tc>
          <w:tcPr>
            <w:tcW w:w="2287" w:type="dxa"/>
            <w:tcBorders>
              <w:top w:val="single" w:sz="4" w:space="0" w:color="auto"/>
              <w:left w:val="nil"/>
              <w:bottom w:val="nil"/>
              <w:right w:val="nil"/>
            </w:tcBorders>
            <w:shd w:val="clear" w:color="auto" w:fill="auto"/>
            <w:noWrap/>
            <w:vAlign w:val="center"/>
            <w:hideMark/>
          </w:tcPr>
          <w:p w14:paraId="3F6BC85F"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w:t>
            </w:r>
          </w:p>
        </w:tc>
        <w:tc>
          <w:tcPr>
            <w:tcW w:w="1788" w:type="dxa"/>
            <w:tcBorders>
              <w:top w:val="single" w:sz="4" w:space="0" w:color="auto"/>
              <w:left w:val="nil"/>
              <w:bottom w:val="nil"/>
              <w:right w:val="nil"/>
            </w:tcBorders>
            <w:shd w:val="clear" w:color="auto" w:fill="auto"/>
            <w:noWrap/>
            <w:vAlign w:val="center"/>
            <w:hideMark/>
          </w:tcPr>
          <w:p w14:paraId="24F2BB0E"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w:t>
            </w:r>
          </w:p>
        </w:tc>
      </w:tr>
      <w:tr w:rsidR="00585463" w:rsidRPr="00585463" w14:paraId="7761B83C" w14:textId="77777777" w:rsidTr="00585463">
        <w:trPr>
          <w:trHeight w:val="227"/>
        </w:trPr>
        <w:tc>
          <w:tcPr>
            <w:tcW w:w="3170" w:type="dxa"/>
            <w:tcBorders>
              <w:top w:val="nil"/>
              <w:left w:val="nil"/>
              <w:bottom w:val="nil"/>
              <w:right w:val="nil"/>
            </w:tcBorders>
            <w:shd w:val="clear" w:color="auto" w:fill="auto"/>
            <w:noWrap/>
            <w:vAlign w:val="center"/>
            <w:hideMark/>
          </w:tcPr>
          <w:p w14:paraId="62004059"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Years of education</w:t>
            </w:r>
          </w:p>
        </w:tc>
        <w:tc>
          <w:tcPr>
            <w:tcW w:w="1993" w:type="dxa"/>
            <w:tcBorders>
              <w:top w:val="nil"/>
              <w:left w:val="nil"/>
              <w:bottom w:val="nil"/>
              <w:right w:val="nil"/>
            </w:tcBorders>
            <w:shd w:val="clear" w:color="auto" w:fill="auto"/>
            <w:noWrap/>
            <w:vAlign w:val="center"/>
            <w:hideMark/>
          </w:tcPr>
          <w:p w14:paraId="3EB17A70"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-0.00787 </w:t>
            </w:r>
          </w:p>
        </w:tc>
        <w:tc>
          <w:tcPr>
            <w:tcW w:w="2287" w:type="dxa"/>
            <w:tcBorders>
              <w:top w:val="nil"/>
              <w:left w:val="nil"/>
              <w:bottom w:val="nil"/>
              <w:right w:val="nil"/>
            </w:tcBorders>
            <w:shd w:val="clear" w:color="auto" w:fill="auto"/>
            <w:noWrap/>
            <w:vAlign w:val="center"/>
            <w:hideMark/>
          </w:tcPr>
          <w:p w14:paraId="39B2E7F0"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-0.256 </w:t>
            </w:r>
          </w:p>
        </w:tc>
        <w:tc>
          <w:tcPr>
            <w:tcW w:w="1788" w:type="dxa"/>
            <w:tcBorders>
              <w:top w:val="nil"/>
              <w:left w:val="nil"/>
              <w:bottom w:val="nil"/>
              <w:right w:val="nil"/>
            </w:tcBorders>
            <w:shd w:val="clear" w:color="auto" w:fill="auto"/>
            <w:noWrap/>
            <w:vAlign w:val="center"/>
            <w:hideMark/>
          </w:tcPr>
          <w:p w14:paraId="1F78C672"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0.0912***</w:t>
            </w:r>
          </w:p>
        </w:tc>
      </w:tr>
      <w:tr w:rsidR="00585463" w:rsidRPr="00585463" w14:paraId="5D90D44A" w14:textId="77777777" w:rsidTr="00585463">
        <w:trPr>
          <w:trHeight w:val="227"/>
        </w:trPr>
        <w:tc>
          <w:tcPr>
            <w:tcW w:w="3170" w:type="dxa"/>
            <w:tcBorders>
              <w:top w:val="nil"/>
              <w:left w:val="nil"/>
              <w:bottom w:val="nil"/>
              <w:right w:val="nil"/>
            </w:tcBorders>
            <w:shd w:val="clear" w:color="auto" w:fill="auto"/>
            <w:vAlign w:val="center"/>
            <w:hideMark/>
          </w:tcPr>
          <w:p w14:paraId="7AE5D82B" w14:textId="77777777" w:rsidR="00585463" w:rsidRPr="00585463" w:rsidRDefault="00585463" w:rsidP="00585463">
            <w:pPr>
              <w:spacing w:after="0" w:line="240" w:lineRule="auto"/>
              <w:jc w:val="center"/>
              <w:rPr>
                <w:rFonts w:ascii="Calibri" w:eastAsia="Times New Roman" w:hAnsi="Calibri" w:cs="Calibri"/>
                <w:color w:val="000000"/>
                <w:sz w:val="22"/>
              </w:rPr>
            </w:pPr>
          </w:p>
        </w:tc>
        <w:tc>
          <w:tcPr>
            <w:tcW w:w="1993" w:type="dxa"/>
            <w:tcBorders>
              <w:top w:val="nil"/>
              <w:left w:val="nil"/>
              <w:bottom w:val="nil"/>
              <w:right w:val="nil"/>
            </w:tcBorders>
            <w:shd w:val="clear" w:color="auto" w:fill="auto"/>
            <w:noWrap/>
            <w:vAlign w:val="center"/>
            <w:hideMark/>
          </w:tcPr>
          <w:p w14:paraId="5EA2EBEB"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(0.0208) </w:t>
            </w:r>
          </w:p>
        </w:tc>
        <w:tc>
          <w:tcPr>
            <w:tcW w:w="2287" w:type="dxa"/>
            <w:tcBorders>
              <w:top w:val="nil"/>
              <w:left w:val="nil"/>
              <w:bottom w:val="nil"/>
              <w:right w:val="nil"/>
            </w:tcBorders>
            <w:shd w:val="clear" w:color="auto" w:fill="auto"/>
            <w:noWrap/>
            <w:vAlign w:val="center"/>
            <w:hideMark/>
          </w:tcPr>
          <w:p w14:paraId="2B4191C8"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(0.397) </w:t>
            </w:r>
          </w:p>
        </w:tc>
        <w:tc>
          <w:tcPr>
            <w:tcW w:w="1788" w:type="dxa"/>
            <w:tcBorders>
              <w:top w:val="nil"/>
              <w:left w:val="nil"/>
              <w:bottom w:val="nil"/>
              <w:right w:val="nil"/>
            </w:tcBorders>
            <w:shd w:val="clear" w:color="auto" w:fill="auto"/>
            <w:noWrap/>
            <w:vAlign w:val="center"/>
            <w:hideMark/>
          </w:tcPr>
          <w:p w14:paraId="0D825F5B"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 xml:space="preserve">(0.0299) </w:t>
            </w:r>
          </w:p>
        </w:tc>
      </w:tr>
      <w:tr w:rsidR="00585463" w:rsidRPr="00585463" w14:paraId="345DA963" w14:textId="77777777" w:rsidTr="00585463">
        <w:trPr>
          <w:trHeight w:val="227"/>
        </w:trPr>
        <w:tc>
          <w:tcPr>
            <w:tcW w:w="3170" w:type="dxa"/>
            <w:tcBorders>
              <w:top w:val="nil"/>
              <w:left w:val="nil"/>
              <w:bottom w:val="nil"/>
              <w:right w:val="nil"/>
            </w:tcBorders>
            <w:shd w:val="clear" w:color="auto" w:fill="auto"/>
            <w:vAlign w:val="center"/>
            <w:hideMark/>
          </w:tcPr>
          <w:p w14:paraId="182CF77F" w14:textId="77777777" w:rsidR="00585463" w:rsidRPr="00585463" w:rsidRDefault="00585463" w:rsidP="00585463">
            <w:pPr>
              <w:spacing w:after="0" w:line="240" w:lineRule="auto"/>
              <w:jc w:val="center"/>
              <w:rPr>
                <w:rFonts w:ascii="Calibri" w:eastAsia="Times New Roman" w:hAnsi="Calibri" w:cs="Calibri"/>
                <w:color w:val="000000"/>
                <w:sz w:val="22"/>
              </w:rPr>
            </w:pPr>
          </w:p>
        </w:tc>
        <w:tc>
          <w:tcPr>
            <w:tcW w:w="1993" w:type="dxa"/>
            <w:tcBorders>
              <w:top w:val="nil"/>
              <w:left w:val="nil"/>
              <w:bottom w:val="nil"/>
              <w:right w:val="nil"/>
            </w:tcBorders>
            <w:shd w:val="clear" w:color="auto" w:fill="auto"/>
            <w:noWrap/>
            <w:vAlign w:val="center"/>
            <w:hideMark/>
          </w:tcPr>
          <w:p w14:paraId="101F8A19" w14:textId="77777777" w:rsidR="00585463" w:rsidRPr="00585463" w:rsidRDefault="00585463" w:rsidP="00585463">
            <w:pPr>
              <w:spacing w:after="0" w:line="240" w:lineRule="auto"/>
              <w:rPr>
                <w:rFonts w:eastAsia="Times New Roman" w:cs="Times New Roman"/>
                <w:sz w:val="20"/>
                <w:szCs w:val="20"/>
              </w:rPr>
            </w:pPr>
          </w:p>
        </w:tc>
        <w:tc>
          <w:tcPr>
            <w:tcW w:w="2287" w:type="dxa"/>
            <w:tcBorders>
              <w:top w:val="nil"/>
              <w:left w:val="nil"/>
              <w:bottom w:val="nil"/>
              <w:right w:val="nil"/>
            </w:tcBorders>
            <w:shd w:val="clear" w:color="auto" w:fill="auto"/>
            <w:noWrap/>
            <w:vAlign w:val="center"/>
            <w:hideMark/>
          </w:tcPr>
          <w:p w14:paraId="25019516" w14:textId="77777777" w:rsidR="00585463" w:rsidRPr="00585463" w:rsidRDefault="00585463" w:rsidP="00585463">
            <w:pPr>
              <w:spacing w:after="0" w:line="240" w:lineRule="auto"/>
              <w:jc w:val="center"/>
              <w:rPr>
                <w:rFonts w:eastAsia="Times New Roman" w:cs="Times New Roman"/>
                <w:sz w:val="20"/>
                <w:szCs w:val="20"/>
              </w:rPr>
            </w:pPr>
          </w:p>
        </w:tc>
        <w:tc>
          <w:tcPr>
            <w:tcW w:w="1788" w:type="dxa"/>
            <w:tcBorders>
              <w:top w:val="nil"/>
              <w:left w:val="nil"/>
              <w:bottom w:val="nil"/>
              <w:right w:val="nil"/>
            </w:tcBorders>
            <w:shd w:val="clear" w:color="auto" w:fill="auto"/>
            <w:noWrap/>
            <w:vAlign w:val="center"/>
            <w:hideMark/>
          </w:tcPr>
          <w:p w14:paraId="48C122B7" w14:textId="77777777" w:rsidR="00585463" w:rsidRPr="00585463" w:rsidRDefault="00585463" w:rsidP="00585463">
            <w:pPr>
              <w:spacing w:after="0" w:line="240" w:lineRule="auto"/>
              <w:jc w:val="center"/>
              <w:rPr>
                <w:rFonts w:eastAsia="Times New Roman" w:cs="Times New Roman"/>
                <w:sz w:val="20"/>
                <w:szCs w:val="20"/>
              </w:rPr>
            </w:pPr>
          </w:p>
        </w:tc>
      </w:tr>
      <w:tr w:rsidR="00585463" w:rsidRPr="00585463" w14:paraId="1BD7389A" w14:textId="77777777" w:rsidTr="00585463">
        <w:trPr>
          <w:trHeight w:val="227"/>
        </w:trPr>
        <w:tc>
          <w:tcPr>
            <w:tcW w:w="3170" w:type="dxa"/>
            <w:tcBorders>
              <w:top w:val="nil"/>
              <w:left w:val="nil"/>
              <w:bottom w:val="nil"/>
              <w:right w:val="nil"/>
            </w:tcBorders>
            <w:shd w:val="clear" w:color="auto" w:fill="auto"/>
            <w:noWrap/>
            <w:vAlign w:val="center"/>
            <w:hideMark/>
          </w:tcPr>
          <w:p w14:paraId="08380BD1"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Observation</w:t>
            </w:r>
          </w:p>
        </w:tc>
        <w:tc>
          <w:tcPr>
            <w:tcW w:w="1993" w:type="dxa"/>
            <w:tcBorders>
              <w:top w:val="nil"/>
              <w:left w:val="nil"/>
              <w:bottom w:val="nil"/>
              <w:right w:val="nil"/>
            </w:tcBorders>
            <w:shd w:val="clear" w:color="auto" w:fill="auto"/>
            <w:noWrap/>
            <w:vAlign w:val="center"/>
            <w:hideMark/>
          </w:tcPr>
          <w:p w14:paraId="692A0406"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9,978</w:t>
            </w:r>
          </w:p>
        </w:tc>
        <w:tc>
          <w:tcPr>
            <w:tcW w:w="2287" w:type="dxa"/>
            <w:tcBorders>
              <w:top w:val="nil"/>
              <w:left w:val="nil"/>
              <w:bottom w:val="nil"/>
              <w:right w:val="nil"/>
            </w:tcBorders>
            <w:shd w:val="clear" w:color="auto" w:fill="auto"/>
            <w:noWrap/>
            <w:vAlign w:val="center"/>
            <w:hideMark/>
          </w:tcPr>
          <w:p w14:paraId="0BE955BD"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9,978</w:t>
            </w:r>
          </w:p>
        </w:tc>
        <w:tc>
          <w:tcPr>
            <w:tcW w:w="1788" w:type="dxa"/>
            <w:tcBorders>
              <w:top w:val="nil"/>
              <w:left w:val="nil"/>
              <w:bottom w:val="nil"/>
              <w:right w:val="nil"/>
            </w:tcBorders>
            <w:shd w:val="clear" w:color="auto" w:fill="auto"/>
            <w:noWrap/>
            <w:vAlign w:val="center"/>
            <w:hideMark/>
          </w:tcPr>
          <w:p w14:paraId="118AFB4B"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9,978</w:t>
            </w:r>
          </w:p>
        </w:tc>
      </w:tr>
      <w:tr w:rsidR="00585463" w:rsidRPr="00585463" w14:paraId="2CEFF23E" w14:textId="77777777" w:rsidTr="00585463">
        <w:trPr>
          <w:trHeight w:val="227"/>
        </w:trPr>
        <w:tc>
          <w:tcPr>
            <w:tcW w:w="5163" w:type="dxa"/>
            <w:gridSpan w:val="2"/>
            <w:tcBorders>
              <w:top w:val="nil"/>
              <w:left w:val="nil"/>
              <w:bottom w:val="nil"/>
              <w:right w:val="nil"/>
            </w:tcBorders>
            <w:shd w:val="clear" w:color="auto" w:fill="auto"/>
            <w:noWrap/>
            <w:vAlign w:val="center"/>
            <w:hideMark/>
          </w:tcPr>
          <w:p w14:paraId="2AA322F2"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Weak-identification test</w:t>
            </w:r>
          </w:p>
        </w:tc>
        <w:tc>
          <w:tcPr>
            <w:tcW w:w="2287" w:type="dxa"/>
            <w:tcBorders>
              <w:top w:val="nil"/>
              <w:left w:val="nil"/>
              <w:bottom w:val="nil"/>
              <w:right w:val="nil"/>
            </w:tcBorders>
            <w:shd w:val="clear" w:color="auto" w:fill="auto"/>
            <w:noWrap/>
            <w:vAlign w:val="center"/>
            <w:hideMark/>
          </w:tcPr>
          <w:p w14:paraId="4F805DD4" w14:textId="77777777" w:rsidR="00585463" w:rsidRPr="00585463" w:rsidRDefault="00585463" w:rsidP="00585463">
            <w:pPr>
              <w:spacing w:after="0" w:line="240" w:lineRule="auto"/>
              <w:rPr>
                <w:rFonts w:ascii="Calibri" w:eastAsia="Times New Roman" w:hAnsi="Calibri" w:cs="Calibri"/>
                <w:color w:val="000000"/>
                <w:sz w:val="22"/>
              </w:rPr>
            </w:pPr>
          </w:p>
        </w:tc>
        <w:tc>
          <w:tcPr>
            <w:tcW w:w="1788" w:type="dxa"/>
            <w:tcBorders>
              <w:top w:val="nil"/>
              <w:left w:val="nil"/>
              <w:bottom w:val="nil"/>
              <w:right w:val="nil"/>
            </w:tcBorders>
            <w:shd w:val="clear" w:color="auto" w:fill="auto"/>
            <w:noWrap/>
            <w:vAlign w:val="center"/>
            <w:hideMark/>
          </w:tcPr>
          <w:p w14:paraId="0A9C6589" w14:textId="77777777" w:rsidR="00585463" w:rsidRPr="00585463" w:rsidRDefault="00585463" w:rsidP="00585463">
            <w:pPr>
              <w:spacing w:after="0" w:line="240" w:lineRule="auto"/>
              <w:jc w:val="center"/>
              <w:rPr>
                <w:rFonts w:eastAsia="Times New Roman" w:cs="Times New Roman"/>
                <w:sz w:val="20"/>
                <w:szCs w:val="20"/>
              </w:rPr>
            </w:pPr>
          </w:p>
        </w:tc>
      </w:tr>
      <w:tr w:rsidR="00585463" w:rsidRPr="00585463" w14:paraId="5ABED7D8" w14:textId="77777777" w:rsidTr="00585463">
        <w:trPr>
          <w:trHeight w:val="237"/>
        </w:trPr>
        <w:tc>
          <w:tcPr>
            <w:tcW w:w="3170" w:type="dxa"/>
            <w:tcBorders>
              <w:top w:val="nil"/>
              <w:left w:val="nil"/>
              <w:bottom w:val="nil"/>
              <w:right w:val="nil"/>
            </w:tcBorders>
            <w:shd w:val="clear" w:color="auto" w:fill="auto"/>
            <w:vAlign w:val="center"/>
            <w:hideMark/>
          </w:tcPr>
          <w:p w14:paraId="0C2CF437"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 xml:space="preserve">      Kleibergen-Paap F Statistic</w:t>
            </w:r>
          </w:p>
        </w:tc>
        <w:tc>
          <w:tcPr>
            <w:tcW w:w="1993" w:type="dxa"/>
            <w:tcBorders>
              <w:top w:val="nil"/>
              <w:left w:val="nil"/>
              <w:bottom w:val="nil"/>
              <w:right w:val="nil"/>
            </w:tcBorders>
            <w:shd w:val="clear" w:color="auto" w:fill="auto"/>
            <w:noWrap/>
            <w:vAlign w:val="center"/>
            <w:hideMark/>
          </w:tcPr>
          <w:p w14:paraId="33A1A498"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18.348</w:t>
            </w:r>
          </w:p>
        </w:tc>
        <w:tc>
          <w:tcPr>
            <w:tcW w:w="2287" w:type="dxa"/>
            <w:tcBorders>
              <w:top w:val="nil"/>
              <w:left w:val="nil"/>
              <w:bottom w:val="nil"/>
              <w:right w:val="nil"/>
            </w:tcBorders>
            <w:shd w:val="clear" w:color="auto" w:fill="auto"/>
            <w:noWrap/>
            <w:vAlign w:val="center"/>
            <w:hideMark/>
          </w:tcPr>
          <w:p w14:paraId="5B34210D"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18.348</w:t>
            </w:r>
          </w:p>
        </w:tc>
        <w:tc>
          <w:tcPr>
            <w:tcW w:w="1788" w:type="dxa"/>
            <w:tcBorders>
              <w:top w:val="nil"/>
              <w:left w:val="nil"/>
              <w:bottom w:val="nil"/>
              <w:right w:val="nil"/>
            </w:tcBorders>
            <w:shd w:val="clear" w:color="auto" w:fill="auto"/>
            <w:noWrap/>
            <w:vAlign w:val="center"/>
            <w:hideMark/>
          </w:tcPr>
          <w:p w14:paraId="79E4D4A6"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18.348</w:t>
            </w:r>
          </w:p>
        </w:tc>
      </w:tr>
      <w:tr w:rsidR="00585463" w:rsidRPr="00585463" w14:paraId="2BC79DE1" w14:textId="77777777" w:rsidTr="00585463">
        <w:trPr>
          <w:trHeight w:val="227"/>
        </w:trPr>
        <w:tc>
          <w:tcPr>
            <w:tcW w:w="5163" w:type="dxa"/>
            <w:gridSpan w:val="2"/>
            <w:tcBorders>
              <w:top w:val="nil"/>
              <w:left w:val="nil"/>
              <w:bottom w:val="nil"/>
              <w:right w:val="nil"/>
            </w:tcBorders>
            <w:shd w:val="clear" w:color="auto" w:fill="auto"/>
            <w:noWrap/>
            <w:vAlign w:val="center"/>
            <w:hideMark/>
          </w:tcPr>
          <w:p w14:paraId="666B56E7"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Over-identification test</w:t>
            </w:r>
          </w:p>
        </w:tc>
        <w:tc>
          <w:tcPr>
            <w:tcW w:w="2287" w:type="dxa"/>
            <w:tcBorders>
              <w:top w:val="nil"/>
              <w:left w:val="nil"/>
              <w:bottom w:val="nil"/>
              <w:right w:val="nil"/>
            </w:tcBorders>
            <w:shd w:val="clear" w:color="auto" w:fill="auto"/>
            <w:noWrap/>
            <w:vAlign w:val="center"/>
            <w:hideMark/>
          </w:tcPr>
          <w:p w14:paraId="3EF1C92A" w14:textId="77777777" w:rsidR="00585463" w:rsidRPr="00585463" w:rsidRDefault="00585463" w:rsidP="00585463">
            <w:pPr>
              <w:spacing w:after="0" w:line="240" w:lineRule="auto"/>
              <w:rPr>
                <w:rFonts w:ascii="Calibri" w:eastAsia="Times New Roman" w:hAnsi="Calibri" w:cs="Calibri"/>
                <w:color w:val="000000"/>
                <w:sz w:val="22"/>
              </w:rPr>
            </w:pPr>
          </w:p>
        </w:tc>
        <w:tc>
          <w:tcPr>
            <w:tcW w:w="1788" w:type="dxa"/>
            <w:tcBorders>
              <w:top w:val="nil"/>
              <w:left w:val="nil"/>
              <w:bottom w:val="nil"/>
              <w:right w:val="nil"/>
            </w:tcBorders>
            <w:shd w:val="clear" w:color="auto" w:fill="auto"/>
            <w:noWrap/>
            <w:vAlign w:val="center"/>
            <w:hideMark/>
          </w:tcPr>
          <w:p w14:paraId="5CBF23A7" w14:textId="77777777" w:rsidR="00585463" w:rsidRPr="00585463" w:rsidRDefault="00585463" w:rsidP="00585463">
            <w:pPr>
              <w:spacing w:after="0" w:line="240" w:lineRule="auto"/>
              <w:jc w:val="center"/>
              <w:rPr>
                <w:rFonts w:eastAsia="Times New Roman" w:cs="Times New Roman"/>
                <w:sz w:val="20"/>
                <w:szCs w:val="20"/>
              </w:rPr>
            </w:pPr>
          </w:p>
        </w:tc>
      </w:tr>
      <w:tr w:rsidR="00585463" w:rsidRPr="00585463" w14:paraId="7EB6E766" w14:textId="77777777" w:rsidTr="00585463">
        <w:trPr>
          <w:trHeight w:val="227"/>
        </w:trPr>
        <w:tc>
          <w:tcPr>
            <w:tcW w:w="3170" w:type="dxa"/>
            <w:tcBorders>
              <w:top w:val="nil"/>
              <w:left w:val="nil"/>
              <w:bottom w:val="nil"/>
              <w:right w:val="nil"/>
            </w:tcBorders>
            <w:shd w:val="clear" w:color="auto" w:fill="auto"/>
            <w:noWrap/>
            <w:vAlign w:val="center"/>
            <w:hideMark/>
          </w:tcPr>
          <w:p w14:paraId="24007CE8"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 xml:space="preserve">      Hansen J Statistic</w:t>
            </w:r>
          </w:p>
        </w:tc>
        <w:tc>
          <w:tcPr>
            <w:tcW w:w="1993" w:type="dxa"/>
            <w:tcBorders>
              <w:top w:val="nil"/>
              <w:left w:val="nil"/>
              <w:bottom w:val="nil"/>
              <w:right w:val="nil"/>
            </w:tcBorders>
            <w:shd w:val="clear" w:color="auto" w:fill="auto"/>
            <w:noWrap/>
            <w:vAlign w:val="center"/>
            <w:hideMark/>
          </w:tcPr>
          <w:p w14:paraId="41C4A4A7"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4.609</w:t>
            </w:r>
          </w:p>
        </w:tc>
        <w:tc>
          <w:tcPr>
            <w:tcW w:w="2287" w:type="dxa"/>
            <w:tcBorders>
              <w:top w:val="nil"/>
              <w:left w:val="nil"/>
              <w:bottom w:val="nil"/>
              <w:right w:val="nil"/>
            </w:tcBorders>
            <w:shd w:val="clear" w:color="auto" w:fill="auto"/>
            <w:noWrap/>
            <w:vAlign w:val="center"/>
            <w:hideMark/>
          </w:tcPr>
          <w:p w14:paraId="2FED6260"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1.793</w:t>
            </w:r>
          </w:p>
        </w:tc>
        <w:tc>
          <w:tcPr>
            <w:tcW w:w="1788" w:type="dxa"/>
            <w:tcBorders>
              <w:top w:val="nil"/>
              <w:left w:val="nil"/>
              <w:bottom w:val="nil"/>
              <w:right w:val="nil"/>
            </w:tcBorders>
            <w:shd w:val="clear" w:color="auto" w:fill="auto"/>
            <w:noWrap/>
            <w:vAlign w:val="center"/>
            <w:hideMark/>
          </w:tcPr>
          <w:p w14:paraId="40E3D032"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2.993</w:t>
            </w:r>
          </w:p>
        </w:tc>
      </w:tr>
      <w:tr w:rsidR="00585463" w:rsidRPr="00585463" w14:paraId="34260316" w14:textId="77777777" w:rsidTr="00585463">
        <w:trPr>
          <w:trHeight w:val="237"/>
        </w:trPr>
        <w:tc>
          <w:tcPr>
            <w:tcW w:w="3170" w:type="dxa"/>
            <w:tcBorders>
              <w:top w:val="nil"/>
              <w:left w:val="nil"/>
              <w:bottom w:val="double" w:sz="6" w:space="0" w:color="auto"/>
              <w:right w:val="nil"/>
            </w:tcBorders>
            <w:shd w:val="clear" w:color="auto" w:fill="auto"/>
            <w:noWrap/>
            <w:vAlign w:val="center"/>
            <w:hideMark/>
          </w:tcPr>
          <w:p w14:paraId="49D84112" w14:textId="77777777" w:rsidR="00585463" w:rsidRPr="00585463" w:rsidRDefault="00585463" w:rsidP="00585463">
            <w:pPr>
              <w:spacing w:after="0" w:line="240" w:lineRule="auto"/>
              <w:rPr>
                <w:rFonts w:ascii="Calibri" w:eastAsia="Times New Roman" w:hAnsi="Calibri" w:cs="Calibri"/>
                <w:color w:val="000000"/>
                <w:sz w:val="22"/>
              </w:rPr>
            </w:pPr>
            <w:r w:rsidRPr="00585463">
              <w:rPr>
                <w:rFonts w:ascii="Calibri" w:eastAsia="Times New Roman" w:hAnsi="Calibri" w:cs="Calibri"/>
                <w:color w:val="000000"/>
                <w:sz w:val="22"/>
              </w:rPr>
              <w:t xml:space="preserve">      P-values for J test </w:t>
            </w:r>
          </w:p>
        </w:tc>
        <w:tc>
          <w:tcPr>
            <w:tcW w:w="1993" w:type="dxa"/>
            <w:tcBorders>
              <w:top w:val="nil"/>
              <w:left w:val="nil"/>
              <w:bottom w:val="double" w:sz="6" w:space="0" w:color="auto"/>
              <w:right w:val="nil"/>
            </w:tcBorders>
            <w:shd w:val="clear" w:color="auto" w:fill="auto"/>
            <w:noWrap/>
            <w:vAlign w:val="center"/>
            <w:hideMark/>
          </w:tcPr>
          <w:p w14:paraId="084523B0" w14:textId="77777777" w:rsidR="00585463" w:rsidRPr="00585463" w:rsidRDefault="00585463" w:rsidP="00585463">
            <w:pPr>
              <w:spacing w:after="0" w:line="240" w:lineRule="auto"/>
              <w:jc w:val="center"/>
              <w:rPr>
                <w:rFonts w:ascii="Calibri" w:eastAsia="Times New Roman" w:hAnsi="Calibri" w:cs="Calibri"/>
                <w:color w:val="000000"/>
                <w:sz w:val="22"/>
              </w:rPr>
            </w:pPr>
            <w:r w:rsidRPr="003F1164">
              <w:rPr>
                <w:rFonts w:ascii="Calibri" w:eastAsia="Times New Roman" w:hAnsi="Calibri" w:cs="Calibri"/>
                <w:color w:val="000000"/>
                <w:sz w:val="22"/>
              </w:rPr>
              <w:t>0.032</w:t>
            </w:r>
          </w:p>
        </w:tc>
        <w:tc>
          <w:tcPr>
            <w:tcW w:w="2287" w:type="dxa"/>
            <w:tcBorders>
              <w:top w:val="nil"/>
              <w:left w:val="nil"/>
              <w:bottom w:val="double" w:sz="6" w:space="0" w:color="auto"/>
              <w:right w:val="nil"/>
            </w:tcBorders>
            <w:shd w:val="clear" w:color="auto" w:fill="auto"/>
            <w:noWrap/>
            <w:vAlign w:val="center"/>
            <w:hideMark/>
          </w:tcPr>
          <w:p w14:paraId="5F76C9BD"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0.181</w:t>
            </w:r>
          </w:p>
        </w:tc>
        <w:tc>
          <w:tcPr>
            <w:tcW w:w="1788" w:type="dxa"/>
            <w:tcBorders>
              <w:top w:val="nil"/>
              <w:left w:val="nil"/>
              <w:bottom w:val="double" w:sz="6" w:space="0" w:color="auto"/>
              <w:right w:val="nil"/>
            </w:tcBorders>
            <w:shd w:val="clear" w:color="auto" w:fill="auto"/>
            <w:noWrap/>
            <w:vAlign w:val="center"/>
            <w:hideMark/>
          </w:tcPr>
          <w:p w14:paraId="6B263757" w14:textId="77777777" w:rsidR="00585463" w:rsidRPr="00585463" w:rsidRDefault="00585463" w:rsidP="00585463">
            <w:pPr>
              <w:spacing w:after="0" w:line="240" w:lineRule="auto"/>
              <w:jc w:val="center"/>
              <w:rPr>
                <w:rFonts w:ascii="Calibri" w:eastAsia="Times New Roman" w:hAnsi="Calibri" w:cs="Calibri"/>
                <w:color w:val="000000"/>
                <w:sz w:val="22"/>
              </w:rPr>
            </w:pPr>
            <w:r w:rsidRPr="00585463">
              <w:rPr>
                <w:rFonts w:ascii="Calibri" w:eastAsia="Times New Roman" w:hAnsi="Calibri" w:cs="Calibri"/>
                <w:color w:val="000000"/>
                <w:sz w:val="22"/>
              </w:rPr>
              <w:t>0.084</w:t>
            </w:r>
          </w:p>
        </w:tc>
      </w:tr>
    </w:tbl>
    <w:p w14:paraId="1655F80D" w14:textId="6EDC2A7B" w:rsidR="008B70F4" w:rsidRDefault="008B70F4" w:rsidP="008B70F4">
      <w:r w:rsidRPr="00F005DC">
        <w:rPr>
          <w:i/>
          <w:iCs/>
        </w:rPr>
        <w:t>Notes</w:t>
      </w:r>
      <w:r>
        <w:t xml:space="preserve">: All columns control for all demographic characteristics and all fixed effects. </w:t>
      </w:r>
    </w:p>
    <w:p w14:paraId="7B19B5E1" w14:textId="77777777" w:rsidR="008B70F4" w:rsidRDefault="008B70F4" w:rsidP="008B70F4">
      <w:pPr>
        <w:rPr>
          <w:rFonts w:cs="Times New Roman"/>
          <w:szCs w:val="24"/>
          <w:lang w:val="en-US"/>
        </w:rPr>
      </w:pPr>
      <w:r>
        <w:t xml:space="preserve">***p&lt;0.01, **p&lt;0.05. *p&lt;0.1. </w:t>
      </w:r>
    </w:p>
    <w:p w14:paraId="4CE29792" w14:textId="77777777" w:rsidR="00F431A3" w:rsidRDefault="00F431A3" w:rsidP="00430A6F">
      <w:pPr>
        <w:spacing w:line="360" w:lineRule="auto"/>
        <w:ind w:firstLine="567"/>
      </w:pPr>
    </w:p>
    <w:p w14:paraId="1FC426ED" w14:textId="332147FC" w:rsidR="001A63D3" w:rsidRDefault="00430A6F" w:rsidP="004A6FA2">
      <w:pPr>
        <w:spacing w:line="360" w:lineRule="auto"/>
        <w:ind w:firstLine="567"/>
        <w:jc w:val="both"/>
      </w:pPr>
      <w:r w:rsidRPr="00430A6F">
        <w:t>Table 1</w:t>
      </w:r>
      <w:r w:rsidR="00F431A3">
        <w:t>6</w:t>
      </w:r>
      <w:r w:rsidRPr="00430A6F">
        <w:t xml:space="preserve"> measures the robustness results of smoking-related </w:t>
      </w:r>
      <w:r w:rsidR="009A6571">
        <w:t xml:space="preserve">variables </w:t>
      </w:r>
      <w:r w:rsidRPr="00430A6F">
        <w:t>and physical activity excluding the sample of high household income per capita. Column (1) illustrates that one more year of education brings 0.5</w:t>
      </w:r>
      <w:r w:rsidR="009A6571">
        <w:t xml:space="preserve"> percentage points</w:t>
      </w:r>
      <w:r w:rsidRPr="00430A6F">
        <w:t xml:space="preserve"> decline in the smoking rate, which is </w:t>
      </w:r>
      <w:r w:rsidR="009A6571">
        <w:t>nearly the same</w:t>
      </w:r>
      <w:r w:rsidRPr="00430A6F">
        <w:t xml:space="preserve"> </w:t>
      </w:r>
      <w:r w:rsidR="009A6571">
        <w:t>as the</w:t>
      </w:r>
      <w:r w:rsidRPr="00430A6F">
        <w:t xml:space="preserve"> previous result</w:t>
      </w:r>
      <w:r w:rsidR="006B3865">
        <w:t xml:space="preserve"> in Table 11</w:t>
      </w:r>
      <w:r w:rsidRPr="00430A6F">
        <w:t xml:space="preserve">. </w:t>
      </w:r>
      <w:r w:rsidR="006B3865">
        <w:t xml:space="preserve">However, the over-identification test implies that the instrument variable is correlated with the error term, which is not reliable. </w:t>
      </w:r>
      <w:r w:rsidRPr="00430A6F">
        <w:t xml:space="preserve">Column (2) shows that cigarette consumption </w:t>
      </w:r>
      <w:r w:rsidR="006B3865">
        <w:t>has</w:t>
      </w:r>
      <w:r w:rsidR="009B6CF0">
        <w:t xml:space="preserve"> a</w:t>
      </w:r>
      <w:r w:rsidR="006B3865">
        <w:t xml:space="preserve"> similar effect as in </w:t>
      </w:r>
      <w:r w:rsidRPr="00430A6F">
        <w:t>Table 1</w:t>
      </w:r>
      <w:r w:rsidR="006B3865">
        <w:t>2</w:t>
      </w:r>
      <w:r w:rsidRPr="00430A6F">
        <w:t xml:space="preserve">. The smoking-related variables have no significant causal effect either after the sample trimmed. Column (3) reveals that the relationship between education and physical activity </w:t>
      </w:r>
      <w:r w:rsidR="006B3865">
        <w:t xml:space="preserve">that the results are consistent with </w:t>
      </w:r>
      <w:r w:rsidRPr="00430A6F">
        <w:t xml:space="preserve">the previous </w:t>
      </w:r>
      <w:r w:rsidR="006B3865">
        <w:t>one in Table 13</w:t>
      </w:r>
      <w:r w:rsidRPr="00430A6F">
        <w:t>. Therefore, the findings in robust checks are quite consistent with the original results</w:t>
      </w:r>
      <w:r w:rsidR="009B6CF0">
        <w:t>.</w:t>
      </w:r>
    </w:p>
    <w:p w14:paraId="3EA420CC" w14:textId="398B15FD" w:rsidR="00794613" w:rsidRDefault="00794613" w:rsidP="00794613"/>
    <w:p w14:paraId="27D7699F" w14:textId="0DFBC305" w:rsidR="00794613" w:rsidRDefault="00794613" w:rsidP="00794613"/>
    <w:p w14:paraId="0E754A85" w14:textId="77777777" w:rsidR="00794613" w:rsidRPr="00794613" w:rsidRDefault="00794613" w:rsidP="00794613"/>
    <w:p w14:paraId="52535996" w14:textId="62A0AFA0" w:rsidR="00794613" w:rsidRDefault="00794613" w:rsidP="00430A6F">
      <w:pPr>
        <w:spacing w:line="360" w:lineRule="auto"/>
        <w:ind w:firstLine="567"/>
      </w:pPr>
    </w:p>
    <w:p w14:paraId="2CCAF55F" w14:textId="77777777" w:rsidR="00585463" w:rsidRDefault="00585463" w:rsidP="009B6CF0">
      <w:pPr>
        <w:spacing w:line="360" w:lineRule="auto"/>
      </w:pPr>
    </w:p>
    <w:p w14:paraId="45EE1FA5" w14:textId="5D997C0A" w:rsidR="009F4B57" w:rsidRPr="009B6CF0" w:rsidRDefault="008F7B1E" w:rsidP="00ED2862">
      <w:pPr>
        <w:pStyle w:val="Heading1"/>
        <w:spacing w:line="360" w:lineRule="auto"/>
        <w:rPr>
          <w:b/>
          <w:bCs/>
        </w:rPr>
      </w:pPr>
      <w:bookmarkStart w:id="38" w:name="_Toc41312379"/>
      <w:r w:rsidRPr="009B6CF0">
        <w:rPr>
          <w:b/>
          <w:bCs/>
        </w:rPr>
        <w:lastRenderedPageBreak/>
        <w:t>6</w:t>
      </w:r>
      <w:r w:rsidR="00937AA6" w:rsidRPr="009B6CF0">
        <w:rPr>
          <w:b/>
          <w:bCs/>
        </w:rPr>
        <w:t>. Conclusion</w:t>
      </w:r>
      <w:bookmarkEnd w:id="38"/>
      <w:r w:rsidR="00937AA6" w:rsidRPr="009B6CF0">
        <w:rPr>
          <w:b/>
          <w:bCs/>
        </w:rPr>
        <w:t xml:space="preserve"> </w:t>
      </w:r>
    </w:p>
    <w:p w14:paraId="74B7D6D0" w14:textId="2DFFAC33" w:rsidR="009B6CF0" w:rsidRDefault="004E7D42" w:rsidP="00E63330">
      <w:pPr>
        <w:spacing w:line="360" w:lineRule="auto"/>
        <w:ind w:firstLine="567"/>
        <w:jc w:val="both"/>
      </w:pPr>
      <w:r w:rsidRPr="009B6CF0">
        <w:t xml:space="preserve">This paper uses the China Health and Nutrition Survey data to study the </w:t>
      </w:r>
      <w:r w:rsidR="00FC36DC">
        <w:t>effects</w:t>
      </w:r>
      <w:r w:rsidRPr="009B6CF0">
        <w:t xml:space="preserve"> </w:t>
      </w:r>
      <w:r w:rsidR="00FC36DC">
        <w:t>of</w:t>
      </w:r>
      <w:r w:rsidRPr="009B6CF0">
        <w:t xml:space="preserve"> education </w:t>
      </w:r>
      <w:r w:rsidR="00FC36DC">
        <w:t>on</w:t>
      </w:r>
      <w:r w:rsidRPr="009B6CF0">
        <w:t xml:space="preserve"> health. The results indicate that education has a favorable correlation with self-reported health, BMI-related variables, smoking, and physical activity, that is, people with better education have better health on average. </w:t>
      </w:r>
      <w:r w:rsidR="009B6CF0">
        <w:t>In addition</w:t>
      </w:r>
      <w:r w:rsidRPr="009B6CF0">
        <w:t>, this paper uses the nine-year compulsory education law as an instrument variable to eliminate the bias of endogeneity and study the causal</w:t>
      </w:r>
      <w:r w:rsidR="00F5523D">
        <w:t xml:space="preserve">ity </w:t>
      </w:r>
      <w:r w:rsidRPr="009B6CF0">
        <w:t xml:space="preserve">of education on health. </w:t>
      </w:r>
    </w:p>
    <w:p w14:paraId="3157707E" w14:textId="77777777" w:rsidR="0067690B" w:rsidRDefault="0067690B" w:rsidP="00E63330">
      <w:pPr>
        <w:spacing w:line="360" w:lineRule="auto"/>
        <w:ind w:firstLine="567"/>
        <w:jc w:val="both"/>
      </w:pPr>
      <w:r w:rsidRPr="0067690B">
        <w:t>In general, the results suggest that education has significant causality on self-reported health and physical activity, but there is no significant causal effect on BMI-related variables (overweightness and obesity) and smoking. However, the findings reveal that all overall significant results are driven by female samples. In the comparison between urban and rural areas, the results show that education can effectively reduce the possibility of smoking in rural areas and the number of cigarettes consumed in urban, and increase the likelihood of physical activity among people in urban areas.</w:t>
      </w:r>
    </w:p>
    <w:p w14:paraId="541FBAC4" w14:textId="02B4D309" w:rsidR="00C54743" w:rsidRDefault="00F073E5" w:rsidP="00E63330">
      <w:pPr>
        <w:spacing w:line="360" w:lineRule="auto"/>
        <w:ind w:firstLine="567"/>
        <w:jc w:val="both"/>
      </w:pPr>
      <w:r w:rsidRPr="00F073E5">
        <w:t>This paper has some limitations. The behavior of peers can amplify the effects of education on other individuals, including lifestyle and other unobservable factors that can affect health, such as smoking or drinking. Moreover, if peers are depressed, other peers are more likely to develop depression as well. (</w:t>
      </w:r>
      <w:proofErr w:type="spellStart"/>
      <w:r w:rsidRPr="00F073E5">
        <w:t>Lundborg</w:t>
      </w:r>
      <w:proofErr w:type="spellEnd"/>
      <w:r w:rsidRPr="00F073E5">
        <w:t xml:space="preserve"> &amp; </w:t>
      </w:r>
      <w:proofErr w:type="spellStart"/>
      <w:r w:rsidRPr="00F073E5">
        <w:t>Majlesi</w:t>
      </w:r>
      <w:proofErr w:type="spellEnd"/>
      <w:r w:rsidRPr="00F073E5">
        <w:t xml:space="preserve">, 2018; </w:t>
      </w:r>
      <w:proofErr w:type="spellStart"/>
      <w:r w:rsidRPr="00F073E5">
        <w:t>Kemptner</w:t>
      </w:r>
      <w:proofErr w:type="spellEnd"/>
      <w:r w:rsidRPr="00F073E5">
        <w:t xml:space="preserve"> et al., 2011; Amin et al., 2013). On the other hand, the control of parents’ education was ignored in this paper because it lacks a number of observations to estimate. The parent is not the main factor that affects the educational level of children, but it can still influence children’s health behaviors in an unobservable way such as out-of-school life (Rawlings, 2015; Cui et al., 2019). Finally, despite these limitations, the identification strategies and empirical results in this paper will still have an impact on further research of economic health policy</w:t>
      </w:r>
      <w:r w:rsidR="009B6CF0">
        <w:t xml:space="preserve"> to</w:t>
      </w:r>
      <w:r w:rsidRPr="00F073E5">
        <w:t xml:space="preserve"> better understand the impact of education on health in the future.</w:t>
      </w:r>
      <w:r w:rsidR="002B649D">
        <w:t xml:space="preserve"> </w:t>
      </w:r>
    </w:p>
    <w:p w14:paraId="6E10C307" w14:textId="1416DDAE" w:rsidR="00021477" w:rsidRDefault="00021477" w:rsidP="00E63330">
      <w:pPr>
        <w:spacing w:line="360" w:lineRule="auto"/>
        <w:ind w:firstLine="567"/>
        <w:jc w:val="both"/>
      </w:pPr>
    </w:p>
    <w:p w14:paraId="4C43299D" w14:textId="47A037DD" w:rsidR="00021477" w:rsidRDefault="00021477" w:rsidP="00E63330">
      <w:pPr>
        <w:spacing w:line="360" w:lineRule="auto"/>
        <w:ind w:firstLine="567"/>
        <w:jc w:val="both"/>
      </w:pPr>
    </w:p>
    <w:p w14:paraId="688BEC3B" w14:textId="5AF27032" w:rsidR="00021477" w:rsidRDefault="00021477" w:rsidP="00E63330">
      <w:pPr>
        <w:spacing w:line="360" w:lineRule="auto"/>
        <w:ind w:firstLine="567"/>
        <w:jc w:val="both"/>
      </w:pPr>
    </w:p>
    <w:p w14:paraId="3F473F96" w14:textId="1FDEA0C1" w:rsidR="00021477" w:rsidRDefault="00021477" w:rsidP="00626EF1">
      <w:pPr>
        <w:pStyle w:val="Heading1"/>
      </w:pPr>
      <w:bookmarkStart w:id="39" w:name="_Toc41312380"/>
      <w:r>
        <w:lastRenderedPageBreak/>
        <w:t>Appendix</w:t>
      </w:r>
      <w:bookmarkEnd w:id="39"/>
    </w:p>
    <w:p w14:paraId="3AC9DD7C" w14:textId="77777777" w:rsidR="00626EF1" w:rsidRPr="00626EF1" w:rsidRDefault="00626EF1" w:rsidP="00626EF1"/>
    <w:p w14:paraId="0BBF6510" w14:textId="75F3CED0" w:rsidR="00021477" w:rsidRDefault="00021477" w:rsidP="00626EF1">
      <w:pPr>
        <w:spacing w:line="240" w:lineRule="auto"/>
        <w:jc w:val="both"/>
      </w:pPr>
      <w:r>
        <w:t xml:space="preserve">Table A1. </w:t>
      </w:r>
      <w:r w:rsidRPr="00021477">
        <w:t xml:space="preserve">Results of education on </w:t>
      </w:r>
      <w:r>
        <w:t xml:space="preserve">binary </w:t>
      </w:r>
      <w:r w:rsidR="008C5726">
        <w:t xml:space="preserve">health </w:t>
      </w:r>
      <w:r>
        <w:t xml:space="preserve">variables with </w:t>
      </w:r>
      <w:proofErr w:type="spellStart"/>
      <w:r>
        <w:t>probit</w:t>
      </w:r>
      <w:proofErr w:type="spellEnd"/>
      <w:r>
        <w:t xml:space="preserve"> regression</w:t>
      </w:r>
    </w:p>
    <w:tbl>
      <w:tblPr>
        <w:tblW w:w="9103" w:type="dxa"/>
        <w:tblLook w:val="04A0" w:firstRow="1" w:lastRow="0" w:firstColumn="1" w:lastColumn="0" w:noHBand="0" w:noVBand="1"/>
      </w:tblPr>
      <w:tblGrid>
        <w:gridCol w:w="2617"/>
        <w:gridCol w:w="2117"/>
        <w:gridCol w:w="1957"/>
        <w:gridCol w:w="2412"/>
      </w:tblGrid>
      <w:tr w:rsidR="00943AB8" w:rsidRPr="00943AB8" w14:paraId="6A78C067" w14:textId="77777777" w:rsidTr="00943AB8">
        <w:trPr>
          <w:trHeight w:val="221"/>
        </w:trPr>
        <w:tc>
          <w:tcPr>
            <w:tcW w:w="2617" w:type="dxa"/>
            <w:tcBorders>
              <w:top w:val="single" w:sz="4" w:space="0" w:color="auto"/>
              <w:left w:val="nil"/>
              <w:bottom w:val="nil"/>
              <w:right w:val="nil"/>
            </w:tcBorders>
            <w:shd w:val="clear" w:color="auto" w:fill="auto"/>
            <w:noWrap/>
            <w:vAlign w:val="bottom"/>
            <w:hideMark/>
          </w:tcPr>
          <w:p w14:paraId="127B5E50" w14:textId="77777777" w:rsidR="00943AB8" w:rsidRPr="00943AB8" w:rsidRDefault="00943AB8" w:rsidP="00943AB8">
            <w:pPr>
              <w:spacing w:after="0" w:line="240" w:lineRule="auto"/>
              <w:rPr>
                <w:rFonts w:ascii="Calibri" w:eastAsia="Times New Roman" w:hAnsi="Calibri" w:cs="Calibri"/>
                <w:color w:val="000000"/>
                <w:sz w:val="22"/>
              </w:rPr>
            </w:pPr>
            <w:r w:rsidRPr="00943AB8">
              <w:rPr>
                <w:rFonts w:ascii="Calibri" w:eastAsia="Times New Roman" w:hAnsi="Calibri" w:cs="Calibri"/>
                <w:color w:val="000000"/>
                <w:sz w:val="22"/>
              </w:rPr>
              <w:t> </w:t>
            </w:r>
          </w:p>
        </w:tc>
        <w:tc>
          <w:tcPr>
            <w:tcW w:w="2116" w:type="dxa"/>
            <w:tcBorders>
              <w:top w:val="single" w:sz="4" w:space="0" w:color="auto"/>
              <w:left w:val="nil"/>
              <w:bottom w:val="nil"/>
              <w:right w:val="nil"/>
            </w:tcBorders>
            <w:shd w:val="clear" w:color="auto" w:fill="auto"/>
            <w:noWrap/>
            <w:vAlign w:val="center"/>
            <w:hideMark/>
          </w:tcPr>
          <w:p w14:paraId="21DDE9CC"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(1)</w:t>
            </w:r>
          </w:p>
        </w:tc>
        <w:tc>
          <w:tcPr>
            <w:tcW w:w="1957" w:type="dxa"/>
            <w:tcBorders>
              <w:top w:val="single" w:sz="4" w:space="0" w:color="auto"/>
              <w:left w:val="nil"/>
              <w:bottom w:val="nil"/>
              <w:right w:val="nil"/>
            </w:tcBorders>
            <w:shd w:val="clear" w:color="auto" w:fill="auto"/>
            <w:noWrap/>
            <w:vAlign w:val="center"/>
            <w:hideMark/>
          </w:tcPr>
          <w:p w14:paraId="595EFC91"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(2)</w:t>
            </w:r>
          </w:p>
        </w:tc>
        <w:tc>
          <w:tcPr>
            <w:tcW w:w="2412" w:type="dxa"/>
            <w:tcBorders>
              <w:top w:val="single" w:sz="4" w:space="0" w:color="auto"/>
              <w:left w:val="nil"/>
              <w:bottom w:val="nil"/>
              <w:right w:val="nil"/>
            </w:tcBorders>
            <w:shd w:val="clear" w:color="auto" w:fill="auto"/>
            <w:noWrap/>
            <w:vAlign w:val="center"/>
            <w:hideMark/>
          </w:tcPr>
          <w:p w14:paraId="2C0C2F21"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(3)</w:t>
            </w:r>
          </w:p>
        </w:tc>
      </w:tr>
      <w:tr w:rsidR="00943AB8" w:rsidRPr="00943AB8" w14:paraId="28CFD342" w14:textId="77777777" w:rsidTr="00943AB8">
        <w:trPr>
          <w:trHeight w:val="443"/>
        </w:trPr>
        <w:tc>
          <w:tcPr>
            <w:tcW w:w="2617" w:type="dxa"/>
            <w:tcBorders>
              <w:top w:val="nil"/>
              <w:left w:val="nil"/>
              <w:bottom w:val="nil"/>
              <w:right w:val="nil"/>
            </w:tcBorders>
            <w:shd w:val="clear" w:color="auto" w:fill="auto"/>
            <w:noWrap/>
            <w:vAlign w:val="center"/>
            <w:hideMark/>
          </w:tcPr>
          <w:p w14:paraId="357A3132" w14:textId="77777777" w:rsidR="00943AB8" w:rsidRPr="00943AB8" w:rsidRDefault="00943AB8" w:rsidP="00943AB8">
            <w:pPr>
              <w:spacing w:after="0" w:line="240" w:lineRule="auto"/>
              <w:rPr>
                <w:rFonts w:ascii="Calibri" w:eastAsia="Times New Roman" w:hAnsi="Calibri" w:cs="Calibri"/>
                <w:color w:val="000000"/>
                <w:sz w:val="22"/>
              </w:rPr>
            </w:pPr>
            <w:r w:rsidRPr="00943AB8">
              <w:rPr>
                <w:rFonts w:ascii="Calibri" w:eastAsia="Times New Roman" w:hAnsi="Calibri" w:cs="Calibri"/>
                <w:color w:val="000000"/>
                <w:sz w:val="22"/>
              </w:rPr>
              <w:t>Variables</w:t>
            </w:r>
          </w:p>
        </w:tc>
        <w:tc>
          <w:tcPr>
            <w:tcW w:w="2116" w:type="dxa"/>
            <w:tcBorders>
              <w:top w:val="nil"/>
              <w:left w:val="nil"/>
              <w:bottom w:val="single" w:sz="4" w:space="0" w:color="auto"/>
              <w:right w:val="nil"/>
            </w:tcBorders>
            <w:shd w:val="clear" w:color="auto" w:fill="auto"/>
            <w:vAlign w:val="center"/>
            <w:hideMark/>
          </w:tcPr>
          <w:p w14:paraId="2BBE15B8"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Self-reported health</w:t>
            </w:r>
          </w:p>
        </w:tc>
        <w:tc>
          <w:tcPr>
            <w:tcW w:w="1957" w:type="dxa"/>
            <w:tcBorders>
              <w:top w:val="nil"/>
              <w:left w:val="nil"/>
              <w:bottom w:val="single" w:sz="4" w:space="0" w:color="auto"/>
              <w:right w:val="nil"/>
            </w:tcBorders>
            <w:shd w:val="clear" w:color="auto" w:fill="auto"/>
            <w:noWrap/>
            <w:vAlign w:val="center"/>
            <w:hideMark/>
          </w:tcPr>
          <w:p w14:paraId="3654036B"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Smoking</w:t>
            </w:r>
          </w:p>
        </w:tc>
        <w:tc>
          <w:tcPr>
            <w:tcW w:w="2412" w:type="dxa"/>
            <w:tcBorders>
              <w:top w:val="nil"/>
              <w:left w:val="nil"/>
              <w:bottom w:val="single" w:sz="4" w:space="0" w:color="auto"/>
              <w:right w:val="nil"/>
            </w:tcBorders>
            <w:shd w:val="clear" w:color="auto" w:fill="auto"/>
            <w:vAlign w:val="center"/>
            <w:hideMark/>
          </w:tcPr>
          <w:p w14:paraId="5013F5F7"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Physical activity</w:t>
            </w:r>
          </w:p>
        </w:tc>
      </w:tr>
      <w:tr w:rsidR="00943AB8" w:rsidRPr="00943AB8" w14:paraId="76F6B92C" w14:textId="77777777" w:rsidTr="00943AB8">
        <w:trPr>
          <w:trHeight w:val="221"/>
        </w:trPr>
        <w:tc>
          <w:tcPr>
            <w:tcW w:w="4734" w:type="dxa"/>
            <w:gridSpan w:val="2"/>
            <w:tcBorders>
              <w:top w:val="single" w:sz="4" w:space="0" w:color="auto"/>
              <w:left w:val="nil"/>
              <w:bottom w:val="nil"/>
              <w:right w:val="nil"/>
            </w:tcBorders>
            <w:shd w:val="clear" w:color="auto" w:fill="auto"/>
            <w:noWrap/>
            <w:vAlign w:val="center"/>
            <w:hideMark/>
          </w:tcPr>
          <w:p w14:paraId="47E84C3D" w14:textId="77777777" w:rsidR="00943AB8" w:rsidRPr="00943AB8" w:rsidRDefault="00943AB8" w:rsidP="00943AB8">
            <w:pPr>
              <w:spacing w:after="0" w:line="240" w:lineRule="auto"/>
              <w:rPr>
                <w:rFonts w:ascii="Calibri" w:eastAsia="Times New Roman" w:hAnsi="Calibri" w:cs="Calibri"/>
                <w:b/>
                <w:bCs/>
                <w:color w:val="000000"/>
                <w:sz w:val="22"/>
              </w:rPr>
            </w:pPr>
            <w:r w:rsidRPr="00943AB8">
              <w:rPr>
                <w:rFonts w:ascii="Calibri" w:eastAsia="Times New Roman" w:hAnsi="Calibri" w:cs="Calibri"/>
                <w:b/>
                <w:bCs/>
                <w:color w:val="000000"/>
                <w:sz w:val="22"/>
              </w:rPr>
              <w:t xml:space="preserve">Panel A. </w:t>
            </w:r>
            <w:proofErr w:type="spellStart"/>
            <w:r w:rsidRPr="00943AB8">
              <w:rPr>
                <w:rFonts w:ascii="Calibri" w:eastAsia="Times New Roman" w:hAnsi="Calibri" w:cs="Calibri"/>
                <w:b/>
                <w:bCs/>
                <w:color w:val="000000"/>
                <w:sz w:val="22"/>
              </w:rPr>
              <w:t>Probit</w:t>
            </w:r>
            <w:proofErr w:type="spellEnd"/>
            <w:r w:rsidRPr="00943AB8">
              <w:rPr>
                <w:rFonts w:ascii="Calibri" w:eastAsia="Times New Roman" w:hAnsi="Calibri" w:cs="Calibri"/>
                <w:b/>
                <w:bCs/>
                <w:color w:val="000000"/>
                <w:sz w:val="22"/>
              </w:rPr>
              <w:t xml:space="preserve"> Estimation</w:t>
            </w:r>
          </w:p>
        </w:tc>
        <w:tc>
          <w:tcPr>
            <w:tcW w:w="1957" w:type="dxa"/>
            <w:tcBorders>
              <w:top w:val="nil"/>
              <w:left w:val="nil"/>
              <w:bottom w:val="nil"/>
              <w:right w:val="nil"/>
            </w:tcBorders>
            <w:shd w:val="clear" w:color="auto" w:fill="auto"/>
            <w:noWrap/>
            <w:vAlign w:val="bottom"/>
            <w:hideMark/>
          </w:tcPr>
          <w:p w14:paraId="35C1A204" w14:textId="77777777" w:rsidR="00943AB8" w:rsidRPr="00943AB8" w:rsidRDefault="00943AB8" w:rsidP="00943AB8">
            <w:pPr>
              <w:spacing w:after="0" w:line="240" w:lineRule="auto"/>
              <w:rPr>
                <w:rFonts w:ascii="Calibri" w:eastAsia="Times New Roman" w:hAnsi="Calibri" w:cs="Calibri"/>
                <w:b/>
                <w:bCs/>
                <w:color w:val="000000"/>
                <w:sz w:val="22"/>
              </w:rPr>
            </w:pPr>
          </w:p>
        </w:tc>
        <w:tc>
          <w:tcPr>
            <w:tcW w:w="2412" w:type="dxa"/>
            <w:tcBorders>
              <w:top w:val="nil"/>
              <w:left w:val="nil"/>
              <w:bottom w:val="nil"/>
              <w:right w:val="nil"/>
            </w:tcBorders>
            <w:shd w:val="clear" w:color="auto" w:fill="auto"/>
            <w:noWrap/>
            <w:vAlign w:val="bottom"/>
            <w:hideMark/>
          </w:tcPr>
          <w:p w14:paraId="607155D5" w14:textId="77777777" w:rsidR="00943AB8" w:rsidRPr="00943AB8" w:rsidRDefault="00943AB8" w:rsidP="00943AB8">
            <w:pPr>
              <w:spacing w:after="0" w:line="240" w:lineRule="auto"/>
              <w:rPr>
                <w:rFonts w:eastAsia="Times New Roman" w:cs="Times New Roman"/>
                <w:sz w:val="20"/>
                <w:szCs w:val="20"/>
              </w:rPr>
            </w:pPr>
          </w:p>
        </w:tc>
      </w:tr>
      <w:tr w:rsidR="00943AB8" w:rsidRPr="00943AB8" w14:paraId="527AB024" w14:textId="77777777" w:rsidTr="00943AB8">
        <w:trPr>
          <w:trHeight w:val="221"/>
        </w:trPr>
        <w:tc>
          <w:tcPr>
            <w:tcW w:w="2617" w:type="dxa"/>
            <w:tcBorders>
              <w:top w:val="nil"/>
              <w:left w:val="nil"/>
              <w:bottom w:val="nil"/>
              <w:right w:val="nil"/>
            </w:tcBorders>
            <w:shd w:val="clear" w:color="auto" w:fill="auto"/>
            <w:noWrap/>
            <w:vAlign w:val="center"/>
            <w:hideMark/>
          </w:tcPr>
          <w:p w14:paraId="722AC34B" w14:textId="77777777" w:rsidR="00943AB8" w:rsidRPr="00943AB8" w:rsidRDefault="00943AB8" w:rsidP="00943AB8">
            <w:pPr>
              <w:spacing w:after="0" w:line="240" w:lineRule="auto"/>
              <w:rPr>
                <w:rFonts w:ascii="Calibri" w:eastAsia="Times New Roman" w:hAnsi="Calibri" w:cs="Calibri"/>
                <w:color w:val="000000"/>
                <w:sz w:val="22"/>
              </w:rPr>
            </w:pPr>
            <w:r w:rsidRPr="00943AB8">
              <w:rPr>
                <w:rFonts w:ascii="Calibri" w:eastAsia="Times New Roman" w:hAnsi="Calibri" w:cs="Calibri"/>
                <w:color w:val="000000"/>
                <w:sz w:val="22"/>
              </w:rPr>
              <w:t>Years of education</w:t>
            </w:r>
          </w:p>
        </w:tc>
        <w:tc>
          <w:tcPr>
            <w:tcW w:w="2116" w:type="dxa"/>
            <w:tcBorders>
              <w:top w:val="nil"/>
              <w:left w:val="nil"/>
              <w:bottom w:val="nil"/>
              <w:right w:val="nil"/>
            </w:tcBorders>
            <w:shd w:val="clear" w:color="auto" w:fill="auto"/>
            <w:noWrap/>
            <w:vAlign w:val="center"/>
            <w:hideMark/>
          </w:tcPr>
          <w:p w14:paraId="6D930D41"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0.0206***</w:t>
            </w:r>
          </w:p>
        </w:tc>
        <w:tc>
          <w:tcPr>
            <w:tcW w:w="1957" w:type="dxa"/>
            <w:tcBorders>
              <w:top w:val="nil"/>
              <w:left w:val="nil"/>
              <w:bottom w:val="nil"/>
              <w:right w:val="nil"/>
            </w:tcBorders>
            <w:shd w:val="clear" w:color="auto" w:fill="auto"/>
            <w:noWrap/>
            <w:vAlign w:val="center"/>
            <w:hideMark/>
          </w:tcPr>
          <w:p w14:paraId="3D705DF1"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-0.0296***</w:t>
            </w:r>
          </w:p>
        </w:tc>
        <w:tc>
          <w:tcPr>
            <w:tcW w:w="2412" w:type="dxa"/>
            <w:tcBorders>
              <w:top w:val="nil"/>
              <w:left w:val="nil"/>
              <w:bottom w:val="nil"/>
              <w:right w:val="nil"/>
            </w:tcBorders>
            <w:shd w:val="clear" w:color="auto" w:fill="auto"/>
            <w:noWrap/>
            <w:vAlign w:val="center"/>
            <w:hideMark/>
          </w:tcPr>
          <w:p w14:paraId="1AD0AC9D"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0.0805***</w:t>
            </w:r>
          </w:p>
        </w:tc>
      </w:tr>
      <w:tr w:rsidR="00943AB8" w:rsidRPr="00943AB8" w14:paraId="1D14E93D" w14:textId="77777777" w:rsidTr="00943AB8">
        <w:trPr>
          <w:trHeight w:val="221"/>
        </w:trPr>
        <w:tc>
          <w:tcPr>
            <w:tcW w:w="2617" w:type="dxa"/>
            <w:tcBorders>
              <w:top w:val="nil"/>
              <w:left w:val="nil"/>
              <w:bottom w:val="nil"/>
              <w:right w:val="nil"/>
            </w:tcBorders>
            <w:shd w:val="clear" w:color="auto" w:fill="auto"/>
            <w:noWrap/>
            <w:vAlign w:val="center"/>
            <w:hideMark/>
          </w:tcPr>
          <w:p w14:paraId="47C43C41" w14:textId="77777777" w:rsidR="00943AB8" w:rsidRPr="00943AB8" w:rsidRDefault="00943AB8" w:rsidP="00943AB8">
            <w:pPr>
              <w:spacing w:after="0" w:line="240" w:lineRule="auto"/>
              <w:jc w:val="center"/>
              <w:rPr>
                <w:rFonts w:ascii="Calibri" w:eastAsia="Times New Roman" w:hAnsi="Calibri" w:cs="Calibri"/>
                <w:color w:val="000000"/>
                <w:sz w:val="22"/>
              </w:rPr>
            </w:pPr>
          </w:p>
        </w:tc>
        <w:tc>
          <w:tcPr>
            <w:tcW w:w="2116" w:type="dxa"/>
            <w:tcBorders>
              <w:top w:val="nil"/>
              <w:left w:val="nil"/>
              <w:bottom w:val="nil"/>
              <w:right w:val="nil"/>
            </w:tcBorders>
            <w:shd w:val="clear" w:color="auto" w:fill="auto"/>
            <w:noWrap/>
            <w:vAlign w:val="center"/>
            <w:hideMark/>
          </w:tcPr>
          <w:p w14:paraId="4E486806"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(0.0044)</w:t>
            </w:r>
          </w:p>
        </w:tc>
        <w:tc>
          <w:tcPr>
            <w:tcW w:w="1957" w:type="dxa"/>
            <w:tcBorders>
              <w:top w:val="nil"/>
              <w:left w:val="nil"/>
              <w:bottom w:val="nil"/>
              <w:right w:val="nil"/>
            </w:tcBorders>
            <w:shd w:val="clear" w:color="auto" w:fill="auto"/>
            <w:noWrap/>
            <w:vAlign w:val="center"/>
            <w:hideMark/>
          </w:tcPr>
          <w:p w14:paraId="4ACB82EC"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(0.0057)</w:t>
            </w:r>
          </w:p>
        </w:tc>
        <w:tc>
          <w:tcPr>
            <w:tcW w:w="2412" w:type="dxa"/>
            <w:tcBorders>
              <w:top w:val="nil"/>
              <w:left w:val="nil"/>
              <w:bottom w:val="nil"/>
              <w:right w:val="nil"/>
            </w:tcBorders>
            <w:shd w:val="clear" w:color="auto" w:fill="auto"/>
            <w:noWrap/>
            <w:vAlign w:val="center"/>
            <w:hideMark/>
          </w:tcPr>
          <w:p w14:paraId="7C6A8247"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(0.0054)</w:t>
            </w:r>
          </w:p>
        </w:tc>
      </w:tr>
      <w:tr w:rsidR="00943AB8" w:rsidRPr="00943AB8" w14:paraId="3192C991" w14:textId="77777777" w:rsidTr="00943AB8">
        <w:trPr>
          <w:trHeight w:val="221"/>
        </w:trPr>
        <w:tc>
          <w:tcPr>
            <w:tcW w:w="2617" w:type="dxa"/>
            <w:tcBorders>
              <w:top w:val="nil"/>
              <w:left w:val="nil"/>
              <w:bottom w:val="nil"/>
              <w:right w:val="nil"/>
            </w:tcBorders>
            <w:shd w:val="clear" w:color="auto" w:fill="auto"/>
            <w:noWrap/>
            <w:vAlign w:val="center"/>
            <w:hideMark/>
          </w:tcPr>
          <w:p w14:paraId="46447DFC" w14:textId="77777777" w:rsidR="00943AB8" w:rsidRPr="00943AB8" w:rsidRDefault="00943AB8" w:rsidP="00943AB8">
            <w:pPr>
              <w:spacing w:after="0" w:line="240" w:lineRule="auto"/>
              <w:jc w:val="center"/>
              <w:rPr>
                <w:rFonts w:ascii="Calibri" w:eastAsia="Times New Roman" w:hAnsi="Calibri" w:cs="Calibri"/>
                <w:color w:val="000000"/>
                <w:sz w:val="22"/>
              </w:rPr>
            </w:pPr>
          </w:p>
        </w:tc>
        <w:tc>
          <w:tcPr>
            <w:tcW w:w="2116" w:type="dxa"/>
            <w:tcBorders>
              <w:top w:val="nil"/>
              <w:left w:val="nil"/>
              <w:bottom w:val="nil"/>
              <w:right w:val="nil"/>
            </w:tcBorders>
            <w:shd w:val="clear" w:color="auto" w:fill="auto"/>
            <w:noWrap/>
            <w:vAlign w:val="center"/>
            <w:hideMark/>
          </w:tcPr>
          <w:p w14:paraId="4CA2088F" w14:textId="77777777" w:rsidR="00943AB8" w:rsidRPr="00943AB8" w:rsidRDefault="00943AB8" w:rsidP="00943AB8">
            <w:pPr>
              <w:spacing w:after="0" w:line="240" w:lineRule="auto"/>
              <w:rPr>
                <w:rFonts w:eastAsia="Times New Roman" w:cs="Times New Roman"/>
                <w:sz w:val="20"/>
                <w:szCs w:val="20"/>
              </w:rPr>
            </w:pPr>
          </w:p>
        </w:tc>
        <w:tc>
          <w:tcPr>
            <w:tcW w:w="1957" w:type="dxa"/>
            <w:tcBorders>
              <w:top w:val="nil"/>
              <w:left w:val="nil"/>
              <w:bottom w:val="nil"/>
              <w:right w:val="nil"/>
            </w:tcBorders>
            <w:shd w:val="clear" w:color="auto" w:fill="auto"/>
            <w:noWrap/>
            <w:vAlign w:val="center"/>
            <w:hideMark/>
          </w:tcPr>
          <w:p w14:paraId="7F2F31E2" w14:textId="77777777" w:rsidR="00943AB8" w:rsidRPr="00943AB8" w:rsidRDefault="00943AB8" w:rsidP="00943AB8">
            <w:pPr>
              <w:spacing w:after="0" w:line="240" w:lineRule="auto"/>
              <w:jc w:val="center"/>
              <w:rPr>
                <w:rFonts w:eastAsia="Times New Roman" w:cs="Times New Roman"/>
                <w:sz w:val="20"/>
                <w:szCs w:val="20"/>
              </w:rPr>
            </w:pPr>
          </w:p>
        </w:tc>
        <w:tc>
          <w:tcPr>
            <w:tcW w:w="2412" w:type="dxa"/>
            <w:tcBorders>
              <w:top w:val="nil"/>
              <w:left w:val="nil"/>
              <w:bottom w:val="nil"/>
              <w:right w:val="nil"/>
            </w:tcBorders>
            <w:shd w:val="clear" w:color="auto" w:fill="auto"/>
            <w:noWrap/>
            <w:vAlign w:val="center"/>
            <w:hideMark/>
          </w:tcPr>
          <w:p w14:paraId="5099A66F" w14:textId="77777777" w:rsidR="00943AB8" w:rsidRPr="00943AB8" w:rsidRDefault="00943AB8" w:rsidP="00943AB8">
            <w:pPr>
              <w:spacing w:after="0" w:line="240" w:lineRule="auto"/>
              <w:jc w:val="center"/>
              <w:rPr>
                <w:rFonts w:eastAsia="Times New Roman" w:cs="Times New Roman"/>
                <w:sz w:val="20"/>
                <w:szCs w:val="20"/>
              </w:rPr>
            </w:pPr>
          </w:p>
        </w:tc>
      </w:tr>
      <w:tr w:rsidR="00943AB8" w:rsidRPr="00943AB8" w14:paraId="5E11DEB6" w14:textId="77777777" w:rsidTr="00943AB8">
        <w:trPr>
          <w:trHeight w:val="443"/>
        </w:trPr>
        <w:tc>
          <w:tcPr>
            <w:tcW w:w="2617" w:type="dxa"/>
            <w:tcBorders>
              <w:top w:val="nil"/>
              <w:left w:val="nil"/>
              <w:bottom w:val="nil"/>
              <w:right w:val="nil"/>
            </w:tcBorders>
            <w:shd w:val="clear" w:color="auto" w:fill="auto"/>
            <w:vAlign w:val="center"/>
            <w:hideMark/>
          </w:tcPr>
          <w:p w14:paraId="674B7FF6" w14:textId="77777777" w:rsidR="00943AB8" w:rsidRPr="00943AB8" w:rsidRDefault="00943AB8" w:rsidP="00943AB8">
            <w:pPr>
              <w:spacing w:after="0" w:line="240" w:lineRule="auto"/>
              <w:rPr>
                <w:rFonts w:ascii="Calibri" w:eastAsia="Times New Roman" w:hAnsi="Calibri" w:cs="Calibri"/>
                <w:color w:val="000000"/>
                <w:sz w:val="22"/>
              </w:rPr>
            </w:pPr>
            <w:r w:rsidRPr="00943AB8">
              <w:rPr>
                <w:rFonts w:ascii="Calibri" w:eastAsia="Times New Roman" w:hAnsi="Calibri" w:cs="Calibri"/>
                <w:color w:val="000000"/>
                <w:sz w:val="22"/>
              </w:rPr>
              <w:t>Marginal effect of years of education</w:t>
            </w:r>
          </w:p>
        </w:tc>
        <w:tc>
          <w:tcPr>
            <w:tcW w:w="2116" w:type="dxa"/>
            <w:tcBorders>
              <w:top w:val="nil"/>
              <w:left w:val="nil"/>
              <w:bottom w:val="nil"/>
              <w:right w:val="nil"/>
            </w:tcBorders>
            <w:shd w:val="clear" w:color="auto" w:fill="auto"/>
            <w:noWrap/>
            <w:vAlign w:val="center"/>
            <w:hideMark/>
          </w:tcPr>
          <w:p w14:paraId="5678FAB9"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0.0067***</w:t>
            </w:r>
          </w:p>
        </w:tc>
        <w:tc>
          <w:tcPr>
            <w:tcW w:w="1957" w:type="dxa"/>
            <w:tcBorders>
              <w:top w:val="nil"/>
              <w:left w:val="nil"/>
              <w:bottom w:val="nil"/>
              <w:right w:val="nil"/>
            </w:tcBorders>
            <w:shd w:val="clear" w:color="auto" w:fill="auto"/>
            <w:noWrap/>
            <w:vAlign w:val="center"/>
            <w:hideMark/>
          </w:tcPr>
          <w:p w14:paraId="7A377CCC"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-0.0057***</w:t>
            </w:r>
          </w:p>
        </w:tc>
        <w:tc>
          <w:tcPr>
            <w:tcW w:w="2412" w:type="dxa"/>
            <w:tcBorders>
              <w:top w:val="nil"/>
              <w:left w:val="nil"/>
              <w:bottom w:val="nil"/>
              <w:right w:val="nil"/>
            </w:tcBorders>
            <w:shd w:val="clear" w:color="auto" w:fill="auto"/>
            <w:noWrap/>
            <w:vAlign w:val="center"/>
            <w:hideMark/>
          </w:tcPr>
          <w:p w14:paraId="3DBB8609"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0.0194***</w:t>
            </w:r>
          </w:p>
        </w:tc>
      </w:tr>
      <w:tr w:rsidR="00943AB8" w:rsidRPr="00943AB8" w14:paraId="13BFF8D0" w14:textId="77777777" w:rsidTr="00943AB8">
        <w:trPr>
          <w:trHeight w:val="221"/>
        </w:trPr>
        <w:tc>
          <w:tcPr>
            <w:tcW w:w="2617" w:type="dxa"/>
            <w:tcBorders>
              <w:top w:val="nil"/>
              <w:left w:val="nil"/>
              <w:bottom w:val="nil"/>
              <w:right w:val="nil"/>
            </w:tcBorders>
            <w:shd w:val="clear" w:color="auto" w:fill="auto"/>
            <w:noWrap/>
            <w:vAlign w:val="bottom"/>
            <w:hideMark/>
          </w:tcPr>
          <w:p w14:paraId="6E99C4FB" w14:textId="77777777" w:rsidR="00943AB8" w:rsidRPr="00943AB8" w:rsidRDefault="00943AB8" w:rsidP="00943AB8">
            <w:pPr>
              <w:spacing w:after="0" w:line="240" w:lineRule="auto"/>
              <w:jc w:val="center"/>
              <w:rPr>
                <w:rFonts w:ascii="Calibri" w:eastAsia="Times New Roman" w:hAnsi="Calibri" w:cs="Calibri"/>
                <w:color w:val="000000"/>
                <w:sz w:val="22"/>
              </w:rPr>
            </w:pPr>
          </w:p>
        </w:tc>
        <w:tc>
          <w:tcPr>
            <w:tcW w:w="2116" w:type="dxa"/>
            <w:tcBorders>
              <w:top w:val="nil"/>
              <w:left w:val="nil"/>
              <w:bottom w:val="nil"/>
              <w:right w:val="nil"/>
            </w:tcBorders>
            <w:shd w:val="clear" w:color="auto" w:fill="auto"/>
            <w:noWrap/>
            <w:vAlign w:val="center"/>
            <w:hideMark/>
          </w:tcPr>
          <w:p w14:paraId="1C26BB5C"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(0.0014)</w:t>
            </w:r>
          </w:p>
        </w:tc>
        <w:tc>
          <w:tcPr>
            <w:tcW w:w="1957" w:type="dxa"/>
            <w:tcBorders>
              <w:top w:val="nil"/>
              <w:left w:val="nil"/>
              <w:bottom w:val="nil"/>
              <w:right w:val="nil"/>
            </w:tcBorders>
            <w:shd w:val="clear" w:color="auto" w:fill="auto"/>
            <w:noWrap/>
            <w:vAlign w:val="center"/>
            <w:hideMark/>
          </w:tcPr>
          <w:p w14:paraId="14EE7ABD"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(.0011)</w:t>
            </w:r>
          </w:p>
        </w:tc>
        <w:tc>
          <w:tcPr>
            <w:tcW w:w="2412" w:type="dxa"/>
            <w:tcBorders>
              <w:top w:val="nil"/>
              <w:left w:val="nil"/>
              <w:bottom w:val="nil"/>
              <w:right w:val="nil"/>
            </w:tcBorders>
            <w:shd w:val="clear" w:color="auto" w:fill="auto"/>
            <w:noWrap/>
            <w:vAlign w:val="center"/>
            <w:hideMark/>
          </w:tcPr>
          <w:p w14:paraId="1BE74E9F"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(0.0013)</w:t>
            </w:r>
          </w:p>
        </w:tc>
      </w:tr>
      <w:tr w:rsidR="00943AB8" w:rsidRPr="00943AB8" w14:paraId="7BEAC00B" w14:textId="77777777" w:rsidTr="00943AB8">
        <w:trPr>
          <w:trHeight w:val="221"/>
        </w:trPr>
        <w:tc>
          <w:tcPr>
            <w:tcW w:w="2617" w:type="dxa"/>
            <w:tcBorders>
              <w:top w:val="nil"/>
              <w:left w:val="nil"/>
              <w:bottom w:val="nil"/>
              <w:right w:val="nil"/>
            </w:tcBorders>
            <w:shd w:val="clear" w:color="auto" w:fill="auto"/>
            <w:noWrap/>
            <w:vAlign w:val="bottom"/>
            <w:hideMark/>
          </w:tcPr>
          <w:p w14:paraId="46B90F3D" w14:textId="77777777" w:rsidR="00943AB8" w:rsidRPr="00943AB8" w:rsidRDefault="00943AB8" w:rsidP="00943AB8">
            <w:pPr>
              <w:spacing w:after="0" w:line="240" w:lineRule="auto"/>
              <w:jc w:val="center"/>
              <w:rPr>
                <w:rFonts w:ascii="Calibri" w:eastAsia="Times New Roman" w:hAnsi="Calibri" w:cs="Calibri"/>
                <w:color w:val="000000"/>
                <w:sz w:val="22"/>
              </w:rPr>
            </w:pPr>
          </w:p>
        </w:tc>
        <w:tc>
          <w:tcPr>
            <w:tcW w:w="2116" w:type="dxa"/>
            <w:tcBorders>
              <w:top w:val="nil"/>
              <w:left w:val="nil"/>
              <w:bottom w:val="nil"/>
              <w:right w:val="nil"/>
            </w:tcBorders>
            <w:shd w:val="clear" w:color="auto" w:fill="auto"/>
            <w:noWrap/>
            <w:vAlign w:val="center"/>
            <w:hideMark/>
          </w:tcPr>
          <w:p w14:paraId="448A8288" w14:textId="77777777" w:rsidR="00943AB8" w:rsidRPr="00943AB8" w:rsidRDefault="00943AB8" w:rsidP="00943AB8">
            <w:pPr>
              <w:spacing w:after="0" w:line="240" w:lineRule="auto"/>
              <w:rPr>
                <w:rFonts w:eastAsia="Times New Roman" w:cs="Times New Roman"/>
                <w:sz w:val="20"/>
                <w:szCs w:val="20"/>
              </w:rPr>
            </w:pPr>
          </w:p>
        </w:tc>
        <w:tc>
          <w:tcPr>
            <w:tcW w:w="1957" w:type="dxa"/>
            <w:tcBorders>
              <w:top w:val="nil"/>
              <w:left w:val="nil"/>
              <w:bottom w:val="single" w:sz="4" w:space="0" w:color="auto"/>
              <w:right w:val="nil"/>
            </w:tcBorders>
            <w:shd w:val="clear" w:color="auto" w:fill="auto"/>
            <w:noWrap/>
            <w:vAlign w:val="bottom"/>
            <w:hideMark/>
          </w:tcPr>
          <w:p w14:paraId="10BE806A" w14:textId="77777777" w:rsidR="00943AB8" w:rsidRPr="00943AB8" w:rsidRDefault="00943AB8" w:rsidP="00943AB8">
            <w:pPr>
              <w:spacing w:after="0" w:line="240" w:lineRule="auto"/>
              <w:rPr>
                <w:rFonts w:ascii="Calibri" w:eastAsia="Times New Roman" w:hAnsi="Calibri" w:cs="Calibri"/>
                <w:color w:val="000000"/>
                <w:sz w:val="22"/>
              </w:rPr>
            </w:pPr>
            <w:r w:rsidRPr="00943AB8">
              <w:rPr>
                <w:rFonts w:ascii="Calibri" w:eastAsia="Times New Roman" w:hAnsi="Calibri" w:cs="Calibri"/>
                <w:color w:val="000000"/>
                <w:sz w:val="22"/>
              </w:rPr>
              <w:t> </w:t>
            </w:r>
          </w:p>
        </w:tc>
        <w:tc>
          <w:tcPr>
            <w:tcW w:w="2412" w:type="dxa"/>
            <w:tcBorders>
              <w:top w:val="nil"/>
              <w:left w:val="nil"/>
              <w:bottom w:val="single" w:sz="4" w:space="0" w:color="auto"/>
              <w:right w:val="nil"/>
            </w:tcBorders>
            <w:shd w:val="clear" w:color="auto" w:fill="auto"/>
            <w:noWrap/>
            <w:vAlign w:val="bottom"/>
            <w:hideMark/>
          </w:tcPr>
          <w:p w14:paraId="77511049" w14:textId="77777777" w:rsidR="00943AB8" w:rsidRPr="00943AB8" w:rsidRDefault="00943AB8" w:rsidP="00943AB8">
            <w:pPr>
              <w:spacing w:after="0" w:line="240" w:lineRule="auto"/>
              <w:rPr>
                <w:rFonts w:ascii="Calibri" w:eastAsia="Times New Roman" w:hAnsi="Calibri" w:cs="Calibri"/>
                <w:color w:val="000000"/>
                <w:sz w:val="22"/>
              </w:rPr>
            </w:pPr>
            <w:r w:rsidRPr="00943AB8">
              <w:rPr>
                <w:rFonts w:ascii="Calibri" w:eastAsia="Times New Roman" w:hAnsi="Calibri" w:cs="Calibri"/>
                <w:color w:val="000000"/>
                <w:sz w:val="22"/>
              </w:rPr>
              <w:t> </w:t>
            </w:r>
          </w:p>
        </w:tc>
      </w:tr>
      <w:tr w:rsidR="00943AB8" w:rsidRPr="00943AB8" w14:paraId="43606CA7" w14:textId="77777777" w:rsidTr="00943AB8">
        <w:trPr>
          <w:trHeight w:val="221"/>
        </w:trPr>
        <w:tc>
          <w:tcPr>
            <w:tcW w:w="4734" w:type="dxa"/>
            <w:gridSpan w:val="2"/>
            <w:tcBorders>
              <w:top w:val="single" w:sz="4" w:space="0" w:color="auto"/>
              <w:left w:val="nil"/>
              <w:bottom w:val="nil"/>
              <w:right w:val="nil"/>
            </w:tcBorders>
            <w:shd w:val="clear" w:color="auto" w:fill="auto"/>
            <w:noWrap/>
            <w:vAlign w:val="center"/>
            <w:hideMark/>
          </w:tcPr>
          <w:p w14:paraId="77D66C31" w14:textId="77777777" w:rsidR="00943AB8" w:rsidRPr="00943AB8" w:rsidRDefault="00943AB8" w:rsidP="00943AB8">
            <w:pPr>
              <w:spacing w:after="0" w:line="240" w:lineRule="auto"/>
              <w:rPr>
                <w:rFonts w:ascii="Calibri" w:eastAsia="Times New Roman" w:hAnsi="Calibri" w:cs="Calibri"/>
                <w:b/>
                <w:bCs/>
                <w:color w:val="000000"/>
                <w:sz w:val="22"/>
              </w:rPr>
            </w:pPr>
            <w:r w:rsidRPr="00943AB8">
              <w:rPr>
                <w:rFonts w:ascii="Calibri" w:eastAsia="Times New Roman" w:hAnsi="Calibri" w:cs="Calibri"/>
                <w:b/>
                <w:bCs/>
                <w:color w:val="000000"/>
                <w:sz w:val="22"/>
              </w:rPr>
              <w:t xml:space="preserve">Panel B. </w:t>
            </w:r>
            <w:proofErr w:type="spellStart"/>
            <w:r w:rsidRPr="00943AB8">
              <w:rPr>
                <w:rFonts w:ascii="Calibri" w:eastAsia="Times New Roman" w:hAnsi="Calibri" w:cs="Calibri"/>
                <w:b/>
                <w:bCs/>
                <w:color w:val="000000"/>
                <w:sz w:val="22"/>
              </w:rPr>
              <w:t>Probit</w:t>
            </w:r>
            <w:proofErr w:type="spellEnd"/>
            <w:r w:rsidRPr="00943AB8">
              <w:rPr>
                <w:rFonts w:ascii="Calibri" w:eastAsia="Times New Roman" w:hAnsi="Calibri" w:cs="Calibri"/>
                <w:b/>
                <w:bCs/>
                <w:color w:val="000000"/>
                <w:sz w:val="22"/>
              </w:rPr>
              <w:t xml:space="preserve"> IV Estimation</w:t>
            </w:r>
          </w:p>
        </w:tc>
        <w:tc>
          <w:tcPr>
            <w:tcW w:w="1957" w:type="dxa"/>
            <w:tcBorders>
              <w:top w:val="nil"/>
              <w:left w:val="nil"/>
              <w:bottom w:val="nil"/>
              <w:right w:val="nil"/>
            </w:tcBorders>
            <w:shd w:val="clear" w:color="auto" w:fill="auto"/>
            <w:noWrap/>
            <w:vAlign w:val="center"/>
            <w:hideMark/>
          </w:tcPr>
          <w:p w14:paraId="780179ED" w14:textId="77777777" w:rsidR="00943AB8" w:rsidRPr="00943AB8" w:rsidRDefault="00943AB8" w:rsidP="00943AB8">
            <w:pPr>
              <w:spacing w:after="0" w:line="240" w:lineRule="auto"/>
              <w:rPr>
                <w:rFonts w:ascii="Calibri" w:eastAsia="Times New Roman" w:hAnsi="Calibri" w:cs="Calibri"/>
                <w:b/>
                <w:bCs/>
                <w:color w:val="000000"/>
                <w:sz w:val="22"/>
              </w:rPr>
            </w:pPr>
          </w:p>
        </w:tc>
        <w:tc>
          <w:tcPr>
            <w:tcW w:w="2412" w:type="dxa"/>
            <w:tcBorders>
              <w:top w:val="nil"/>
              <w:left w:val="nil"/>
              <w:bottom w:val="nil"/>
              <w:right w:val="nil"/>
            </w:tcBorders>
            <w:shd w:val="clear" w:color="auto" w:fill="auto"/>
            <w:noWrap/>
            <w:vAlign w:val="center"/>
            <w:hideMark/>
          </w:tcPr>
          <w:p w14:paraId="6BAF691D" w14:textId="77777777" w:rsidR="00943AB8" w:rsidRPr="00943AB8" w:rsidRDefault="00943AB8" w:rsidP="00943AB8">
            <w:pPr>
              <w:spacing w:after="0" w:line="240" w:lineRule="auto"/>
              <w:jc w:val="center"/>
              <w:rPr>
                <w:rFonts w:eastAsia="Times New Roman" w:cs="Times New Roman"/>
                <w:sz w:val="20"/>
                <w:szCs w:val="20"/>
              </w:rPr>
            </w:pPr>
          </w:p>
        </w:tc>
      </w:tr>
      <w:tr w:rsidR="00943AB8" w:rsidRPr="00943AB8" w14:paraId="190A69AE" w14:textId="77777777" w:rsidTr="00943AB8">
        <w:trPr>
          <w:trHeight w:val="221"/>
        </w:trPr>
        <w:tc>
          <w:tcPr>
            <w:tcW w:w="2617" w:type="dxa"/>
            <w:tcBorders>
              <w:top w:val="nil"/>
              <w:left w:val="nil"/>
              <w:bottom w:val="nil"/>
              <w:right w:val="nil"/>
            </w:tcBorders>
            <w:shd w:val="clear" w:color="auto" w:fill="auto"/>
            <w:noWrap/>
            <w:vAlign w:val="center"/>
            <w:hideMark/>
          </w:tcPr>
          <w:p w14:paraId="65352AE4" w14:textId="77777777" w:rsidR="00943AB8" w:rsidRPr="00943AB8" w:rsidRDefault="00943AB8" w:rsidP="00943AB8">
            <w:pPr>
              <w:spacing w:after="0" w:line="240" w:lineRule="auto"/>
              <w:rPr>
                <w:rFonts w:ascii="Calibri" w:eastAsia="Times New Roman" w:hAnsi="Calibri" w:cs="Calibri"/>
                <w:color w:val="000000"/>
                <w:sz w:val="22"/>
              </w:rPr>
            </w:pPr>
            <w:r w:rsidRPr="00943AB8">
              <w:rPr>
                <w:rFonts w:ascii="Calibri" w:eastAsia="Times New Roman" w:hAnsi="Calibri" w:cs="Calibri"/>
                <w:color w:val="000000"/>
                <w:sz w:val="22"/>
              </w:rPr>
              <w:t>Years of education</w:t>
            </w:r>
          </w:p>
        </w:tc>
        <w:tc>
          <w:tcPr>
            <w:tcW w:w="2116" w:type="dxa"/>
            <w:tcBorders>
              <w:top w:val="nil"/>
              <w:left w:val="nil"/>
              <w:bottom w:val="nil"/>
              <w:right w:val="nil"/>
            </w:tcBorders>
            <w:shd w:val="clear" w:color="auto" w:fill="auto"/>
            <w:noWrap/>
            <w:vAlign w:val="center"/>
            <w:hideMark/>
          </w:tcPr>
          <w:p w14:paraId="43BB6011"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0.1886**</w:t>
            </w:r>
          </w:p>
        </w:tc>
        <w:tc>
          <w:tcPr>
            <w:tcW w:w="1957" w:type="dxa"/>
            <w:tcBorders>
              <w:top w:val="nil"/>
              <w:left w:val="nil"/>
              <w:bottom w:val="nil"/>
              <w:right w:val="nil"/>
            </w:tcBorders>
            <w:shd w:val="clear" w:color="auto" w:fill="auto"/>
            <w:noWrap/>
            <w:vAlign w:val="center"/>
            <w:hideMark/>
          </w:tcPr>
          <w:p w14:paraId="066153F5"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0.0723</w:t>
            </w:r>
          </w:p>
        </w:tc>
        <w:tc>
          <w:tcPr>
            <w:tcW w:w="2412" w:type="dxa"/>
            <w:tcBorders>
              <w:top w:val="nil"/>
              <w:left w:val="nil"/>
              <w:bottom w:val="nil"/>
              <w:right w:val="nil"/>
            </w:tcBorders>
            <w:shd w:val="clear" w:color="auto" w:fill="auto"/>
            <w:noWrap/>
            <w:vAlign w:val="center"/>
            <w:hideMark/>
          </w:tcPr>
          <w:p w14:paraId="5EDE8112"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0.3980***</w:t>
            </w:r>
          </w:p>
        </w:tc>
      </w:tr>
      <w:tr w:rsidR="00943AB8" w:rsidRPr="00943AB8" w14:paraId="13E9CB6F" w14:textId="77777777" w:rsidTr="00943AB8">
        <w:trPr>
          <w:trHeight w:val="221"/>
        </w:trPr>
        <w:tc>
          <w:tcPr>
            <w:tcW w:w="2617" w:type="dxa"/>
            <w:tcBorders>
              <w:top w:val="nil"/>
              <w:left w:val="nil"/>
              <w:bottom w:val="nil"/>
              <w:right w:val="nil"/>
            </w:tcBorders>
            <w:shd w:val="clear" w:color="auto" w:fill="auto"/>
            <w:vAlign w:val="center"/>
            <w:hideMark/>
          </w:tcPr>
          <w:p w14:paraId="3F84FF65" w14:textId="77777777" w:rsidR="00943AB8" w:rsidRPr="00943AB8" w:rsidRDefault="00943AB8" w:rsidP="00943AB8">
            <w:pPr>
              <w:spacing w:after="0" w:line="240" w:lineRule="auto"/>
              <w:jc w:val="center"/>
              <w:rPr>
                <w:rFonts w:ascii="Calibri" w:eastAsia="Times New Roman" w:hAnsi="Calibri" w:cs="Calibri"/>
                <w:color w:val="000000"/>
                <w:sz w:val="22"/>
              </w:rPr>
            </w:pPr>
          </w:p>
        </w:tc>
        <w:tc>
          <w:tcPr>
            <w:tcW w:w="2116" w:type="dxa"/>
            <w:tcBorders>
              <w:top w:val="nil"/>
              <w:left w:val="nil"/>
              <w:bottom w:val="nil"/>
              <w:right w:val="nil"/>
            </w:tcBorders>
            <w:shd w:val="clear" w:color="auto" w:fill="auto"/>
            <w:noWrap/>
            <w:vAlign w:val="center"/>
            <w:hideMark/>
          </w:tcPr>
          <w:p w14:paraId="6C468E98"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(0.0902)</w:t>
            </w:r>
          </w:p>
        </w:tc>
        <w:tc>
          <w:tcPr>
            <w:tcW w:w="1957" w:type="dxa"/>
            <w:tcBorders>
              <w:top w:val="nil"/>
              <w:left w:val="nil"/>
              <w:bottom w:val="nil"/>
              <w:right w:val="nil"/>
            </w:tcBorders>
            <w:shd w:val="clear" w:color="auto" w:fill="auto"/>
            <w:noWrap/>
            <w:vAlign w:val="center"/>
            <w:hideMark/>
          </w:tcPr>
          <w:p w14:paraId="69D9534E"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(0.1179)</w:t>
            </w:r>
          </w:p>
        </w:tc>
        <w:tc>
          <w:tcPr>
            <w:tcW w:w="2412" w:type="dxa"/>
            <w:tcBorders>
              <w:top w:val="nil"/>
              <w:left w:val="nil"/>
              <w:bottom w:val="nil"/>
              <w:right w:val="nil"/>
            </w:tcBorders>
            <w:shd w:val="clear" w:color="auto" w:fill="auto"/>
            <w:noWrap/>
            <w:vAlign w:val="center"/>
            <w:hideMark/>
          </w:tcPr>
          <w:p w14:paraId="515DBB5D"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(0.1095)</w:t>
            </w:r>
          </w:p>
        </w:tc>
      </w:tr>
      <w:tr w:rsidR="00943AB8" w:rsidRPr="00943AB8" w14:paraId="0954FAA6" w14:textId="77777777" w:rsidTr="00943AB8">
        <w:trPr>
          <w:trHeight w:val="221"/>
        </w:trPr>
        <w:tc>
          <w:tcPr>
            <w:tcW w:w="2617" w:type="dxa"/>
            <w:tcBorders>
              <w:top w:val="nil"/>
              <w:left w:val="nil"/>
              <w:bottom w:val="nil"/>
              <w:right w:val="nil"/>
            </w:tcBorders>
            <w:shd w:val="clear" w:color="auto" w:fill="auto"/>
            <w:vAlign w:val="center"/>
            <w:hideMark/>
          </w:tcPr>
          <w:p w14:paraId="0B2E2357" w14:textId="77777777" w:rsidR="00943AB8" w:rsidRPr="00943AB8" w:rsidRDefault="00943AB8" w:rsidP="00943AB8">
            <w:pPr>
              <w:spacing w:after="0" w:line="240" w:lineRule="auto"/>
              <w:jc w:val="center"/>
              <w:rPr>
                <w:rFonts w:ascii="Calibri" w:eastAsia="Times New Roman" w:hAnsi="Calibri" w:cs="Calibri"/>
                <w:color w:val="000000"/>
                <w:sz w:val="22"/>
              </w:rPr>
            </w:pPr>
          </w:p>
        </w:tc>
        <w:tc>
          <w:tcPr>
            <w:tcW w:w="2116" w:type="dxa"/>
            <w:tcBorders>
              <w:top w:val="nil"/>
              <w:left w:val="nil"/>
              <w:bottom w:val="nil"/>
              <w:right w:val="nil"/>
            </w:tcBorders>
            <w:shd w:val="clear" w:color="auto" w:fill="auto"/>
            <w:noWrap/>
            <w:vAlign w:val="center"/>
            <w:hideMark/>
          </w:tcPr>
          <w:p w14:paraId="040E750F" w14:textId="77777777" w:rsidR="00943AB8" w:rsidRPr="00943AB8" w:rsidRDefault="00943AB8" w:rsidP="00943AB8">
            <w:pPr>
              <w:spacing w:after="0" w:line="240" w:lineRule="auto"/>
              <w:rPr>
                <w:rFonts w:eastAsia="Times New Roman" w:cs="Times New Roman"/>
                <w:sz w:val="20"/>
                <w:szCs w:val="20"/>
              </w:rPr>
            </w:pPr>
          </w:p>
        </w:tc>
        <w:tc>
          <w:tcPr>
            <w:tcW w:w="1957" w:type="dxa"/>
            <w:tcBorders>
              <w:top w:val="nil"/>
              <w:left w:val="nil"/>
              <w:bottom w:val="nil"/>
              <w:right w:val="nil"/>
            </w:tcBorders>
            <w:shd w:val="clear" w:color="auto" w:fill="auto"/>
            <w:noWrap/>
            <w:vAlign w:val="bottom"/>
            <w:hideMark/>
          </w:tcPr>
          <w:p w14:paraId="39AD799F" w14:textId="77777777" w:rsidR="00943AB8" w:rsidRPr="00943AB8" w:rsidRDefault="00943AB8" w:rsidP="00943AB8">
            <w:pPr>
              <w:spacing w:after="0" w:line="240" w:lineRule="auto"/>
              <w:jc w:val="center"/>
              <w:rPr>
                <w:rFonts w:eastAsia="Times New Roman" w:cs="Times New Roman"/>
                <w:sz w:val="20"/>
                <w:szCs w:val="20"/>
              </w:rPr>
            </w:pPr>
          </w:p>
        </w:tc>
        <w:tc>
          <w:tcPr>
            <w:tcW w:w="2412" w:type="dxa"/>
            <w:tcBorders>
              <w:top w:val="nil"/>
              <w:left w:val="nil"/>
              <w:bottom w:val="nil"/>
              <w:right w:val="nil"/>
            </w:tcBorders>
            <w:shd w:val="clear" w:color="auto" w:fill="auto"/>
            <w:noWrap/>
            <w:vAlign w:val="bottom"/>
            <w:hideMark/>
          </w:tcPr>
          <w:p w14:paraId="4F1F92F1" w14:textId="77777777" w:rsidR="00943AB8" w:rsidRPr="00943AB8" w:rsidRDefault="00943AB8" w:rsidP="00943AB8">
            <w:pPr>
              <w:spacing w:after="0" w:line="240" w:lineRule="auto"/>
              <w:rPr>
                <w:rFonts w:eastAsia="Times New Roman" w:cs="Times New Roman"/>
                <w:sz w:val="20"/>
                <w:szCs w:val="20"/>
              </w:rPr>
            </w:pPr>
          </w:p>
        </w:tc>
      </w:tr>
      <w:tr w:rsidR="00943AB8" w:rsidRPr="00943AB8" w14:paraId="50182901" w14:textId="77777777" w:rsidTr="00943AB8">
        <w:trPr>
          <w:trHeight w:val="443"/>
        </w:trPr>
        <w:tc>
          <w:tcPr>
            <w:tcW w:w="2617" w:type="dxa"/>
            <w:tcBorders>
              <w:top w:val="nil"/>
              <w:left w:val="nil"/>
              <w:bottom w:val="nil"/>
              <w:right w:val="nil"/>
            </w:tcBorders>
            <w:shd w:val="clear" w:color="auto" w:fill="auto"/>
            <w:vAlign w:val="center"/>
            <w:hideMark/>
          </w:tcPr>
          <w:p w14:paraId="1C2076A4" w14:textId="77777777" w:rsidR="00943AB8" w:rsidRPr="00943AB8" w:rsidRDefault="00943AB8" w:rsidP="00943AB8">
            <w:pPr>
              <w:spacing w:after="0" w:line="240" w:lineRule="auto"/>
              <w:rPr>
                <w:rFonts w:ascii="Calibri" w:eastAsia="Times New Roman" w:hAnsi="Calibri" w:cs="Calibri"/>
                <w:color w:val="000000"/>
                <w:sz w:val="22"/>
              </w:rPr>
            </w:pPr>
            <w:r w:rsidRPr="00943AB8">
              <w:rPr>
                <w:rFonts w:ascii="Calibri" w:eastAsia="Times New Roman" w:hAnsi="Calibri" w:cs="Calibri"/>
                <w:color w:val="000000"/>
                <w:sz w:val="22"/>
              </w:rPr>
              <w:t>Marginal effect of years of education</w:t>
            </w:r>
          </w:p>
        </w:tc>
        <w:tc>
          <w:tcPr>
            <w:tcW w:w="2116" w:type="dxa"/>
            <w:tcBorders>
              <w:top w:val="nil"/>
              <w:left w:val="nil"/>
              <w:bottom w:val="nil"/>
              <w:right w:val="nil"/>
            </w:tcBorders>
            <w:shd w:val="clear" w:color="auto" w:fill="auto"/>
            <w:noWrap/>
            <w:vAlign w:val="center"/>
            <w:hideMark/>
          </w:tcPr>
          <w:p w14:paraId="24743E3B"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0.0635</w:t>
            </w:r>
          </w:p>
        </w:tc>
        <w:tc>
          <w:tcPr>
            <w:tcW w:w="1957" w:type="dxa"/>
            <w:tcBorders>
              <w:top w:val="nil"/>
              <w:left w:val="nil"/>
              <w:bottom w:val="nil"/>
              <w:right w:val="nil"/>
            </w:tcBorders>
            <w:shd w:val="clear" w:color="auto" w:fill="auto"/>
            <w:noWrap/>
            <w:vAlign w:val="center"/>
            <w:hideMark/>
          </w:tcPr>
          <w:p w14:paraId="1A84304F"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0.0149</w:t>
            </w:r>
          </w:p>
        </w:tc>
        <w:tc>
          <w:tcPr>
            <w:tcW w:w="2412" w:type="dxa"/>
            <w:tcBorders>
              <w:top w:val="nil"/>
              <w:left w:val="nil"/>
              <w:bottom w:val="nil"/>
              <w:right w:val="nil"/>
            </w:tcBorders>
            <w:shd w:val="clear" w:color="auto" w:fill="auto"/>
            <w:noWrap/>
            <w:vAlign w:val="center"/>
            <w:hideMark/>
          </w:tcPr>
          <w:p w14:paraId="5C3DF621"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0.1016***</w:t>
            </w:r>
          </w:p>
        </w:tc>
      </w:tr>
      <w:tr w:rsidR="00943AB8" w:rsidRPr="00943AB8" w14:paraId="68257E4C" w14:textId="77777777" w:rsidTr="00943AB8">
        <w:trPr>
          <w:trHeight w:val="221"/>
        </w:trPr>
        <w:tc>
          <w:tcPr>
            <w:tcW w:w="2617" w:type="dxa"/>
            <w:tcBorders>
              <w:top w:val="nil"/>
              <w:left w:val="nil"/>
              <w:bottom w:val="nil"/>
              <w:right w:val="nil"/>
            </w:tcBorders>
            <w:shd w:val="clear" w:color="auto" w:fill="auto"/>
            <w:noWrap/>
            <w:vAlign w:val="center"/>
            <w:hideMark/>
          </w:tcPr>
          <w:p w14:paraId="49E9DD1C" w14:textId="77777777" w:rsidR="00943AB8" w:rsidRPr="00943AB8" w:rsidRDefault="00943AB8" w:rsidP="00943AB8">
            <w:pPr>
              <w:spacing w:after="0" w:line="240" w:lineRule="auto"/>
              <w:jc w:val="center"/>
              <w:rPr>
                <w:rFonts w:ascii="Calibri" w:eastAsia="Times New Roman" w:hAnsi="Calibri" w:cs="Calibri"/>
                <w:color w:val="000000"/>
                <w:sz w:val="22"/>
              </w:rPr>
            </w:pPr>
          </w:p>
        </w:tc>
        <w:tc>
          <w:tcPr>
            <w:tcW w:w="2116" w:type="dxa"/>
            <w:tcBorders>
              <w:top w:val="nil"/>
              <w:left w:val="nil"/>
              <w:bottom w:val="nil"/>
              <w:right w:val="nil"/>
            </w:tcBorders>
            <w:shd w:val="clear" w:color="auto" w:fill="auto"/>
            <w:noWrap/>
            <w:vAlign w:val="center"/>
            <w:hideMark/>
          </w:tcPr>
          <w:p w14:paraId="2BD45B88"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(0.0304)</w:t>
            </w:r>
          </w:p>
        </w:tc>
        <w:tc>
          <w:tcPr>
            <w:tcW w:w="1957" w:type="dxa"/>
            <w:tcBorders>
              <w:top w:val="nil"/>
              <w:left w:val="nil"/>
              <w:bottom w:val="nil"/>
              <w:right w:val="nil"/>
            </w:tcBorders>
            <w:shd w:val="clear" w:color="auto" w:fill="auto"/>
            <w:noWrap/>
            <w:vAlign w:val="center"/>
            <w:hideMark/>
          </w:tcPr>
          <w:p w14:paraId="0CC83A84"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(0.0244)</w:t>
            </w:r>
          </w:p>
        </w:tc>
        <w:tc>
          <w:tcPr>
            <w:tcW w:w="2412" w:type="dxa"/>
            <w:tcBorders>
              <w:top w:val="nil"/>
              <w:left w:val="nil"/>
              <w:bottom w:val="nil"/>
              <w:right w:val="nil"/>
            </w:tcBorders>
            <w:shd w:val="clear" w:color="auto" w:fill="auto"/>
            <w:noWrap/>
            <w:vAlign w:val="center"/>
            <w:hideMark/>
          </w:tcPr>
          <w:p w14:paraId="78797FB7"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(0.0280)</w:t>
            </w:r>
          </w:p>
        </w:tc>
      </w:tr>
      <w:tr w:rsidR="00943AB8" w:rsidRPr="00943AB8" w14:paraId="6145C145" w14:textId="77777777" w:rsidTr="00943AB8">
        <w:trPr>
          <w:trHeight w:val="221"/>
        </w:trPr>
        <w:tc>
          <w:tcPr>
            <w:tcW w:w="2617" w:type="dxa"/>
            <w:tcBorders>
              <w:top w:val="nil"/>
              <w:left w:val="nil"/>
              <w:bottom w:val="nil"/>
              <w:right w:val="nil"/>
            </w:tcBorders>
            <w:shd w:val="clear" w:color="auto" w:fill="auto"/>
            <w:noWrap/>
            <w:vAlign w:val="center"/>
            <w:hideMark/>
          </w:tcPr>
          <w:p w14:paraId="016B1C54" w14:textId="77777777" w:rsidR="00943AB8" w:rsidRPr="00943AB8" w:rsidRDefault="00943AB8" w:rsidP="00943AB8">
            <w:pPr>
              <w:spacing w:after="0" w:line="240" w:lineRule="auto"/>
              <w:jc w:val="center"/>
              <w:rPr>
                <w:rFonts w:ascii="Calibri" w:eastAsia="Times New Roman" w:hAnsi="Calibri" w:cs="Calibri"/>
                <w:color w:val="000000"/>
                <w:sz w:val="22"/>
              </w:rPr>
            </w:pPr>
          </w:p>
        </w:tc>
        <w:tc>
          <w:tcPr>
            <w:tcW w:w="2116" w:type="dxa"/>
            <w:tcBorders>
              <w:top w:val="nil"/>
              <w:left w:val="nil"/>
              <w:bottom w:val="nil"/>
              <w:right w:val="nil"/>
            </w:tcBorders>
            <w:shd w:val="clear" w:color="auto" w:fill="auto"/>
            <w:noWrap/>
            <w:vAlign w:val="center"/>
            <w:hideMark/>
          </w:tcPr>
          <w:p w14:paraId="052A7984" w14:textId="77777777" w:rsidR="00943AB8" w:rsidRPr="00943AB8" w:rsidRDefault="00943AB8" w:rsidP="00943AB8">
            <w:pPr>
              <w:spacing w:after="0" w:line="240" w:lineRule="auto"/>
              <w:rPr>
                <w:rFonts w:eastAsia="Times New Roman" w:cs="Times New Roman"/>
                <w:sz w:val="20"/>
                <w:szCs w:val="20"/>
              </w:rPr>
            </w:pPr>
          </w:p>
        </w:tc>
        <w:tc>
          <w:tcPr>
            <w:tcW w:w="1957" w:type="dxa"/>
            <w:tcBorders>
              <w:top w:val="nil"/>
              <w:left w:val="nil"/>
              <w:bottom w:val="nil"/>
              <w:right w:val="nil"/>
            </w:tcBorders>
            <w:shd w:val="clear" w:color="auto" w:fill="auto"/>
            <w:noWrap/>
            <w:vAlign w:val="bottom"/>
            <w:hideMark/>
          </w:tcPr>
          <w:p w14:paraId="49847CDE" w14:textId="77777777" w:rsidR="00943AB8" w:rsidRPr="00943AB8" w:rsidRDefault="00943AB8" w:rsidP="00943AB8">
            <w:pPr>
              <w:spacing w:after="0" w:line="240" w:lineRule="auto"/>
              <w:jc w:val="center"/>
              <w:rPr>
                <w:rFonts w:eastAsia="Times New Roman" w:cs="Times New Roman"/>
                <w:sz w:val="20"/>
                <w:szCs w:val="20"/>
              </w:rPr>
            </w:pPr>
          </w:p>
        </w:tc>
        <w:tc>
          <w:tcPr>
            <w:tcW w:w="2412" w:type="dxa"/>
            <w:tcBorders>
              <w:top w:val="nil"/>
              <w:left w:val="nil"/>
              <w:bottom w:val="nil"/>
              <w:right w:val="nil"/>
            </w:tcBorders>
            <w:shd w:val="clear" w:color="auto" w:fill="auto"/>
            <w:noWrap/>
            <w:vAlign w:val="bottom"/>
            <w:hideMark/>
          </w:tcPr>
          <w:p w14:paraId="7AB733A9" w14:textId="77777777" w:rsidR="00943AB8" w:rsidRPr="00943AB8" w:rsidRDefault="00943AB8" w:rsidP="00943AB8">
            <w:pPr>
              <w:spacing w:after="0" w:line="240" w:lineRule="auto"/>
              <w:rPr>
                <w:rFonts w:eastAsia="Times New Roman" w:cs="Times New Roman"/>
                <w:sz w:val="20"/>
                <w:szCs w:val="20"/>
              </w:rPr>
            </w:pPr>
          </w:p>
        </w:tc>
      </w:tr>
      <w:tr w:rsidR="00943AB8" w:rsidRPr="00943AB8" w14:paraId="142A31A5" w14:textId="77777777" w:rsidTr="00943AB8">
        <w:trPr>
          <w:trHeight w:val="230"/>
        </w:trPr>
        <w:tc>
          <w:tcPr>
            <w:tcW w:w="2617" w:type="dxa"/>
            <w:tcBorders>
              <w:top w:val="nil"/>
              <w:left w:val="nil"/>
              <w:bottom w:val="double" w:sz="6" w:space="0" w:color="auto"/>
              <w:right w:val="nil"/>
            </w:tcBorders>
            <w:shd w:val="clear" w:color="auto" w:fill="auto"/>
            <w:noWrap/>
            <w:vAlign w:val="center"/>
            <w:hideMark/>
          </w:tcPr>
          <w:p w14:paraId="4C145D0A" w14:textId="77777777" w:rsidR="00943AB8" w:rsidRPr="00943AB8" w:rsidRDefault="00943AB8" w:rsidP="00943AB8">
            <w:pPr>
              <w:spacing w:after="0" w:line="240" w:lineRule="auto"/>
              <w:rPr>
                <w:rFonts w:ascii="Calibri" w:eastAsia="Times New Roman" w:hAnsi="Calibri" w:cs="Calibri"/>
                <w:color w:val="000000"/>
                <w:sz w:val="22"/>
              </w:rPr>
            </w:pPr>
            <w:r w:rsidRPr="00943AB8">
              <w:rPr>
                <w:rFonts w:ascii="Calibri" w:eastAsia="Times New Roman" w:hAnsi="Calibri" w:cs="Calibri"/>
                <w:color w:val="000000"/>
                <w:sz w:val="22"/>
              </w:rPr>
              <w:t>Observation</w:t>
            </w:r>
          </w:p>
        </w:tc>
        <w:tc>
          <w:tcPr>
            <w:tcW w:w="2116" w:type="dxa"/>
            <w:tcBorders>
              <w:top w:val="nil"/>
              <w:left w:val="nil"/>
              <w:bottom w:val="double" w:sz="6" w:space="0" w:color="auto"/>
              <w:right w:val="nil"/>
            </w:tcBorders>
            <w:shd w:val="clear" w:color="auto" w:fill="auto"/>
            <w:noWrap/>
            <w:vAlign w:val="center"/>
            <w:hideMark/>
          </w:tcPr>
          <w:p w14:paraId="444234D4"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10,489</w:t>
            </w:r>
          </w:p>
        </w:tc>
        <w:tc>
          <w:tcPr>
            <w:tcW w:w="1957" w:type="dxa"/>
            <w:tcBorders>
              <w:top w:val="nil"/>
              <w:left w:val="nil"/>
              <w:bottom w:val="double" w:sz="6" w:space="0" w:color="auto"/>
              <w:right w:val="nil"/>
            </w:tcBorders>
            <w:shd w:val="clear" w:color="auto" w:fill="auto"/>
            <w:noWrap/>
            <w:vAlign w:val="center"/>
            <w:hideMark/>
          </w:tcPr>
          <w:p w14:paraId="3AF18DF2"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10,489</w:t>
            </w:r>
          </w:p>
        </w:tc>
        <w:tc>
          <w:tcPr>
            <w:tcW w:w="2412" w:type="dxa"/>
            <w:tcBorders>
              <w:top w:val="nil"/>
              <w:left w:val="nil"/>
              <w:bottom w:val="double" w:sz="6" w:space="0" w:color="auto"/>
              <w:right w:val="nil"/>
            </w:tcBorders>
            <w:shd w:val="clear" w:color="auto" w:fill="auto"/>
            <w:noWrap/>
            <w:vAlign w:val="center"/>
            <w:hideMark/>
          </w:tcPr>
          <w:p w14:paraId="5FDF4A17" w14:textId="77777777" w:rsidR="00943AB8" w:rsidRPr="00943AB8" w:rsidRDefault="00943AB8" w:rsidP="00943AB8">
            <w:pPr>
              <w:spacing w:after="0" w:line="240" w:lineRule="auto"/>
              <w:jc w:val="center"/>
              <w:rPr>
                <w:rFonts w:ascii="Calibri" w:eastAsia="Times New Roman" w:hAnsi="Calibri" w:cs="Calibri"/>
                <w:color w:val="000000"/>
                <w:sz w:val="22"/>
              </w:rPr>
            </w:pPr>
            <w:r w:rsidRPr="00943AB8">
              <w:rPr>
                <w:rFonts w:ascii="Calibri" w:eastAsia="Times New Roman" w:hAnsi="Calibri" w:cs="Calibri"/>
                <w:color w:val="000000"/>
                <w:sz w:val="22"/>
              </w:rPr>
              <w:t>10,489</w:t>
            </w:r>
          </w:p>
        </w:tc>
      </w:tr>
    </w:tbl>
    <w:p w14:paraId="61709E3F" w14:textId="45269051" w:rsidR="00A85915" w:rsidRDefault="00021477" w:rsidP="00021477">
      <w:r w:rsidRPr="00F005DC">
        <w:rPr>
          <w:i/>
          <w:iCs/>
        </w:rPr>
        <w:t>Notes</w:t>
      </w:r>
      <w:r>
        <w:t xml:space="preserve">: All columns control for all demographic characteristics and all fixed effects. </w:t>
      </w:r>
    </w:p>
    <w:p w14:paraId="13DE1980" w14:textId="77777777" w:rsidR="00021477" w:rsidRDefault="00021477" w:rsidP="00021477">
      <w:pPr>
        <w:rPr>
          <w:rFonts w:cs="Times New Roman"/>
          <w:szCs w:val="24"/>
          <w:lang w:val="en-US"/>
        </w:rPr>
      </w:pPr>
      <w:r>
        <w:t xml:space="preserve">***p&lt;0.01, **p&lt;0.05. *p&lt;0.1. </w:t>
      </w:r>
    </w:p>
    <w:p w14:paraId="00A674DD" w14:textId="4A85116D" w:rsidR="00021477" w:rsidRDefault="00021477" w:rsidP="00021477">
      <w:pPr>
        <w:spacing w:line="360" w:lineRule="auto"/>
        <w:jc w:val="both"/>
      </w:pPr>
    </w:p>
    <w:p w14:paraId="6DFA58D6" w14:textId="382F0C91" w:rsidR="00021477" w:rsidRDefault="00021477" w:rsidP="00021477">
      <w:pPr>
        <w:spacing w:line="360" w:lineRule="auto"/>
        <w:jc w:val="both"/>
      </w:pPr>
    </w:p>
    <w:p w14:paraId="0001F637" w14:textId="77777777" w:rsidR="00021477" w:rsidRDefault="00021477" w:rsidP="00021477">
      <w:pPr>
        <w:spacing w:line="360" w:lineRule="auto"/>
        <w:jc w:val="both"/>
      </w:pPr>
    </w:p>
    <w:p w14:paraId="5B9A45E0" w14:textId="48777E50" w:rsidR="00021477" w:rsidRDefault="00021477" w:rsidP="00E63330">
      <w:pPr>
        <w:spacing w:line="360" w:lineRule="auto"/>
        <w:ind w:firstLine="567"/>
        <w:jc w:val="both"/>
      </w:pPr>
    </w:p>
    <w:p w14:paraId="2B359808" w14:textId="77777777" w:rsidR="00021477" w:rsidRPr="00C54743" w:rsidRDefault="00021477" w:rsidP="00E63330">
      <w:pPr>
        <w:spacing w:line="360" w:lineRule="auto"/>
        <w:ind w:firstLine="567"/>
        <w:jc w:val="both"/>
      </w:pPr>
    </w:p>
    <w:p w14:paraId="7C52BF75" w14:textId="77777777" w:rsidR="00C54743" w:rsidRPr="00C54743" w:rsidRDefault="00C54743" w:rsidP="00C54743"/>
    <w:p w14:paraId="2EA15E82" w14:textId="166555FE" w:rsidR="00CA4010" w:rsidRDefault="00CA4010">
      <w:pPr>
        <w:rPr>
          <w:rFonts w:cs="Times New Roman"/>
          <w:szCs w:val="24"/>
          <w:lang w:val="en-US"/>
        </w:rPr>
      </w:pPr>
      <w:r>
        <w:rPr>
          <w:rFonts w:cs="Times New Roman"/>
          <w:szCs w:val="24"/>
          <w:lang w:val="en-US"/>
        </w:rPr>
        <w:br w:type="page"/>
      </w:r>
    </w:p>
    <w:p w14:paraId="7346758C" w14:textId="77777777" w:rsidR="00C54743" w:rsidRDefault="00C54743">
      <w:pPr>
        <w:rPr>
          <w:rFonts w:eastAsiaTheme="majorEastAsia" w:cs="Times New Roman"/>
          <w:szCs w:val="24"/>
          <w:lang w:val="en-US"/>
        </w:rPr>
      </w:pPr>
    </w:p>
    <w:p w14:paraId="67F75618" w14:textId="375E103A" w:rsidR="0030590E" w:rsidRPr="004A6FA2" w:rsidRDefault="0030590E" w:rsidP="0030590E">
      <w:pPr>
        <w:pStyle w:val="Heading1"/>
        <w:spacing w:after="240" w:line="360" w:lineRule="auto"/>
        <w:jc w:val="center"/>
        <w:rPr>
          <w:rFonts w:ascii="Times New Roman" w:hAnsi="Times New Roman" w:cs="Times New Roman"/>
          <w:color w:val="auto"/>
          <w:sz w:val="24"/>
          <w:szCs w:val="24"/>
          <w:lang w:val="en-US"/>
        </w:rPr>
      </w:pPr>
      <w:bookmarkStart w:id="40" w:name="_Toc41312381"/>
      <w:r w:rsidRPr="004A6FA2">
        <w:rPr>
          <w:rFonts w:ascii="Times New Roman" w:hAnsi="Times New Roman" w:cs="Times New Roman"/>
          <w:color w:val="auto"/>
          <w:sz w:val="24"/>
          <w:szCs w:val="24"/>
          <w:lang w:val="en-US"/>
        </w:rPr>
        <w:t>Reference</w:t>
      </w:r>
      <w:bookmarkEnd w:id="40"/>
    </w:p>
    <w:p w14:paraId="16AEB728" w14:textId="0E32DE6B" w:rsidR="0030590E" w:rsidRPr="004A6FA2" w:rsidRDefault="0030590E" w:rsidP="0085035C">
      <w:pPr>
        <w:spacing w:line="360" w:lineRule="auto"/>
        <w:ind w:left="567" w:hanging="567"/>
        <w:rPr>
          <w:rFonts w:cs="Times New Roman"/>
          <w:szCs w:val="24"/>
          <w:shd w:val="clear" w:color="auto" w:fill="FFFFFF"/>
        </w:rPr>
      </w:pPr>
      <w:bookmarkStart w:id="41" w:name="_Hlk35726212"/>
      <w:proofErr w:type="spellStart"/>
      <w:r w:rsidRPr="004A6FA2">
        <w:rPr>
          <w:rFonts w:cs="Times New Roman"/>
          <w:szCs w:val="24"/>
          <w:shd w:val="clear" w:color="auto" w:fill="FFFFFF"/>
        </w:rPr>
        <w:t>Aboud</w:t>
      </w:r>
      <w:proofErr w:type="spellEnd"/>
      <w:r w:rsidRPr="004A6FA2">
        <w:rPr>
          <w:rFonts w:cs="Times New Roman"/>
          <w:szCs w:val="24"/>
          <w:shd w:val="clear" w:color="auto" w:fill="FFFFFF"/>
        </w:rPr>
        <w:t>, F., &amp; Singla</w:t>
      </w:r>
      <w:bookmarkEnd w:id="41"/>
      <w:r w:rsidRPr="004A6FA2">
        <w:rPr>
          <w:rFonts w:cs="Times New Roman"/>
          <w:szCs w:val="24"/>
          <w:shd w:val="clear" w:color="auto" w:fill="FFFFFF"/>
        </w:rPr>
        <w:t>, D. (2012). Challenges to changing health behaviours in developing countries: A critical overview. </w:t>
      </w:r>
      <w:r w:rsidRPr="004A6FA2">
        <w:rPr>
          <w:rFonts w:cs="Times New Roman"/>
          <w:i/>
          <w:iCs/>
          <w:szCs w:val="24"/>
          <w:shd w:val="clear" w:color="auto" w:fill="FFFFFF"/>
        </w:rPr>
        <w:t>Social Science &amp; Medicine</w:t>
      </w:r>
      <w:r w:rsidRPr="004A6FA2">
        <w:rPr>
          <w:rFonts w:cs="Times New Roman"/>
          <w:szCs w:val="24"/>
          <w:shd w:val="clear" w:color="auto" w:fill="FFFFFF"/>
        </w:rPr>
        <w:t>, </w:t>
      </w:r>
      <w:r w:rsidRPr="004A6FA2">
        <w:rPr>
          <w:rFonts w:cs="Times New Roman"/>
          <w:i/>
          <w:iCs/>
          <w:szCs w:val="24"/>
          <w:shd w:val="clear" w:color="auto" w:fill="FFFFFF"/>
        </w:rPr>
        <w:t>75</w:t>
      </w:r>
      <w:r w:rsidRPr="004A6FA2">
        <w:rPr>
          <w:rFonts w:cs="Times New Roman"/>
          <w:szCs w:val="24"/>
          <w:shd w:val="clear" w:color="auto" w:fill="FFFFFF"/>
        </w:rPr>
        <w:t>(4), 589–594. https://doi.org/10.1016/j.socscimed.2012.04.009</w:t>
      </w:r>
    </w:p>
    <w:p w14:paraId="508B7168" w14:textId="59AC5712" w:rsidR="00FA1ED2" w:rsidRPr="004A6FA2" w:rsidRDefault="00FA1ED2"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 xml:space="preserve">Acton, R., </w:t>
      </w:r>
      <w:proofErr w:type="spellStart"/>
      <w:r w:rsidRPr="004A6FA2">
        <w:rPr>
          <w:rFonts w:cs="Times New Roman"/>
          <w:szCs w:val="24"/>
          <w:shd w:val="clear" w:color="auto" w:fill="FFFFFF"/>
        </w:rPr>
        <w:t>Vanderlee</w:t>
      </w:r>
      <w:proofErr w:type="spellEnd"/>
      <w:r w:rsidRPr="004A6FA2">
        <w:rPr>
          <w:rFonts w:cs="Times New Roman"/>
          <w:szCs w:val="24"/>
          <w:shd w:val="clear" w:color="auto" w:fill="FFFFFF"/>
        </w:rPr>
        <w:t>, L., White, C., &amp; Hammond, D. (2016). The efficacy of calorie labelling formats on pre-packaged foods: An experimental study among adolescents and young adults in Canada. </w:t>
      </w:r>
      <w:r w:rsidRPr="004A6FA2">
        <w:rPr>
          <w:rFonts w:cs="Times New Roman"/>
          <w:i/>
          <w:iCs/>
          <w:szCs w:val="24"/>
          <w:shd w:val="clear" w:color="auto" w:fill="FFFFFF"/>
        </w:rPr>
        <w:t>Canadian Journal of Public Health</w:t>
      </w:r>
      <w:r w:rsidRPr="004A6FA2">
        <w:rPr>
          <w:rFonts w:cs="Times New Roman"/>
          <w:szCs w:val="24"/>
          <w:shd w:val="clear" w:color="auto" w:fill="FFFFFF"/>
        </w:rPr>
        <w:t>, </w:t>
      </w:r>
      <w:r w:rsidRPr="004A6FA2">
        <w:rPr>
          <w:rFonts w:cs="Times New Roman"/>
          <w:i/>
          <w:iCs/>
          <w:szCs w:val="24"/>
          <w:shd w:val="clear" w:color="auto" w:fill="FFFFFF"/>
        </w:rPr>
        <w:t>107</w:t>
      </w:r>
      <w:r w:rsidRPr="004A6FA2">
        <w:rPr>
          <w:rFonts w:cs="Times New Roman"/>
          <w:szCs w:val="24"/>
          <w:shd w:val="clear" w:color="auto" w:fill="FFFFFF"/>
        </w:rPr>
        <w:t>(3), e296–e302. https://doi.org/10.17269/CJPH.107.5513</w:t>
      </w:r>
    </w:p>
    <w:p w14:paraId="4395376A" w14:textId="01BB9217" w:rsidR="00F62D84" w:rsidRPr="004A6FA2" w:rsidRDefault="00F62D84" w:rsidP="0085035C">
      <w:pPr>
        <w:spacing w:line="360" w:lineRule="auto"/>
        <w:ind w:left="567" w:hanging="567"/>
        <w:rPr>
          <w:rFonts w:cs="Times New Roman"/>
          <w:sz w:val="32"/>
          <w:szCs w:val="32"/>
          <w:shd w:val="clear" w:color="auto" w:fill="FFFFFF"/>
        </w:rPr>
      </w:pPr>
      <w:proofErr w:type="spellStart"/>
      <w:r w:rsidRPr="004A6FA2">
        <w:rPr>
          <w:rFonts w:cs="Times New Roman"/>
          <w:szCs w:val="24"/>
          <w:shd w:val="clear" w:color="auto" w:fill="FFFFFF"/>
        </w:rPr>
        <w:t>Adukia</w:t>
      </w:r>
      <w:proofErr w:type="spellEnd"/>
      <w:r w:rsidRPr="004A6FA2">
        <w:rPr>
          <w:rFonts w:cs="Times New Roman"/>
          <w:szCs w:val="24"/>
          <w:shd w:val="clear" w:color="auto" w:fill="FFFFFF"/>
        </w:rPr>
        <w:t>, A. (2017). Sanitation and Education. </w:t>
      </w:r>
      <w:r w:rsidRPr="004A6FA2">
        <w:rPr>
          <w:rFonts w:cs="Times New Roman"/>
          <w:i/>
          <w:iCs/>
          <w:szCs w:val="24"/>
          <w:shd w:val="clear" w:color="auto" w:fill="FFFFFF"/>
        </w:rPr>
        <w:t>American Economic Journal. Applied Economics</w:t>
      </w:r>
      <w:r w:rsidRPr="004A6FA2">
        <w:rPr>
          <w:rFonts w:cs="Times New Roman"/>
          <w:szCs w:val="24"/>
          <w:shd w:val="clear" w:color="auto" w:fill="FFFFFF"/>
        </w:rPr>
        <w:t>, </w:t>
      </w:r>
      <w:r w:rsidRPr="004A6FA2">
        <w:rPr>
          <w:rFonts w:cs="Times New Roman"/>
          <w:i/>
          <w:iCs/>
          <w:szCs w:val="24"/>
          <w:shd w:val="clear" w:color="auto" w:fill="FFFFFF"/>
        </w:rPr>
        <w:t>9</w:t>
      </w:r>
      <w:r w:rsidRPr="004A6FA2">
        <w:rPr>
          <w:rFonts w:cs="Times New Roman"/>
          <w:szCs w:val="24"/>
          <w:shd w:val="clear" w:color="auto" w:fill="FFFFFF"/>
        </w:rPr>
        <w:t>(2), 23–59. https://doi.org/10.1257/app.20150083</w:t>
      </w:r>
    </w:p>
    <w:p w14:paraId="47B5243E" w14:textId="77777777" w:rsidR="0030590E" w:rsidRPr="004A6FA2" w:rsidRDefault="0030590E" w:rsidP="0085035C">
      <w:pPr>
        <w:spacing w:line="360" w:lineRule="auto"/>
        <w:ind w:left="567" w:hanging="567"/>
        <w:rPr>
          <w:rFonts w:cs="Times New Roman"/>
          <w:sz w:val="32"/>
          <w:szCs w:val="32"/>
          <w:shd w:val="clear" w:color="auto" w:fill="FFFFFF"/>
        </w:rPr>
      </w:pPr>
      <w:proofErr w:type="spellStart"/>
      <w:r w:rsidRPr="004A6FA2">
        <w:rPr>
          <w:rFonts w:cs="Times New Roman"/>
          <w:szCs w:val="24"/>
          <w:shd w:val="clear" w:color="auto" w:fill="FFFFFF"/>
        </w:rPr>
        <w:t>Aizer</w:t>
      </w:r>
      <w:proofErr w:type="spellEnd"/>
      <w:r w:rsidRPr="004A6FA2">
        <w:rPr>
          <w:rFonts w:cs="Times New Roman"/>
          <w:szCs w:val="24"/>
          <w:shd w:val="clear" w:color="auto" w:fill="FFFFFF"/>
        </w:rPr>
        <w:t>, A., &amp; Stroud, L. (2010). Education, Knowledge and the Evolution of Disparities in Health. </w:t>
      </w:r>
      <w:r w:rsidRPr="004A6FA2">
        <w:rPr>
          <w:rFonts w:cs="Times New Roman"/>
          <w:i/>
          <w:iCs/>
          <w:szCs w:val="24"/>
          <w:shd w:val="clear" w:color="auto" w:fill="FFFFFF"/>
        </w:rPr>
        <w:t>NBER Working Paper Series</w:t>
      </w:r>
      <w:r w:rsidRPr="004A6FA2">
        <w:rPr>
          <w:rFonts w:cs="Times New Roman"/>
          <w:szCs w:val="24"/>
          <w:shd w:val="clear" w:color="auto" w:fill="FFFFFF"/>
        </w:rPr>
        <w:t>. https://doi.org/10.3386/w15840</w:t>
      </w:r>
    </w:p>
    <w:p w14:paraId="0B3C2688" w14:textId="70545CBE" w:rsidR="0030590E" w:rsidRPr="004A6FA2" w:rsidRDefault="0030590E" w:rsidP="0085035C">
      <w:pPr>
        <w:spacing w:line="360" w:lineRule="auto"/>
        <w:ind w:left="567" w:hanging="567"/>
        <w:rPr>
          <w:rFonts w:cs="Times New Roman"/>
          <w:szCs w:val="24"/>
          <w:shd w:val="clear" w:color="auto" w:fill="FFFFFF"/>
        </w:rPr>
      </w:pPr>
      <w:proofErr w:type="spellStart"/>
      <w:r w:rsidRPr="004A6FA2">
        <w:rPr>
          <w:rFonts w:cs="Times New Roman"/>
          <w:szCs w:val="24"/>
          <w:shd w:val="clear" w:color="auto" w:fill="FFFFFF"/>
        </w:rPr>
        <w:t>Albouy</w:t>
      </w:r>
      <w:proofErr w:type="spellEnd"/>
      <w:r w:rsidRPr="004A6FA2">
        <w:rPr>
          <w:rFonts w:cs="Times New Roman"/>
          <w:szCs w:val="24"/>
          <w:shd w:val="clear" w:color="auto" w:fill="FFFFFF"/>
        </w:rPr>
        <w:t xml:space="preserve">, V., &amp; </w:t>
      </w:r>
      <w:proofErr w:type="spellStart"/>
      <w:r w:rsidRPr="004A6FA2">
        <w:rPr>
          <w:rFonts w:cs="Times New Roman"/>
          <w:szCs w:val="24"/>
          <w:shd w:val="clear" w:color="auto" w:fill="FFFFFF"/>
        </w:rPr>
        <w:t>Lequien</w:t>
      </w:r>
      <w:proofErr w:type="spellEnd"/>
      <w:r w:rsidRPr="004A6FA2">
        <w:rPr>
          <w:rFonts w:cs="Times New Roman"/>
          <w:szCs w:val="24"/>
          <w:shd w:val="clear" w:color="auto" w:fill="FFFFFF"/>
        </w:rPr>
        <w:t>, L. (2009). Does compulsory education lower mortality? </w:t>
      </w:r>
      <w:r w:rsidRPr="004A6FA2">
        <w:rPr>
          <w:rFonts w:cs="Times New Roman"/>
          <w:i/>
          <w:iCs/>
          <w:szCs w:val="24"/>
          <w:shd w:val="clear" w:color="auto" w:fill="FFFFFF"/>
        </w:rPr>
        <w:t>Journal of Health Economics</w:t>
      </w:r>
      <w:r w:rsidRPr="004A6FA2">
        <w:rPr>
          <w:rFonts w:cs="Times New Roman"/>
          <w:szCs w:val="24"/>
          <w:shd w:val="clear" w:color="auto" w:fill="FFFFFF"/>
        </w:rPr>
        <w:t>, </w:t>
      </w:r>
      <w:r w:rsidRPr="004A6FA2">
        <w:rPr>
          <w:rFonts w:cs="Times New Roman"/>
          <w:i/>
          <w:iCs/>
          <w:szCs w:val="24"/>
          <w:shd w:val="clear" w:color="auto" w:fill="FFFFFF"/>
        </w:rPr>
        <w:t>28</w:t>
      </w:r>
      <w:r w:rsidRPr="004A6FA2">
        <w:rPr>
          <w:rFonts w:cs="Times New Roman"/>
          <w:szCs w:val="24"/>
          <w:shd w:val="clear" w:color="auto" w:fill="FFFFFF"/>
        </w:rPr>
        <w:t>(1), 155–168. https://doi.org/10.1016/j.jhealeco.2008.09.003</w:t>
      </w:r>
    </w:p>
    <w:p w14:paraId="6F76E0BA" w14:textId="4156BA7F" w:rsidR="00AB5890" w:rsidRPr="004A6FA2" w:rsidRDefault="00AB5890"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Amin, V., Behrman, J., &amp; Spector, T. (2013). Does more schooling improve health outcomes and health related behaviors? Evidence from U.K. twins. </w:t>
      </w:r>
      <w:r w:rsidRPr="004A6FA2">
        <w:rPr>
          <w:rFonts w:cs="Times New Roman"/>
          <w:i/>
          <w:iCs/>
          <w:szCs w:val="24"/>
          <w:shd w:val="clear" w:color="auto" w:fill="FFFFFF"/>
        </w:rPr>
        <w:t>Economics of Education Review</w:t>
      </w:r>
      <w:r w:rsidRPr="004A6FA2">
        <w:rPr>
          <w:rFonts w:cs="Times New Roman"/>
          <w:szCs w:val="24"/>
          <w:shd w:val="clear" w:color="auto" w:fill="FFFFFF"/>
        </w:rPr>
        <w:t>, </w:t>
      </w:r>
      <w:r w:rsidRPr="004A6FA2">
        <w:rPr>
          <w:rFonts w:cs="Times New Roman"/>
          <w:i/>
          <w:iCs/>
          <w:szCs w:val="24"/>
          <w:shd w:val="clear" w:color="auto" w:fill="FFFFFF"/>
        </w:rPr>
        <w:t>35</w:t>
      </w:r>
      <w:r w:rsidRPr="004A6FA2">
        <w:rPr>
          <w:rFonts w:cs="Times New Roman"/>
          <w:szCs w:val="24"/>
          <w:shd w:val="clear" w:color="auto" w:fill="FFFFFF"/>
        </w:rPr>
        <w:t>, 134–148. https://doi.org/10.1016/j.econedurev.2013.04.004</w:t>
      </w:r>
    </w:p>
    <w:p w14:paraId="373D72C7" w14:textId="1E29B939" w:rsidR="000421BD" w:rsidRPr="004A6FA2" w:rsidRDefault="000421BD" w:rsidP="0085035C">
      <w:pPr>
        <w:spacing w:line="360" w:lineRule="auto"/>
        <w:ind w:left="567" w:hanging="567"/>
        <w:rPr>
          <w:rFonts w:cs="Times New Roman"/>
          <w:sz w:val="32"/>
          <w:szCs w:val="32"/>
          <w:shd w:val="clear" w:color="auto" w:fill="FFFFFF"/>
        </w:rPr>
      </w:pPr>
      <w:r w:rsidRPr="004A6FA2">
        <w:rPr>
          <w:rFonts w:cs="Times New Roman"/>
          <w:szCs w:val="24"/>
          <w:shd w:val="clear" w:color="auto" w:fill="FFFFFF"/>
        </w:rPr>
        <w:t>Angrist, J., &amp; Krueger, A. (1991). Does Compulsory School Attendance Affect Schooling and Earnings? </w:t>
      </w:r>
      <w:r w:rsidRPr="004A6FA2">
        <w:rPr>
          <w:rFonts w:cs="Times New Roman"/>
          <w:i/>
          <w:iCs/>
          <w:szCs w:val="24"/>
          <w:shd w:val="clear" w:color="auto" w:fill="FFFFFF"/>
        </w:rPr>
        <w:t>The Quarterly Journal of Economics</w:t>
      </w:r>
      <w:r w:rsidRPr="004A6FA2">
        <w:rPr>
          <w:rFonts w:cs="Times New Roman"/>
          <w:szCs w:val="24"/>
          <w:shd w:val="clear" w:color="auto" w:fill="FFFFFF"/>
        </w:rPr>
        <w:t>, </w:t>
      </w:r>
      <w:r w:rsidRPr="004A6FA2">
        <w:rPr>
          <w:rFonts w:cs="Times New Roman"/>
          <w:i/>
          <w:iCs/>
          <w:szCs w:val="24"/>
          <w:shd w:val="clear" w:color="auto" w:fill="FFFFFF"/>
        </w:rPr>
        <w:t>106</w:t>
      </w:r>
      <w:r w:rsidRPr="004A6FA2">
        <w:rPr>
          <w:rFonts w:cs="Times New Roman"/>
          <w:szCs w:val="24"/>
          <w:shd w:val="clear" w:color="auto" w:fill="FFFFFF"/>
        </w:rPr>
        <w:t>(4), 979–1014. https://doi.org/10.2307/2937954</w:t>
      </w:r>
    </w:p>
    <w:p w14:paraId="0EF6EBA5" w14:textId="593F6E9C" w:rsidR="0085035C" w:rsidRPr="004A6FA2" w:rsidRDefault="0085035C" w:rsidP="0085035C">
      <w:pPr>
        <w:pStyle w:val="indent3"/>
        <w:spacing w:line="360" w:lineRule="auto"/>
      </w:pPr>
      <w:proofErr w:type="spellStart"/>
      <w:r w:rsidRPr="004A6FA2">
        <w:t>Bayu</w:t>
      </w:r>
      <w:proofErr w:type="spellEnd"/>
      <w:r w:rsidRPr="004A6FA2">
        <w:t xml:space="preserve">, W. I., &amp; </w:t>
      </w:r>
      <w:proofErr w:type="spellStart"/>
      <w:r w:rsidRPr="004A6FA2">
        <w:t>Hasmara</w:t>
      </w:r>
      <w:proofErr w:type="spellEnd"/>
      <w:r w:rsidRPr="004A6FA2">
        <w:t>, P. S. (2017). The Relationship between Physical Fitness and Academic Achievement in Physical Education, Sport, and Health. </w:t>
      </w:r>
      <w:r w:rsidRPr="004A6FA2">
        <w:rPr>
          <w:i/>
          <w:iCs/>
        </w:rPr>
        <w:t>2nd International Conference on Sports Science, Health and Physical Education</w:t>
      </w:r>
      <w:r w:rsidRPr="004A6FA2">
        <w:t>. doi:10.5220/0007056301240128</w:t>
      </w:r>
    </w:p>
    <w:p w14:paraId="1D9EF83D" w14:textId="77777777" w:rsidR="0030590E" w:rsidRPr="004A6FA2" w:rsidRDefault="0030590E" w:rsidP="0085035C">
      <w:pPr>
        <w:spacing w:line="360" w:lineRule="auto"/>
        <w:ind w:left="567" w:hanging="567"/>
        <w:rPr>
          <w:rFonts w:cs="Times New Roman"/>
          <w:szCs w:val="24"/>
          <w:shd w:val="clear" w:color="auto" w:fill="FFFFFF"/>
        </w:rPr>
      </w:pPr>
      <w:proofErr w:type="spellStart"/>
      <w:r w:rsidRPr="004A6FA2">
        <w:rPr>
          <w:rFonts w:cs="Times New Roman"/>
          <w:szCs w:val="24"/>
          <w:shd w:val="clear" w:color="auto" w:fill="FFFFFF"/>
        </w:rPr>
        <w:t>Becchio</w:t>
      </w:r>
      <w:proofErr w:type="spellEnd"/>
      <w:r w:rsidRPr="004A6FA2">
        <w:rPr>
          <w:rFonts w:cs="Times New Roman"/>
          <w:szCs w:val="24"/>
          <w:shd w:val="clear" w:color="auto" w:fill="FFFFFF"/>
        </w:rPr>
        <w:t>, G. (2019). Behavioral economics, gender economics, and feminist economics: friends or foes? </w:t>
      </w:r>
      <w:r w:rsidRPr="004A6FA2">
        <w:rPr>
          <w:rFonts w:cs="Times New Roman"/>
          <w:i/>
          <w:iCs/>
          <w:szCs w:val="24"/>
          <w:shd w:val="clear" w:color="auto" w:fill="FFFFFF"/>
        </w:rPr>
        <w:t>Journal of Economic Methodology</w:t>
      </w:r>
      <w:r w:rsidRPr="004A6FA2">
        <w:rPr>
          <w:rFonts w:cs="Times New Roman"/>
          <w:szCs w:val="24"/>
          <w:shd w:val="clear" w:color="auto" w:fill="FFFFFF"/>
        </w:rPr>
        <w:t>, </w:t>
      </w:r>
      <w:r w:rsidRPr="004A6FA2">
        <w:rPr>
          <w:rFonts w:cs="Times New Roman"/>
          <w:i/>
          <w:iCs/>
          <w:szCs w:val="24"/>
          <w:shd w:val="clear" w:color="auto" w:fill="FFFFFF"/>
        </w:rPr>
        <w:t>26</w:t>
      </w:r>
      <w:r w:rsidRPr="004A6FA2">
        <w:rPr>
          <w:rFonts w:cs="Times New Roman"/>
          <w:szCs w:val="24"/>
          <w:shd w:val="clear" w:color="auto" w:fill="FFFFFF"/>
        </w:rPr>
        <w:t>(3), 259–271. https://doi.org/10.1080/1350178X.2019.1625218</w:t>
      </w:r>
    </w:p>
    <w:p w14:paraId="76A604EA" w14:textId="77777777" w:rsidR="0030590E" w:rsidRPr="004A6FA2" w:rsidRDefault="0030590E"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lastRenderedPageBreak/>
        <w:t>Becker, G. (1962). Investment in Human Capital: A Theoretical Analysis. </w:t>
      </w:r>
      <w:r w:rsidRPr="004A6FA2">
        <w:rPr>
          <w:rFonts w:cs="Times New Roman"/>
          <w:i/>
          <w:iCs/>
          <w:szCs w:val="24"/>
          <w:shd w:val="clear" w:color="auto" w:fill="FFFFFF"/>
        </w:rPr>
        <w:t>Journal of Political Economy</w:t>
      </w:r>
      <w:r w:rsidRPr="004A6FA2">
        <w:rPr>
          <w:rFonts w:cs="Times New Roman"/>
          <w:szCs w:val="24"/>
          <w:shd w:val="clear" w:color="auto" w:fill="FFFFFF"/>
        </w:rPr>
        <w:t>, </w:t>
      </w:r>
      <w:r w:rsidRPr="004A6FA2">
        <w:rPr>
          <w:rFonts w:cs="Times New Roman"/>
          <w:i/>
          <w:iCs/>
          <w:szCs w:val="24"/>
          <w:shd w:val="clear" w:color="auto" w:fill="FFFFFF"/>
        </w:rPr>
        <w:t>70</w:t>
      </w:r>
      <w:r w:rsidRPr="004A6FA2">
        <w:rPr>
          <w:rFonts w:cs="Times New Roman"/>
          <w:szCs w:val="24"/>
          <w:shd w:val="clear" w:color="auto" w:fill="FFFFFF"/>
        </w:rPr>
        <w:t>(5), 9–49. https://doi.org/10.1086/258724</w:t>
      </w:r>
    </w:p>
    <w:p w14:paraId="4FC383F4" w14:textId="4E00E2CD" w:rsidR="0030590E" w:rsidRPr="004A6FA2" w:rsidRDefault="0030590E"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 xml:space="preserve">Brunello, G., </w:t>
      </w:r>
      <w:proofErr w:type="spellStart"/>
      <w:r w:rsidRPr="004A6FA2">
        <w:rPr>
          <w:rFonts w:cs="Times New Roman"/>
          <w:szCs w:val="24"/>
          <w:shd w:val="clear" w:color="auto" w:fill="FFFFFF"/>
        </w:rPr>
        <w:t>Fabbri</w:t>
      </w:r>
      <w:proofErr w:type="spellEnd"/>
      <w:r w:rsidRPr="004A6FA2">
        <w:rPr>
          <w:rFonts w:cs="Times New Roman"/>
          <w:szCs w:val="24"/>
          <w:shd w:val="clear" w:color="auto" w:fill="FFFFFF"/>
        </w:rPr>
        <w:t>, D., &amp; Fort, M. (2013). The Causal Effect of Education on Body Mass: Evidence from Europe. </w:t>
      </w:r>
      <w:r w:rsidRPr="004A6FA2">
        <w:rPr>
          <w:rFonts w:cs="Times New Roman"/>
          <w:i/>
          <w:iCs/>
          <w:szCs w:val="24"/>
          <w:shd w:val="clear" w:color="auto" w:fill="FFFFFF"/>
        </w:rPr>
        <w:t>Journal of Labor Economics</w:t>
      </w:r>
      <w:r w:rsidRPr="004A6FA2">
        <w:rPr>
          <w:rFonts w:cs="Times New Roman"/>
          <w:szCs w:val="24"/>
          <w:shd w:val="clear" w:color="auto" w:fill="FFFFFF"/>
        </w:rPr>
        <w:t>, </w:t>
      </w:r>
      <w:r w:rsidRPr="004A6FA2">
        <w:rPr>
          <w:rFonts w:cs="Times New Roman"/>
          <w:i/>
          <w:iCs/>
          <w:szCs w:val="24"/>
          <w:shd w:val="clear" w:color="auto" w:fill="FFFFFF"/>
        </w:rPr>
        <w:t>31</w:t>
      </w:r>
      <w:r w:rsidRPr="004A6FA2">
        <w:rPr>
          <w:rFonts w:cs="Times New Roman"/>
          <w:szCs w:val="24"/>
          <w:shd w:val="clear" w:color="auto" w:fill="FFFFFF"/>
        </w:rPr>
        <w:t>(1), 195–223. https://doi.org/10.1086/667236</w:t>
      </w:r>
    </w:p>
    <w:p w14:paraId="1309B621" w14:textId="5781BD9E" w:rsidR="002E698B" w:rsidRPr="004A6FA2" w:rsidRDefault="002E698B"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CBC. (2020, March 26). U.S. jobless claims soared to record 3.2M last week | CBC News. Retrieved from https://www.cbc.ca/news/business/jobless-us-covid-1.5510560</w:t>
      </w:r>
    </w:p>
    <w:p w14:paraId="5CA12DE9" w14:textId="77777777" w:rsidR="0042267C" w:rsidRPr="004A6FA2" w:rsidRDefault="0042267C" w:rsidP="0042267C">
      <w:pPr>
        <w:spacing w:line="360" w:lineRule="auto"/>
        <w:ind w:left="567" w:hanging="567"/>
        <w:rPr>
          <w:rFonts w:cs="Times New Roman"/>
          <w:szCs w:val="24"/>
          <w:shd w:val="clear" w:color="auto" w:fill="FFFFFF"/>
        </w:rPr>
      </w:pPr>
      <w:r w:rsidRPr="004A6FA2">
        <w:rPr>
          <w:rFonts w:cs="Times New Roman"/>
          <w:szCs w:val="24"/>
          <w:shd w:val="clear" w:color="auto" w:fill="FFFFFF"/>
        </w:rPr>
        <w:t xml:space="preserve">Chen, G., Ratcliffe, J., </w:t>
      </w:r>
      <w:proofErr w:type="spellStart"/>
      <w:r w:rsidRPr="004A6FA2">
        <w:rPr>
          <w:rFonts w:cs="Times New Roman"/>
          <w:szCs w:val="24"/>
          <w:shd w:val="clear" w:color="auto" w:fill="FFFFFF"/>
        </w:rPr>
        <w:t>Olds</w:t>
      </w:r>
      <w:proofErr w:type="spellEnd"/>
      <w:r w:rsidRPr="004A6FA2">
        <w:rPr>
          <w:rFonts w:cs="Times New Roman"/>
          <w:szCs w:val="24"/>
          <w:shd w:val="clear" w:color="auto" w:fill="FFFFFF"/>
        </w:rPr>
        <w:t>, T., Magarey, A., Jones, M., &amp; Leslie, E. (2014). BMI, health behaviors, and quality of life in children and adolescents: a school-based study. </w:t>
      </w:r>
      <w:r w:rsidRPr="004A6FA2">
        <w:rPr>
          <w:rFonts w:cs="Times New Roman"/>
          <w:i/>
          <w:iCs/>
          <w:szCs w:val="24"/>
          <w:shd w:val="clear" w:color="auto" w:fill="FFFFFF"/>
        </w:rPr>
        <w:t>Pediatrics</w:t>
      </w:r>
      <w:r w:rsidRPr="004A6FA2">
        <w:rPr>
          <w:rFonts w:cs="Times New Roman"/>
          <w:szCs w:val="24"/>
          <w:shd w:val="clear" w:color="auto" w:fill="FFFFFF"/>
        </w:rPr>
        <w:t>, </w:t>
      </w:r>
      <w:r w:rsidRPr="004A6FA2">
        <w:rPr>
          <w:rFonts w:cs="Times New Roman"/>
          <w:i/>
          <w:iCs/>
          <w:szCs w:val="24"/>
          <w:shd w:val="clear" w:color="auto" w:fill="FFFFFF"/>
        </w:rPr>
        <w:t>133</w:t>
      </w:r>
      <w:r w:rsidRPr="004A6FA2">
        <w:rPr>
          <w:rFonts w:cs="Times New Roman"/>
          <w:szCs w:val="24"/>
          <w:shd w:val="clear" w:color="auto" w:fill="FFFFFF"/>
        </w:rPr>
        <w:t>(4), e868–74. https://doi.org/10.1542/peds.2013-0622</w:t>
      </w:r>
    </w:p>
    <w:p w14:paraId="27544D50" w14:textId="60061C51" w:rsidR="0042267C" w:rsidRPr="004A6FA2" w:rsidRDefault="0042267C" w:rsidP="0042267C">
      <w:pPr>
        <w:pStyle w:val="indent3"/>
        <w:spacing w:line="360" w:lineRule="auto"/>
      </w:pPr>
      <w:r w:rsidRPr="004A6FA2">
        <w:t xml:space="preserve">Christiansen, L. B., </w:t>
      </w:r>
      <w:proofErr w:type="spellStart"/>
      <w:r w:rsidRPr="004A6FA2">
        <w:t>Toftager</w:t>
      </w:r>
      <w:proofErr w:type="spellEnd"/>
      <w:r w:rsidRPr="004A6FA2">
        <w:t xml:space="preserve">, M., </w:t>
      </w:r>
      <w:proofErr w:type="spellStart"/>
      <w:r w:rsidRPr="004A6FA2">
        <w:t>Ersbøll</w:t>
      </w:r>
      <w:proofErr w:type="spellEnd"/>
      <w:r w:rsidRPr="004A6FA2">
        <w:t xml:space="preserve">, A. K., &amp; </w:t>
      </w:r>
      <w:proofErr w:type="spellStart"/>
      <w:r w:rsidRPr="004A6FA2">
        <w:t>Troelsen</w:t>
      </w:r>
      <w:proofErr w:type="spellEnd"/>
      <w:r w:rsidRPr="004A6FA2">
        <w:t>, J. (2015). Effects of a Danish Multicomponent Physical Activity Intervention on Active School Transport. </w:t>
      </w:r>
      <w:r w:rsidRPr="004A6FA2">
        <w:rPr>
          <w:i/>
          <w:iCs/>
        </w:rPr>
        <w:t>Journal of Transport &amp; Health</w:t>
      </w:r>
      <w:r w:rsidRPr="004A6FA2">
        <w:t>, </w:t>
      </w:r>
      <w:r w:rsidRPr="004A6FA2">
        <w:rPr>
          <w:i/>
          <w:iCs/>
        </w:rPr>
        <w:t>1</w:t>
      </w:r>
      <w:r w:rsidRPr="004A6FA2">
        <w:t xml:space="preserve">(3), 174-181. </w:t>
      </w:r>
      <w:proofErr w:type="gramStart"/>
      <w:r w:rsidRPr="004A6FA2">
        <w:t>doi:10.1016/j.jth</w:t>
      </w:r>
      <w:proofErr w:type="gramEnd"/>
      <w:r w:rsidRPr="004A6FA2">
        <w:t>.2014.05.002</w:t>
      </w:r>
    </w:p>
    <w:p w14:paraId="1AA9FB1D" w14:textId="12872730" w:rsidR="0030590E" w:rsidRPr="004A6FA2" w:rsidRDefault="0030590E" w:rsidP="0042267C">
      <w:pPr>
        <w:spacing w:line="360" w:lineRule="auto"/>
        <w:ind w:left="567" w:hanging="567"/>
        <w:rPr>
          <w:rFonts w:cs="Times New Roman"/>
          <w:szCs w:val="24"/>
          <w:shd w:val="clear" w:color="auto" w:fill="FFFFFF"/>
        </w:rPr>
      </w:pPr>
      <w:r w:rsidRPr="004A6FA2">
        <w:rPr>
          <w:rFonts w:cs="Times New Roman"/>
          <w:szCs w:val="24"/>
          <w:shd w:val="clear" w:color="auto" w:fill="FFFFFF"/>
        </w:rPr>
        <w:t>Clark, D., &amp; Royer, H. (2013). The Effect of Education on Adult Mortality and Health: Evidence from Britain. </w:t>
      </w:r>
      <w:r w:rsidRPr="004A6FA2">
        <w:rPr>
          <w:rFonts w:cs="Times New Roman"/>
          <w:i/>
          <w:iCs/>
          <w:szCs w:val="24"/>
          <w:shd w:val="clear" w:color="auto" w:fill="FFFFFF"/>
        </w:rPr>
        <w:t>The American Economic Review</w:t>
      </w:r>
      <w:r w:rsidRPr="004A6FA2">
        <w:rPr>
          <w:rFonts w:cs="Times New Roman"/>
          <w:szCs w:val="24"/>
          <w:shd w:val="clear" w:color="auto" w:fill="FFFFFF"/>
        </w:rPr>
        <w:t>, </w:t>
      </w:r>
      <w:r w:rsidRPr="004A6FA2">
        <w:rPr>
          <w:rFonts w:cs="Times New Roman"/>
          <w:i/>
          <w:iCs/>
          <w:szCs w:val="24"/>
          <w:shd w:val="clear" w:color="auto" w:fill="FFFFFF"/>
        </w:rPr>
        <w:t>103</w:t>
      </w:r>
      <w:r w:rsidRPr="004A6FA2">
        <w:rPr>
          <w:rFonts w:cs="Times New Roman"/>
          <w:szCs w:val="24"/>
          <w:shd w:val="clear" w:color="auto" w:fill="FFFFFF"/>
        </w:rPr>
        <w:t>(6), 2087–2120. https://doi.org/10.1257/aer.103.6.2087</w:t>
      </w:r>
    </w:p>
    <w:p w14:paraId="26AAD23D" w14:textId="36D91C84" w:rsidR="007B573E" w:rsidRPr="004A6FA2" w:rsidRDefault="007B573E" w:rsidP="0085035C">
      <w:pPr>
        <w:pStyle w:val="indent3"/>
        <w:spacing w:line="360" w:lineRule="auto"/>
        <w:rPr>
          <w:sz w:val="28"/>
          <w:szCs w:val="28"/>
        </w:rPr>
      </w:pPr>
      <w:r w:rsidRPr="004A6FA2">
        <w:rPr>
          <w:shd w:val="clear" w:color="auto" w:fill="FFFFFF"/>
        </w:rPr>
        <w:t>Cui, Y., Liu, H., &amp; Zhao, L. (2019). Mother’s education and child development: Evidence from the compulsory school reform in China. </w:t>
      </w:r>
      <w:r w:rsidRPr="004A6FA2">
        <w:rPr>
          <w:i/>
          <w:iCs/>
          <w:shd w:val="clear" w:color="auto" w:fill="FFFFFF"/>
        </w:rPr>
        <w:t>Journal of Comparative Economics</w:t>
      </w:r>
      <w:r w:rsidRPr="004A6FA2">
        <w:rPr>
          <w:shd w:val="clear" w:color="auto" w:fill="FFFFFF"/>
        </w:rPr>
        <w:t>, </w:t>
      </w:r>
      <w:r w:rsidRPr="004A6FA2">
        <w:rPr>
          <w:i/>
          <w:iCs/>
          <w:shd w:val="clear" w:color="auto" w:fill="FFFFFF"/>
        </w:rPr>
        <w:t>47</w:t>
      </w:r>
      <w:r w:rsidRPr="004A6FA2">
        <w:rPr>
          <w:shd w:val="clear" w:color="auto" w:fill="FFFFFF"/>
        </w:rPr>
        <w:t>(3), 669–692. https://doi.org/10.1016/j.jce.2019.04.001</w:t>
      </w:r>
    </w:p>
    <w:p w14:paraId="0613485A" w14:textId="77777777" w:rsidR="0030590E" w:rsidRPr="004A6FA2" w:rsidRDefault="0030590E"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 xml:space="preserve">Cutler, D., &amp; </w:t>
      </w:r>
      <w:proofErr w:type="spellStart"/>
      <w:r w:rsidRPr="004A6FA2">
        <w:rPr>
          <w:rFonts w:cs="Times New Roman"/>
          <w:szCs w:val="24"/>
          <w:shd w:val="clear" w:color="auto" w:fill="FFFFFF"/>
        </w:rPr>
        <w:t>Lleras-Muney</w:t>
      </w:r>
      <w:proofErr w:type="spellEnd"/>
      <w:r w:rsidRPr="004A6FA2">
        <w:rPr>
          <w:rFonts w:cs="Times New Roman"/>
          <w:szCs w:val="24"/>
          <w:shd w:val="clear" w:color="auto" w:fill="FFFFFF"/>
        </w:rPr>
        <w:t xml:space="preserve">, A. (2006). Education and Health: Evaluating Theories and Evidence. </w:t>
      </w:r>
      <w:r w:rsidRPr="004A6FA2">
        <w:rPr>
          <w:rFonts w:cs="Times New Roman"/>
          <w:i/>
          <w:iCs/>
          <w:szCs w:val="24"/>
          <w:shd w:val="clear" w:color="auto" w:fill="FFFFFF"/>
        </w:rPr>
        <w:t>NBER Working Paper Series</w:t>
      </w:r>
      <w:r w:rsidRPr="004A6FA2">
        <w:rPr>
          <w:rFonts w:cs="Times New Roman"/>
          <w:szCs w:val="24"/>
          <w:shd w:val="clear" w:color="auto" w:fill="FFFFFF"/>
        </w:rPr>
        <w:t>. https://doi.org/10.3386/w12352</w:t>
      </w:r>
    </w:p>
    <w:p w14:paraId="2CCB5CBE" w14:textId="508C705D" w:rsidR="0030590E" w:rsidRPr="004A6FA2" w:rsidRDefault="0030590E"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 xml:space="preserve">Cutler, D., &amp; </w:t>
      </w:r>
      <w:proofErr w:type="spellStart"/>
      <w:r w:rsidRPr="004A6FA2">
        <w:rPr>
          <w:rFonts w:cs="Times New Roman"/>
          <w:szCs w:val="24"/>
          <w:shd w:val="clear" w:color="auto" w:fill="FFFFFF"/>
        </w:rPr>
        <w:t>Lleras-Muney</w:t>
      </w:r>
      <w:proofErr w:type="spellEnd"/>
      <w:r w:rsidRPr="004A6FA2">
        <w:rPr>
          <w:rFonts w:cs="Times New Roman"/>
          <w:szCs w:val="24"/>
          <w:shd w:val="clear" w:color="auto" w:fill="FFFFFF"/>
        </w:rPr>
        <w:t>, A. (2010). Understanding differences in health behaviors by education. </w:t>
      </w:r>
      <w:r w:rsidRPr="004A6FA2">
        <w:rPr>
          <w:rFonts w:cs="Times New Roman"/>
          <w:i/>
          <w:iCs/>
          <w:szCs w:val="24"/>
          <w:shd w:val="clear" w:color="auto" w:fill="FFFFFF"/>
        </w:rPr>
        <w:t>Journal of Health Economics</w:t>
      </w:r>
      <w:r w:rsidRPr="004A6FA2">
        <w:rPr>
          <w:rFonts w:cs="Times New Roman"/>
          <w:szCs w:val="24"/>
          <w:shd w:val="clear" w:color="auto" w:fill="FFFFFF"/>
        </w:rPr>
        <w:t>, </w:t>
      </w:r>
      <w:r w:rsidRPr="004A6FA2">
        <w:rPr>
          <w:rFonts w:cs="Times New Roman"/>
          <w:i/>
          <w:iCs/>
          <w:szCs w:val="24"/>
          <w:shd w:val="clear" w:color="auto" w:fill="FFFFFF"/>
        </w:rPr>
        <w:t>29</w:t>
      </w:r>
      <w:r w:rsidRPr="004A6FA2">
        <w:rPr>
          <w:rFonts w:cs="Times New Roman"/>
          <w:szCs w:val="24"/>
          <w:shd w:val="clear" w:color="auto" w:fill="FFFFFF"/>
        </w:rPr>
        <w:t>(1), 1–28. https://doi.org/10.1016/j.jhealeco.2009.10.003</w:t>
      </w:r>
    </w:p>
    <w:p w14:paraId="36BF89CF" w14:textId="12CD9D11" w:rsidR="000F4F70" w:rsidRPr="004A6FA2" w:rsidRDefault="000F4F70" w:rsidP="0085035C">
      <w:pPr>
        <w:spacing w:line="360" w:lineRule="auto"/>
        <w:ind w:left="567" w:hanging="567"/>
        <w:rPr>
          <w:rFonts w:cs="Times New Roman"/>
          <w:sz w:val="28"/>
          <w:szCs w:val="28"/>
          <w:shd w:val="clear" w:color="auto" w:fill="FFFFFF"/>
        </w:rPr>
      </w:pPr>
      <w:r w:rsidRPr="004A6FA2">
        <w:rPr>
          <w:rFonts w:cs="Times New Roman"/>
          <w:szCs w:val="24"/>
          <w:shd w:val="clear" w:color="auto" w:fill="FFFFFF"/>
        </w:rPr>
        <w:t>Davis, M. (1997). Constitutionalism in Hong Kong: Politics versus Economics. </w:t>
      </w:r>
      <w:r w:rsidRPr="004A6FA2">
        <w:rPr>
          <w:rFonts w:cs="Times New Roman"/>
          <w:i/>
          <w:iCs/>
          <w:szCs w:val="24"/>
          <w:shd w:val="clear" w:color="auto" w:fill="FFFFFF"/>
        </w:rPr>
        <w:t>University of Pennsylvania Journal of International Law</w:t>
      </w:r>
      <w:r w:rsidRPr="004A6FA2">
        <w:rPr>
          <w:rFonts w:cs="Times New Roman"/>
          <w:szCs w:val="24"/>
          <w:shd w:val="clear" w:color="auto" w:fill="FFFFFF"/>
        </w:rPr>
        <w:t>, </w:t>
      </w:r>
      <w:r w:rsidRPr="004A6FA2">
        <w:rPr>
          <w:rFonts w:cs="Times New Roman"/>
          <w:i/>
          <w:iCs/>
          <w:szCs w:val="24"/>
          <w:shd w:val="clear" w:color="auto" w:fill="FFFFFF"/>
        </w:rPr>
        <w:t>18</w:t>
      </w:r>
      <w:r w:rsidRPr="004A6FA2">
        <w:rPr>
          <w:rFonts w:cs="Times New Roman"/>
          <w:szCs w:val="24"/>
          <w:shd w:val="clear" w:color="auto" w:fill="FFFFFF"/>
        </w:rPr>
        <w:t>(1), 157. Retrieved from https://resolver.1science.com/proquest/?id=ac7406bad3159873c29a9670d2090aba435e633c</w:t>
      </w:r>
    </w:p>
    <w:p w14:paraId="10B1B9C5" w14:textId="77777777" w:rsidR="0030590E" w:rsidRPr="004A6FA2" w:rsidRDefault="0030590E"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lastRenderedPageBreak/>
        <w:t xml:space="preserve">Deaton, A., 2002. Policy implications of the gradient of health and wealth. </w:t>
      </w:r>
      <w:r w:rsidRPr="004A6FA2">
        <w:rPr>
          <w:rFonts w:cs="Times New Roman"/>
          <w:i/>
          <w:iCs/>
          <w:szCs w:val="24"/>
          <w:shd w:val="clear" w:color="auto" w:fill="FFFFFF"/>
        </w:rPr>
        <w:t xml:space="preserve">Health Affairs 21 </w:t>
      </w:r>
      <w:r w:rsidRPr="004A6FA2">
        <w:rPr>
          <w:rFonts w:cs="Times New Roman"/>
          <w:szCs w:val="24"/>
          <w:shd w:val="clear" w:color="auto" w:fill="FFFFFF"/>
        </w:rPr>
        <w:t>(2), 13–30.</w:t>
      </w:r>
    </w:p>
    <w:p w14:paraId="0D307EC1" w14:textId="77777777" w:rsidR="0030590E" w:rsidRPr="004A6FA2" w:rsidRDefault="0030590E"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 xml:space="preserve">Deaton, A. (2008). Income, health, and well-being around the world: evidence from the Gallup World </w:t>
      </w:r>
      <w:proofErr w:type="gramStart"/>
      <w:r w:rsidRPr="004A6FA2">
        <w:rPr>
          <w:rFonts w:cs="Times New Roman"/>
          <w:szCs w:val="24"/>
          <w:shd w:val="clear" w:color="auto" w:fill="FFFFFF"/>
        </w:rPr>
        <w:t>Poll.(</w:t>
      </w:r>
      <w:proofErr w:type="gramEnd"/>
      <w:r w:rsidRPr="004A6FA2">
        <w:rPr>
          <w:rFonts w:cs="Times New Roman"/>
          <w:szCs w:val="24"/>
          <w:shd w:val="clear" w:color="auto" w:fill="FFFFFF"/>
        </w:rPr>
        <w:t>Report). </w:t>
      </w:r>
      <w:r w:rsidRPr="004A6FA2">
        <w:rPr>
          <w:rFonts w:cs="Times New Roman"/>
          <w:i/>
          <w:iCs/>
          <w:szCs w:val="24"/>
          <w:shd w:val="clear" w:color="auto" w:fill="FFFFFF"/>
        </w:rPr>
        <w:t>Journal of Economic Perspectives</w:t>
      </w:r>
      <w:r w:rsidRPr="004A6FA2">
        <w:rPr>
          <w:rFonts w:cs="Times New Roman"/>
          <w:szCs w:val="24"/>
          <w:shd w:val="clear" w:color="auto" w:fill="FFFFFF"/>
        </w:rPr>
        <w:t>, </w:t>
      </w:r>
      <w:r w:rsidRPr="004A6FA2">
        <w:rPr>
          <w:rFonts w:cs="Times New Roman"/>
          <w:i/>
          <w:iCs/>
          <w:szCs w:val="24"/>
          <w:shd w:val="clear" w:color="auto" w:fill="FFFFFF"/>
        </w:rPr>
        <w:t>22</w:t>
      </w:r>
      <w:r w:rsidRPr="004A6FA2">
        <w:rPr>
          <w:rFonts w:cs="Times New Roman"/>
          <w:szCs w:val="24"/>
          <w:shd w:val="clear" w:color="auto" w:fill="FFFFFF"/>
        </w:rPr>
        <w:t>(2), 53–72. https://doi.org/10.1257/jep.22.2.53</w:t>
      </w:r>
    </w:p>
    <w:p w14:paraId="187B70D5" w14:textId="7CB7E530" w:rsidR="0030590E" w:rsidRPr="004A6FA2" w:rsidRDefault="0030590E" w:rsidP="0085035C">
      <w:pPr>
        <w:spacing w:line="360" w:lineRule="auto"/>
        <w:ind w:left="567" w:hanging="567"/>
        <w:rPr>
          <w:rFonts w:cs="Times New Roman"/>
          <w:szCs w:val="24"/>
          <w:shd w:val="clear" w:color="auto" w:fill="FFFFFF"/>
        </w:rPr>
      </w:pPr>
      <w:proofErr w:type="spellStart"/>
      <w:r w:rsidRPr="004A6FA2">
        <w:rPr>
          <w:rFonts w:cs="Times New Roman"/>
          <w:szCs w:val="24"/>
          <w:shd w:val="clear" w:color="auto" w:fill="FFFFFF"/>
        </w:rPr>
        <w:t>DeWalque</w:t>
      </w:r>
      <w:proofErr w:type="spellEnd"/>
      <w:r w:rsidRPr="004A6FA2">
        <w:rPr>
          <w:rFonts w:cs="Times New Roman"/>
          <w:szCs w:val="24"/>
          <w:shd w:val="clear" w:color="auto" w:fill="FFFFFF"/>
        </w:rPr>
        <w:t xml:space="preserve">, D., 2007. Does education affect smoking behaviors? Evidence using the Vietnam draft as an instrument for college education. </w:t>
      </w:r>
      <w:r w:rsidRPr="004A6FA2">
        <w:rPr>
          <w:rFonts w:cs="Times New Roman"/>
          <w:i/>
          <w:iCs/>
          <w:szCs w:val="24"/>
          <w:shd w:val="clear" w:color="auto" w:fill="FFFFFF"/>
        </w:rPr>
        <w:t>Journal of Health Economics 26</w:t>
      </w:r>
      <w:r w:rsidRPr="004A6FA2">
        <w:rPr>
          <w:rFonts w:cs="Times New Roman"/>
          <w:szCs w:val="24"/>
          <w:shd w:val="clear" w:color="auto" w:fill="FFFFFF"/>
        </w:rPr>
        <w:t>, 877–895.</w:t>
      </w:r>
    </w:p>
    <w:p w14:paraId="04A2D709" w14:textId="7AD456F1" w:rsidR="0030590E" w:rsidRPr="004A6FA2" w:rsidRDefault="0030590E" w:rsidP="0085035C">
      <w:pPr>
        <w:spacing w:line="360" w:lineRule="auto"/>
        <w:ind w:left="567" w:hanging="567"/>
        <w:rPr>
          <w:rFonts w:cs="Times New Roman"/>
          <w:sz w:val="28"/>
          <w:szCs w:val="28"/>
          <w:shd w:val="clear" w:color="auto" w:fill="FFFFFF"/>
        </w:rPr>
      </w:pPr>
      <w:proofErr w:type="spellStart"/>
      <w:r w:rsidRPr="004A6FA2">
        <w:rPr>
          <w:rFonts w:cs="Times New Roman"/>
          <w:szCs w:val="24"/>
          <w:shd w:val="clear" w:color="auto" w:fill="FFFFFF"/>
        </w:rPr>
        <w:t>Dupas</w:t>
      </w:r>
      <w:proofErr w:type="spellEnd"/>
      <w:r w:rsidRPr="004A6FA2">
        <w:rPr>
          <w:rFonts w:cs="Times New Roman"/>
          <w:szCs w:val="24"/>
          <w:shd w:val="clear" w:color="auto" w:fill="FFFFFF"/>
        </w:rPr>
        <w:t>, P. (2011). Health Behavior in Developing Countries. </w:t>
      </w:r>
      <w:r w:rsidR="00F25C08" w:rsidRPr="004A6FA2">
        <w:rPr>
          <w:rFonts w:cs="Times New Roman"/>
          <w:i/>
          <w:iCs/>
          <w:szCs w:val="24"/>
          <w:shd w:val="clear" w:color="auto" w:fill="FFFFFF"/>
        </w:rPr>
        <w:t>Annual Review of Economics.</w:t>
      </w:r>
      <w:r w:rsidR="00F25C08" w:rsidRPr="004A6FA2">
        <w:rPr>
          <w:rFonts w:cs="Times New Roman"/>
          <w:szCs w:val="24"/>
          <w:shd w:val="clear" w:color="auto" w:fill="FFFFFF"/>
        </w:rPr>
        <w:t xml:space="preserve"> </w:t>
      </w:r>
      <w:r w:rsidRPr="004A6FA2">
        <w:rPr>
          <w:rFonts w:cs="Times New Roman"/>
          <w:i/>
          <w:iCs/>
          <w:szCs w:val="24"/>
          <w:shd w:val="clear" w:color="auto" w:fill="FFFFFF"/>
        </w:rPr>
        <w:t>3</w:t>
      </w:r>
      <w:r w:rsidRPr="004A6FA2">
        <w:rPr>
          <w:rFonts w:cs="Times New Roman"/>
          <w:szCs w:val="24"/>
          <w:shd w:val="clear" w:color="auto" w:fill="FFFFFF"/>
        </w:rPr>
        <w:t>(1), 425–449. https://doi.org/10.1146/annurev-economics-111809-125029</w:t>
      </w:r>
    </w:p>
    <w:p w14:paraId="76202DF6" w14:textId="77777777" w:rsidR="0030590E" w:rsidRPr="004A6FA2" w:rsidRDefault="0030590E"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Fletcher, J. (2015). New evidence of the effects of education on health in the US: Compulsory schooling laws revisited. </w:t>
      </w:r>
      <w:r w:rsidRPr="004A6FA2">
        <w:rPr>
          <w:rFonts w:cs="Times New Roman"/>
          <w:i/>
          <w:iCs/>
          <w:szCs w:val="24"/>
          <w:shd w:val="clear" w:color="auto" w:fill="FFFFFF"/>
        </w:rPr>
        <w:t>Social Science &amp; Medicine</w:t>
      </w:r>
      <w:r w:rsidRPr="004A6FA2">
        <w:rPr>
          <w:rFonts w:cs="Times New Roman"/>
          <w:szCs w:val="24"/>
          <w:shd w:val="clear" w:color="auto" w:fill="FFFFFF"/>
        </w:rPr>
        <w:t>, </w:t>
      </w:r>
      <w:r w:rsidRPr="004A6FA2">
        <w:rPr>
          <w:rFonts w:cs="Times New Roman"/>
          <w:i/>
          <w:iCs/>
          <w:szCs w:val="24"/>
          <w:shd w:val="clear" w:color="auto" w:fill="FFFFFF"/>
        </w:rPr>
        <w:t>127</w:t>
      </w:r>
      <w:r w:rsidRPr="004A6FA2">
        <w:rPr>
          <w:rFonts w:cs="Times New Roman"/>
          <w:szCs w:val="24"/>
          <w:shd w:val="clear" w:color="auto" w:fill="FFFFFF"/>
        </w:rPr>
        <w:t>, 101–107. https://doi.org/10.1016/j.socscimed.2014.09.052</w:t>
      </w:r>
    </w:p>
    <w:p w14:paraId="4B903153" w14:textId="77777777" w:rsidR="0030590E" w:rsidRPr="004A6FA2" w:rsidRDefault="0030590E" w:rsidP="0085035C">
      <w:pPr>
        <w:spacing w:line="360" w:lineRule="auto"/>
        <w:ind w:left="567" w:hanging="567"/>
        <w:rPr>
          <w:rFonts w:cs="Times New Roman"/>
          <w:szCs w:val="24"/>
          <w:lang w:val="en-US"/>
        </w:rPr>
      </w:pPr>
      <w:r w:rsidRPr="004A6FA2">
        <w:rPr>
          <w:rFonts w:cs="Times New Roman"/>
          <w:szCs w:val="24"/>
          <w:lang w:val="en-US"/>
        </w:rPr>
        <w:t xml:space="preserve">Fischer, M., Karlsson, M., Nilsson, T., 2013. Effects of compulsory schooling on mortality. Evidence from Sweden. </w:t>
      </w:r>
      <w:r w:rsidRPr="004A6FA2">
        <w:rPr>
          <w:rFonts w:cs="Times New Roman"/>
          <w:i/>
          <w:iCs/>
          <w:szCs w:val="24"/>
          <w:lang w:val="en-US"/>
        </w:rPr>
        <w:t xml:space="preserve">International Journal of Environmental Research and Public Health 10 </w:t>
      </w:r>
      <w:r w:rsidRPr="004A6FA2">
        <w:rPr>
          <w:rFonts w:cs="Times New Roman"/>
          <w:szCs w:val="24"/>
          <w:lang w:val="en-US"/>
        </w:rPr>
        <w:t>(8), 3596e3618.</w:t>
      </w:r>
    </w:p>
    <w:p w14:paraId="75C119D6" w14:textId="203F7067" w:rsidR="0030590E" w:rsidRPr="004A6FA2" w:rsidRDefault="0030590E"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Fogel, R. (1994). Economic growth, population theory, and physiology: The bearing of long-term processes on the making of economic policy. </w:t>
      </w:r>
      <w:r w:rsidRPr="004A6FA2">
        <w:rPr>
          <w:rFonts w:cs="Times New Roman"/>
          <w:i/>
          <w:iCs/>
          <w:szCs w:val="24"/>
          <w:shd w:val="clear" w:color="auto" w:fill="FFFFFF"/>
        </w:rPr>
        <w:t>The American Economic Review</w:t>
      </w:r>
      <w:r w:rsidRPr="004A6FA2">
        <w:rPr>
          <w:rFonts w:cs="Times New Roman"/>
          <w:szCs w:val="24"/>
          <w:shd w:val="clear" w:color="auto" w:fill="FFFFFF"/>
        </w:rPr>
        <w:t>, </w:t>
      </w:r>
      <w:r w:rsidRPr="004A6FA2">
        <w:rPr>
          <w:rFonts w:cs="Times New Roman"/>
          <w:i/>
          <w:iCs/>
          <w:szCs w:val="24"/>
          <w:shd w:val="clear" w:color="auto" w:fill="FFFFFF"/>
        </w:rPr>
        <w:t>84</w:t>
      </w:r>
      <w:r w:rsidRPr="004A6FA2">
        <w:rPr>
          <w:rFonts w:cs="Times New Roman"/>
          <w:szCs w:val="24"/>
          <w:shd w:val="clear" w:color="auto" w:fill="FFFFFF"/>
        </w:rPr>
        <w:t>(3), 369–395. https://doi.org/10.2307/2118058</w:t>
      </w:r>
    </w:p>
    <w:p w14:paraId="3CC7D4D8" w14:textId="6BE23FE3" w:rsidR="00EF70CB" w:rsidRPr="004A6FA2" w:rsidRDefault="00EF70CB" w:rsidP="0085035C">
      <w:pPr>
        <w:spacing w:line="360" w:lineRule="auto"/>
        <w:ind w:left="567" w:hanging="567"/>
        <w:rPr>
          <w:rFonts w:cs="Times New Roman"/>
          <w:sz w:val="28"/>
          <w:szCs w:val="28"/>
          <w:lang w:val="en-US"/>
        </w:rPr>
      </w:pPr>
      <w:r w:rsidRPr="004A6FA2">
        <w:rPr>
          <w:rFonts w:cs="Times New Roman"/>
          <w:szCs w:val="24"/>
          <w:shd w:val="clear" w:color="auto" w:fill="FFFFFF"/>
        </w:rPr>
        <w:t>Fuchs, V. (1980). Time Preference and Health: An Exploratory Study. </w:t>
      </w:r>
      <w:r w:rsidRPr="004A6FA2">
        <w:rPr>
          <w:rFonts w:cs="Times New Roman"/>
          <w:i/>
          <w:iCs/>
          <w:szCs w:val="24"/>
          <w:shd w:val="clear" w:color="auto" w:fill="FFFFFF"/>
        </w:rPr>
        <w:t>NBER Working Paper Series</w:t>
      </w:r>
      <w:r w:rsidRPr="004A6FA2">
        <w:rPr>
          <w:rFonts w:cs="Times New Roman"/>
          <w:szCs w:val="24"/>
          <w:shd w:val="clear" w:color="auto" w:fill="FFFFFF"/>
        </w:rPr>
        <w:t>. https://doi.org/10.3386/w0539</w:t>
      </w:r>
    </w:p>
    <w:p w14:paraId="0C091B09" w14:textId="77777777" w:rsidR="0030590E" w:rsidRPr="004A6FA2" w:rsidRDefault="0030590E" w:rsidP="0085035C">
      <w:pPr>
        <w:spacing w:line="360" w:lineRule="auto"/>
        <w:ind w:left="567" w:hanging="567"/>
        <w:rPr>
          <w:rFonts w:cs="Times New Roman"/>
          <w:szCs w:val="24"/>
          <w:shd w:val="clear" w:color="auto" w:fill="FFFFFF"/>
        </w:rPr>
      </w:pPr>
      <w:proofErr w:type="spellStart"/>
      <w:r w:rsidRPr="004A6FA2">
        <w:rPr>
          <w:rFonts w:cs="Times New Roman"/>
          <w:szCs w:val="24"/>
          <w:shd w:val="clear" w:color="auto" w:fill="FFFFFF"/>
        </w:rPr>
        <w:t>Gathmann</w:t>
      </w:r>
      <w:proofErr w:type="spellEnd"/>
      <w:r w:rsidRPr="004A6FA2">
        <w:rPr>
          <w:rFonts w:cs="Times New Roman"/>
          <w:szCs w:val="24"/>
          <w:shd w:val="clear" w:color="auto" w:fill="FFFFFF"/>
        </w:rPr>
        <w:t xml:space="preserve">, C., </w:t>
      </w:r>
      <w:proofErr w:type="spellStart"/>
      <w:r w:rsidRPr="004A6FA2">
        <w:rPr>
          <w:rFonts w:cs="Times New Roman"/>
          <w:szCs w:val="24"/>
          <w:shd w:val="clear" w:color="auto" w:fill="FFFFFF"/>
        </w:rPr>
        <w:t>Jürges</w:t>
      </w:r>
      <w:proofErr w:type="spellEnd"/>
      <w:r w:rsidRPr="004A6FA2">
        <w:rPr>
          <w:rFonts w:cs="Times New Roman"/>
          <w:szCs w:val="24"/>
          <w:shd w:val="clear" w:color="auto" w:fill="FFFFFF"/>
        </w:rPr>
        <w:t>, H., &amp; Reinhold, S. (2015). Compulsory schooling reforms, education and mortality in twentieth century Europe. </w:t>
      </w:r>
      <w:r w:rsidRPr="004A6FA2">
        <w:rPr>
          <w:rFonts w:cs="Times New Roman"/>
          <w:i/>
          <w:iCs/>
          <w:szCs w:val="24"/>
          <w:shd w:val="clear" w:color="auto" w:fill="FFFFFF"/>
        </w:rPr>
        <w:t>Social Science &amp; Medicine</w:t>
      </w:r>
      <w:r w:rsidRPr="004A6FA2">
        <w:rPr>
          <w:rFonts w:cs="Times New Roman"/>
          <w:szCs w:val="24"/>
          <w:shd w:val="clear" w:color="auto" w:fill="FFFFFF"/>
        </w:rPr>
        <w:t>, </w:t>
      </w:r>
      <w:r w:rsidRPr="004A6FA2">
        <w:rPr>
          <w:rFonts w:cs="Times New Roman"/>
          <w:i/>
          <w:iCs/>
          <w:szCs w:val="24"/>
          <w:shd w:val="clear" w:color="auto" w:fill="FFFFFF"/>
        </w:rPr>
        <w:t>127</w:t>
      </w:r>
      <w:r w:rsidRPr="004A6FA2">
        <w:rPr>
          <w:rFonts w:cs="Times New Roman"/>
          <w:szCs w:val="24"/>
          <w:shd w:val="clear" w:color="auto" w:fill="FFFFFF"/>
        </w:rPr>
        <w:t>, 74–82. https://doi.org/10.1016/j.socscimed.2014.01.037</w:t>
      </w:r>
    </w:p>
    <w:p w14:paraId="545ED826" w14:textId="77777777" w:rsidR="0030590E" w:rsidRPr="004A6FA2" w:rsidRDefault="0030590E"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Grossman, M. (1972). On the Concept of Health Capital and the Demand for Health. </w:t>
      </w:r>
      <w:r w:rsidRPr="004A6FA2">
        <w:rPr>
          <w:rFonts w:cs="Times New Roman"/>
          <w:i/>
          <w:iCs/>
          <w:szCs w:val="24"/>
          <w:shd w:val="clear" w:color="auto" w:fill="FFFFFF"/>
        </w:rPr>
        <w:t>The Journal of Political Economy</w:t>
      </w:r>
      <w:r w:rsidRPr="004A6FA2">
        <w:rPr>
          <w:rFonts w:cs="Times New Roman"/>
          <w:szCs w:val="24"/>
          <w:shd w:val="clear" w:color="auto" w:fill="FFFFFF"/>
        </w:rPr>
        <w:t>, </w:t>
      </w:r>
      <w:r w:rsidRPr="004A6FA2">
        <w:rPr>
          <w:rFonts w:cs="Times New Roman"/>
          <w:i/>
          <w:iCs/>
          <w:szCs w:val="24"/>
          <w:shd w:val="clear" w:color="auto" w:fill="FFFFFF"/>
        </w:rPr>
        <w:t>80</w:t>
      </w:r>
      <w:r w:rsidRPr="004A6FA2">
        <w:rPr>
          <w:rFonts w:cs="Times New Roman"/>
          <w:szCs w:val="24"/>
          <w:shd w:val="clear" w:color="auto" w:fill="FFFFFF"/>
        </w:rPr>
        <w:t>(2), 223–255. https://doi.org/10.1086/259880</w:t>
      </w:r>
    </w:p>
    <w:p w14:paraId="55970644" w14:textId="77777777" w:rsidR="0030590E" w:rsidRPr="004A6FA2" w:rsidRDefault="0030590E" w:rsidP="0085035C">
      <w:pPr>
        <w:spacing w:line="360" w:lineRule="auto"/>
        <w:ind w:left="567" w:hanging="567"/>
        <w:rPr>
          <w:rFonts w:cs="Times New Roman"/>
          <w:sz w:val="28"/>
          <w:szCs w:val="28"/>
          <w:shd w:val="clear" w:color="auto" w:fill="FFFFFF"/>
        </w:rPr>
      </w:pPr>
      <w:r w:rsidRPr="004A6FA2">
        <w:rPr>
          <w:rFonts w:cs="Times New Roman"/>
          <w:szCs w:val="24"/>
          <w:shd w:val="clear" w:color="auto" w:fill="FFFFFF"/>
        </w:rPr>
        <w:t>Grossman, M. (2000). Chapter 7 The human capital model. In </w:t>
      </w:r>
      <w:r w:rsidRPr="004A6FA2">
        <w:rPr>
          <w:rFonts w:cs="Times New Roman"/>
          <w:i/>
          <w:iCs/>
          <w:szCs w:val="24"/>
          <w:shd w:val="clear" w:color="auto" w:fill="FFFFFF"/>
        </w:rPr>
        <w:t>Handbook of Health Economics</w:t>
      </w:r>
      <w:r w:rsidRPr="004A6FA2">
        <w:rPr>
          <w:rFonts w:cs="Times New Roman"/>
          <w:szCs w:val="24"/>
          <w:shd w:val="clear" w:color="auto" w:fill="FFFFFF"/>
        </w:rPr>
        <w:t> (Vol. 1, pp. 347–408). https://doi.org/10.1016/S1574-0064(00)80166-3</w:t>
      </w:r>
    </w:p>
    <w:p w14:paraId="1DD83E17" w14:textId="77777777" w:rsidR="0030590E" w:rsidRPr="004A6FA2" w:rsidRDefault="0030590E"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lastRenderedPageBreak/>
        <w:t>Grossman, M. (2008). The Relationship Between Health and Schooling. </w:t>
      </w:r>
      <w:r w:rsidRPr="004A6FA2">
        <w:rPr>
          <w:rFonts w:cs="Times New Roman"/>
          <w:i/>
          <w:iCs/>
          <w:szCs w:val="24"/>
          <w:shd w:val="clear" w:color="auto" w:fill="FFFFFF"/>
        </w:rPr>
        <w:t>Eastern Economic Journal</w:t>
      </w:r>
      <w:r w:rsidRPr="004A6FA2">
        <w:rPr>
          <w:rFonts w:cs="Times New Roman"/>
          <w:szCs w:val="24"/>
          <w:shd w:val="clear" w:color="auto" w:fill="FFFFFF"/>
        </w:rPr>
        <w:t>, </w:t>
      </w:r>
      <w:r w:rsidRPr="004A6FA2">
        <w:rPr>
          <w:rFonts w:cs="Times New Roman"/>
          <w:i/>
          <w:iCs/>
          <w:szCs w:val="24"/>
          <w:shd w:val="clear" w:color="auto" w:fill="FFFFFF"/>
        </w:rPr>
        <w:t>34</w:t>
      </w:r>
      <w:r w:rsidRPr="004A6FA2">
        <w:rPr>
          <w:rFonts w:cs="Times New Roman"/>
          <w:szCs w:val="24"/>
          <w:shd w:val="clear" w:color="auto" w:fill="FFFFFF"/>
        </w:rPr>
        <w:t>(3), 281–292. https://doi.org/10.1057/eej.2008.13</w:t>
      </w:r>
    </w:p>
    <w:p w14:paraId="2D672CEC" w14:textId="5C2E00F7" w:rsidR="0030590E" w:rsidRPr="004A6FA2" w:rsidRDefault="0030590E"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Hoffmann, R., &amp; Lutz, S. (</w:t>
      </w:r>
      <w:r w:rsidR="00861144" w:rsidRPr="004A6FA2">
        <w:rPr>
          <w:rFonts w:cs="Times New Roman"/>
          <w:szCs w:val="24"/>
          <w:shd w:val="clear" w:color="auto" w:fill="FFFFFF"/>
        </w:rPr>
        <w:t>2019</w:t>
      </w:r>
      <w:r w:rsidRPr="004A6FA2">
        <w:rPr>
          <w:rFonts w:cs="Times New Roman"/>
          <w:szCs w:val="24"/>
          <w:shd w:val="clear" w:color="auto" w:fill="FFFFFF"/>
        </w:rPr>
        <w:t>). The health knowledge mechanism: evidence on the link between education and health lifestyle in the Philippines. </w:t>
      </w:r>
      <w:r w:rsidRPr="004A6FA2">
        <w:rPr>
          <w:rFonts w:cs="Times New Roman"/>
          <w:i/>
          <w:iCs/>
          <w:szCs w:val="24"/>
          <w:shd w:val="clear" w:color="auto" w:fill="FFFFFF"/>
        </w:rPr>
        <w:t>The European Journal of Health Economics</w:t>
      </w:r>
      <w:r w:rsidRPr="004A6FA2">
        <w:rPr>
          <w:rFonts w:cs="Times New Roman"/>
          <w:szCs w:val="24"/>
          <w:shd w:val="clear" w:color="auto" w:fill="FFFFFF"/>
        </w:rPr>
        <w:t>, </w:t>
      </w:r>
      <w:r w:rsidRPr="004A6FA2">
        <w:rPr>
          <w:rFonts w:cs="Times New Roman"/>
          <w:i/>
          <w:iCs/>
          <w:szCs w:val="24"/>
          <w:shd w:val="clear" w:color="auto" w:fill="FFFFFF"/>
        </w:rPr>
        <w:t>20</w:t>
      </w:r>
      <w:r w:rsidRPr="004A6FA2">
        <w:rPr>
          <w:rFonts w:cs="Times New Roman"/>
          <w:szCs w:val="24"/>
          <w:shd w:val="clear" w:color="auto" w:fill="FFFFFF"/>
        </w:rPr>
        <w:t>(1), 27–43. https://doi.org/10.1007/s10198-017-0950-2</w:t>
      </w:r>
    </w:p>
    <w:p w14:paraId="6A331D51" w14:textId="77777777" w:rsidR="0030590E" w:rsidRPr="004A6FA2" w:rsidRDefault="0030590E"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 xml:space="preserve">Housley, E., </w:t>
      </w:r>
      <w:proofErr w:type="spellStart"/>
      <w:r w:rsidRPr="004A6FA2">
        <w:rPr>
          <w:rFonts w:cs="Times New Roman"/>
          <w:szCs w:val="24"/>
          <w:shd w:val="clear" w:color="auto" w:fill="FFFFFF"/>
        </w:rPr>
        <w:t>Leng</w:t>
      </w:r>
      <w:proofErr w:type="spellEnd"/>
      <w:r w:rsidRPr="004A6FA2">
        <w:rPr>
          <w:rFonts w:cs="Times New Roman"/>
          <w:szCs w:val="24"/>
          <w:shd w:val="clear" w:color="auto" w:fill="FFFFFF"/>
        </w:rPr>
        <w:t xml:space="preserve">, G., </w:t>
      </w:r>
      <w:proofErr w:type="spellStart"/>
      <w:r w:rsidRPr="004A6FA2">
        <w:rPr>
          <w:rFonts w:cs="Times New Roman"/>
          <w:szCs w:val="24"/>
          <w:shd w:val="clear" w:color="auto" w:fill="FFFFFF"/>
        </w:rPr>
        <w:t>Donnan</w:t>
      </w:r>
      <w:proofErr w:type="spellEnd"/>
      <w:r w:rsidRPr="004A6FA2">
        <w:rPr>
          <w:rFonts w:cs="Times New Roman"/>
          <w:szCs w:val="24"/>
          <w:shd w:val="clear" w:color="auto" w:fill="FFFFFF"/>
        </w:rPr>
        <w:t xml:space="preserve">, P., &amp; </w:t>
      </w:r>
      <w:proofErr w:type="spellStart"/>
      <w:r w:rsidRPr="004A6FA2">
        <w:rPr>
          <w:rFonts w:cs="Times New Roman"/>
          <w:szCs w:val="24"/>
          <w:shd w:val="clear" w:color="auto" w:fill="FFFFFF"/>
        </w:rPr>
        <w:t>Fowkes</w:t>
      </w:r>
      <w:proofErr w:type="spellEnd"/>
      <w:r w:rsidRPr="004A6FA2">
        <w:rPr>
          <w:rFonts w:cs="Times New Roman"/>
          <w:szCs w:val="24"/>
          <w:shd w:val="clear" w:color="auto" w:fill="FFFFFF"/>
        </w:rPr>
        <w:t>, F. (1993). Physical activity and risk of peripheral arterial disease in the general population: Edinburgh Artery Study. </w:t>
      </w:r>
      <w:r w:rsidRPr="004A6FA2">
        <w:rPr>
          <w:rFonts w:cs="Times New Roman"/>
          <w:i/>
          <w:iCs/>
          <w:szCs w:val="24"/>
          <w:shd w:val="clear" w:color="auto" w:fill="FFFFFF"/>
        </w:rPr>
        <w:t>Journal of Epidemiology and Community Health</w:t>
      </w:r>
      <w:r w:rsidRPr="004A6FA2">
        <w:rPr>
          <w:rFonts w:cs="Times New Roman"/>
          <w:szCs w:val="24"/>
          <w:shd w:val="clear" w:color="auto" w:fill="FFFFFF"/>
        </w:rPr>
        <w:t>, </w:t>
      </w:r>
      <w:r w:rsidRPr="004A6FA2">
        <w:rPr>
          <w:rFonts w:cs="Times New Roman"/>
          <w:i/>
          <w:iCs/>
          <w:szCs w:val="24"/>
          <w:shd w:val="clear" w:color="auto" w:fill="FFFFFF"/>
        </w:rPr>
        <w:t>47</w:t>
      </w:r>
      <w:r w:rsidRPr="004A6FA2">
        <w:rPr>
          <w:rFonts w:cs="Times New Roman"/>
          <w:szCs w:val="24"/>
          <w:shd w:val="clear" w:color="auto" w:fill="FFFFFF"/>
        </w:rPr>
        <w:t>(6), 475–480. https://doi.org/10.1136/jech.47.6.475</w:t>
      </w:r>
    </w:p>
    <w:p w14:paraId="45F8A67C" w14:textId="77777777" w:rsidR="0030590E" w:rsidRPr="004A6FA2" w:rsidRDefault="0030590E"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Huang, W. (2015). Understanding the Effects of Education on Health: Evidence from China. </w:t>
      </w:r>
      <w:r w:rsidRPr="004A6FA2">
        <w:rPr>
          <w:rFonts w:cs="Times New Roman"/>
          <w:i/>
          <w:iCs/>
          <w:szCs w:val="24"/>
          <w:shd w:val="clear" w:color="auto" w:fill="FFFFFF"/>
        </w:rPr>
        <w:t xml:space="preserve">IDEAS Working Paper Series from </w:t>
      </w:r>
      <w:proofErr w:type="spellStart"/>
      <w:r w:rsidRPr="004A6FA2">
        <w:rPr>
          <w:rFonts w:cs="Times New Roman"/>
          <w:i/>
          <w:iCs/>
          <w:szCs w:val="24"/>
          <w:shd w:val="clear" w:color="auto" w:fill="FFFFFF"/>
        </w:rPr>
        <w:t>RePEc</w:t>
      </w:r>
      <w:proofErr w:type="spellEnd"/>
      <w:r w:rsidRPr="004A6FA2">
        <w:rPr>
          <w:rFonts w:cs="Times New Roman"/>
          <w:szCs w:val="24"/>
          <w:shd w:val="clear" w:color="auto" w:fill="FFFFFF"/>
        </w:rPr>
        <w:t>. Retrieved from http://search.proquest.com/docview/1767747552/</w:t>
      </w:r>
    </w:p>
    <w:p w14:paraId="6F17B8C3" w14:textId="77777777" w:rsidR="0030590E" w:rsidRPr="004A6FA2" w:rsidRDefault="0030590E"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 xml:space="preserve">Idler, E., &amp; </w:t>
      </w:r>
      <w:proofErr w:type="spellStart"/>
      <w:r w:rsidRPr="004A6FA2">
        <w:rPr>
          <w:rFonts w:cs="Times New Roman"/>
          <w:szCs w:val="24"/>
          <w:shd w:val="clear" w:color="auto" w:fill="FFFFFF"/>
        </w:rPr>
        <w:t>Benyamini</w:t>
      </w:r>
      <w:proofErr w:type="spellEnd"/>
      <w:r w:rsidRPr="004A6FA2">
        <w:rPr>
          <w:rFonts w:cs="Times New Roman"/>
          <w:szCs w:val="24"/>
          <w:shd w:val="clear" w:color="auto" w:fill="FFFFFF"/>
        </w:rPr>
        <w:t>, Y. (1997). Self-rated health and mortality: a review of twenty-seven community studies. </w:t>
      </w:r>
      <w:r w:rsidRPr="004A6FA2">
        <w:rPr>
          <w:rFonts w:cs="Times New Roman"/>
          <w:i/>
          <w:iCs/>
          <w:szCs w:val="24"/>
          <w:shd w:val="clear" w:color="auto" w:fill="FFFFFF"/>
        </w:rPr>
        <w:t>Journal of Health and Social Behavior</w:t>
      </w:r>
      <w:r w:rsidRPr="004A6FA2">
        <w:rPr>
          <w:rFonts w:cs="Times New Roman"/>
          <w:szCs w:val="24"/>
          <w:shd w:val="clear" w:color="auto" w:fill="FFFFFF"/>
        </w:rPr>
        <w:t>, </w:t>
      </w:r>
      <w:r w:rsidRPr="004A6FA2">
        <w:rPr>
          <w:rFonts w:cs="Times New Roman"/>
          <w:i/>
          <w:iCs/>
          <w:szCs w:val="24"/>
          <w:shd w:val="clear" w:color="auto" w:fill="FFFFFF"/>
        </w:rPr>
        <w:t>38</w:t>
      </w:r>
      <w:r w:rsidRPr="004A6FA2">
        <w:rPr>
          <w:rFonts w:cs="Times New Roman"/>
          <w:szCs w:val="24"/>
          <w:shd w:val="clear" w:color="auto" w:fill="FFFFFF"/>
        </w:rPr>
        <w:t>(1), 21–37. https://doi.org/10.2307/2955359</w:t>
      </w:r>
    </w:p>
    <w:p w14:paraId="4127B231" w14:textId="77777777" w:rsidR="0030590E" w:rsidRPr="004A6FA2" w:rsidRDefault="0030590E"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 xml:space="preserve">Jayachandran, S., &amp; </w:t>
      </w:r>
      <w:proofErr w:type="spellStart"/>
      <w:r w:rsidRPr="004A6FA2">
        <w:rPr>
          <w:rFonts w:cs="Times New Roman"/>
          <w:szCs w:val="24"/>
          <w:shd w:val="clear" w:color="auto" w:fill="FFFFFF"/>
        </w:rPr>
        <w:t>Lleras-Muney</w:t>
      </w:r>
      <w:proofErr w:type="spellEnd"/>
      <w:r w:rsidRPr="004A6FA2">
        <w:rPr>
          <w:rFonts w:cs="Times New Roman"/>
          <w:szCs w:val="24"/>
          <w:shd w:val="clear" w:color="auto" w:fill="FFFFFF"/>
        </w:rPr>
        <w:t>, A. (2009). Life expectancy and human capital investments: evidence from maternal mortality declines. </w:t>
      </w:r>
      <w:r w:rsidRPr="004A6FA2">
        <w:rPr>
          <w:rFonts w:cs="Times New Roman"/>
          <w:i/>
          <w:iCs/>
          <w:szCs w:val="24"/>
          <w:shd w:val="clear" w:color="auto" w:fill="FFFFFF"/>
        </w:rPr>
        <w:t>Quarterly Journal of Economics</w:t>
      </w:r>
      <w:r w:rsidRPr="004A6FA2">
        <w:rPr>
          <w:rFonts w:cs="Times New Roman"/>
          <w:szCs w:val="24"/>
          <w:shd w:val="clear" w:color="auto" w:fill="FFFFFF"/>
        </w:rPr>
        <w:t>, </w:t>
      </w:r>
      <w:proofErr w:type="gramStart"/>
      <w:r w:rsidRPr="004A6FA2">
        <w:rPr>
          <w:rFonts w:cs="Times New Roman"/>
          <w:i/>
          <w:iCs/>
          <w:szCs w:val="24"/>
          <w:shd w:val="clear" w:color="auto" w:fill="FFFFFF"/>
        </w:rPr>
        <w:t>cxxiv</w:t>
      </w:r>
      <w:r w:rsidRPr="004A6FA2">
        <w:rPr>
          <w:rFonts w:cs="Times New Roman"/>
          <w:szCs w:val="24"/>
          <w:shd w:val="clear" w:color="auto" w:fill="FFFFFF"/>
        </w:rPr>
        <w:t>(</w:t>
      </w:r>
      <w:proofErr w:type="gramEnd"/>
      <w:r w:rsidRPr="004A6FA2">
        <w:rPr>
          <w:rFonts w:cs="Times New Roman"/>
          <w:szCs w:val="24"/>
          <w:shd w:val="clear" w:color="auto" w:fill="FFFFFF"/>
        </w:rPr>
        <w:t>1), 349–398. Retrieved from http://search.proquest.com/docview/37091313/</w:t>
      </w:r>
    </w:p>
    <w:p w14:paraId="2AEBE8D4" w14:textId="05EB9BA5" w:rsidR="0030590E" w:rsidRPr="004A6FA2" w:rsidRDefault="0030590E"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 xml:space="preserve">Johansson, S., Rosengren, A., </w:t>
      </w:r>
      <w:proofErr w:type="spellStart"/>
      <w:r w:rsidRPr="004A6FA2">
        <w:rPr>
          <w:rFonts w:cs="Times New Roman"/>
          <w:szCs w:val="24"/>
          <w:shd w:val="clear" w:color="auto" w:fill="FFFFFF"/>
        </w:rPr>
        <w:t>Tsipogianni</w:t>
      </w:r>
      <w:proofErr w:type="spellEnd"/>
      <w:r w:rsidRPr="004A6FA2">
        <w:rPr>
          <w:rFonts w:cs="Times New Roman"/>
          <w:szCs w:val="24"/>
          <w:shd w:val="clear" w:color="auto" w:fill="FFFFFF"/>
        </w:rPr>
        <w:t xml:space="preserve">, A., </w:t>
      </w:r>
      <w:proofErr w:type="spellStart"/>
      <w:r w:rsidRPr="004A6FA2">
        <w:rPr>
          <w:rFonts w:cs="Times New Roman"/>
          <w:szCs w:val="24"/>
          <w:shd w:val="clear" w:color="auto" w:fill="FFFFFF"/>
        </w:rPr>
        <w:t>Ulvenstam</w:t>
      </w:r>
      <w:proofErr w:type="spellEnd"/>
      <w:r w:rsidRPr="004A6FA2">
        <w:rPr>
          <w:rFonts w:cs="Times New Roman"/>
          <w:szCs w:val="24"/>
          <w:shd w:val="clear" w:color="auto" w:fill="FFFFFF"/>
        </w:rPr>
        <w:t xml:space="preserve">, G., </w:t>
      </w:r>
      <w:proofErr w:type="spellStart"/>
      <w:r w:rsidRPr="004A6FA2">
        <w:rPr>
          <w:rFonts w:cs="Times New Roman"/>
          <w:szCs w:val="24"/>
          <w:shd w:val="clear" w:color="auto" w:fill="FFFFFF"/>
        </w:rPr>
        <w:t>Wiklund</w:t>
      </w:r>
      <w:proofErr w:type="spellEnd"/>
      <w:r w:rsidRPr="004A6FA2">
        <w:rPr>
          <w:rFonts w:cs="Times New Roman"/>
          <w:szCs w:val="24"/>
          <w:shd w:val="clear" w:color="auto" w:fill="FFFFFF"/>
        </w:rPr>
        <w:t xml:space="preserve">, I., Wilhelmsen, L. (1988). Physical inactivity as a risk factor for primary and secondary coronary events in </w:t>
      </w:r>
      <w:proofErr w:type="spellStart"/>
      <w:r w:rsidRPr="004A6FA2">
        <w:rPr>
          <w:rFonts w:cs="Times New Roman"/>
          <w:szCs w:val="24"/>
          <w:shd w:val="clear" w:color="auto" w:fill="FFFFFF"/>
        </w:rPr>
        <w:t>Göteborg</w:t>
      </w:r>
      <w:proofErr w:type="spellEnd"/>
      <w:r w:rsidRPr="004A6FA2">
        <w:rPr>
          <w:rFonts w:cs="Times New Roman"/>
          <w:szCs w:val="24"/>
          <w:shd w:val="clear" w:color="auto" w:fill="FFFFFF"/>
        </w:rPr>
        <w:t>, Sweden. </w:t>
      </w:r>
      <w:r w:rsidRPr="004A6FA2">
        <w:rPr>
          <w:rFonts w:cs="Times New Roman"/>
          <w:i/>
          <w:iCs/>
          <w:szCs w:val="24"/>
          <w:shd w:val="clear" w:color="auto" w:fill="FFFFFF"/>
        </w:rPr>
        <w:t>European Heart Journal</w:t>
      </w:r>
      <w:r w:rsidRPr="004A6FA2">
        <w:rPr>
          <w:rFonts w:cs="Times New Roman"/>
          <w:szCs w:val="24"/>
          <w:shd w:val="clear" w:color="auto" w:fill="FFFFFF"/>
        </w:rPr>
        <w:t>, </w:t>
      </w:r>
      <w:r w:rsidRPr="004A6FA2">
        <w:rPr>
          <w:rFonts w:cs="Times New Roman"/>
          <w:i/>
          <w:iCs/>
          <w:szCs w:val="24"/>
          <w:shd w:val="clear" w:color="auto" w:fill="FFFFFF"/>
        </w:rPr>
        <w:t>9 suppl l</w:t>
      </w:r>
      <w:r w:rsidRPr="004A6FA2">
        <w:rPr>
          <w:rFonts w:cs="Times New Roman"/>
          <w:szCs w:val="24"/>
          <w:shd w:val="clear" w:color="auto" w:fill="FFFFFF"/>
        </w:rPr>
        <w:t>, 8–19. Retrieved from http://search.proquest.com/docview/78737455/</w:t>
      </w:r>
    </w:p>
    <w:p w14:paraId="374FDD7D" w14:textId="77777777" w:rsidR="0030590E" w:rsidRPr="004A6FA2" w:rsidRDefault="0030590E" w:rsidP="0085035C">
      <w:pPr>
        <w:spacing w:line="360" w:lineRule="auto"/>
        <w:ind w:left="567" w:hanging="567"/>
        <w:rPr>
          <w:rFonts w:cs="Times New Roman"/>
          <w:szCs w:val="24"/>
          <w:shd w:val="clear" w:color="auto" w:fill="FFFFFF"/>
        </w:rPr>
      </w:pPr>
      <w:proofErr w:type="spellStart"/>
      <w:r w:rsidRPr="004A6FA2">
        <w:rPr>
          <w:rFonts w:cs="Times New Roman"/>
          <w:szCs w:val="24"/>
          <w:shd w:val="clear" w:color="auto" w:fill="FFFFFF"/>
        </w:rPr>
        <w:t>Jürges</w:t>
      </w:r>
      <w:proofErr w:type="spellEnd"/>
      <w:r w:rsidRPr="004A6FA2">
        <w:rPr>
          <w:rFonts w:cs="Times New Roman"/>
          <w:szCs w:val="24"/>
          <w:shd w:val="clear" w:color="auto" w:fill="FFFFFF"/>
        </w:rPr>
        <w:t>, H., Reinhold, S., &amp; Salm, M. (2011). Does schooling affect health behavior? Evidence from the educational expansion in Western Germany. </w:t>
      </w:r>
      <w:r w:rsidRPr="004A6FA2">
        <w:rPr>
          <w:rFonts w:cs="Times New Roman"/>
          <w:i/>
          <w:iCs/>
          <w:szCs w:val="24"/>
          <w:shd w:val="clear" w:color="auto" w:fill="FFFFFF"/>
        </w:rPr>
        <w:t>Economics of Education Review</w:t>
      </w:r>
      <w:r w:rsidRPr="004A6FA2">
        <w:rPr>
          <w:rFonts w:cs="Times New Roman"/>
          <w:szCs w:val="24"/>
          <w:shd w:val="clear" w:color="auto" w:fill="FFFFFF"/>
        </w:rPr>
        <w:t>, </w:t>
      </w:r>
      <w:r w:rsidRPr="004A6FA2">
        <w:rPr>
          <w:rFonts w:cs="Times New Roman"/>
          <w:i/>
          <w:iCs/>
          <w:szCs w:val="24"/>
          <w:shd w:val="clear" w:color="auto" w:fill="FFFFFF"/>
        </w:rPr>
        <w:t>30</w:t>
      </w:r>
      <w:r w:rsidRPr="004A6FA2">
        <w:rPr>
          <w:rFonts w:cs="Times New Roman"/>
          <w:szCs w:val="24"/>
          <w:shd w:val="clear" w:color="auto" w:fill="FFFFFF"/>
        </w:rPr>
        <w:t>(5), 862–872. https://doi.org/10.1016/j.econedurev.2011.04.002</w:t>
      </w:r>
    </w:p>
    <w:p w14:paraId="0DF0E166" w14:textId="77777777" w:rsidR="0030590E" w:rsidRPr="004A6FA2" w:rsidRDefault="0030590E" w:rsidP="0085035C">
      <w:pPr>
        <w:spacing w:line="360" w:lineRule="auto"/>
        <w:ind w:left="567" w:hanging="567"/>
        <w:rPr>
          <w:rFonts w:cs="Times New Roman"/>
          <w:szCs w:val="24"/>
          <w:shd w:val="clear" w:color="auto" w:fill="FFFFFF"/>
        </w:rPr>
      </w:pPr>
      <w:proofErr w:type="spellStart"/>
      <w:r w:rsidRPr="004A6FA2">
        <w:rPr>
          <w:rFonts w:cs="Times New Roman"/>
          <w:szCs w:val="24"/>
          <w:shd w:val="clear" w:color="auto" w:fill="FFFFFF"/>
        </w:rPr>
        <w:t>Kemptner</w:t>
      </w:r>
      <w:proofErr w:type="spellEnd"/>
      <w:r w:rsidRPr="004A6FA2">
        <w:rPr>
          <w:rFonts w:cs="Times New Roman"/>
          <w:szCs w:val="24"/>
          <w:shd w:val="clear" w:color="auto" w:fill="FFFFFF"/>
        </w:rPr>
        <w:t xml:space="preserve">, D., </w:t>
      </w:r>
      <w:proofErr w:type="spellStart"/>
      <w:r w:rsidRPr="004A6FA2">
        <w:rPr>
          <w:rFonts w:cs="Times New Roman"/>
          <w:szCs w:val="24"/>
          <w:shd w:val="clear" w:color="auto" w:fill="FFFFFF"/>
        </w:rPr>
        <w:t>Jürges</w:t>
      </w:r>
      <w:proofErr w:type="spellEnd"/>
      <w:r w:rsidRPr="004A6FA2">
        <w:rPr>
          <w:rFonts w:cs="Times New Roman"/>
          <w:szCs w:val="24"/>
          <w:shd w:val="clear" w:color="auto" w:fill="FFFFFF"/>
        </w:rPr>
        <w:t>, H., &amp; Reinhold, S. (2011). Changes in compulsory schooling and the causal effect of education on health: Evidence from Germany. </w:t>
      </w:r>
      <w:r w:rsidRPr="004A6FA2">
        <w:rPr>
          <w:rFonts w:cs="Times New Roman"/>
          <w:i/>
          <w:iCs/>
          <w:szCs w:val="24"/>
          <w:shd w:val="clear" w:color="auto" w:fill="FFFFFF"/>
        </w:rPr>
        <w:t>Journal of Health Economics</w:t>
      </w:r>
      <w:r w:rsidRPr="004A6FA2">
        <w:rPr>
          <w:rFonts w:cs="Times New Roman"/>
          <w:szCs w:val="24"/>
          <w:shd w:val="clear" w:color="auto" w:fill="FFFFFF"/>
        </w:rPr>
        <w:t>, </w:t>
      </w:r>
      <w:r w:rsidRPr="004A6FA2">
        <w:rPr>
          <w:rFonts w:cs="Times New Roman"/>
          <w:i/>
          <w:iCs/>
          <w:szCs w:val="24"/>
          <w:shd w:val="clear" w:color="auto" w:fill="FFFFFF"/>
        </w:rPr>
        <w:t>30</w:t>
      </w:r>
      <w:r w:rsidRPr="004A6FA2">
        <w:rPr>
          <w:rFonts w:cs="Times New Roman"/>
          <w:szCs w:val="24"/>
          <w:shd w:val="clear" w:color="auto" w:fill="FFFFFF"/>
        </w:rPr>
        <w:t>(2), 340–354. https://doi.org/10.1016/j.jhealeco.2011.01.004</w:t>
      </w:r>
    </w:p>
    <w:p w14:paraId="02C8BB72" w14:textId="77777777" w:rsidR="0030590E" w:rsidRPr="004A6FA2" w:rsidRDefault="0030590E"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lastRenderedPageBreak/>
        <w:t>Lochner, L. (2011). Non-Production Benefits of Education: Crime, Health, and Good Citizenship. </w:t>
      </w:r>
      <w:r w:rsidRPr="004A6FA2">
        <w:rPr>
          <w:rFonts w:cs="Times New Roman"/>
          <w:i/>
          <w:iCs/>
          <w:szCs w:val="24"/>
          <w:shd w:val="clear" w:color="auto" w:fill="FFFFFF"/>
        </w:rPr>
        <w:t>NBER Working Paper Series</w:t>
      </w:r>
      <w:r w:rsidRPr="004A6FA2">
        <w:rPr>
          <w:rFonts w:cs="Times New Roman"/>
          <w:szCs w:val="24"/>
          <w:shd w:val="clear" w:color="auto" w:fill="FFFFFF"/>
        </w:rPr>
        <w:t>, n/a. https://doi.org/10.3386/w16722</w:t>
      </w:r>
    </w:p>
    <w:p w14:paraId="69CBB650" w14:textId="7AE0F67A" w:rsidR="0030590E" w:rsidRPr="004A6FA2" w:rsidRDefault="0030590E" w:rsidP="0085035C">
      <w:pPr>
        <w:spacing w:line="360" w:lineRule="auto"/>
        <w:ind w:left="567" w:hanging="567"/>
        <w:rPr>
          <w:rFonts w:cs="Times New Roman"/>
          <w:szCs w:val="24"/>
          <w:shd w:val="clear" w:color="auto" w:fill="FFFFFF"/>
        </w:rPr>
      </w:pPr>
      <w:proofErr w:type="spellStart"/>
      <w:r w:rsidRPr="004A6FA2">
        <w:rPr>
          <w:rFonts w:cs="Times New Roman"/>
          <w:szCs w:val="24"/>
          <w:shd w:val="clear" w:color="auto" w:fill="FFFFFF"/>
        </w:rPr>
        <w:t>Lundborg</w:t>
      </w:r>
      <w:proofErr w:type="spellEnd"/>
      <w:r w:rsidRPr="004A6FA2">
        <w:rPr>
          <w:rFonts w:cs="Times New Roman"/>
          <w:szCs w:val="24"/>
          <w:shd w:val="clear" w:color="auto" w:fill="FFFFFF"/>
        </w:rPr>
        <w:t xml:space="preserve">, P., &amp; </w:t>
      </w:r>
      <w:proofErr w:type="spellStart"/>
      <w:r w:rsidRPr="004A6FA2">
        <w:rPr>
          <w:rFonts w:cs="Times New Roman"/>
          <w:szCs w:val="24"/>
          <w:shd w:val="clear" w:color="auto" w:fill="FFFFFF"/>
        </w:rPr>
        <w:t>Majlesi</w:t>
      </w:r>
      <w:proofErr w:type="spellEnd"/>
      <w:r w:rsidRPr="004A6FA2">
        <w:rPr>
          <w:rFonts w:cs="Times New Roman"/>
          <w:szCs w:val="24"/>
          <w:shd w:val="clear" w:color="auto" w:fill="FFFFFF"/>
        </w:rPr>
        <w:t>, K. (2018). Intergenerational transmission of human capital: Is it a one-way street? </w:t>
      </w:r>
      <w:r w:rsidRPr="004A6FA2">
        <w:rPr>
          <w:rFonts w:cs="Times New Roman"/>
          <w:i/>
          <w:iCs/>
          <w:szCs w:val="24"/>
          <w:shd w:val="clear" w:color="auto" w:fill="FFFFFF"/>
        </w:rPr>
        <w:t>Journal of Health Economics</w:t>
      </w:r>
      <w:r w:rsidRPr="004A6FA2">
        <w:rPr>
          <w:rFonts w:cs="Times New Roman"/>
          <w:szCs w:val="24"/>
          <w:shd w:val="clear" w:color="auto" w:fill="FFFFFF"/>
        </w:rPr>
        <w:t>, </w:t>
      </w:r>
      <w:r w:rsidRPr="004A6FA2">
        <w:rPr>
          <w:rFonts w:cs="Times New Roman"/>
          <w:i/>
          <w:iCs/>
          <w:szCs w:val="24"/>
          <w:shd w:val="clear" w:color="auto" w:fill="FFFFFF"/>
        </w:rPr>
        <w:t>57</w:t>
      </w:r>
      <w:r w:rsidRPr="004A6FA2">
        <w:rPr>
          <w:rFonts w:cs="Times New Roman"/>
          <w:szCs w:val="24"/>
          <w:shd w:val="clear" w:color="auto" w:fill="FFFFFF"/>
        </w:rPr>
        <w:t>, 206–220. https://doi.org/10.1016/j.jhealeco.2017.12.001</w:t>
      </w:r>
    </w:p>
    <w:p w14:paraId="471E1A38" w14:textId="22634E89" w:rsidR="0030590E" w:rsidRPr="004A6FA2" w:rsidRDefault="0030590E"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Ma, M. (2019). Does children’s education matter for parents’ health and cognition? Evidence from China. </w:t>
      </w:r>
      <w:r w:rsidRPr="004A6FA2">
        <w:rPr>
          <w:rFonts w:cs="Times New Roman"/>
          <w:i/>
          <w:iCs/>
          <w:szCs w:val="24"/>
          <w:shd w:val="clear" w:color="auto" w:fill="FFFFFF"/>
        </w:rPr>
        <w:t>Journal of Health Economics</w:t>
      </w:r>
      <w:r w:rsidRPr="004A6FA2">
        <w:rPr>
          <w:rFonts w:cs="Times New Roman"/>
          <w:szCs w:val="24"/>
          <w:shd w:val="clear" w:color="auto" w:fill="FFFFFF"/>
        </w:rPr>
        <w:t>, </w:t>
      </w:r>
      <w:r w:rsidRPr="004A6FA2">
        <w:rPr>
          <w:rFonts w:cs="Times New Roman"/>
          <w:i/>
          <w:iCs/>
          <w:szCs w:val="24"/>
          <w:shd w:val="clear" w:color="auto" w:fill="FFFFFF"/>
        </w:rPr>
        <w:t>66</w:t>
      </w:r>
      <w:r w:rsidRPr="004A6FA2">
        <w:rPr>
          <w:rFonts w:cs="Times New Roman"/>
          <w:szCs w:val="24"/>
          <w:shd w:val="clear" w:color="auto" w:fill="FFFFFF"/>
        </w:rPr>
        <w:t>, 222–240. https://doi.org/10.1016/j.jhealeco.2019.06.004</w:t>
      </w:r>
    </w:p>
    <w:p w14:paraId="68E0AA30" w14:textId="77777777" w:rsidR="0030590E" w:rsidRPr="004A6FA2" w:rsidRDefault="0030590E" w:rsidP="0085035C">
      <w:pPr>
        <w:spacing w:line="360" w:lineRule="auto"/>
        <w:ind w:left="567" w:hanging="567"/>
        <w:rPr>
          <w:rFonts w:cs="Times New Roman"/>
          <w:szCs w:val="24"/>
          <w:shd w:val="clear" w:color="auto" w:fill="FFFFFF"/>
        </w:rPr>
      </w:pPr>
      <w:proofErr w:type="spellStart"/>
      <w:r w:rsidRPr="004A6FA2">
        <w:rPr>
          <w:rFonts w:cs="Times New Roman"/>
          <w:szCs w:val="24"/>
          <w:shd w:val="clear" w:color="auto" w:fill="FFFFFF"/>
        </w:rPr>
        <w:t>Mcardle</w:t>
      </w:r>
      <w:proofErr w:type="spellEnd"/>
      <w:r w:rsidRPr="004A6FA2">
        <w:rPr>
          <w:rFonts w:cs="Times New Roman"/>
          <w:szCs w:val="24"/>
          <w:shd w:val="clear" w:color="auto" w:fill="FFFFFF"/>
        </w:rPr>
        <w:t>, J., Ferrer-</w:t>
      </w:r>
      <w:proofErr w:type="spellStart"/>
      <w:r w:rsidRPr="004A6FA2">
        <w:rPr>
          <w:rFonts w:cs="Times New Roman"/>
          <w:szCs w:val="24"/>
          <w:shd w:val="clear" w:color="auto" w:fill="FFFFFF"/>
        </w:rPr>
        <w:t>Caja</w:t>
      </w:r>
      <w:proofErr w:type="spellEnd"/>
      <w:r w:rsidRPr="004A6FA2">
        <w:rPr>
          <w:rFonts w:cs="Times New Roman"/>
          <w:szCs w:val="24"/>
          <w:shd w:val="clear" w:color="auto" w:fill="FFFFFF"/>
        </w:rPr>
        <w:t xml:space="preserve">, E., </w:t>
      </w:r>
      <w:proofErr w:type="spellStart"/>
      <w:r w:rsidRPr="004A6FA2">
        <w:rPr>
          <w:rFonts w:cs="Times New Roman"/>
          <w:szCs w:val="24"/>
          <w:shd w:val="clear" w:color="auto" w:fill="FFFFFF"/>
        </w:rPr>
        <w:t>Hamagami</w:t>
      </w:r>
      <w:proofErr w:type="spellEnd"/>
      <w:r w:rsidRPr="004A6FA2">
        <w:rPr>
          <w:rFonts w:cs="Times New Roman"/>
          <w:szCs w:val="24"/>
          <w:shd w:val="clear" w:color="auto" w:fill="FFFFFF"/>
        </w:rPr>
        <w:t>, F., &amp; Woodcock, R. (2002). Comparative Longitudinal Structural Analyses of the Growth and Decline of Multiple Intellectual Abilities Over the Life Span. </w:t>
      </w:r>
      <w:r w:rsidRPr="004A6FA2">
        <w:rPr>
          <w:rFonts w:cs="Times New Roman"/>
          <w:i/>
          <w:iCs/>
          <w:szCs w:val="24"/>
          <w:shd w:val="clear" w:color="auto" w:fill="FFFFFF"/>
        </w:rPr>
        <w:t>Developmental Psychology</w:t>
      </w:r>
      <w:r w:rsidRPr="004A6FA2">
        <w:rPr>
          <w:rFonts w:cs="Times New Roman"/>
          <w:szCs w:val="24"/>
          <w:shd w:val="clear" w:color="auto" w:fill="FFFFFF"/>
        </w:rPr>
        <w:t>, </w:t>
      </w:r>
      <w:r w:rsidRPr="004A6FA2">
        <w:rPr>
          <w:rFonts w:cs="Times New Roman"/>
          <w:i/>
          <w:iCs/>
          <w:szCs w:val="24"/>
          <w:shd w:val="clear" w:color="auto" w:fill="FFFFFF"/>
        </w:rPr>
        <w:t>38</w:t>
      </w:r>
      <w:r w:rsidRPr="004A6FA2">
        <w:rPr>
          <w:rFonts w:cs="Times New Roman"/>
          <w:szCs w:val="24"/>
          <w:shd w:val="clear" w:color="auto" w:fill="FFFFFF"/>
        </w:rPr>
        <w:t>(1), 115–142. https://doi.org/10.1037/0012-1649.38.1.115</w:t>
      </w:r>
    </w:p>
    <w:p w14:paraId="0DEDD718" w14:textId="506B2FCD" w:rsidR="0030590E" w:rsidRPr="004A6FA2" w:rsidRDefault="0030590E" w:rsidP="0085035C">
      <w:pPr>
        <w:spacing w:line="360" w:lineRule="auto"/>
        <w:ind w:left="567" w:hanging="567"/>
        <w:rPr>
          <w:rFonts w:cs="Times New Roman"/>
          <w:szCs w:val="24"/>
        </w:rPr>
      </w:pPr>
      <w:proofErr w:type="spellStart"/>
      <w:r w:rsidRPr="004A6FA2">
        <w:rPr>
          <w:rFonts w:cs="Times New Roman"/>
          <w:szCs w:val="24"/>
        </w:rPr>
        <w:t>Mokdad</w:t>
      </w:r>
      <w:proofErr w:type="spellEnd"/>
      <w:r w:rsidRPr="004A6FA2">
        <w:rPr>
          <w:rFonts w:cs="Times New Roman"/>
          <w:szCs w:val="24"/>
        </w:rPr>
        <w:t xml:space="preserve">, A.H., Marks, J.S., Stroup, D.F., Gerberding, J.F., 2004. Actual causes of death in the United States, 2000. </w:t>
      </w:r>
      <w:r w:rsidRPr="004A6FA2">
        <w:rPr>
          <w:rFonts w:cs="Times New Roman"/>
          <w:i/>
          <w:iCs/>
          <w:szCs w:val="24"/>
        </w:rPr>
        <w:t>Journal of the American Medical Association 291</w:t>
      </w:r>
      <w:r w:rsidRPr="004A6FA2">
        <w:rPr>
          <w:rFonts w:cs="Times New Roman"/>
          <w:szCs w:val="24"/>
        </w:rPr>
        <w:t>, 1238–1245.</w:t>
      </w:r>
    </w:p>
    <w:p w14:paraId="3B15B5B9" w14:textId="62D7F8C6" w:rsidR="00C96BA3" w:rsidRPr="004A6FA2" w:rsidRDefault="00C96BA3" w:rsidP="0085035C">
      <w:pPr>
        <w:spacing w:line="360" w:lineRule="auto"/>
        <w:ind w:left="567" w:hanging="567"/>
        <w:rPr>
          <w:rFonts w:cs="Times New Roman"/>
          <w:sz w:val="28"/>
          <w:szCs w:val="28"/>
        </w:rPr>
      </w:pPr>
      <w:r w:rsidRPr="004A6FA2">
        <w:rPr>
          <w:rFonts w:cs="Times New Roman"/>
          <w:szCs w:val="24"/>
          <w:shd w:val="clear" w:color="auto" w:fill="FFFFFF"/>
        </w:rPr>
        <w:t>Murphy, R., Tao, R., &amp; Lu, X. (2011). Son Preference in Rural China: Patrilineal Families and Socioeconomic Change. </w:t>
      </w:r>
      <w:r w:rsidRPr="004A6FA2">
        <w:rPr>
          <w:rFonts w:cs="Times New Roman"/>
          <w:i/>
          <w:iCs/>
          <w:szCs w:val="24"/>
          <w:shd w:val="clear" w:color="auto" w:fill="FFFFFF"/>
        </w:rPr>
        <w:t>Population and Development Review</w:t>
      </w:r>
      <w:r w:rsidRPr="004A6FA2">
        <w:rPr>
          <w:rFonts w:cs="Times New Roman"/>
          <w:szCs w:val="24"/>
          <w:shd w:val="clear" w:color="auto" w:fill="FFFFFF"/>
        </w:rPr>
        <w:t>, </w:t>
      </w:r>
      <w:r w:rsidRPr="004A6FA2">
        <w:rPr>
          <w:rFonts w:cs="Times New Roman"/>
          <w:i/>
          <w:iCs/>
          <w:szCs w:val="24"/>
          <w:shd w:val="clear" w:color="auto" w:fill="FFFFFF"/>
        </w:rPr>
        <w:t>37</w:t>
      </w:r>
      <w:r w:rsidRPr="004A6FA2">
        <w:rPr>
          <w:rFonts w:cs="Times New Roman"/>
          <w:szCs w:val="24"/>
          <w:shd w:val="clear" w:color="auto" w:fill="FFFFFF"/>
        </w:rPr>
        <w:t>(4), 665–690. https://doi.org/10.1111/j.1728-4457.2011.00452.x</w:t>
      </w:r>
    </w:p>
    <w:p w14:paraId="78617D85" w14:textId="77777777" w:rsidR="0030590E" w:rsidRPr="004A6FA2" w:rsidRDefault="0030590E" w:rsidP="0085035C">
      <w:pPr>
        <w:spacing w:line="360" w:lineRule="auto"/>
        <w:ind w:left="567" w:hanging="567"/>
        <w:rPr>
          <w:rFonts w:cs="Times New Roman"/>
          <w:szCs w:val="24"/>
          <w:lang w:val="en-US"/>
        </w:rPr>
      </w:pPr>
      <w:bookmarkStart w:id="42" w:name="_Hlk36518612"/>
      <w:r w:rsidRPr="004A6FA2">
        <w:rPr>
          <w:rFonts w:cs="Times New Roman"/>
          <w:szCs w:val="24"/>
          <w:lang w:val="en-US"/>
        </w:rPr>
        <w:t>National Bureau of Statistics of China</w:t>
      </w:r>
      <w:bookmarkEnd w:id="42"/>
      <w:r w:rsidRPr="004A6FA2">
        <w:rPr>
          <w:rFonts w:cs="Times New Roman"/>
          <w:szCs w:val="24"/>
          <w:lang w:val="en-US"/>
        </w:rPr>
        <w:t xml:space="preserve">, A., 2010a. China Compendium of Statistics 1949–2008. </w:t>
      </w:r>
      <w:r w:rsidRPr="004A6FA2">
        <w:rPr>
          <w:rFonts w:cs="Times New Roman"/>
          <w:i/>
          <w:iCs/>
          <w:szCs w:val="24"/>
          <w:lang w:val="en-US"/>
        </w:rPr>
        <w:t>China Statistics Press</w:t>
      </w:r>
      <w:r w:rsidRPr="004A6FA2">
        <w:rPr>
          <w:rFonts w:cs="Times New Roman"/>
          <w:szCs w:val="24"/>
          <w:lang w:val="en-US"/>
        </w:rPr>
        <w:t>, Beijing.</w:t>
      </w:r>
    </w:p>
    <w:p w14:paraId="4F19544C" w14:textId="3343F680" w:rsidR="0030590E" w:rsidRPr="004A6FA2" w:rsidRDefault="0030590E" w:rsidP="0085035C">
      <w:pPr>
        <w:spacing w:line="360" w:lineRule="auto"/>
        <w:ind w:left="567" w:hanging="567"/>
        <w:rPr>
          <w:rFonts w:cs="Times New Roman"/>
          <w:szCs w:val="24"/>
          <w:lang w:val="en-US"/>
        </w:rPr>
      </w:pPr>
      <w:r w:rsidRPr="004A6FA2">
        <w:rPr>
          <w:rFonts w:cs="Times New Roman"/>
          <w:szCs w:val="24"/>
          <w:lang w:val="en-US"/>
        </w:rPr>
        <w:t xml:space="preserve">National Bureau of Statistics of China, P.R.C., 2010b. China Population Census. </w:t>
      </w:r>
      <w:r w:rsidRPr="004A6FA2">
        <w:rPr>
          <w:rFonts w:cs="Times New Roman"/>
          <w:i/>
          <w:iCs/>
          <w:szCs w:val="24"/>
          <w:lang w:val="en-US"/>
        </w:rPr>
        <w:t>National Bureau of Statistics of China Beijing</w:t>
      </w:r>
      <w:r w:rsidRPr="004A6FA2">
        <w:rPr>
          <w:rFonts w:cs="Times New Roman"/>
          <w:szCs w:val="24"/>
          <w:lang w:val="en-US"/>
        </w:rPr>
        <w:t>, People’s Republic of China, http://www.stats.gov.cn/tjsj/pcsj/rkpc/6rp/indexch.htm.</w:t>
      </w:r>
    </w:p>
    <w:p w14:paraId="515450B0" w14:textId="0D64C4F0" w:rsidR="00F25862" w:rsidRPr="004A6FA2" w:rsidRDefault="00F25862" w:rsidP="0085035C">
      <w:pPr>
        <w:spacing w:line="360" w:lineRule="auto"/>
        <w:ind w:left="567" w:hanging="567"/>
        <w:rPr>
          <w:rFonts w:cs="Times New Roman"/>
          <w:sz w:val="28"/>
          <w:szCs w:val="28"/>
          <w:lang w:val="en-US"/>
        </w:rPr>
      </w:pPr>
      <w:r w:rsidRPr="004A6FA2">
        <w:rPr>
          <w:rFonts w:cs="Times New Roman"/>
          <w:szCs w:val="24"/>
          <w:shd w:val="clear" w:color="auto" w:fill="FFFFFF"/>
        </w:rPr>
        <w:t>Nelson, R., &amp; Phelps, E. (1966). Investment in Humans, Technological Diffusion, and Economic Growth. </w:t>
      </w:r>
      <w:r w:rsidRPr="004A6FA2">
        <w:rPr>
          <w:rFonts w:cs="Times New Roman"/>
          <w:i/>
          <w:iCs/>
          <w:szCs w:val="24"/>
          <w:shd w:val="clear" w:color="auto" w:fill="FFFFFF"/>
        </w:rPr>
        <w:t>The American Economic Review</w:t>
      </w:r>
      <w:r w:rsidRPr="004A6FA2">
        <w:rPr>
          <w:rFonts w:cs="Times New Roman"/>
          <w:szCs w:val="24"/>
          <w:shd w:val="clear" w:color="auto" w:fill="FFFFFF"/>
        </w:rPr>
        <w:t>, </w:t>
      </w:r>
      <w:r w:rsidRPr="004A6FA2">
        <w:rPr>
          <w:rFonts w:cs="Times New Roman"/>
          <w:i/>
          <w:iCs/>
          <w:szCs w:val="24"/>
          <w:shd w:val="clear" w:color="auto" w:fill="FFFFFF"/>
        </w:rPr>
        <w:t>56</w:t>
      </w:r>
      <w:r w:rsidRPr="004A6FA2">
        <w:rPr>
          <w:rFonts w:cs="Times New Roman"/>
          <w:szCs w:val="24"/>
          <w:shd w:val="clear" w:color="auto" w:fill="FFFFFF"/>
        </w:rPr>
        <w:t>(1/2), 69–75.</w:t>
      </w:r>
    </w:p>
    <w:p w14:paraId="19C3C08D" w14:textId="17049382" w:rsidR="0030590E" w:rsidRPr="004A6FA2" w:rsidRDefault="0030590E"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Park, C., &amp; Kang, C. (2008). Does education induce healthy lifestyle? </w:t>
      </w:r>
      <w:r w:rsidRPr="004A6FA2">
        <w:rPr>
          <w:rFonts w:cs="Times New Roman"/>
          <w:i/>
          <w:iCs/>
          <w:szCs w:val="24"/>
          <w:shd w:val="clear" w:color="auto" w:fill="FFFFFF"/>
        </w:rPr>
        <w:t>Journal of Health Economics</w:t>
      </w:r>
      <w:r w:rsidRPr="004A6FA2">
        <w:rPr>
          <w:rFonts w:cs="Times New Roman"/>
          <w:szCs w:val="24"/>
          <w:shd w:val="clear" w:color="auto" w:fill="FFFFFF"/>
        </w:rPr>
        <w:t>, </w:t>
      </w:r>
      <w:r w:rsidRPr="004A6FA2">
        <w:rPr>
          <w:rFonts w:cs="Times New Roman"/>
          <w:i/>
          <w:iCs/>
          <w:szCs w:val="24"/>
          <w:shd w:val="clear" w:color="auto" w:fill="FFFFFF"/>
        </w:rPr>
        <w:t>27</w:t>
      </w:r>
      <w:r w:rsidRPr="004A6FA2">
        <w:rPr>
          <w:rFonts w:cs="Times New Roman"/>
          <w:szCs w:val="24"/>
          <w:shd w:val="clear" w:color="auto" w:fill="FFFFFF"/>
        </w:rPr>
        <w:t>(6), 1516–1531. https://doi.org/10.1016/j.jhealeco.2008.07.005</w:t>
      </w:r>
    </w:p>
    <w:p w14:paraId="259BACA2" w14:textId="4136E803" w:rsidR="002C481C" w:rsidRPr="004A6FA2" w:rsidRDefault="002C481C" w:rsidP="0085035C">
      <w:pPr>
        <w:spacing w:line="360" w:lineRule="auto"/>
        <w:ind w:left="567" w:hanging="567"/>
        <w:rPr>
          <w:rFonts w:cs="Times New Roman"/>
          <w:sz w:val="28"/>
          <w:szCs w:val="28"/>
          <w:shd w:val="clear" w:color="auto" w:fill="FFFFFF"/>
        </w:rPr>
      </w:pPr>
      <w:proofErr w:type="spellStart"/>
      <w:r w:rsidRPr="004A6FA2">
        <w:rPr>
          <w:rFonts w:cs="Times New Roman"/>
          <w:szCs w:val="24"/>
          <w:shd w:val="clear" w:color="auto" w:fill="FFFFFF"/>
        </w:rPr>
        <w:lastRenderedPageBreak/>
        <w:t>Pathania</w:t>
      </w:r>
      <w:proofErr w:type="spellEnd"/>
      <w:r w:rsidRPr="004A6FA2">
        <w:rPr>
          <w:rFonts w:cs="Times New Roman"/>
          <w:szCs w:val="24"/>
          <w:shd w:val="clear" w:color="auto" w:fill="FFFFFF"/>
        </w:rPr>
        <w:t xml:space="preserve">, V. (2011). Women and the smoking epidemic: turning the </w:t>
      </w:r>
      <w:proofErr w:type="gramStart"/>
      <w:r w:rsidRPr="004A6FA2">
        <w:rPr>
          <w:rFonts w:cs="Times New Roman"/>
          <w:szCs w:val="24"/>
          <w:shd w:val="clear" w:color="auto" w:fill="FFFFFF"/>
        </w:rPr>
        <w:t>tide.(</w:t>
      </w:r>
      <w:proofErr w:type="gramEnd"/>
      <w:r w:rsidRPr="004A6FA2">
        <w:rPr>
          <w:rFonts w:cs="Times New Roman"/>
          <w:szCs w:val="24"/>
          <w:shd w:val="clear" w:color="auto" w:fill="FFFFFF"/>
        </w:rPr>
        <w:t>Editorial). </w:t>
      </w:r>
      <w:r w:rsidRPr="004A6FA2">
        <w:rPr>
          <w:rFonts w:cs="Times New Roman"/>
          <w:i/>
          <w:iCs/>
          <w:szCs w:val="24"/>
          <w:shd w:val="clear" w:color="auto" w:fill="FFFFFF"/>
        </w:rPr>
        <w:t>Bulletin of the World Health Organization</w:t>
      </w:r>
      <w:r w:rsidRPr="004A6FA2">
        <w:rPr>
          <w:rFonts w:cs="Times New Roman"/>
          <w:szCs w:val="24"/>
          <w:shd w:val="clear" w:color="auto" w:fill="FFFFFF"/>
        </w:rPr>
        <w:t>, </w:t>
      </w:r>
      <w:r w:rsidRPr="004A6FA2">
        <w:rPr>
          <w:rFonts w:cs="Times New Roman"/>
          <w:i/>
          <w:iCs/>
          <w:szCs w:val="24"/>
          <w:shd w:val="clear" w:color="auto" w:fill="FFFFFF"/>
        </w:rPr>
        <w:t>89</w:t>
      </w:r>
      <w:r w:rsidRPr="004A6FA2">
        <w:rPr>
          <w:rFonts w:cs="Times New Roman"/>
          <w:szCs w:val="24"/>
          <w:shd w:val="clear" w:color="auto" w:fill="FFFFFF"/>
        </w:rPr>
        <w:t>(3), 162–162. https://doi.org/10.2471/BLT.11.086389</w:t>
      </w:r>
    </w:p>
    <w:p w14:paraId="53E2B814" w14:textId="3D3D318C" w:rsidR="00525D09" w:rsidRPr="004A6FA2" w:rsidRDefault="00525D09"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 xml:space="preserve">Rawlings, S. (2015). Parental education and child health: Evidence from an education reform in China. </w:t>
      </w:r>
      <w:r w:rsidRPr="004A6FA2">
        <w:rPr>
          <w:rFonts w:cs="Times New Roman"/>
          <w:i/>
          <w:iCs/>
          <w:szCs w:val="24"/>
          <w:shd w:val="clear" w:color="auto" w:fill="FFFFFF"/>
        </w:rPr>
        <w:t>CINCH Working Paper Series</w:t>
      </w:r>
      <w:r w:rsidRPr="004A6FA2">
        <w:rPr>
          <w:rFonts w:cs="Times New Roman"/>
          <w:szCs w:val="24"/>
          <w:shd w:val="clear" w:color="auto" w:fill="FFFFFF"/>
        </w:rPr>
        <w:t>, 1511.</w:t>
      </w:r>
    </w:p>
    <w:p w14:paraId="05BEAC01" w14:textId="222C7DF9" w:rsidR="0030590E" w:rsidRPr="004A6FA2" w:rsidRDefault="0030590E"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 xml:space="preserve">Rosenzweig, M.R., Schulz, T.P., </w:t>
      </w:r>
      <w:r w:rsidR="001A5C7A" w:rsidRPr="004A6FA2">
        <w:rPr>
          <w:rFonts w:cs="Times New Roman"/>
          <w:szCs w:val="24"/>
          <w:shd w:val="clear" w:color="auto" w:fill="FFFFFF"/>
        </w:rPr>
        <w:t>(</w:t>
      </w:r>
      <w:r w:rsidRPr="004A6FA2">
        <w:rPr>
          <w:rFonts w:cs="Times New Roman"/>
          <w:szCs w:val="24"/>
          <w:shd w:val="clear" w:color="auto" w:fill="FFFFFF"/>
        </w:rPr>
        <w:t>1981</w:t>
      </w:r>
      <w:r w:rsidR="001A5C7A" w:rsidRPr="004A6FA2">
        <w:rPr>
          <w:rFonts w:cs="Times New Roman"/>
          <w:szCs w:val="24"/>
          <w:shd w:val="clear" w:color="auto" w:fill="FFFFFF"/>
        </w:rPr>
        <w:t>)</w:t>
      </w:r>
      <w:r w:rsidRPr="004A6FA2">
        <w:rPr>
          <w:rFonts w:cs="Times New Roman"/>
          <w:szCs w:val="24"/>
          <w:shd w:val="clear" w:color="auto" w:fill="FFFFFF"/>
        </w:rPr>
        <w:t xml:space="preserve">. Education and household production of child health. </w:t>
      </w:r>
      <w:r w:rsidRPr="004A6FA2">
        <w:rPr>
          <w:rFonts w:cs="Times New Roman"/>
          <w:i/>
          <w:iCs/>
          <w:szCs w:val="24"/>
          <w:shd w:val="clear" w:color="auto" w:fill="FFFFFF"/>
        </w:rPr>
        <w:t>American Statistical Association (Social Statistics Section)</w:t>
      </w:r>
      <w:r w:rsidRPr="004A6FA2">
        <w:rPr>
          <w:rFonts w:cs="Times New Roman"/>
          <w:szCs w:val="24"/>
          <w:shd w:val="clear" w:color="auto" w:fill="FFFFFF"/>
        </w:rPr>
        <w:t>, 382–387.</w:t>
      </w:r>
    </w:p>
    <w:p w14:paraId="7ED9607A" w14:textId="0CBB9C55" w:rsidR="0030590E" w:rsidRPr="004A6FA2" w:rsidRDefault="0030590E"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 xml:space="preserve">Rosenzweig, M., &amp; </w:t>
      </w:r>
      <w:proofErr w:type="spellStart"/>
      <w:r w:rsidRPr="004A6FA2">
        <w:rPr>
          <w:rFonts w:cs="Times New Roman"/>
          <w:szCs w:val="24"/>
          <w:shd w:val="clear" w:color="auto" w:fill="FFFFFF"/>
        </w:rPr>
        <w:t>Wolpin</w:t>
      </w:r>
      <w:proofErr w:type="spellEnd"/>
      <w:r w:rsidRPr="004A6FA2">
        <w:rPr>
          <w:rFonts w:cs="Times New Roman"/>
          <w:szCs w:val="24"/>
          <w:shd w:val="clear" w:color="auto" w:fill="FFFFFF"/>
        </w:rPr>
        <w:t>, K. (1986). Evaluating the Effects of Optimally Distributed Public Programs: Child Health and Family Planning Interventions. </w:t>
      </w:r>
      <w:r w:rsidRPr="004A6FA2">
        <w:rPr>
          <w:rFonts w:cs="Times New Roman"/>
          <w:i/>
          <w:iCs/>
          <w:szCs w:val="24"/>
          <w:shd w:val="clear" w:color="auto" w:fill="FFFFFF"/>
        </w:rPr>
        <w:t>The American Economic Review</w:t>
      </w:r>
      <w:r w:rsidRPr="004A6FA2">
        <w:rPr>
          <w:rFonts w:cs="Times New Roman"/>
          <w:szCs w:val="24"/>
          <w:shd w:val="clear" w:color="auto" w:fill="FFFFFF"/>
        </w:rPr>
        <w:t>, </w:t>
      </w:r>
      <w:r w:rsidRPr="004A6FA2">
        <w:rPr>
          <w:rFonts w:cs="Times New Roman"/>
          <w:i/>
          <w:iCs/>
          <w:szCs w:val="24"/>
          <w:shd w:val="clear" w:color="auto" w:fill="FFFFFF"/>
        </w:rPr>
        <w:t>76</w:t>
      </w:r>
      <w:r w:rsidRPr="004A6FA2">
        <w:rPr>
          <w:rFonts w:cs="Times New Roman"/>
          <w:szCs w:val="24"/>
          <w:shd w:val="clear" w:color="auto" w:fill="FFFFFF"/>
        </w:rPr>
        <w:t>(3), 470–482. Retrieved from http://search.proquest.com/docview/1289696140/</w:t>
      </w:r>
    </w:p>
    <w:p w14:paraId="14692859" w14:textId="68FD20DD" w:rsidR="0085035C" w:rsidRPr="004A6FA2" w:rsidRDefault="0085035C" w:rsidP="0085035C">
      <w:pPr>
        <w:pStyle w:val="indent3"/>
        <w:spacing w:line="360" w:lineRule="auto"/>
      </w:pPr>
      <w:proofErr w:type="spellStart"/>
      <w:r w:rsidRPr="004A6FA2">
        <w:t>Schauder</w:t>
      </w:r>
      <w:proofErr w:type="spellEnd"/>
      <w:r w:rsidRPr="004A6FA2">
        <w:t>, S. A., &amp; Foley, M. C. (2015). The Relationship between Active Transportation and Health. </w:t>
      </w:r>
      <w:r w:rsidRPr="004A6FA2">
        <w:rPr>
          <w:i/>
          <w:iCs/>
        </w:rPr>
        <w:t>Journal of Transport &amp; Health</w:t>
      </w:r>
      <w:r w:rsidRPr="004A6FA2">
        <w:t>, </w:t>
      </w:r>
      <w:r w:rsidRPr="004A6FA2">
        <w:rPr>
          <w:i/>
          <w:iCs/>
        </w:rPr>
        <w:t>2</w:t>
      </w:r>
      <w:r w:rsidRPr="004A6FA2">
        <w:t xml:space="preserve">(3), 343-349. </w:t>
      </w:r>
      <w:proofErr w:type="gramStart"/>
      <w:r w:rsidRPr="004A6FA2">
        <w:t>doi:10.1016/j.jth</w:t>
      </w:r>
      <w:proofErr w:type="gramEnd"/>
      <w:r w:rsidRPr="004A6FA2">
        <w:t>.2015.06.006</w:t>
      </w:r>
    </w:p>
    <w:p w14:paraId="453C4A1E" w14:textId="534DDDA6" w:rsidR="00F25862" w:rsidRPr="004A6FA2" w:rsidRDefault="001A5C7A"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Schulz, T. (1975). The value of the ability to deal with disequilibria. </w:t>
      </w:r>
      <w:r w:rsidRPr="004A6FA2">
        <w:rPr>
          <w:rFonts w:cs="Times New Roman"/>
          <w:i/>
          <w:iCs/>
          <w:szCs w:val="24"/>
          <w:shd w:val="clear" w:color="auto" w:fill="FFFFFF"/>
        </w:rPr>
        <w:t>Journal of Economic Literature</w:t>
      </w:r>
      <w:r w:rsidRPr="004A6FA2">
        <w:rPr>
          <w:rFonts w:cs="Times New Roman"/>
          <w:szCs w:val="24"/>
          <w:shd w:val="clear" w:color="auto" w:fill="FFFFFF"/>
        </w:rPr>
        <w:t>, </w:t>
      </w:r>
      <w:r w:rsidRPr="004A6FA2">
        <w:rPr>
          <w:rFonts w:cs="Times New Roman"/>
          <w:i/>
          <w:iCs/>
          <w:szCs w:val="24"/>
          <w:shd w:val="clear" w:color="auto" w:fill="FFFFFF"/>
        </w:rPr>
        <w:t>13</w:t>
      </w:r>
      <w:r w:rsidRPr="004A6FA2">
        <w:rPr>
          <w:rFonts w:cs="Times New Roman"/>
          <w:szCs w:val="24"/>
          <w:shd w:val="clear" w:color="auto" w:fill="FFFFFF"/>
        </w:rPr>
        <w:t>(3), 827–846. Retrieved from http://search.proquest.com/docview/37542851/</w:t>
      </w:r>
    </w:p>
    <w:p w14:paraId="6D3D11C1" w14:textId="21F9834A" w:rsidR="00DA2E3F" w:rsidRPr="004A6FA2" w:rsidRDefault="00DA2E3F" w:rsidP="0085035C">
      <w:pPr>
        <w:spacing w:line="360" w:lineRule="auto"/>
        <w:ind w:left="567" w:hanging="567"/>
        <w:rPr>
          <w:rFonts w:cs="Times New Roman"/>
          <w:sz w:val="28"/>
          <w:szCs w:val="28"/>
          <w:shd w:val="clear" w:color="auto" w:fill="FFFFFF"/>
        </w:rPr>
      </w:pPr>
      <w:proofErr w:type="spellStart"/>
      <w:r w:rsidRPr="004A6FA2">
        <w:rPr>
          <w:rFonts w:cs="Times New Roman"/>
          <w:szCs w:val="24"/>
          <w:shd w:val="clear" w:color="auto" w:fill="FFFFFF"/>
        </w:rPr>
        <w:t>Silles</w:t>
      </w:r>
      <w:proofErr w:type="spellEnd"/>
      <w:r w:rsidRPr="004A6FA2">
        <w:rPr>
          <w:rFonts w:cs="Times New Roman"/>
          <w:szCs w:val="24"/>
          <w:shd w:val="clear" w:color="auto" w:fill="FFFFFF"/>
        </w:rPr>
        <w:t>, M. (2015). The causal effect of schooling on smoking behavior. </w:t>
      </w:r>
      <w:r w:rsidRPr="004A6FA2">
        <w:rPr>
          <w:rFonts w:cs="Times New Roman"/>
          <w:i/>
          <w:iCs/>
          <w:szCs w:val="24"/>
          <w:shd w:val="clear" w:color="auto" w:fill="FFFFFF"/>
        </w:rPr>
        <w:t>Economics of Education Review</w:t>
      </w:r>
      <w:r w:rsidRPr="004A6FA2">
        <w:rPr>
          <w:rFonts w:cs="Times New Roman"/>
          <w:szCs w:val="24"/>
          <w:shd w:val="clear" w:color="auto" w:fill="FFFFFF"/>
        </w:rPr>
        <w:t>, </w:t>
      </w:r>
      <w:r w:rsidRPr="004A6FA2">
        <w:rPr>
          <w:rFonts w:cs="Times New Roman"/>
          <w:i/>
          <w:iCs/>
          <w:szCs w:val="24"/>
          <w:shd w:val="clear" w:color="auto" w:fill="FFFFFF"/>
        </w:rPr>
        <w:t>48</w:t>
      </w:r>
      <w:r w:rsidRPr="004A6FA2">
        <w:rPr>
          <w:rFonts w:cs="Times New Roman"/>
          <w:szCs w:val="24"/>
          <w:shd w:val="clear" w:color="auto" w:fill="FFFFFF"/>
        </w:rPr>
        <w:t>, 102–116. https://doi.org/10.1016/j.econedurev.2015.06.004</w:t>
      </w:r>
    </w:p>
    <w:p w14:paraId="74571869" w14:textId="77777777" w:rsidR="0030590E" w:rsidRPr="004A6FA2" w:rsidRDefault="0030590E"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Smith, J. (1999). “Healthy Bodies and Thick Wallets: The Dual Relation Between Health and Economic Status.” </w:t>
      </w:r>
      <w:r w:rsidRPr="004A6FA2">
        <w:rPr>
          <w:rFonts w:cs="Times New Roman"/>
          <w:i/>
          <w:iCs/>
          <w:szCs w:val="24"/>
          <w:shd w:val="clear" w:color="auto" w:fill="FFFFFF"/>
        </w:rPr>
        <w:t>The Journal of Economic Perspectives</w:t>
      </w:r>
      <w:r w:rsidRPr="004A6FA2">
        <w:rPr>
          <w:rFonts w:cs="Times New Roman"/>
          <w:szCs w:val="24"/>
          <w:shd w:val="clear" w:color="auto" w:fill="FFFFFF"/>
        </w:rPr>
        <w:t>, </w:t>
      </w:r>
      <w:r w:rsidRPr="004A6FA2">
        <w:rPr>
          <w:rFonts w:cs="Times New Roman"/>
          <w:i/>
          <w:iCs/>
          <w:szCs w:val="24"/>
          <w:shd w:val="clear" w:color="auto" w:fill="FFFFFF"/>
        </w:rPr>
        <w:t>13</w:t>
      </w:r>
      <w:r w:rsidRPr="004A6FA2">
        <w:rPr>
          <w:rFonts w:cs="Times New Roman"/>
          <w:szCs w:val="24"/>
          <w:shd w:val="clear" w:color="auto" w:fill="FFFFFF"/>
        </w:rPr>
        <w:t>(2), 145–166. https://doi.org/10.1257/jep.13.2.145</w:t>
      </w:r>
    </w:p>
    <w:p w14:paraId="4C506A28" w14:textId="77777777" w:rsidR="0030590E" w:rsidRPr="004A6FA2" w:rsidRDefault="0030590E"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Smith, J., Tian, M., &amp; Zhao, Y. (2013). Community Effects on Elderly Health: Evidence from CHARLS National Baseline. </w:t>
      </w:r>
      <w:r w:rsidRPr="004A6FA2">
        <w:rPr>
          <w:rFonts w:cs="Times New Roman"/>
          <w:i/>
          <w:iCs/>
          <w:szCs w:val="24"/>
          <w:shd w:val="clear" w:color="auto" w:fill="FFFFFF"/>
        </w:rPr>
        <w:t xml:space="preserve">IDEAS Working Paper Series from </w:t>
      </w:r>
      <w:proofErr w:type="spellStart"/>
      <w:r w:rsidRPr="004A6FA2">
        <w:rPr>
          <w:rFonts w:cs="Times New Roman"/>
          <w:i/>
          <w:iCs/>
          <w:szCs w:val="24"/>
          <w:shd w:val="clear" w:color="auto" w:fill="FFFFFF"/>
        </w:rPr>
        <w:t>RePEc</w:t>
      </w:r>
      <w:proofErr w:type="spellEnd"/>
      <w:r w:rsidRPr="004A6FA2">
        <w:rPr>
          <w:rFonts w:cs="Times New Roman"/>
          <w:szCs w:val="24"/>
          <w:shd w:val="clear" w:color="auto" w:fill="FFFFFF"/>
        </w:rPr>
        <w:t>. Retrieved from http://search.proquest.com/docview/1698647720/</w:t>
      </w:r>
    </w:p>
    <w:p w14:paraId="44055DAB" w14:textId="77777777" w:rsidR="0030590E" w:rsidRPr="004A6FA2" w:rsidRDefault="0030590E"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Stephens, M., &amp; Yang, D. (2014). Compulsory Education and the Benefits of Schooling. </w:t>
      </w:r>
      <w:r w:rsidRPr="004A6FA2">
        <w:rPr>
          <w:rFonts w:cs="Times New Roman"/>
          <w:i/>
          <w:iCs/>
          <w:szCs w:val="24"/>
          <w:shd w:val="clear" w:color="auto" w:fill="FFFFFF"/>
        </w:rPr>
        <w:t>The American Economic Review</w:t>
      </w:r>
      <w:r w:rsidRPr="004A6FA2">
        <w:rPr>
          <w:rFonts w:cs="Times New Roman"/>
          <w:szCs w:val="24"/>
          <w:shd w:val="clear" w:color="auto" w:fill="FFFFFF"/>
        </w:rPr>
        <w:t>, </w:t>
      </w:r>
      <w:r w:rsidRPr="004A6FA2">
        <w:rPr>
          <w:rFonts w:cs="Times New Roman"/>
          <w:i/>
          <w:iCs/>
          <w:szCs w:val="24"/>
          <w:shd w:val="clear" w:color="auto" w:fill="FFFFFF"/>
        </w:rPr>
        <w:t>104</w:t>
      </w:r>
      <w:r w:rsidRPr="004A6FA2">
        <w:rPr>
          <w:rFonts w:cs="Times New Roman"/>
          <w:szCs w:val="24"/>
          <w:shd w:val="clear" w:color="auto" w:fill="FFFFFF"/>
        </w:rPr>
        <w:t>(6), 1777–1792. https://doi.org/10.1257/aer.104.6.1777</w:t>
      </w:r>
    </w:p>
    <w:p w14:paraId="1CE73A7F" w14:textId="4B9A7FFC" w:rsidR="0030590E" w:rsidRPr="004A6FA2" w:rsidRDefault="0030590E"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 xml:space="preserve">Swift, R., 2011. The relationship between health and GDP in OECD countries in the very long run. </w:t>
      </w:r>
      <w:r w:rsidRPr="004A6FA2">
        <w:rPr>
          <w:rFonts w:cs="Times New Roman"/>
          <w:i/>
          <w:iCs/>
          <w:szCs w:val="24"/>
          <w:shd w:val="clear" w:color="auto" w:fill="FFFFFF"/>
        </w:rPr>
        <w:t>Health economics 20</w:t>
      </w:r>
      <w:r w:rsidRPr="004A6FA2">
        <w:rPr>
          <w:rFonts w:cs="Times New Roman"/>
          <w:szCs w:val="24"/>
          <w:shd w:val="clear" w:color="auto" w:fill="FFFFFF"/>
        </w:rPr>
        <w:t xml:space="preserve"> (3), 306–322.</w:t>
      </w:r>
    </w:p>
    <w:p w14:paraId="012CB215" w14:textId="38CB402D" w:rsidR="00C1441B" w:rsidRPr="004A6FA2" w:rsidRDefault="00C1441B" w:rsidP="0085035C">
      <w:pPr>
        <w:spacing w:line="360" w:lineRule="auto"/>
        <w:ind w:left="567" w:hanging="567"/>
        <w:rPr>
          <w:rFonts w:cs="Times New Roman"/>
          <w:sz w:val="28"/>
          <w:szCs w:val="28"/>
          <w:shd w:val="clear" w:color="auto" w:fill="FFFFFF"/>
        </w:rPr>
      </w:pPr>
      <w:r w:rsidRPr="004A6FA2">
        <w:rPr>
          <w:rFonts w:cs="Times New Roman"/>
          <w:szCs w:val="24"/>
          <w:shd w:val="clear" w:color="auto" w:fill="FFFFFF"/>
        </w:rPr>
        <w:t xml:space="preserve">Tanha, T., </w:t>
      </w:r>
      <w:proofErr w:type="spellStart"/>
      <w:r w:rsidRPr="004A6FA2">
        <w:rPr>
          <w:rFonts w:cs="Times New Roman"/>
          <w:szCs w:val="24"/>
          <w:shd w:val="clear" w:color="auto" w:fill="FFFFFF"/>
        </w:rPr>
        <w:t>Wollmer</w:t>
      </w:r>
      <w:proofErr w:type="spellEnd"/>
      <w:r w:rsidRPr="004A6FA2">
        <w:rPr>
          <w:rFonts w:cs="Times New Roman"/>
          <w:szCs w:val="24"/>
          <w:shd w:val="clear" w:color="auto" w:fill="FFFFFF"/>
        </w:rPr>
        <w:t xml:space="preserve">, P., </w:t>
      </w:r>
      <w:proofErr w:type="spellStart"/>
      <w:r w:rsidRPr="004A6FA2">
        <w:rPr>
          <w:rFonts w:cs="Times New Roman"/>
          <w:szCs w:val="24"/>
          <w:shd w:val="clear" w:color="auto" w:fill="FFFFFF"/>
        </w:rPr>
        <w:t>Thorsson</w:t>
      </w:r>
      <w:proofErr w:type="spellEnd"/>
      <w:r w:rsidRPr="004A6FA2">
        <w:rPr>
          <w:rFonts w:cs="Times New Roman"/>
          <w:szCs w:val="24"/>
          <w:shd w:val="clear" w:color="auto" w:fill="FFFFFF"/>
        </w:rPr>
        <w:t xml:space="preserve">, O., Karlsson, M., </w:t>
      </w:r>
      <w:proofErr w:type="spellStart"/>
      <w:r w:rsidRPr="004A6FA2">
        <w:rPr>
          <w:rFonts w:cs="Times New Roman"/>
          <w:szCs w:val="24"/>
          <w:shd w:val="clear" w:color="auto" w:fill="FFFFFF"/>
        </w:rPr>
        <w:t>Lindén</w:t>
      </w:r>
      <w:proofErr w:type="spellEnd"/>
      <w:r w:rsidRPr="004A6FA2">
        <w:rPr>
          <w:rFonts w:cs="Times New Roman"/>
          <w:szCs w:val="24"/>
          <w:shd w:val="clear" w:color="auto" w:fill="FFFFFF"/>
        </w:rPr>
        <w:t xml:space="preserve">, C., Andersen, L., &amp; </w:t>
      </w:r>
      <w:proofErr w:type="spellStart"/>
      <w:r w:rsidRPr="004A6FA2">
        <w:rPr>
          <w:rFonts w:cs="Times New Roman"/>
          <w:szCs w:val="24"/>
          <w:shd w:val="clear" w:color="auto" w:fill="FFFFFF"/>
        </w:rPr>
        <w:t>Dencker</w:t>
      </w:r>
      <w:proofErr w:type="spellEnd"/>
      <w:r w:rsidRPr="004A6FA2">
        <w:rPr>
          <w:rFonts w:cs="Times New Roman"/>
          <w:szCs w:val="24"/>
          <w:shd w:val="clear" w:color="auto" w:fill="FFFFFF"/>
        </w:rPr>
        <w:t xml:space="preserve">, M. (2011). Lack of physical activity in young children is related to higher composite risk </w:t>
      </w:r>
      <w:r w:rsidRPr="004A6FA2">
        <w:rPr>
          <w:rFonts w:cs="Times New Roman"/>
          <w:szCs w:val="24"/>
          <w:shd w:val="clear" w:color="auto" w:fill="FFFFFF"/>
        </w:rPr>
        <w:lastRenderedPageBreak/>
        <w:t>factor score for cardiovascular disease. </w:t>
      </w:r>
      <w:r w:rsidRPr="004A6FA2">
        <w:rPr>
          <w:rFonts w:cs="Times New Roman"/>
          <w:i/>
          <w:iCs/>
          <w:szCs w:val="24"/>
          <w:shd w:val="clear" w:color="auto" w:fill="FFFFFF"/>
        </w:rPr>
        <w:t xml:space="preserve">Acta </w:t>
      </w:r>
      <w:proofErr w:type="spellStart"/>
      <w:r w:rsidRPr="004A6FA2">
        <w:rPr>
          <w:rFonts w:cs="Times New Roman"/>
          <w:i/>
          <w:iCs/>
          <w:szCs w:val="24"/>
          <w:shd w:val="clear" w:color="auto" w:fill="FFFFFF"/>
        </w:rPr>
        <w:t>Paediatrica</w:t>
      </w:r>
      <w:proofErr w:type="spellEnd"/>
      <w:r w:rsidRPr="004A6FA2">
        <w:rPr>
          <w:rFonts w:cs="Times New Roman"/>
          <w:szCs w:val="24"/>
          <w:shd w:val="clear" w:color="auto" w:fill="FFFFFF"/>
        </w:rPr>
        <w:t>, </w:t>
      </w:r>
      <w:r w:rsidRPr="004A6FA2">
        <w:rPr>
          <w:rFonts w:cs="Times New Roman"/>
          <w:i/>
          <w:iCs/>
          <w:szCs w:val="24"/>
          <w:shd w:val="clear" w:color="auto" w:fill="FFFFFF"/>
        </w:rPr>
        <w:t>100</w:t>
      </w:r>
      <w:r w:rsidRPr="004A6FA2">
        <w:rPr>
          <w:rFonts w:cs="Times New Roman"/>
          <w:szCs w:val="24"/>
          <w:shd w:val="clear" w:color="auto" w:fill="FFFFFF"/>
        </w:rPr>
        <w:t>(5), 717–721. https://doi.org/10.1111/j.1651-2227.2011.02226.x</w:t>
      </w:r>
    </w:p>
    <w:p w14:paraId="70A4D751" w14:textId="62E248B3" w:rsidR="00D6144E" w:rsidRPr="004A6FA2" w:rsidRDefault="00D6144E" w:rsidP="0085035C">
      <w:pPr>
        <w:spacing w:line="360" w:lineRule="auto"/>
        <w:ind w:left="567" w:hanging="567"/>
        <w:rPr>
          <w:rFonts w:cs="Times New Roman"/>
          <w:sz w:val="28"/>
          <w:szCs w:val="28"/>
          <w:shd w:val="clear" w:color="auto" w:fill="FFFFFF"/>
        </w:rPr>
      </w:pPr>
      <w:proofErr w:type="spellStart"/>
      <w:r w:rsidRPr="004A6FA2">
        <w:rPr>
          <w:rFonts w:cs="Times New Roman"/>
          <w:szCs w:val="24"/>
          <w:shd w:val="clear" w:color="auto" w:fill="FFFFFF"/>
        </w:rPr>
        <w:t>Viscusi</w:t>
      </w:r>
      <w:proofErr w:type="spellEnd"/>
      <w:r w:rsidRPr="004A6FA2">
        <w:rPr>
          <w:rFonts w:cs="Times New Roman"/>
          <w:szCs w:val="24"/>
          <w:shd w:val="clear" w:color="auto" w:fill="FFFFFF"/>
        </w:rPr>
        <w:t>, W. (1992). </w:t>
      </w:r>
      <w:r w:rsidRPr="004A6FA2">
        <w:rPr>
          <w:rFonts w:cs="Times New Roman"/>
          <w:i/>
          <w:iCs/>
          <w:szCs w:val="24"/>
          <w:shd w:val="clear" w:color="auto" w:fill="FFFFFF"/>
        </w:rPr>
        <w:t xml:space="preserve">Fatal </w:t>
      </w:r>
      <w:proofErr w:type="spellStart"/>
      <w:r w:rsidRPr="004A6FA2">
        <w:rPr>
          <w:rFonts w:cs="Times New Roman"/>
          <w:i/>
          <w:iCs/>
          <w:szCs w:val="24"/>
          <w:shd w:val="clear" w:color="auto" w:fill="FFFFFF"/>
        </w:rPr>
        <w:t>tradeoffs</w:t>
      </w:r>
      <w:proofErr w:type="spellEnd"/>
      <w:r w:rsidRPr="004A6FA2">
        <w:rPr>
          <w:rFonts w:cs="Times New Roman"/>
          <w:i/>
          <w:iCs/>
          <w:szCs w:val="24"/>
          <w:shd w:val="clear" w:color="auto" w:fill="FFFFFF"/>
        </w:rPr>
        <w:t>: public and private responsibilities for risk</w:t>
      </w:r>
      <w:r w:rsidRPr="004A6FA2">
        <w:rPr>
          <w:rFonts w:cs="Times New Roman"/>
          <w:szCs w:val="24"/>
          <w:shd w:val="clear" w:color="auto" w:fill="FFFFFF"/>
        </w:rPr>
        <w:t>. New York: Oxford University Press.</w:t>
      </w:r>
    </w:p>
    <w:p w14:paraId="6DBBD7A6" w14:textId="07B9F28D" w:rsidR="0030590E" w:rsidRPr="004A6FA2" w:rsidRDefault="0030590E"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World Health Organization. (n.d.). Retrieved March 8, 2020, from https://www.who.int/</w:t>
      </w:r>
    </w:p>
    <w:p w14:paraId="039ABE2E" w14:textId="795C0BFA" w:rsidR="00C15323" w:rsidRPr="004A6FA2" w:rsidRDefault="00C15323" w:rsidP="0085035C">
      <w:pPr>
        <w:spacing w:line="360" w:lineRule="auto"/>
        <w:ind w:left="567" w:hanging="567"/>
        <w:rPr>
          <w:rFonts w:cs="Times New Roman"/>
          <w:sz w:val="28"/>
          <w:szCs w:val="28"/>
          <w:shd w:val="clear" w:color="auto" w:fill="FFFFFF"/>
        </w:rPr>
      </w:pPr>
      <w:r w:rsidRPr="004A6FA2">
        <w:rPr>
          <w:rFonts w:cs="Times New Roman"/>
          <w:szCs w:val="24"/>
          <w:shd w:val="clear" w:color="auto" w:fill="FFFFFF"/>
        </w:rPr>
        <w:t xml:space="preserve">Xu, X., Zhu, R., </w:t>
      </w:r>
      <w:proofErr w:type="spellStart"/>
      <w:r w:rsidRPr="004A6FA2">
        <w:rPr>
          <w:rFonts w:cs="Times New Roman"/>
          <w:szCs w:val="24"/>
          <w:shd w:val="clear" w:color="auto" w:fill="FFFFFF"/>
        </w:rPr>
        <w:t>Xie</w:t>
      </w:r>
      <w:proofErr w:type="spellEnd"/>
      <w:r w:rsidRPr="004A6FA2">
        <w:rPr>
          <w:rFonts w:cs="Times New Roman"/>
          <w:szCs w:val="24"/>
          <w:shd w:val="clear" w:color="auto" w:fill="FFFFFF"/>
        </w:rPr>
        <w:t xml:space="preserve">, W., </w:t>
      </w:r>
      <w:proofErr w:type="spellStart"/>
      <w:r w:rsidRPr="004A6FA2">
        <w:rPr>
          <w:rFonts w:cs="Times New Roman"/>
          <w:szCs w:val="24"/>
          <w:shd w:val="clear" w:color="auto" w:fill="FFFFFF"/>
        </w:rPr>
        <w:t>Xiong</w:t>
      </w:r>
      <w:proofErr w:type="spellEnd"/>
      <w:r w:rsidRPr="004A6FA2">
        <w:rPr>
          <w:rFonts w:cs="Times New Roman"/>
          <w:szCs w:val="24"/>
          <w:shd w:val="clear" w:color="auto" w:fill="FFFFFF"/>
        </w:rPr>
        <w:t xml:space="preserve">, W., Ran, M., Rao, Y., … Zhao, Y. (2016). PS033 </w:t>
      </w:r>
      <w:proofErr w:type="spellStart"/>
      <w:r w:rsidRPr="004A6FA2">
        <w:rPr>
          <w:rFonts w:cs="Times New Roman"/>
          <w:szCs w:val="24"/>
          <w:shd w:val="clear" w:color="auto" w:fill="FFFFFF"/>
        </w:rPr>
        <w:t>Secondhand</w:t>
      </w:r>
      <w:proofErr w:type="spellEnd"/>
      <w:r w:rsidRPr="004A6FA2">
        <w:rPr>
          <w:rFonts w:cs="Times New Roman"/>
          <w:szCs w:val="24"/>
          <w:shd w:val="clear" w:color="auto" w:fill="FFFFFF"/>
        </w:rPr>
        <w:t xml:space="preserve"> Tobacco Smoke Exposure and Smoking-Related Knowledge Among Urban Community Female Non-Smokers in Chongqing, China. </w:t>
      </w:r>
      <w:r w:rsidRPr="004A6FA2">
        <w:rPr>
          <w:rFonts w:cs="Times New Roman"/>
          <w:i/>
          <w:iCs/>
          <w:szCs w:val="24"/>
          <w:shd w:val="clear" w:color="auto" w:fill="FFFFFF"/>
        </w:rPr>
        <w:t>Global Heart</w:t>
      </w:r>
      <w:r w:rsidRPr="004A6FA2">
        <w:rPr>
          <w:rFonts w:cs="Times New Roman"/>
          <w:szCs w:val="24"/>
          <w:shd w:val="clear" w:color="auto" w:fill="FFFFFF"/>
        </w:rPr>
        <w:t>, </w:t>
      </w:r>
      <w:r w:rsidRPr="004A6FA2">
        <w:rPr>
          <w:rFonts w:cs="Times New Roman"/>
          <w:i/>
          <w:iCs/>
          <w:szCs w:val="24"/>
          <w:shd w:val="clear" w:color="auto" w:fill="FFFFFF"/>
        </w:rPr>
        <w:t>11</w:t>
      </w:r>
      <w:r w:rsidRPr="004A6FA2">
        <w:rPr>
          <w:rFonts w:cs="Times New Roman"/>
          <w:szCs w:val="24"/>
          <w:shd w:val="clear" w:color="auto" w:fill="FFFFFF"/>
        </w:rPr>
        <w:t>(2), e22–e22. https://doi.org/10.1016/j.gheart.2016.03.072</w:t>
      </w:r>
    </w:p>
    <w:p w14:paraId="5A4D0060" w14:textId="49289230" w:rsidR="0030590E" w:rsidRPr="004A6FA2" w:rsidRDefault="0030590E"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 xml:space="preserve">Yang, X., </w:t>
      </w:r>
      <w:proofErr w:type="spellStart"/>
      <w:r w:rsidRPr="004A6FA2">
        <w:rPr>
          <w:rFonts w:cs="Times New Roman"/>
          <w:szCs w:val="24"/>
          <w:shd w:val="clear" w:color="auto" w:fill="FFFFFF"/>
        </w:rPr>
        <w:t>Telama</w:t>
      </w:r>
      <w:proofErr w:type="spellEnd"/>
      <w:r w:rsidRPr="004A6FA2">
        <w:rPr>
          <w:rFonts w:cs="Times New Roman"/>
          <w:szCs w:val="24"/>
          <w:shd w:val="clear" w:color="auto" w:fill="FFFFFF"/>
        </w:rPr>
        <w:t xml:space="preserve">, R., </w:t>
      </w:r>
      <w:proofErr w:type="spellStart"/>
      <w:r w:rsidRPr="004A6FA2">
        <w:rPr>
          <w:rFonts w:cs="Times New Roman"/>
          <w:szCs w:val="24"/>
          <w:shd w:val="clear" w:color="auto" w:fill="FFFFFF"/>
        </w:rPr>
        <w:t>Leino</w:t>
      </w:r>
      <w:proofErr w:type="spellEnd"/>
      <w:r w:rsidRPr="004A6FA2">
        <w:rPr>
          <w:rFonts w:cs="Times New Roman"/>
          <w:szCs w:val="24"/>
          <w:shd w:val="clear" w:color="auto" w:fill="FFFFFF"/>
        </w:rPr>
        <w:t xml:space="preserve">, M., &amp; </w:t>
      </w:r>
      <w:proofErr w:type="spellStart"/>
      <w:r w:rsidRPr="004A6FA2">
        <w:rPr>
          <w:rFonts w:cs="Times New Roman"/>
          <w:szCs w:val="24"/>
          <w:shd w:val="clear" w:color="auto" w:fill="FFFFFF"/>
        </w:rPr>
        <w:t>Viikari</w:t>
      </w:r>
      <w:proofErr w:type="spellEnd"/>
      <w:r w:rsidRPr="004A6FA2">
        <w:rPr>
          <w:rFonts w:cs="Times New Roman"/>
          <w:szCs w:val="24"/>
          <w:shd w:val="clear" w:color="auto" w:fill="FFFFFF"/>
        </w:rPr>
        <w:t>, J. (1999). Factors explaining the physical activity of young adults: the importance of early socialization. </w:t>
      </w:r>
      <w:r w:rsidRPr="004A6FA2">
        <w:rPr>
          <w:rFonts w:cs="Times New Roman"/>
          <w:i/>
          <w:iCs/>
          <w:szCs w:val="24"/>
          <w:shd w:val="clear" w:color="auto" w:fill="FFFFFF"/>
        </w:rPr>
        <w:t>Scandinavian Journal of Medicine &amp; Science in Sports</w:t>
      </w:r>
      <w:r w:rsidRPr="004A6FA2">
        <w:rPr>
          <w:rFonts w:cs="Times New Roman"/>
          <w:szCs w:val="24"/>
          <w:shd w:val="clear" w:color="auto" w:fill="FFFFFF"/>
        </w:rPr>
        <w:t>, </w:t>
      </w:r>
      <w:r w:rsidRPr="004A6FA2">
        <w:rPr>
          <w:rFonts w:cs="Times New Roman"/>
          <w:i/>
          <w:iCs/>
          <w:szCs w:val="24"/>
          <w:shd w:val="clear" w:color="auto" w:fill="FFFFFF"/>
        </w:rPr>
        <w:t>9</w:t>
      </w:r>
      <w:r w:rsidRPr="004A6FA2">
        <w:rPr>
          <w:rFonts w:cs="Times New Roman"/>
          <w:szCs w:val="24"/>
          <w:shd w:val="clear" w:color="auto" w:fill="FFFFFF"/>
        </w:rPr>
        <w:t>(2), 120–127. https://doi.org/10.1111/j.1600-0838.1999.tb00220.x</w:t>
      </w:r>
    </w:p>
    <w:p w14:paraId="347D24F0" w14:textId="0E008FC1" w:rsidR="00930B40" w:rsidRPr="004A6FA2" w:rsidRDefault="00930B40" w:rsidP="0085035C">
      <w:pPr>
        <w:spacing w:line="360" w:lineRule="auto"/>
        <w:ind w:left="567" w:hanging="567"/>
        <w:rPr>
          <w:rFonts w:cs="Times New Roman"/>
          <w:szCs w:val="24"/>
          <w:shd w:val="clear" w:color="auto" w:fill="FFFFFF"/>
        </w:rPr>
      </w:pPr>
      <w:r w:rsidRPr="004A6FA2">
        <w:rPr>
          <w:rFonts w:cs="Times New Roman"/>
          <w:szCs w:val="24"/>
          <w:shd w:val="clear" w:color="auto" w:fill="FFFFFF"/>
        </w:rPr>
        <w:t>Zhang, J., &amp; Yen, S. (2015). Physical Activity, Gender Difference, and Depressive Symptoms. </w:t>
      </w:r>
      <w:r w:rsidRPr="004A6FA2">
        <w:rPr>
          <w:rFonts w:cs="Times New Roman"/>
          <w:i/>
          <w:iCs/>
          <w:szCs w:val="24"/>
          <w:shd w:val="clear" w:color="auto" w:fill="FFFFFF"/>
        </w:rPr>
        <w:t>Health Services Research</w:t>
      </w:r>
      <w:r w:rsidRPr="004A6FA2">
        <w:rPr>
          <w:rFonts w:cs="Times New Roman"/>
          <w:szCs w:val="24"/>
          <w:shd w:val="clear" w:color="auto" w:fill="FFFFFF"/>
        </w:rPr>
        <w:t>, </w:t>
      </w:r>
      <w:r w:rsidRPr="004A6FA2">
        <w:rPr>
          <w:rFonts w:cs="Times New Roman"/>
          <w:i/>
          <w:iCs/>
          <w:szCs w:val="24"/>
          <w:shd w:val="clear" w:color="auto" w:fill="FFFFFF"/>
        </w:rPr>
        <w:t>50</w:t>
      </w:r>
      <w:r w:rsidRPr="004A6FA2">
        <w:rPr>
          <w:rFonts w:cs="Times New Roman"/>
          <w:szCs w:val="24"/>
          <w:shd w:val="clear" w:color="auto" w:fill="FFFFFF"/>
        </w:rPr>
        <w:t>(5), 1550–1573. https://doi.org/10.1111/1475-6773.12285</w:t>
      </w:r>
    </w:p>
    <w:p w14:paraId="4697A432" w14:textId="2452CC67" w:rsidR="00DC146B" w:rsidRPr="004A6FA2" w:rsidRDefault="00DC146B" w:rsidP="0085035C">
      <w:pPr>
        <w:spacing w:line="360" w:lineRule="auto"/>
        <w:ind w:left="567" w:hanging="567"/>
        <w:rPr>
          <w:rFonts w:cs="Times New Roman"/>
          <w:sz w:val="28"/>
          <w:szCs w:val="28"/>
          <w:shd w:val="clear" w:color="auto" w:fill="FFFFFF"/>
        </w:rPr>
      </w:pPr>
      <w:r w:rsidRPr="004A6FA2">
        <w:rPr>
          <w:rFonts w:cs="Times New Roman"/>
          <w:szCs w:val="24"/>
          <w:shd w:val="clear" w:color="auto" w:fill="FFFFFF"/>
        </w:rPr>
        <w:t>Zhang, L., Qin, L., Liu, A., &amp; Wang, P. (2010). Prevalence of risk factors for cardiovascular disease and their associations with diet and physical activity in suburban Beijing, China. </w:t>
      </w:r>
      <w:r w:rsidRPr="004A6FA2">
        <w:rPr>
          <w:rFonts w:cs="Times New Roman"/>
          <w:i/>
          <w:iCs/>
          <w:szCs w:val="24"/>
          <w:shd w:val="clear" w:color="auto" w:fill="FFFFFF"/>
        </w:rPr>
        <w:t>Journal of Epidemiology</w:t>
      </w:r>
      <w:r w:rsidRPr="004A6FA2">
        <w:rPr>
          <w:rFonts w:cs="Times New Roman"/>
          <w:szCs w:val="24"/>
          <w:shd w:val="clear" w:color="auto" w:fill="FFFFFF"/>
        </w:rPr>
        <w:t>, </w:t>
      </w:r>
      <w:r w:rsidRPr="004A6FA2">
        <w:rPr>
          <w:rFonts w:cs="Times New Roman"/>
          <w:i/>
          <w:iCs/>
          <w:szCs w:val="24"/>
          <w:shd w:val="clear" w:color="auto" w:fill="FFFFFF"/>
        </w:rPr>
        <w:t>20</w:t>
      </w:r>
      <w:r w:rsidRPr="004A6FA2">
        <w:rPr>
          <w:rFonts w:cs="Times New Roman"/>
          <w:szCs w:val="24"/>
          <w:shd w:val="clear" w:color="auto" w:fill="FFFFFF"/>
        </w:rPr>
        <w:t>(3), 237–243. https://doi.org/10.2188/jea.JE20090119</w:t>
      </w:r>
    </w:p>
    <w:p w14:paraId="179996C1" w14:textId="77777777" w:rsidR="000E1183" w:rsidRPr="004A6FA2" w:rsidRDefault="000E1183" w:rsidP="000E1183">
      <w:pPr>
        <w:spacing w:line="360" w:lineRule="auto"/>
        <w:ind w:left="567" w:hanging="567"/>
        <w:rPr>
          <w:rFonts w:cs="Times New Roman"/>
          <w:sz w:val="32"/>
          <w:szCs w:val="32"/>
          <w:shd w:val="clear" w:color="auto" w:fill="FFFFFF"/>
        </w:rPr>
      </w:pPr>
      <w:r w:rsidRPr="004A6FA2">
        <w:rPr>
          <w:rFonts w:cs="Times New Roman"/>
          <w:szCs w:val="24"/>
          <w:shd w:val="clear" w:color="auto" w:fill="FFFFFF"/>
        </w:rPr>
        <w:t>Zhen, S., Ma, Y., Zhao, Z., Yang, X. &amp; Wen, D. (2018). Dietary pattern is associated with obesity in Chinese children and adolescents: data from China Health and Nutrition Survey (CHNS). </w:t>
      </w:r>
      <w:r w:rsidRPr="004A6FA2">
        <w:rPr>
          <w:rFonts w:cs="Times New Roman"/>
          <w:i/>
          <w:iCs/>
          <w:szCs w:val="24"/>
          <w:shd w:val="clear" w:color="auto" w:fill="FFFFFF"/>
        </w:rPr>
        <w:t>Nutrition Journal</w:t>
      </w:r>
      <w:r w:rsidRPr="004A6FA2">
        <w:rPr>
          <w:rFonts w:cs="Times New Roman"/>
          <w:szCs w:val="24"/>
          <w:shd w:val="clear" w:color="auto" w:fill="FFFFFF"/>
        </w:rPr>
        <w:t>, </w:t>
      </w:r>
      <w:r w:rsidRPr="004A6FA2">
        <w:rPr>
          <w:rFonts w:cs="Times New Roman"/>
          <w:i/>
          <w:iCs/>
          <w:szCs w:val="24"/>
          <w:shd w:val="clear" w:color="auto" w:fill="FFFFFF"/>
        </w:rPr>
        <w:t>17</w:t>
      </w:r>
      <w:r w:rsidRPr="004A6FA2">
        <w:rPr>
          <w:rFonts w:cs="Times New Roman"/>
          <w:szCs w:val="24"/>
          <w:shd w:val="clear" w:color="auto" w:fill="FFFFFF"/>
        </w:rPr>
        <w:t>(1), 1–9. https://doi.org/10.1186/s12937-018-0372-8</w:t>
      </w:r>
    </w:p>
    <w:p w14:paraId="55D772E6" w14:textId="13F17C74" w:rsidR="000E1183" w:rsidRPr="00A61761" w:rsidRDefault="00A61761" w:rsidP="0085035C">
      <w:pPr>
        <w:spacing w:line="360" w:lineRule="auto"/>
        <w:ind w:left="567" w:hanging="567"/>
        <w:rPr>
          <w:rFonts w:cs="Times New Roman"/>
          <w:sz w:val="32"/>
          <w:szCs w:val="32"/>
          <w:shd w:val="clear" w:color="auto" w:fill="FFFFFF"/>
        </w:rPr>
      </w:pPr>
      <w:proofErr w:type="spellStart"/>
      <w:r w:rsidRPr="00A61761">
        <w:rPr>
          <w:rFonts w:cs="Times New Roman"/>
          <w:szCs w:val="24"/>
          <w:shd w:val="clear" w:color="auto" w:fill="FFFFFF"/>
        </w:rPr>
        <w:t>Ziebarth</w:t>
      </w:r>
      <w:proofErr w:type="spellEnd"/>
      <w:r w:rsidRPr="00A61761">
        <w:rPr>
          <w:rFonts w:cs="Times New Roman"/>
          <w:szCs w:val="24"/>
          <w:shd w:val="clear" w:color="auto" w:fill="FFFFFF"/>
        </w:rPr>
        <w:t>, N. (2010). Measurement of health, health inequality, and reporting heterogeneity. </w:t>
      </w:r>
      <w:r w:rsidRPr="00A61761">
        <w:rPr>
          <w:rFonts w:cs="Times New Roman"/>
          <w:i/>
          <w:iCs/>
          <w:szCs w:val="24"/>
          <w:shd w:val="clear" w:color="auto" w:fill="FFFFFF"/>
        </w:rPr>
        <w:t>Social Science &amp; Medicine</w:t>
      </w:r>
      <w:r w:rsidRPr="00A61761">
        <w:rPr>
          <w:rFonts w:cs="Times New Roman"/>
          <w:szCs w:val="24"/>
          <w:shd w:val="clear" w:color="auto" w:fill="FFFFFF"/>
        </w:rPr>
        <w:t>, </w:t>
      </w:r>
      <w:r w:rsidRPr="00A61761">
        <w:rPr>
          <w:rFonts w:cs="Times New Roman"/>
          <w:i/>
          <w:iCs/>
          <w:szCs w:val="24"/>
          <w:shd w:val="clear" w:color="auto" w:fill="FFFFFF"/>
        </w:rPr>
        <w:t>71</w:t>
      </w:r>
      <w:r w:rsidRPr="00A61761">
        <w:rPr>
          <w:rFonts w:cs="Times New Roman"/>
          <w:szCs w:val="24"/>
          <w:shd w:val="clear" w:color="auto" w:fill="FFFFFF"/>
        </w:rPr>
        <w:t>(1), 116–124. https://doi.org/10.1016/j.socscimed.2010.03.016</w:t>
      </w:r>
    </w:p>
    <w:p w14:paraId="3E817576" w14:textId="2B8C359A" w:rsidR="00B70B36" w:rsidRDefault="00B70B36" w:rsidP="0085035C">
      <w:pPr>
        <w:spacing w:line="360" w:lineRule="auto"/>
        <w:ind w:left="567" w:hanging="567"/>
        <w:rPr>
          <w:rFonts w:cs="Times New Roman"/>
          <w:sz w:val="28"/>
          <w:szCs w:val="28"/>
          <w:shd w:val="clear" w:color="auto" w:fill="FFFFFF"/>
        </w:rPr>
      </w:pPr>
    </w:p>
    <w:p w14:paraId="62B20ACF" w14:textId="77777777" w:rsidR="00767584" w:rsidRDefault="00767584" w:rsidP="00BC3CC7">
      <w:pPr>
        <w:spacing w:line="360" w:lineRule="auto"/>
        <w:rPr>
          <w:rFonts w:cs="Times New Roman"/>
          <w:sz w:val="28"/>
          <w:szCs w:val="28"/>
          <w:shd w:val="clear" w:color="auto" w:fill="FFFFFF"/>
        </w:rPr>
      </w:pPr>
    </w:p>
    <w:sectPr w:rsidR="00767584" w:rsidSect="00596BEB">
      <w:headerReference w:type="default" r:id="rId13"/>
      <w:pgSz w:w="12240" w:h="15840"/>
      <w:pgMar w:top="1440" w:right="1440" w:bottom="1440" w:left="1440" w:header="709" w:footer="709"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7E31C08C" w14:textId="77777777" w:rsidR="00552562" w:rsidRDefault="00552562" w:rsidP="000D00D8">
      <w:pPr>
        <w:spacing w:after="0" w:line="240" w:lineRule="auto"/>
      </w:pPr>
      <w:r>
        <w:separator/>
      </w:r>
    </w:p>
  </w:endnote>
  <w:endnote w:type="continuationSeparator" w:id="0">
    <w:p w14:paraId="0E0C6E15" w14:textId="77777777" w:rsidR="00552562" w:rsidRDefault="00552562" w:rsidP="000D00D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EFF" w:usb1="C000247B" w:usb2="00000009" w:usb3="00000000" w:csb0="000001FF" w:csb1="00000000"/>
  </w:font>
  <w:font w:name="等线">
    <w:altName w:val="DengXian"/>
    <w:panose1 w:val="02010600030101010101"/>
    <w:charset w:val="86"/>
    <w:family w:val="auto"/>
    <w:pitch w:val="variable"/>
    <w:sig w:usb0="A00002BF" w:usb1="38CF7CFA" w:usb2="00000016" w:usb3="00000000" w:csb0="0004000F" w:csb1="00000000"/>
  </w:font>
  <w:font w:name="Calibri Light">
    <w:panose1 w:val="020F0302020204030204"/>
    <w:charset w:val="00"/>
    <w:family w:val="swiss"/>
    <w:pitch w:val="variable"/>
    <w:sig w:usb0="E0002AFF" w:usb1="C000247B" w:usb2="00000009" w:usb3="00000000" w:csb0="000001FF" w:csb1="00000000"/>
  </w:font>
  <w:font w:name="等线 Light">
    <w:panose1 w:val="02010600030101010101"/>
    <w:charset w:val="86"/>
    <w:family w:val="auto"/>
    <w:pitch w:val="variable"/>
    <w:sig w:usb0="A00002BF" w:usb1="38CF7CFA" w:usb2="00000016" w:usb3="00000000" w:csb0="0004000F" w:csb1="00000000"/>
  </w:font>
  <w:font w:name="宋体">
    <w:altName w:val="SimSun"/>
    <w:panose1 w:val="02010600030101010101"/>
    <w:charset w:val="86"/>
    <w:family w:val="auto"/>
    <w:pitch w:val="variable"/>
    <w:sig w:usb0="00000003" w:usb1="288F0000" w:usb2="00000016" w:usb3="00000000" w:csb0="00040001" w:csb1="00000000"/>
  </w:font>
  <w:font w:name="Segoe UI">
    <w:panose1 w:val="020B0502040204020203"/>
    <w:charset w:val="00"/>
    <w:family w:val="swiss"/>
    <w:pitch w:val="variable"/>
    <w:sig w:usb0="E4002EFF" w:usb1="C000E47F" w:usb2="00000009" w:usb3="00000000" w:csb0="000001FF" w:csb1="00000000"/>
  </w:font>
  <w:font w:name="Cambria Math">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5BB9FDB2" w14:textId="77777777" w:rsidR="00552562" w:rsidRDefault="00552562" w:rsidP="000D00D8">
      <w:pPr>
        <w:spacing w:after="0" w:line="240" w:lineRule="auto"/>
      </w:pPr>
      <w:r>
        <w:separator/>
      </w:r>
    </w:p>
  </w:footnote>
  <w:footnote w:type="continuationSeparator" w:id="0">
    <w:p w14:paraId="6FEE057D" w14:textId="77777777" w:rsidR="00552562" w:rsidRDefault="00552562" w:rsidP="000D00D8">
      <w:pPr>
        <w:spacing w:after="0" w:line="240" w:lineRule="auto"/>
      </w:pPr>
      <w:r>
        <w:continuationSeparator/>
      </w:r>
    </w:p>
  </w:footnote>
  <w:footnote w:id="1">
    <w:p w14:paraId="7B53F3BB" w14:textId="09B0E69B" w:rsidR="000F57FA" w:rsidRPr="008E2A66" w:rsidRDefault="000F57FA" w:rsidP="009A1A31">
      <w:pPr>
        <w:pStyle w:val="Footer"/>
      </w:pPr>
      <w:r>
        <w:rPr>
          <w:rStyle w:val="FootnoteReference"/>
        </w:rPr>
        <w:footnoteRef/>
      </w:r>
      <w:r>
        <w:t xml:space="preserve"> T</w:t>
      </w:r>
      <w:r w:rsidRPr="008E2A66">
        <w:t>his is an outcome that this paper is going to investigate as well</w:t>
      </w:r>
      <w:r>
        <w:t>.</w:t>
      </w:r>
    </w:p>
    <w:p w14:paraId="5E5E57BD" w14:textId="5EBA518E" w:rsidR="000F57FA" w:rsidRDefault="000F57FA">
      <w:pPr>
        <w:pStyle w:val="FootnoteText"/>
      </w:pPr>
    </w:p>
  </w:footnote>
  <w:footnote w:id="2">
    <w:p w14:paraId="35FE2DF3" w14:textId="6DC47BAA" w:rsidR="000F57FA" w:rsidRDefault="000F57FA">
      <w:pPr>
        <w:pStyle w:val="FootnoteText"/>
      </w:pPr>
      <w:r w:rsidRPr="00B9492C">
        <w:rPr>
          <w:rStyle w:val="FootnoteReference"/>
          <w:sz w:val="24"/>
          <w:szCs w:val="24"/>
        </w:rPr>
        <w:footnoteRef/>
      </w:r>
      <w:r w:rsidRPr="00B9492C">
        <w:rPr>
          <w:sz w:val="24"/>
          <w:szCs w:val="24"/>
        </w:rPr>
        <w:t xml:space="preserve"> There was only one observation with 8.16 BMI and </w:t>
      </w:r>
      <w:r w:rsidR="00C2090A" w:rsidRPr="00B9492C">
        <w:rPr>
          <w:sz w:val="24"/>
          <w:szCs w:val="24"/>
        </w:rPr>
        <w:t xml:space="preserve">only </w:t>
      </w:r>
      <w:r w:rsidRPr="00B9492C">
        <w:rPr>
          <w:sz w:val="24"/>
          <w:szCs w:val="24"/>
        </w:rPr>
        <w:t>three observations with over 50 BMI in the data.</w:t>
      </w:r>
    </w:p>
  </w:footnote>
  <w:footnote w:id="3">
    <w:p w14:paraId="1A853AF0" w14:textId="4DCD7453" w:rsidR="00927E96" w:rsidRPr="00927E96" w:rsidRDefault="00927E96" w:rsidP="00927E96">
      <w:pPr>
        <w:spacing w:after="0" w:line="240" w:lineRule="auto"/>
        <w:rPr>
          <w:rFonts w:cs="Times New Roman"/>
          <w:szCs w:val="24"/>
        </w:rPr>
      </w:pPr>
      <w:r>
        <w:rPr>
          <w:rStyle w:val="FootnoteReference"/>
        </w:rPr>
        <w:footnoteRef/>
      </w:r>
      <w:r>
        <w:t xml:space="preserve"> </w:t>
      </w:r>
      <w:r w:rsidRPr="00927E96">
        <w:t xml:space="preserve">By comparing the </w:t>
      </w:r>
      <w:r w:rsidRPr="00927E96">
        <w:t>probit regression results in Appendix, the marginal effects of self-reported health are close to the coefficients of the overall sample in both OLS and 2SLS estimations.</w:t>
      </w:r>
      <w:r w:rsidRPr="00927E96">
        <w:rPr>
          <w:rFonts w:cs="Times New Roman"/>
          <w:szCs w:val="24"/>
        </w:rPr>
        <w:t xml:space="preserve"> </w:t>
      </w:r>
    </w:p>
    <w:p w14:paraId="72A87829" w14:textId="0432BCE4" w:rsidR="00927E96" w:rsidRDefault="00927E96">
      <w:pPr>
        <w:pStyle w:val="FootnoteText"/>
      </w:pPr>
    </w:p>
  </w:footnote>
  <w:footnote w:id="4">
    <w:p w14:paraId="4519EF63" w14:textId="7728B36B" w:rsidR="006E49BF" w:rsidRPr="006E49BF" w:rsidRDefault="006E49BF" w:rsidP="006E49BF">
      <w:pPr>
        <w:spacing w:after="0" w:line="240" w:lineRule="auto"/>
        <w:rPr>
          <w:rFonts w:cs="Times New Roman"/>
          <w:szCs w:val="24"/>
        </w:rPr>
      </w:pPr>
      <w:r w:rsidRPr="006E49BF">
        <w:rPr>
          <w:rStyle w:val="FootnoteReference"/>
        </w:rPr>
        <w:footnoteRef/>
      </w:r>
      <w:r w:rsidRPr="006E49BF">
        <w:t xml:space="preserve"> By comparing the </w:t>
      </w:r>
      <w:r w:rsidRPr="006E49BF">
        <w:t>probit regression results in Appendix, the marginal effects of smoking are close to the coefficients of the overall sample in both OLS and 2SLS estimations.</w:t>
      </w:r>
      <w:r w:rsidRPr="006E49BF">
        <w:rPr>
          <w:rFonts w:cs="Times New Roman"/>
          <w:szCs w:val="24"/>
        </w:rPr>
        <w:t xml:space="preserve"> </w:t>
      </w:r>
    </w:p>
    <w:p w14:paraId="77B0C3EC" w14:textId="0F01716C" w:rsidR="006E49BF" w:rsidRDefault="006E49BF">
      <w:pPr>
        <w:pStyle w:val="FootnoteText"/>
      </w:pPr>
    </w:p>
  </w:footnote>
  <w:footnote w:id="5">
    <w:p w14:paraId="3EFC264E" w14:textId="5141056B" w:rsidR="006E49BF" w:rsidRPr="006E49BF" w:rsidRDefault="006E49BF" w:rsidP="006E49BF">
      <w:pPr>
        <w:spacing w:after="0" w:line="240" w:lineRule="auto"/>
        <w:rPr>
          <w:rFonts w:cs="Times New Roman"/>
          <w:szCs w:val="24"/>
        </w:rPr>
      </w:pPr>
      <w:r>
        <w:rPr>
          <w:rStyle w:val="FootnoteReference"/>
        </w:rPr>
        <w:footnoteRef/>
      </w:r>
      <w:r>
        <w:t xml:space="preserve"> B</w:t>
      </w:r>
      <w:r w:rsidRPr="006E49BF">
        <w:t xml:space="preserve">y comparing the </w:t>
      </w:r>
      <w:r w:rsidRPr="006E49BF">
        <w:t>probit regression results in Appendix, the marginal effects of physical activity are close to the coefficients of the overall sample in both OLS and 2SLS estimations.</w:t>
      </w:r>
      <w:r w:rsidRPr="006E49BF">
        <w:rPr>
          <w:rFonts w:cs="Times New Roman"/>
          <w:szCs w:val="24"/>
        </w:rPr>
        <w:t xml:space="preserve"> </w:t>
      </w:r>
    </w:p>
    <w:p w14:paraId="5ACAD3B0" w14:textId="6A5647D7" w:rsidR="006E49BF" w:rsidRDefault="006E49BF">
      <w:pPr>
        <w:pStyle w:val="FootnoteText"/>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245645173"/>
      <w:docPartObj>
        <w:docPartGallery w:val="Page Numbers (Top of Page)"/>
        <w:docPartUnique/>
      </w:docPartObj>
    </w:sdtPr>
    <w:sdtEndPr>
      <w:rPr>
        <w:noProof/>
      </w:rPr>
    </w:sdtEndPr>
    <w:sdtContent>
      <w:p w14:paraId="22F6A9DE" w14:textId="772ED650" w:rsidR="000F57FA" w:rsidRDefault="000F57FA">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65EB9BF7" w14:textId="77777777" w:rsidR="000F57FA" w:rsidRDefault="000F57FA">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D889D7B" w14:textId="73B9FA2C" w:rsidR="000F57FA" w:rsidRDefault="000F57FA">
    <w:pPr>
      <w:pStyle w:val="Header"/>
      <w:jc w:val="right"/>
    </w:pPr>
  </w:p>
  <w:p w14:paraId="7D26BE5E" w14:textId="77777777" w:rsidR="000F57FA" w:rsidRDefault="000F57FA">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919981622"/>
      <w:docPartObj>
        <w:docPartGallery w:val="Page Numbers (Top of Page)"/>
        <w:docPartUnique/>
      </w:docPartObj>
    </w:sdtPr>
    <w:sdtEndPr>
      <w:rPr>
        <w:noProof/>
      </w:rPr>
    </w:sdtEndPr>
    <w:sdtContent>
      <w:p w14:paraId="1A602CC5" w14:textId="4B0FD3AE" w:rsidR="000F57FA" w:rsidRDefault="000F57FA">
        <w:pPr>
          <w:pStyle w:val="Header"/>
          <w:jc w:val="right"/>
        </w:pPr>
        <w:r>
          <w:fldChar w:fldCharType="begin"/>
        </w:r>
        <w:r>
          <w:instrText xml:space="preserve"> PAGE   \* MERGEFORMAT </w:instrText>
        </w:r>
        <w:r>
          <w:fldChar w:fldCharType="separate"/>
        </w:r>
        <w:r>
          <w:rPr>
            <w:noProof/>
          </w:rPr>
          <w:t>2</w:t>
        </w:r>
        <w:r>
          <w:rPr>
            <w:noProof/>
          </w:rPr>
          <w:fldChar w:fldCharType="end"/>
        </w:r>
      </w:p>
    </w:sdtContent>
  </w:sdt>
  <w:p w14:paraId="7976B716" w14:textId="77777777" w:rsidR="000F57FA" w:rsidRDefault="000F57FA">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25C65F9A"/>
    <w:multiLevelType w:val="hybridMultilevel"/>
    <w:tmpl w:val="C1C06446"/>
    <w:lvl w:ilvl="0" w:tplc="10090001">
      <w:start w:val="1"/>
      <w:numFmt w:val="bullet"/>
      <w:lvlText w:val=""/>
      <w:lvlJc w:val="left"/>
      <w:pPr>
        <w:ind w:left="720" w:hanging="360"/>
      </w:pPr>
      <w:rPr>
        <w:rFonts w:ascii="Symbol" w:hAnsi="Symbol" w:hint="default"/>
      </w:rPr>
    </w:lvl>
    <w:lvl w:ilvl="1" w:tplc="10090003" w:tentative="1">
      <w:start w:val="1"/>
      <w:numFmt w:val="bullet"/>
      <w:lvlText w:val="o"/>
      <w:lvlJc w:val="left"/>
      <w:pPr>
        <w:ind w:left="1440" w:hanging="360"/>
      </w:pPr>
      <w:rPr>
        <w:rFonts w:ascii="Courier New" w:hAnsi="Courier New" w:cs="Courier New" w:hint="default"/>
      </w:rPr>
    </w:lvl>
    <w:lvl w:ilvl="2" w:tplc="10090005" w:tentative="1">
      <w:start w:val="1"/>
      <w:numFmt w:val="bullet"/>
      <w:lvlText w:val=""/>
      <w:lvlJc w:val="left"/>
      <w:pPr>
        <w:ind w:left="2160" w:hanging="360"/>
      </w:pPr>
      <w:rPr>
        <w:rFonts w:ascii="Wingdings" w:hAnsi="Wingdings" w:hint="default"/>
      </w:rPr>
    </w:lvl>
    <w:lvl w:ilvl="3" w:tplc="10090001" w:tentative="1">
      <w:start w:val="1"/>
      <w:numFmt w:val="bullet"/>
      <w:lvlText w:val=""/>
      <w:lvlJc w:val="left"/>
      <w:pPr>
        <w:ind w:left="2880" w:hanging="360"/>
      </w:pPr>
      <w:rPr>
        <w:rFonts w:ascii="Symbol" w:hAnsi="Symbol" w:hint="default"/>
      </w:rPr>
    </w:lvl>
    <w:lvl w:ilvl="4" w:tplc="10090003" w:tentative="1">
      <w:start w:val="1"/>
      <w:numFmt w:val="bullet"/>
      <w:lvlText w:val="o"/>
      <w:lvlJc w:val="left"/>
      <w:pPr>
        <w:ind w:left="3600" w:hanging="360"/>
      </w:pPr>
      <w:rPr>
        <w:rFonts w:ascii="Courier New" w:hAnsi="Courier New" w:cs="Courier New" w:hint="default"/>
      </w:rPr>
    </w:lvl>
    <w:lvl w:ilvl="5" w:tplc="10090005" w:tentative="1">
      <w:start w:val="1"/>
      <w:numFmt w:val="bullet"/>
      <w:lvlText w:val=""/>
      <w:lvlJc w:val="left"/>
      <w:pPr>
        <w:ind w:left="4320" w:hanging="360"/>
      </w:pPr>
      <w:rPr>
        <w:rFonts w:ascii="Wingdings" w:hAnsi="Wingdings" w:hint="default"/>
      </w:rPr>
    </w:lvl>
    <w:lvl w:ilvl="6" w:tplc="10090001" w:tentative="1">
      <w:start w:val="1"/>
      <w:numFmt w:val="bullet"/>
      <w:lvlText w:val=""/>
      <w:lvlJc w:val="left"/>
      <w:pPr>
        <w:ind w:left="5040" w:hanging="360"/>
      </w:pPr>
      <w:rPr>
        <w:rFonts w:ascii="Symbol" w:hAnsi="Symbol" w:hint="default"/>
      </w:rPr>
    </w:lvl>
    <w:lvl w:ilvl="7" w:tplc="10090003" w:tentative="1">
      <w:start w:val="1"/>
      <w:numFmt w:val="bullet"/>
      <w:lvlText w:val="o"/>
      <w:lvlJc w:val="left"/>
      <w:pPr>
        <w:ind w:left="5760" w:hanging="360"/>
      </w:pPr>
      <w:rPr>
        <w:rFonts w:ascii="Courier New" w:hAnsi="Courier New" w:cs="Courier New" w:hint="default"/>
      </w:rPr>
    </w:lvl>
    <w:lvl w:ilvl="8" w:tplc="1009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drawingGridHorizontalSpacing w:val="120"/>
  <w:displayHorizontalDrawingGridEvery w:val="2"/>
  <w:displayVerticalDrawingGridEvery w:val="2"/>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5976"/>
    <w:rsid w:val="00001268"/>
    <w:rsid w:val="00002DA4"/>
    <w:rsid w:val="00002DE3"/>
    <w:rsid w:val="0000316E"/>
    <w:rsid w:val="000041F2"/>
    <w:rsid w:val="00006FB8"/>
    <w:rsid w:val="00007D9C"/>
    <w:rsid w:val="00010091"/>
    <w:rsid w:val="00012358"/>
    <w:rsid w:val="00012D51"/>
    <w:rsid w:val="00014DBD"/>
    <w:rsid w:val="00020A48"/>
    <w:rsid w:val="00020B81"/>
    <w:rsid w:val="00020CFF"/>
    <w:rsid w:val="0002102D"/>
    <w:rsid w:val="00021477"/>
    <w:rsid w:val="00022334"/>
    <w:rsid w:val="00024CD2"/>
    <w:rsid w:val="00030FAC"/>
    <w:rsid w:val="000330A1"/>
    <w:rsid w:val="000350EF"/>
    <w:rsid w:val="00035DFD"/>
    <w:rsid w:val="00036B92"/>
    <w:rsid w:val="00036CA7"/>
    <w:rsid w:val="00037E65"/>
    <w:rsid w:val="000421BD"/>
    <w:rsid w:val="00043638"/>
    <w:rsid w:val="00043AE9"/>
    <w:rsid w:val="00043B67"/>
    <w:rsid w:val="000445F6"/>
    <w:rsid w:val="00044D55"/>
    <w:rsid w:val="0004514A"/>
    <w:rsid w:val="0004716F"/>
    <w:rsid w:val="00047A4A"/>
    <w:rsid w:val="00050F9F"/>
    <w:rsid w:val="00054352"/>
    <w:rsid w:val="00056F54"/>
    <w:rsid w:val="00060C9F"/>
    <w:rsid w:val="0006164D"/>
    <w:rsid w:val="0006370A"/>
    <w:rsid w:val="00063F62"/>
    <w:rsid w:val="00065781"/>
    <w:rsid w:val="00065919"/>
    <w:rsid w:val="00066D2B"/>
    <w:rsid w:val="00070E1D"/>
    <w:rsid w:val="000725E0"/>
    <w:rsid w:val="00073755"/>
    <w:rsid w:val="00076E4B"/>
    <w:rsid w:val="0007757C"/>
    <w:rsid w:val="00081AB3"/>
    <w:rsid w:val="00082248"/>
    <w:rsid w:val="00083AB1"/>
    <w:rsid w:val="000857AB"/>
    <w:rsid w:val="000873AC"/>
    <w:rsid w:val="0008757D"/>
    <w:rsid w:val="000934D2"/>
    <w:rsid w:val="00093563"/>
    <w:rsid w:val="00093623"/>
    <w:rsid w:val="0009452F"/>
    <w:rsid w:val="0009787B"/>
    <w:rsid w:val="00097B13"/>
    <w:rsid w:val="000A0007"/>
    <w:rsid w:val="000A0553"/>
    <w:rsid w:val="000A0688"/>
    <w:rsid w:val="000A16CE"/>
    <w:rsid w:val="000A18F6"/>
    <w:rsid w:val="000A224C"/>
    <w:rsid w:val="000A508C"/>
    <w:rsid w:val="000A5FDA"/>
    <w:rsid w:val="000B019E"/>
    <w:rsid w:val="000B0AC6"/>
    <w:rsid w:val="000B146F"/>
    <w:rsid w:val="000B276E"/>
    <w:rsid w:val="000B4AF3"/>
    <w:rsid w:val="000B5048"/>
    <w:rsid w:val="000B71DE"/>
    <w:rsid w:val="000C0226"/>
    <w:rsid w:val="000C171C"/>
    <w:rsid w:val="000C5415"/>
    <w:rsid w:val="000C5858"/>
    <w:rsid w:val="000C59FE"/>
    <w:rsid w:val="000D00D8"/>
    <w:rsid w:val="000D2DA6"/>
    <w:rsid w:val="000D316B"/>
    <w:rsid w:val="000D35C7"/>
    <w:rsid w:val="000D6464"/>
    <w:rsid w:val="000D6FAA"/>
    <w:rsid w:val="000E083A"/>
    <w:rsid w:val="000E1183"/>
    <w:rsid w:val="000E271E"/>
    <w:rsid w:val="000E4593"/>
    <w:rsid w:val="000E519E"/>
    <w:rsid w:val="000E54DB"/>
    <w:rsid w:val="000E5680"/>
    <w:rsid w:val="000E65A2"/>
    <w:rsid w:val="000F0458"/>
    <w:rsid w:val="000F11A5"/>
    <w:rsid w:val="000F3895"/>
    <w:rsid w:val="000F46B1"/>
    <w:rsid w:val="000F4F70"/>
    <w:rsid w:val="000F51CF"/>
    <w:rsid w:val="000F5711"/>
    <w:rsid w:val="000F57FA"/>
    <w:rsid w:val="000F7EF3"/>
    <w:rsid w:val="00101AC4"/>
    <w:rsid w:val="00104FF3"/>
    <w:rsid w:val="001071E1"/>
    <w:rsid w:val="001112E5"/>
    <w:rsid w:val="001161E5"/>
    <w:rsid w:val="00117FC6"/>
    <w:rsid w:val="001205EC"/>
    <w:rsid w:val="001224AE"/>
    <w:rsid w:val="00125292"/>
    <w:rsid w:val="001271B0"/>
    <w:rsid w:val="00131321"/>
    <w:rsid w:val="00133F6C"/>
    <w:rsid w:val="00135FC1"/>
    <w:rsid w:val="00140CC8"/>
    <w:rsid w:val="00141D00"/>
    <w:rsid w:val="00142BDC"/>
    <w:rsid w:val="001447B4"/>
    <w:rsid w:val="00145FB0"/>
    <w:rsid w:val="0014631A"/>
    <w:rsid w:val="00151481"/>
    <w:rsid w:val="00153BF4"/>
    <w:rsid w:val="00153E0F"/>
    <w:rsid w:val="00160432"/>
    <w:rsid w:val="0016268E"/>
    <w:rsid w:val="00162AEB"/>
    <w:rsid w:val="00162F93"/>
    <w:rsid w:val="00164263"/>
    <w:rsid w:val="00166353"/>
    <w:rsid w:val="00166D5B"/>
    <w:rsid w:val="0016791E"/>
    <w:rsid w:val="00170203"/>
    <w:rsid w:val="00170748"/>
    <w:rsid w:val="00172C9B"/>
    <w:rsid w:val="0017364D"/>
    <w:rsid w:val="00173C8A"/>
    <w:rsid w:val="00174C41"/>
    <w:rsid w:val="00176D94"/>
    <w:rsid w:val="0017732B"/>
    <w:rsid w:val="00177753"/>
    <w:rsid w:val="00177A16"/>
    <w:rsid w:val="00180E90"/>
    <w:rsid w:val="00184B91"/>
    <w:rsid w:val="00185688"/>
    <w:rsid w:val="00185A0B"/>
    <w:rsid w:val="001916E3"/>
    <w:rsid w:val="00194F03"/>
    <w:rsid w:val="00195507"/>
    <w:rsid w:val="00197A5E"/>
    <w:rsid w:val="001A152F"/>
    <w:rsid w:val="001A25D4"/>
    <w:rsid w:val="001A4849"/>
    <w:rsid w:val="001A5C7A"/>
    <w:rsid w:val="001A63D3"/>
    <w:rsid w:val="001B081E"/>
    <w:rsid w:val="001B1D12"/>
    <w:rsid w:val="001B23FF"/>
    <w:rsid w:val="001B2822"/>
    <w:rsid w:val="001B7318"/>
    <w:rsid w:val="001C02DF"/>
    <w:rsid w:val="001C095E"/>
    <w:rsid w:val="001C44D1"/>
    <w:rsid w:val="001C4BB3"/>
    <w:rsid w:val="001C7239"/>
    <w:rsid w:val="001C76DD"/>
    <w:rsid w:val="001D1271"/>
    <w:rsid w:val="001D5270"/>
    <w:rsid w:val="001D5D6E"/>
    <w:rsid w:val="001D5E10"/>
    <w:rsid w:val="001E025C"/>
    <w:rsid w:val="001E212A"/>
    <w:rsid w:val="001E3C13"/>
    <w:rsid w:val="001E74E6"/>
    <w:rsid w:val="001F08AC"/>
    <w:rsid w:val="001F1337"/>
    <w:rsid w:val="001F1690"/>
    <w:rsid w:val="001F180B"/>
    <w:rsid w:val="001F21E0"/>
    <w:rsid w:val="001F23CE"/>
    <w:rsid w:val="001F2866"/>
    <w:rsid w:val="001F2FDC"/>
    <w:rsid w:val="001F32C4"/>
    <w:rsid w:val="001F4766"/>
    <w:rsid w:val="001F5B4F"/>
    <w:rsid w:val="001F715E"/>
    <w:rsid w:val="0020066E"/>
    <w:rsid w:val="00202ABD"/>
    <w:rsid w:val="00205EB5"/>
    <w:rsid w:val="0021330F"/>
    <w:rsid w:val="002146CF"/>
    <w:rsid w:val="0021600F"/>
    <w:rsid w:val="00217CBE"/>
    <w:rsid w:val="00220100"/>
    <w:rsid w:val="002233C6"/>
    <w:rsid w:val="00231314"/>
    <w:rsid w:val="002317F3"/>
    <w:rsid w:val="002334D6"/>
    <w:rsid w:val="00234BFB"/>
    <w:rsid w:val="00236C11"/>
    <w:rsid w:val="00237207"/>
    <w:rsid w:val="002400D4"/>
    <w:rsid w:val="002401E8"/>
    <w:rsid w:val="0024373C"/>
    <w:rsid w:val="0024481D"/>
    <w:rsid w:val="0024546D"/>
    <w:rsid w:val="002469CA"/>
    <w:rsid w:val="00246DC2"/>
    <w:rsid w:val="0025090F"/>
    <w:rsid w:val="00251E4C"/>
    <w:rsid w:val="00251E5A"/>
    <w:rsid w:val="0025266F"/>
    <w:rsid w:val="0025273D"/>
    <w:rsid w:val="00264EB0"/>
    <w:rsid w:val="00264FA3"/>
    <w:rsid w:val="002656E8"/>
    <w:rsid w:val="002716BB"/>
    <w:rsid w:val="00271ACF"/>
    <w:rsid w:val="00273E04"/>
    <w:rsid w:val="00274D3B"/>
    <w:rsid w:val="0028244B"/>
    <w:rsid w:val="00283BCE"/>
    <w:rsid w:val="00283CED"/>
    <w:rsid w:val="00284E88"/>
    <w:rsid w:val="0029098C"/>
    <w:rsid w:val="00293216"/>
    <w:rsid w:val="00293897"/>
    <w:rsid w:val="00294829"/>
    <w:rsid w:val="0029614F"/>
    <w:rsid w:val="002973B5"/>
    <w:rsid w:val="002A0399"/>
    <w:rsid w:val="002A0403"/>
    <w:rsid w:val="002A247C"/>
    <w:rsid w:val="002A5C39"/>
    <w:rsid w:val="002A6182"/>
    <w:rsid w:val="002B1062"/>
    <w:rsid w:val="002B1275"/>
    <w:rsid w:val="002B649D"/>
    <w:rsid w:val="002C062A"/>
    <w:rsid w:val="002C481C"/>
    <w:rsid w:val="002C797D"/>
    <w:rsid w:val="002D110C"/>
    <w:rsid w:val="002D5913"/>
    <w:rsid w:val="002E1030"/>
    <w:rsid w:val="002E1E53"/>
    <w:rsid w:val="002E2242"/>
    <w:rsid w:val="002E698B"/>
    <w:rsid w:val="002F1A3D"/>
    <w:rsid w:val="002F26E1"/>
    <w:rsid w:val="002F4EA2"/>
    <w:rsid w:val="002F5AEB"/>
    <w:rsid w:val="0030201C"/>
    <w:rsid w:val="00303F4E"/>
    <w:rsid w:val="00305568"/>
    <w:rsid w:val="003057D5"/>
    <w:rsid w:val="0030590E"/>
    <w:rsid w:val="00305A16"/>
    <w:rsid w:val="003063D9"/>
    <w:rsid w:val="003118B2"/>
    <w:rsid w:val="0032151E"/>
    <w:rsid w:val="00321A40"/>
    <w:rsid w:val="003222DE"/>
    <w:rsid w:val="0032259C"/>
    <w:rsid w:val="00323CF2"/>
    <w:rsid w:val="00325184"/>
    <w:rsid w:val="00326692"/>
    <w:rsid w:val="0032691A"/>
    <w:rsid w:val="00326D6A"/>
    <w:rsid w:val="003306D3"/>
    <w:rsid w:val="00332A7F"/>
    <w:rsid w:val="0033510D"/>
    <w:rsid w:val="00337A9F"/>
    <w:rsid w:val="00343E54"/>
    <w:rsid w:val="0034468D"/>
    <w:rsid w:val="003463F6"/>
    <w:rsid w:val="00346C60"/>
    <w:rsid w:val="003474B2"/>
    <w:rsid w:val="00351FD4"/>
    <w:rsid w:val="00355636"/>
    <w:rsid w:val="00355D95"/>
    <w:rsid w:val="00355F35"/>
    <w:rsid w:val="00361ACC"/>
    <w:rsid w:val="00364CCE"/>
    <w:rsid w:val="003657A8"/>
    <w:rsid w:val="003664F3"/>
    <w:rsid w:val="003677C2"/>
    <w:rsid w:val="003726BE"/>
    <w:rsid w:val="00372CDB"/>
    <w:rsid w:val="003743CE"/>
    <w:rsid w:val="00374CD5"/>
    <w:rsid w:val="00375BAD"/>
    <w:rsid w:val="00376974"/>
    <w:rsid w:val="00377A39"/>
    <w:rsid w:val="00380D43"/>
    <w:rsid w:val="0038182A"/>
    <w:rsid w:val="00383A01"/>
    <w:rsid w:val="003855F9"/>
    <w:rsid w:val="00387666"/>
    <w:rsid w:val="00387821"/>
    <w:rsid w:val="00393C93"/>
    <w:rsid w:val="00394B5B"/>
    <w:rsid w:val="00394C06"/>
    <w:rsid w:val="00396E3D"/>
    <w:rsid w:val="00397F13"/>
    <w:rsid w:val="003A0E4A"/>
    <w:rsid w:val="003A11E1"/>
    <w:rsid w:val="003A179E"/>
    <w:rsid w:val="003A20F4"/>
    <w:rsid w:val="003A2353"/>
    <w:rsid w:val="003A2432"/>
    <w:rsid w:val="003A25F5"/>
    <w:rsid w:val="003A3818"/>
    <w:rsid w:val="003A41F0"/>
    <w:rsid w:val="003A5D9A"/>
    <w:rsid w:val="003A6E40"/>
    <w:rsid w:val="003A7AF0"/>
    <w:rsid w:val="003B05DC"/>
    <w:rsid w:val="003B2483"/>
    <w:rsid w:val="003B5C2F"/>
    <w:rsid w:val="003B63EC"/>
    <w:rsid w:val="003B7A0F"/>
    <w:rsid w:val="003C2239"/>
    <w:rsid w:val="003C4F92"/>
    <w:rsid w:val="003C58C1"/>
    <w:rsid w:val="003C7A8C"/>
    <w:rsid w:val="003C7AF3"/>
    <w:rsid w:val="003D1383"/>
    <w:rsid w:val="003D324D"/>
    <w:rsid w:val="003D3835"/>
    <w:rsid w:val="003D3EE8"/>
    <w:rsid w:val="003D4309"/>
    <w:rsid w:val="003D49B4"/>
    <w:rsid w:val="003D49FA"/>
    <w:rsid w:val="003D5FF1"/>
    <w:rsid w:val="003D7AA0"/>
    <w:rsid w:val="003E0306"/>
    <w:rsid w:val="003E2295"/>
    <w:rsid w:val="003E2E17"/>
    <w:rsid w:val="003E639D"/>
    <w:rsid w:val="003E63A5"/>
    <w:rsid w:val="003E657E"/>
    <w:rsid w:val="003E67EC"/>
    <w:rsid w:val="003F0408"/>
    <w:rsid w:val="003F1164"/>
    <w:rsid w:val="003F188C"/>
    <w:rsid w:val="003F2C26"/>
    <w:rsid w:val="003F329E"/>
    <w:rsid w:val="003F5976"/>
    <w:rsid w:val="003F6EBB"/>
    <w:rsid w:val="004009B9"/>
    <w:rsid w:val="00401001"/>
    <w:rsid w:val="004037B3"/>
    <w:rsid w:val="0040485F"/>
    <w:rsid w:val="0040598C"/>
    <w:rsid w:val="00405C35"/>
    <w:rsid w:val="00407DFE"/>
    <w:rsid w:val="00411730"/>
    <w:rsid w:val="00412058"/>
    <w:rsid w:val="00412ABB"/>
    <w:rsid w:val="00413754"/>
    <w:rsid w:val="004152D1"/>
    <w:rsid w:val="00417959"/>
    <w:rsid w:val="00420564"/>
    <w:rsid w:val="004208E7"/>
    <w:rsid w:val="00420E21"/>
    <w:rsid w:val="0042267C"/>
    <w:rsid w:val="0042619A"/>
    <w:rsid w:val="00430A6F"/>
    <w:rsid w:val="00430CE7"/>
    <w:rsid w:val="00434327"/>
    <w:rsid w:val="0043725D"/>
    <w:rsid w:val="00437908"/>
    <w:rsid w:val="0044233F"/>
    <w:rsid w:val="00443E04"/>
    <w:rsid w:val="004506CE"/>
    <w:rsid w:val="00452349"/>
    <w:rsid w:val="0045265B"/>
    <w:rsid w:val="00457063"/>
    <w:rsid w:val="0045723E"/>
    <w:rsid w:val="00457252"/>
    <w:rsid w:val="00457E79"/>
    <w:rsid w:val="00461513"/>
    <w:rsid w:val="004615FE"/>
    <w:rsid w:val="00461AF6"/>
    <w:rsid w:val="00462BC5"/>
    <w:rsid w:val="00464237"/>
    <w:rsid w:val="004676E5"/>
    <w:rsid w:val="00472BC2"/>
    <w:rsid w:val="00473688"/>
    <w:rsid w:val="00474F77"/>
    <w:rsid w:val="00475D27"/>
    <w:rsid w:val="004766E0"/>
    <w:rsid w:val="004773C1"/>
    <w:rsid w:val="004818AB"/>
    <w:rsid w:val="00481D7A"/>
    <w:rsid w:val="00486B89"/>
    <w:rsid w:val="004908A6"/>
    <w:rsid w:val="00494135"/>
    <w:rsid w:val="004944DB"/>
    <w:rsid w:val="004A0DB7"/>
    <w:rsid w:val="004A6FA2"/>
    <w:rsid w:val="004B0BB7"/>
    <w:rsid w:val="004B1073"/>
    <w:rsid w:val="004B3595"/>
    <w:rsid w:val="004B4A1E"/>
    <w:rsid w:val="004B6CC2"/>
    <w:rsid w:val="004B7763"/>
    <w:rsid w:val="004C2460"/>
    <w:rsid w:val="004C2CA3"/>
    <w:rsid w:val="004C2FCA"/>
    <w:rsid w:val="004C49E8"/>
    <w:rsid w:val="004C60B5"/>
    <w:rsid w:val="004C795C"/>
    <w:rsid w:val="004D1516"/>
    <w:rsid w:val="004D48BC"/>
    <w:rsid w:val="004E02D0"/>
    <w:rsid w:val="004E060A"/>
    <w:rsid w:val="004E2212"/>
    <w:rsid w:val="004E3C11"/>
    <w:rsid w:val="004E4703"/>
    <w:rsid w:val="004E6384"/>
    <w:rsid w:val="004E70DA"/>
    <w:rsid w:val="004E7D42"/>
    <w:rsid w:val="004F082E"/>
    <w:rsid w:val="004F1AAC"/>
    <w:rsid w:val="004F361C"/>
    <w:rsid w:val="004F40A3"/>
    <w:rsid w:val="004F5C6B"/>
    <w:rsid w:val="004F64D0"/>
    <w:rsid w:val="004F78BB"/>
    <w:rsid w:val="005001FC"/>
    <w:rsid w:val="00500E73"/>
    <w:rsid w:val="00500EB0"/>
    <w:rsid w:val="0050341B"/>
    <w:rsid w:val="00503DEB"/>
    <w:rsid w:val="00503F72"/>
    <w:rsid w:val="0050400B"/>
    <w:rsid w:val="0050457D"/>
    <w:rsid w:val="0050564B"/>
    <w:rsid w:val="00506834"/>
    <w:rsid w:val="00507279"/>
    <w:rsid w:val="00510999"/>
    <w:rsid w:val="005110E4"/>
    <w:rsid w:val="00515391"/>
    <w:rsid w:val="0051785C"/>
    <w:rsid w:val="00521C2B"/>
    <w:rsid w:val="00522D27"/>
    <w:rsid w:val="0052308D"/>
    <w:rsid w:val="005247A3"/>
    <w:rsid w:val="00524FB1"/>
    <w:rsid w:val="0052528A"/>
    <w:rsid w:val="00525D09"/>
    <w:rsid w:val="00527791"/>
    <w:rsid w:val="00533F1A"/>
    <w:rsid w:val="0053421B"/>
    <w:rsid w:val="00534E6E"/>
    <w:rsid w:val="005355CB"/>
    <w:rsid w:val="00542996"/>
    <w:rsid w:val="00543667"/>
    <w:rsid w:val="00550A9F"/>
    <w:rsid w:val="00552562"/>
    <w:rsid w:val="00553780"/>
    <w:rsid w:val="0055460E"/>
    <w:rsid w:val="005605F1"/>
    <w:rsid w:val="005619D5"/>
    <w:rsid w:val="00565C6C"/>
    <w:rsid w:val="00567F92"/>
    <w:rsid w:val="00572546"/>
    <w:rsid w:val="00573B63"/>
    <w:rsid w:val="0057404B"/>
    <w:rsid w:val="00574FCC"/>
    <w:rsid w:val="00575951"/>
    <w:rsid w:val="005763B4"/>
    <w:rsid w:val="005779ED"/>
    <w:rsid w:val="0058397C"/>
    <w:rsid w:val="00585463"/>
    <w:rsid w:val="00590BE2"/>
    <w:rsid w:val="00592905"/>
    <w:rsid w:val="00592DB5"/>
    <w:rsid w:val="00592EC1"/>
    <w:rsid w:val="00593745"/>
    <w:rsid w:val="00593A84"/>
    <w:rsid w:val="00595DE9"/>
    <w:rsid w:val="0059666A"/>
    <w:rsid w:val="00596BEB"/>
    <w:rsid w:val="00597E28"/>
    <w:rsid w:val="005A069A"/>
    <w:rsid w:val="005A1563"/>
    <w:rsid w:val="005A1E24"/>
    <w:rsid w:val="005A31D2"/>
    <w:rsid w:val="005A4339"/>
    <w:rsid w:val="005A74C5"/>
    <w:rsid w:val="005A7F59"/>
    <w:rsid w:val="005B0104"/>
    <w:rsid w:val="005B3A45"/>
    <w:rsid w:val="005B3E57"/>
    <w:rsid w:val="005B503C"/>
    <w:rsid w:val="005B67C6"/>
    <w:rsid w:val="005B6A06"/>
    <w:rsid w:val="005B76D9"/>
    <w:rsid w:val="005B79E8"/>
    <w:rsid w:val="005B7B9F"/>
    <w:rsid w:val="005C11FC"/>
    <w:rsid w:val="005C1272"/>
    <w:rsid w:val="005C3C88"/>
    <w:rsid w:val="005C417D"/>
    <w:rsid w:val="005C4910"/>
    <w:rsid w:val="005D26DA"/>
    <w:rsid w:val="005D6661"/>
    <w:rsid w:val="005E0120"/>
    <w:rsid w:val="005E01FE"/>
    <w:rsid w:val="005E2672"/>
    <w:rsid w:val="005E38C4"/>
    <w:rsid w:val="005E4BE2"/>
    <w:rsid w:val="005F3009"/>
    <w:rsid w:val="005F3DF1"/>
    <w:rsid w:val="006002C9"/>
    <w:rsid w:val="00602EB5"/>
    <w:rsid w:val="00604F3A"/>
    <w:rsid w:val="006067FD"/>
    <w:rsid w:val="00610987"/>
    <w:rsid w:val="00612321"/>
    <w:rsid w:val="00613277"/>
    <w:rsid w:val="0061443F"/>
    <w:rsid w:val="006168B4"/>
    <w:rsid w:val="00620B53"/>
    <w:rsid w:val="00621E9C"/>
    <w:rsid w:val="0062378F"/>
    <w:rsid w:val="00623D93"/>
    <w:rsid w:val="00625CF2"/>
    <w:rsid w:val="006268DA"/>
    <w:rsid w:val="00626EF1"/>
    <w:rsid w:val="00630B8E"/>
    <w:rsid w:val="00631EC3"/>
    <w:rsid w:val="00644D5D"/>
    <w:rsid w:val="006476D8"/>
    <w:rsid w:val="00647E6F"/>
    <w:rsid w:val="00654032"/>
    <w:rsid w:val="006616BA"/>
    <w:rsid w:val="006620DB"/>
    <w:rsid w:val="0066434C"/>
    <w:rsid w:val="00664A77"/>
    <w:rsid w:val="00665927"/>
    <w:rsid w:val="00665DF3"/>
    <w:rsid w:val="0066721A"/>
    <w:rsid w:val="00667796"/>
    <w:rsid w:val="00667B92"/>
    <w:rsid w:val="0067179B"/>
    <w:rsid w:val="00675555"/>
    <w:rsid w:val="0067690B"/>
    <w:rsid w:val="00676F48"/>
    <w:rsid w:val="00677D24"/>
    <w:rsid w:val="0068094C"/>
    <w:rsid w:val="00681A14"/>
    <w:rsid w:val="00681F28"/>
    <w:rsid w:val="006866DF"/>
    <w:rsid w:val="00690DBA"/>
    <w:rsid w:val="00692237"/>
    <w:rsid w:val="00693341"/>
    <w:rsid w:val="006A4C6B"/>
    <w:rsid w:val="006A5B10"/>
    <w:rsid w:val="006B3865"/>
    <w:rsid w:val="006B4002"/>
    <w:rsid w:val="006B66D1"/>
    <w:rsid w:val="006B6D09"/>
    <w:rsid w:val="006B7494"/>
    <w:rsid w:val="006B7A33"/>
    <w:rsid w:val="006C183D"/>
    <w:rsid w:val="006C5A9A"/>
    <w:rsid w:val="006C7AA1"/>
    <w:rsid w:val="006D07D5"/>
    <w:rsid w:val="006D17B3"/>
    <w:rsid w:val="006D24A8"/>
    <w:rsid w:val="006D3AB0"/>
    <w:rsid w:val="006D4A8F"/>
    <w:rsid w:val="006D598F"/>
    <w:rsid w:val="006D68DE"/>
    <w:rsid w:val="006E05BB"/>
    <w:rsid w:val="006E1074"/>
    <w:rsid w:val="006E1261"/>
    <w:rsid w:val="006E16FC"/>
    <w:rsid w:val="006E1A33"/>
    <w:rsid w:val="006E1A58"/>
    <w:rsid w:val="006E273E"/>
    <w:rsid w:val="006E41D4"/>
    <w:rsid w:val="006E49BF"/>
    <w:rsid w:val="006E7648"/>
    <w:rsid w:val="006F24D3"/>
    <w:rsid w:val="006F6A41"/>
    <w:rsid w:val="00700EE7"/>
    <w:rsid w:val="0070293E"/>
    <w:rsid w:val="00703242"/>
    <w:rsid w:val="00704138"/>
    <w:rsid w:val="007043E0"/>
    <w:rsid w:val="00705CAB"/>
    <w:rsid w:val="0070611B"/>
    <w:rsid w:val="0070653A"/>
    <w:rsid w:val="00710183"/>
    <w:rsid w:val="0071139A"/>
    <w:rsid w:val="00712560"/>
    <w:rsid w:val="00712DD9"/>
    <w:rsid w:val="007132CC"/>
    <w:rsid w:val="00717A04"/>
    <w:rsid w:val="00720396"/>
    <w:rsid w:val="007207EB"/>
    <w:rsid w:val="00721E8E"/>
    <w:rsid w:val="00725AD8"/>
    <w:rsid w:val="00730C23"/>
    <w:rsid w:val="00730ED7"/>
    <w:rsid w:val="00731498"/>
    <w:rsid w:val="00735E08"/>
    <w:rsid w:val="00741ADF"/>
    <w:rsid w:val="007455A6"/>
    <w:rsid w:val="0074581F"/>
    <w:rsid w:val="007474FE"/>
    <w:rsid w:val="00747805"/>
    <w:rsid w:val="00751624"/>
    <w:rsid w:val="00751974"/>
    <w:rsid w:val="0075220D"/>
    <w:rsid w:val="00752C69"/>
    <w:rsid w:val="00755162"/>
    <w:rsid w:val="00761E62"/>
    <w:rsid w:val="00763E79"/>
    <w:rsid w:val="00767584"/>
    <w:rsid w:val="007714C9"/>
    <w:rsid w:val="007721E4"/>
    <w:rsid w:val="00775698"/>
    <w:rsid w:val="00775C96"/>
    <w:rsid w:val="00775F91"/>
    <w:rsid w:val="00776F25"/>
    <w:rsid w:val="00777046"/>
    <w:rsid w:val="0077723A"/>
    <w:rsid w:val="00780908"/>
    <w:rsid w:val="00783508"/>
    <w:rsid w:val="0078475C"/>
    <w:rsid w:val="007851FC"/>
    <w:rsid w:val="007872A9"/>
    <w:rsid w:val="00792EC9"/>
    <w:rsid w:val="00794613"/>
    <w:rsid w:val="00796F67"/>
    <w:rsid w:val="0079700D"/>
    <w:rsid w:val="00797600"/>
    <w:rsid w:val="007A54B6"/>
    <w:rsid w:val="007B573E"/>
    <w:rsid w:val="007C0A41"/>
    <w:rsid w:val="007C40AF"/>
    <w:rsid w:val="007C4F79"/>
    <w:rsid w:val="007C5BF5"/>
    <w:rsid w:val="007C5CAB"/>
    <w:rsid w:val="007C696F"/>
    <w:rsid w:val="007D11B4"/>
    <w:rsid w:val="007D14EC"/>
    <w:rsid w:val="007D3D43"/>
    <w:rsid w:val="007D4584"/>
    <w:rsid w:val="007E020E"/>
    <w:rsid w:val="007E0CC1"/>
    <w:rsid w:val="007E0D00"/>
    <w:rsid w:val="007E30FA"/>
    <w:rsid w:val="007E4399"/>
    <w:rsid w:val="007E7982"/>
    <w:rsid w:val="007F058B"/>
    <w:rsid w:val="007F06E5"/>
    <w:rsid w:val="007F1D06"/>
    <w:rsid w:val="007F5B7B"/>
    <w:rsid w:val="007F63E4"/>
    <w:rsid w:val="007F6A14"/>
    <w:rsid w:val="007F6CF1"/>
    <w:rsid w:val="007F7F51"/>
    <w:rsid w:val="008061C9"/>
    <w:rsid w:val="00806BEE"/>
    <w:rsid w:val="00813C61"/>
    <w:rsid w:val="00813E27"/>
    <w:rsid w:val="00813EE4"/>
    <w:rsid w:val="008142A3"/>
    <w:rsid w:val="00817307"/>
    <w:rsid w:val="00820ADD"/>
    <w:rsid w:val="00820B55"/>
    <w:rsid w:val="008215C8"/>
    <w:rsid w:val="00821776"/>
    <w:rsid w:val="00826CAE"/>
    <w:rsid w:val="00833569"/>
    <w:rsid w:val="00834C96"/>
    <w:rsid w:val="00836269"/>
    <w:rsid w:val="00836BA0"/>
    <w:rsid w:val="00836BC9"/>
    <w:rsid w:val="008370E6"/>
    <w:rsid w:val="008378F4"/>
    <w:rsid w:val="00840DB2"/>
    <w:rsid w:val="008444CA"/>
    <w:rsid w:val="0084509C"/>
    <w:rsid w:val="0084648B"/>
    <w:rsid w:val="00846CF5"/>
    <w:rsid w:val="0085035C"/>
    <w:rsid w:val="00854D76"/>
    <w:rsid w:val="00855FEE"/>
    <w:rsid w:val="008560D4"/>
    <w:rsid w:val="008573DD"/>
    <w:rsid w:val="00860555"/>
    <w:rsid w:val="00861144"/>
    <w:rsid w:val="00861FE3"/>
    <w:rsid w:val="008646E9"/>
    <w:rsid w:val="0086480B"/>
    <w:rsid w:val="00866719"/>
    <w:rsid w:val="00873672"/>
    <w:rsid w:val="00877881"/>
    <w:rsid w:val="0088153B"/>
    <w:rsid w:val="008839A7"/>
    <w:rsid w:val="008840F2"/>
    <w:rsid w:val="00892330"/>
    <w:rsid w:val="00892B4F"/>
    <w:rsid w:val="0089593A"/>
    <w:rsid w:val="00895EC6"/>
    <w:rsid w:val="008971E2"/>
    <w:rsid w:val="008A0CE9"/>
    <w:rsid w:val="008A367D"/>
    <w:rsid w:val="008B06EE"/>
    <w:rsid w:val="008B2EBB"/>
    <w:rsid w:val="008B4340"/>
    <w:rsid w:val="008B4A6B"/>
    <w:rsid w:val="008B5C59"/>
    <w:rsid w:val="008B70F4"/>
    <w:rsid w:val="008B7F9A"/>
    <w:rsid w:val="008C2DE4"/>
    <w:rsid w:val="008C5726"/>
    <w:rsid w:val="008C676B"/>
    <w:rsid w:val="008D126D"/>
    <w:rsid w:val="008D2BB4"/>
    <w:rsid w:val="008D3653"/>
    <w:rsid w:val="008D375D"/>
    <w:rsid w:val="008D7560"/>
    <w:rsid w:val="008E2A66"/>
    <w:rsid w:val="008E3D3C"/>
    <w:rsid w:val="008E3F99"/>
    <w:rsid w:val="008E553F"/>
    <w:rsid w:val="008E61F0"/>
    <w:rsid w:val="008F2BDA"/>
    <w:rsid w:val="008F492A"/>
    <w:rsid w:val="008F6CA7"/>
    <w:rsid w:val="008F7B1E"/>
    <w:rsid w:val="008F7BAD"/>
    <w:rsid w:val="0090008B"/>
    <w:rsid w:val="00902255"/>
    <w:rsid w:val="00902DEC"/>
    <w:rsid w:val="00903613"/>
    <w:rsid w:val="0090379D"/>
    <w:rsid w:val="00904B69"/>
    <w:rsid w:val="00906308"/>
    <w:rsid w:val="00906406"/>
    <w:rsid w:val="00910E81"/>
    <w:rsid w:val="009112C6"/>
    <w:rsid w:val="00912F05"/>
    <w:rsid w:val="0091427A"/>
    <w:rsid w:val="00914A99"/>
    <w:rsid w:val="00915AD1"/>
    <w:rsid w:val="00915E8A"/>
    <w:rsid w:val="00917190"/>
    <w:rsid w:val="00917B1D"/>
    <w:rsid w:val="00920A93"/>
    <w:rsid w:val="009218DB"/>
    <w:rsid w:val="009224B5"/>
    <w:rsid w:val="0092395E"/>
    <w:rsid w:val="00923B77"/>
    <w:rsid w:val="00923C02"/>
    <w:rsid w:val="00924241"/>
    <w:rsid w:val="00927E96"/>
    <w:rsid w:val="00930B40"/>
    <w:rsid w:val="009315E8"/>
    <w:rsid w:val="009333A2"/>
    <w:rsid w:val="009351C6"/>
    <w:rsid w:val="009356F3"/>
    <w:rsid w:val="0093704A"/>
    <w:rsid w:val="00937AA6"/>
    <w:rsid w:val="00940507"/>
    <w:rsid w:val="00941261"/>
    <w:rsid w:val="00943AB8"/>
    <w:rsid w:val="00943BD9"/>
    <w:rsid w:val="00944038"/>
    <w:rsid w:val="0094617E"/>
    <w:rsid w:val="009503A5"/>
    <w:rsid w:val="009507C6"/>
    <w:rsid w:val="009517B5"/>
    <w:rsid w:val="009539C4"/>
    <w:rsid w:val="00953F12"/>
    <w:rsid w:val="009567BD"/>
    <w:rsid w:val="00957379"/>
    <w:rsid w:val="009573DE"/>
    <w:rsid w:val="00957869"/>
    <w:rsid w:val="00957BE4"/>
    <w:rsid w:val="00957D16"/>
    <w:rsid w:val="009616FA"/>
    <w:rsid w:val="009617E6"/>
    <w:rsid w:val="0096236B"/>
    <w:rsid w:val="00962552"/>
    <w:rsid w:val="00962997"/>
    <w:rsid w:val="009636B1"/>
    <w:rsid w:val="00963C81"/>
    <w:rsid w:val="00964A9E"/>
    <w:rsid w:val="00975D43"/>
    <w:rsid w:val="00980B30"/>
    <w:rsid w:val="00984528"/>
    <w:rsid w:val="00990813"/>
    <w:rsid w:val="009929CD"/>
    <w:rsid w:val="00995213"/>
    <w:rsid w:val="0099666A"/>
    <w:rsid w:val="0099777A"/>
    <w:rsid w:val="009A0DE7"/>
    <w:rsid w:val="009A11BD"/>
    <w:rsid w:val="009A1A31"/>
    <w:rsid w:val="009A235F"/>
    <w:rsid w:val="009A44BB"/>
    <w:rsid w:val="009A6206"/>
    <w:rsid w:val="009A6571"/>
    <w:rsid w:val="009B00F9"/>
    <w:rsid w:val="009B1131"/>
    <w:rsid w:val="009B1276"/>
    <w:rsid w:val="009B1FCC"/>
    <w:rsid w:val="009B26D0"/>
    <w:rsid w:val="009B2CEA"/>
    <w:rsid w:val="009B3046"/>
    <w:rsid w:val="009B68E4"/>
    <w:rsid w:val="009B6CF0"/>
    <w:rsid w:val="009B7110"/>
    <w:rsid w:val="009B7E72"/>
    <w:rsid w:val="009C2830"/>
    <w:rsid w:val="009C61AC"/>
    <w:rsid w:val="009C68FA"/>
    <w:rsid w:val="009D2B43"/>
    <w:rsid w:val="009D48E0"/>
    <w:rsid w:val="009D66E3"/>
    <w:rsid w:val="009E034D"/>
    <w:rsid w:val="009E33D8"/>
    <w:rsid w:val="009E3643"/>
    <w:rsid w:val="009E6204"/>
    <w:rsid w:val="009E629C"/>
    <w:rsid w:val="009F1DAD"/>
    <w:rsid w:val="009F278A"/>
    <w:rsid w:val="009F2F41"/>
    <w:rsid w:val="009F34BC"/>
    <w:rsid w:val="009F453A"/>
    <w:rsid w:val="009F4B57"/>
    <w:rsid w:val="009F6089"/>
    <w:rsid w:val="009F6488"/>
    <w:rsid w:val="00A00434"/>
    <w:rsid w:val="00A014F1"/>
    <w:rsid w:val="00A01C68"/>
    <w:rsid w:val="00A0305A"/>
    <w:rsid w:val="00A074F6"/>
    <w:rsid w:val="00A079A3"/>
    <w:rsid w:val="00A17169"/>
    <w:rsid w:val="00A201EB"/>
    <w:rsid w:val="00A21CC2"/>
    <w:rsid w:val="00A251A7"/>
    <w:rsid w:val="00A305B6"/>
    <w:rsid w:val="00A35D4B"/>
    <w:rsid w:val="00A35DA0"/>
    <w:rsid w:val="00A40B02"/>
    <w:rsid w:val="00A425EA"/>
    <w:rsid w:val="00A42B9B"/>
    <w:rsid w:val="00A43C1D"/>
    <w:rsid w:val="00A51CE8"/>
    <w:rsid w:val="00A5240D"/>
    <w:rsid w:val="00A52FE6"/>
    <w:rsid w:val="00A53ABE"/>
    <w:rsid w:val="00A56523"/>
    <w:rsid w:val="00A56B26"/>
    <w:rsid w:val="00A5750D"/>
    <w:rsid w:val="00A6105F"/>
    <w:rsid w:val="00A6140A"/>
    <w:rsid w:val="00A61761"/>
    <w:rsid w:val="00A61F24"/>
    <w:rsid w:val="00A72D35"/>
    <w:rsid w:val="00A81687"/>
    <w:rsid w:val="00A8469A"/>
    <w:rsid w:val="00A85915"/>
    <w:rsid w:val="00A86D77"/>
    <w:rsid w:val="00A90158"/>
    <w:rsid w:val="00A90CFC"/>
    <w:rsid w:val="00A92A0E"/>
    <w:rsid w:val="00A92A26"/>
    <w:rsid w:val="00A9421C"/>
    <w:rsid w:val="00A94A6E"/>
    <w:rsid w:val="00A94E17"/>
    <w:rsid w:val="00A95CD7"/>
    <w:rsid w:val="00A95CDD"/>
    <w:rsid w:val="00A9681F"/>
    <w:rsid w:val="00A96BBB"/>
    <w:rsid w:val="00AA6B41"/>
    <w:rsid w:val="00AB1BD8"/>
    <w:rsid w:val="00AB2ABE"/>
    <w:rsid w:val="00AB2C1A"/>
    <w:rsid w:val="00AB3ECA"/>
    <w:rsid w:val="00AB548C"/>
    <w:rsid w:val="00AB5890"/>
    <w:rsid w:val="00AB6944"/>
    <w:rsid w:val="00AB6FC1"/>
    <w:rsid w:val="00AC1027"/>
    <w:rsid w:val="00AC538A"/>
    <w:rsid w:val="00AC58C7"/>
    <w:rsid w:val="00AC5B64"/>
    <w:rsid w:val="00AC5FEE"/>
    <w:rsid w:val="00AC698E"/>
    <w:rsid w:val="00AD0429"/>
    <w:rsid w:val="00AD4285"/>
    <w:rsid w:val="00AE1775"/>
    <w:rsid w:val="00AE260D"/>
    <w:rsid w:val="00AE3570"/>
    <w:rsid w:val="00AE69DE"/>
    <w:rsid w:val="00AF0010"/>
    <w:rsid w:val="00AF1E1F"/>
    <w:rsid w:val="00AF41B5"/>
    <w:rsid w:val="00B00765"/>
    <w:rsid w:val="00B022F7"/>
    <w:rsid w:val="00B02499"/>
    <w:rsid w:val="00B0572D"/>
    <w:rsid w:val="00B15653"/>
    <w:rsid w:val="00B20300"/>
    <w:rsid w:val="00B210C1"/>
    <w:rsid w:val="00B2311B"/>
    <w:rsid w:val="00B24E98"/>
    <w:rsid w:val="00B24F1E"/>
    <w:rsid w:val="00B27855"/>
    <w:rsid w:val="00B278BF"/>
    <w:rsid w:val="00B301D5"/>
    <w:rsid w:val="00B3056E"/>
    <w:rsid w:val="00B311DE"/>
    <w:rsid w:val="00B360FC"/>
    <w:rsid w:val="00B36C6D"/>
    <w:rsid w:val="00B4057C"/>
    <w:rsid w:val="00B410E1"/>
    <w:rsid w:val="00B44F2A"/>
    <w:rsid w:val="00B45F00"/>
    <w:rsid w:val="00B46914"/>
    <w:rsid w:val="00B50E06"/>
    <w:rsid w:val="00B51836"/>
    <w:rsid w:val="00B52C0D"/>
    <w:rsid w:val="00B5322C"/>
    <w:rsid w:val="00B536F5"/>
    <w:rsid w:val="00B540BC"/>
    <w:rsid w:val="00B552B9"/>
    <w:rsid w:val="00B55D57"/>
    <w:rsid w:val="00B60ED7"/>
    <w:rsid w:val="00B61183"/>
    <w:rsid w:val="00B613B8"/>
    <w:rsid w:val="00B6507E"/>
    <w:rsid w:val="00B66FFD"/>
    <w:rsid w:val="00B708BB"/>
    <w:rsid w:val="00B70B36"/>
    <w:rsid w:val="00B73844"/>
    <w:rsid w:val="00B75B92"/>
    <w:rsid w:val="00B844F0"/>
    <w:rsid w:val="00B84575"/>
    <w:rsid w:val="00B847D8"/>
    <w:rsid w:val="00B92ABF"/>
    <w:rsid w:val="00B93219"/>
    <w:rsid w:val="00B93499"/>
    <w:rsid w:val="00B94677"/>
    <w:rsid w:val="00B9492C"/>
    <w:rsid w:val="00B94CEA"/>
    <w:rsid w:val="00BA0A75"/>
    <w:rsid w:val="00BA169F"/>
    <w:rsid w:val="00BA3598"/>
    <w:rsid w:val="00BA38C2"/>
    <w:rsid w:val="00BA3A13"/>
    <w:rsid w:val="00BB1D26"/>
    <w:rsid w:val="00BB23C6"/>
    <w:rsid w:val="00BB2736"/>
    <w:rsid w:val="00BB3239"/>
    <w:rsid w:val="00BB40DC"/>
    <w:rsid w:val="00BB586E"/>
    <w:rsid w:val="00BC0AC1"/>
    <w:rsid w:val="00BC3CC7"/>
    <w:rsid w:val="00BC4775"/>
    <w:rsid w:val="00BC4987"/>
    <w:rsid w:val="00BC7820"/>
    <w:rsid w:val="00BD12C4"/>
    <w:rsid w:val="00BD47C1"/>
    <w:rsid w:val="00BD4F3A"/>
    <w:rsid w:val="00BD5EEF"/>
    <w:rsid w:val="00BE1FE6"/>
    <w:rsid w:val="00BE4104"/>
    <w:rsid w:val="00BE45F0"/>
    <w:rsid w:val="00BE6983"/>
    <w:rsid w:val="00BF2208"/>
    <w:rsid w:val="00C00AAE"/>
    <w:rsid w:val="00C073C1"/>
    <w:rsid w:val="00C10985"/>
    <w:rsid w:val="00C116BD"/>
    <w:rsid w:val="00C13245"/>
    <w:rsid w:val="00C1441B"/>
    <w:rsid w:val="00C15323"/>
    <w:rsid w:val="00C2090A"/>
    <w:rsid w:val="00C229C8"/>
    <w:rsid w:val="00C2434F"/>
    <w:rsid w:val="00C25F92"/>
    <w:rsid w:val="00C263AE"/>
    <w:rsid w:val="00C269CC"/>
    <w:rsid w:val="00C273E5"/>
    <w:rsid w:val="00C27A7E"/>
    <w:rsid w:val="00C318C3"/>
    <w:rsid w:val="00C335B7"/>
    <w:rsid w:val="00C33F93"/>
    <w:rsid w:val="00C34DFA"/>
    <w:rsid w:val="00C35D1F"/>
    <w:rsid w:val="00C40CC1"/>
    <w:rsid w:val="00C41108"/>
    <w:rsid w:val="00C41F5C"/>
    <w:rsid w:val="00C42A69"/>
    <w:rsid w:val="00C42D44"/>
    <w:rsid w:val="00C43C51"/>
    <w:rsid w:val="00C43F9D"/>
    <w:rsid w:val="00C44AAF"/>
    <w:rsid w:val="00C4577B"/>
    <w:rsid w:val="00C45BFB"/>
    <w:rsid w:val="00C46069"/>
    <w:rsid w:val="00C467A8"/>
    <w:rsid w:val="00C469D1"/>
    <w:rsid w:val="00C47A28"/>
    <w:rsid w:val="00C5379B"/>
    <w:rsid w:val="00C54743"/>
    <w:rsid w:val="00C5740E"/>
    <w:rsid w:val="00C60E8C"/>
    <w:rsid w:val="00C61184"/>
    <w:rsid w:val="00C64408"/>
    <w:rsid w:val="00C72842"/>
    <w:rsid w:val="00C739A3"/>
    <w:rsid w:val="00C7444D"/>
    <w:rsid w:val="00C80401"/>
    <w:rsid w:val="00C80486"/>
    <w:rsid w:val="00C813A9"/>
    <w:rsid w:val="00C81ABB"/>
    <w:rsid w:val="00C85648"/>
    <w:rsid w:val="00C87653"/>
    <w:rsid w:val="00C932AF"/>
    <w:rsid w:val="00C93846"/>
    <w:rsid w:val="00C94EB2"/>
    <w:rsid w:val="00C961BC"/>
    <w:rsid w:val="00C96BA3"/>
    <w:rsid w:val="00CA13E4"/>
    <w:rsid w:val="00CA1A8E"/>
    <w:rsid w:val="00CA34D2"/>
    <w:rsid w:val="00CA4010"/>
    <w:rsid w:val="00CA5D86"/>
    <w:rsid w:val="00CB0986"/>
    <w:rsid w:val="00CB0DD1"/>
    <w:rsid w:val="00CB10AD"/>
    <w:rsid w:val="00CB2605"/>
    <w:rsid w:val="00CB3781"/>
    <w:rsid w:val="00CB40F0"/>
    <w:rsid w:val="00CB4CFB"/>
    <w:rsid w:val="00CB6117"/>
    <w:rsid w:val="00CB7488"/>
    <w:rsid w:val="00CC007C"/>
    <w:rsid w:val="00CC3515"/>
    <w:rsid w:val="00CC6743"/>
    <w:rsid w:val="00CC6D95"/>
    <w:rsid w:val="00CD2D85"/>
    <w:rsid w:val="00CD336A"/>
    <w:rsid w:val="00CD42DA"/>
    <w:rsid w:val="00CD4B45"/>
    <w:rsid w:val="00CD5B55"/>
    <w:rsid w:val="00CD7A79"/>
    <w:rsid w:val="00CE0033"/>
    <w:rsid w:val="00CE0436"/>
    <w:rsid w:val="00CE1001"/>
    <w:rsid w:val="00CE1915"/>
    <w:rsid w:val="00CE4E31"/>
    <w:rsid w:val="00CE4F19"/>
    <w:rsid w:val="00CE5C62"/>
    <w:rsid w:val="00CE5E21"/>
    <w:rsid w:val="00CE61FF"/>
    <w:rsid w:val="00CF31E1"/>
    <w:rsid w:val="00CF32B7"/>
    <w:rsid w:val="00CF33FD"/>
    <w:rsid w:val="00CF3D2C"/>
    <w:rsid w:val="00CF6ED9"/>
    <w:rsid w:val="00D00551"/>
    <w:rsid w:val="00D00902"/>
    <w:rsid w:val="00D02E2C"/>
    <w:rsid w:val="00D03384"/>
    <w:rsid w:val="00D03777"/>
    <w:rsid w:val="00D0474C"/>
    <w:rsid w:val="00D049A1"/>
    <w:rsid w:val="00D06F52"/>
    <w:rsid w:val="00D1146E"/>
    <w:rsid w:val="00D12654"/>
    <w:rsid w:val="00D1327A"/>
    <w:rsid w:val="00D1397C"/>
    <w:rsid w:val="00D13AF7"/>
    <w:rsid w:val="00D1409F"/>
    <w:rsid w:val="00D142BB"/>
    <w:rsid w:val="00D14A5D"/>
    <w:rsid w:val="00D15A77"/>
    <w:rsid w:val="00D20478"/>
    <w:rsid w:val="00D224C1"/>
    <w:rsid w:val="00D24408"/>
    <w:rsid w:val="00D248E6"/>
    <w:rsid w:val="00D24C3D"/>
    <w:rsid w:val="00D27E22"/>
    <w:rsid w:val="00D31979"/>
    <w:rsid w:val="00D34084"/>
    <w:rsid w:val="00D3412B"/>
    <w:rsid w:val="00D352C8"/>
    <w:rsid w:val="00D361AE"/>
    <w:rsid w:val="00D36878"/>
    <w:rsid w:val="00D37A7B"/>
    <w:rsid w:val="00D40BC4"/>
    <w:rsid w:val="00D40DAE"/>
    <w:rsid w:val="00D420BC"/>
    <w:rsid w:val="00D422AC"/>
    <w:rsid w:val="00D46836"/>
    <w:rsid w:val="00D532CC"/>
    <w:rsid w:val="00D60CD8"/>
    <w:rsid w:val="00D6144E"/>
    <w:rsid w:val="00D63C10"/>
    <w:rsid w:val="00D63DAD"/>
    <w:rsid w:val="00D64B0F"/>
    <w:rsid w:val="00D672EE"/>
    <w:rsid w:val="00D67516"/>
    <w:rsid w:val="00D71803"/>
    <w:rsid w:val="00D73FAC"/>
    <w:rsid w:val="00D75269"/>
    <w:rsid w:val="00D7682C"/>
    <w:rsid w:val="00D77708"/>
    <w:rsid w:val="00D82723"/>
    <w:rsid w:val="00D83C72"/>
    <w:rsid w:val="00D852B0"/>
    <w:rsid w:val="00D90619"/>
    <w:rsid w:val="00D90CE3"/>
    <w:rsid w:val="00D9384A"/>
    <w:rsid w:val="00D94AE0"/>
    <w:rsid w:val="00D960C0"/>
    <w:rsid w:val="00D963F5"/>
    <w:rsid w:val="00D96622"/>
    <w:rsid w:val="00D9762D"/>
    <w:rsid w:val="00DA29B9"/>
    <w:rsid w:val="00DA2A03"/>
    <w:rsid w:val="00DA2E3F"/>
    <w:rsid w:val="00DA3013"/>
    <w:rsid w:val="00DB2B31"/>
    <w:rsid w:val="00DB32FE"/>
    <w:rsid w:val="00DB350B"/>
    <w:rsid w:val="00DB3669"/>
    <w:rsid w:val="00DB3B60"/>
    <w:rsid w:val="00DB3CD5"/>
    <w:rsid w:val="00DC13B8"/>
    <w:rsid w:val="00DC146B"/>
    <w:rsid w:val="00DC196B"/>
    <w:rsid w:val="00DC2628"/>
    <w:rsid w:val="00DC2B6D"/>
    <w:rsid w:val="00DC540C"/>
    <w:rsid w:val="00DC59FA"/>
    <w:rsid w:val="00DD2C3C"/>
    <w:rsid w:val="00DD388F"/>
    <w:rsid w:val="00DD4A39"/>
    <w:rsid w:val="00DD4DD2"/>
    <w:rsid w:val="00DD74AC"/>
    <w:rsid w:val="00DE0C33"/>
    <w:rsid w:val="00DE110A"/>
    <w:rsid w:val="00DE162A"/>
    <w:rsid w:val="00DE2565"/>
    <w:rsid w:val="00DE3A84"/>
    <w:rsid w:val="00DE5A40"/>
    <w:rsid w:val="00DE66C8"/>
    <w:rsid w:val="00DE7003"/>
    <w:rsid w:val="00DE72A1"/>
    <w:rsid w:val="00DE77C7"/>
    <w:rsid w:val="00DF1A59"/>
    <w:rsid w:val="00DF2332"/>
    <w:rsid w:val="00DF48CB"/>
    <w:rsid w:val="00DF55A2"/>
    <w:rsid w:val="00DF649D"/>
    <w:rsid w:val="00DF7BEE"/>
    <w:rsid w:val="00E00B7A"/>
    <w:rsid w:val="00E04204"/>
    <w:rsid w:val="00E07952"/>
    <w:rsid w:val="00E07C30"/>
    <w:rsid w:val="00E12880"/>
    <w:rsid w:val="00E15466"/>
    <w:rsid w:val="00E157E2"/>
    <w:rsid w:val="00E16537"/>
    <w:rsid w:val="00E167E3"/>
    <w:rsid w:val="00E205D2"/>
    <w:rsid w:val="00E226EE"/>
    <w:rsid w:val="00E23052"/>
    <w:rsid w:val="00E2446C"/>
    <w:rsid w:val="00E244A4"/>
    <w:rsid w:val="00E24BBE"/>
    <w:rsid w:val="00E24F8B"/>
    <w:rsid w:val="00E25CD1"/>
    <w:rsid w:val="00E2648F"/>
    <w:rsid w:val="00E26860"/>
    <w:rsid w:val="00E2730D"/>
    <w:rsid w:val="00E313EE"/>
    <w:rsid w:val="00E35270"/>
    <w:rsid w:val="00E36053"/>
    <w:rsid w:val="00E37280"/>
    <w:rsid w:val="00E37A11"/>
    <w:rsid w:val="00E37B29"/>
    <w:rsid w:val="00E408BF"/>
    <w:rsid w:val="00E43791"/>
    <w:rsid w:val="00E467ED"/>
    <w:rsid w:val="00E53241"/>
    <w:rsid w:val="00E536E1"/>
    <w:rsid w:val="00E54C3E"/>
    <w:rsid w:val="00E55D43"/>
    <w:rsid w:val="00E56D80"/>
    <w:rsid w:val="00E56F9D"/>
    <w:rsid w:val="00E61283"/>
    <w:rsid w:val="00E61315"/>
    <w:rsid w:val="00E629FD"/>
    <w:rsid w:val="00E63330"/>
    <w:rsid w:val="00E70F6D"/>
    <w:rsid w:val="00E715E8"/>
    <w:rsid w:val="00E73D4D"/>
    <w:rsid w:val="00E7407A"/>
    <w:rsid w:val="00E7483A"/>
    <w:rsid w:val="00E75E9B"/>
    <w:rsid w:val="00E76F10"/>
    <w:rsid w:val="00E8004B"/>
    <w:rsid w:val="00E812B8"/>
    <w:rsid w:val="00E85F83"/>
    <w:rsid w:val="00E86224"/>
    <w:rsid w:val="00E90F3F"/>
    <w:rsid w:val="00E915FE"/>
    <w:rsid w:val="00E91973"/>
    <w:rsid w:val="00E91E59"/>
    <w:rsid w:val="00E91E8A"/>
    <w:rsid w:val="00E93555"/>
    <w:rsid w:val="00E93D84"/>
    <w:rsid w:val="00E95F29"/>
    <w:rsid w:val="00E96BCA"/>
    <w:rsid w:val="00E97ED4"/>
    <w:rsid w:val="00EA23B5"/>
    <w:rsid w:val="00EA352A"/>
    <w:rsid w:val="00EA3D71"/>
    <w:rsid w:val="00EA508A"/>
    <w:rsid w:val="00EA54A8"/>
    <w:rsid w:val="00EA61EF"/>
    <w:rsid w:val="00EB04C9"/>
    <w:rsid w:val="00EB2BCB"/>
    <w:rsid w:val="00EB319C"/>
    <w:rsid w:val="00EB425E"/>
    <w:rsid w:val="00EB468B"/>
    <w:rsid w:val="00EB68A9"/>
    <w:rsid w:val="00EB7BF4"/>
    <w:rsid w:val="00EC0C44"/>
    <w:rsid w:val="00EC0F08"/>
    <w:rsid w:val="00EC0F4A"/>
    <w:rsid w:val="00EC15B1"/>
    <w:rsid w:val="00EC31DD"/>
    <w:rsid w:val="00EC6DF7"/>
    <w:rsid w:val="00ED1885"/>
    <w:rsid w:val="00ED1FB2"/>
    <w:rsid w:val="00ED2862"/>
    <w:rsid w:val="00ED31EA"/>
    <w:rsid w:val="00ED39D6"/>
    <w:rsid w:val="00ED4099"/>
    <w:rsid w:val="00ED4E1A"/>
    <w:rsid w:val="00ED5517"/>
    <w:rsid w:val="00ED5922"/>
    <w:rsid w:val="00ED63F6"/>
    <w:rsid w:val="00EE00B9"/>
    <w:rsid w:val="00EE0D3D"/>
    <w:rsid w:val="00EE0FDB"/>
    <w:rsid w:val="00EE124A"/>
    <w:rsid w:val="00EE2783"/>
    <w:rsid w:val="00EE4546"/>
    <w:rsid w:val="00EE48C1"/>
    <w:rsid w:val="00EE6890"/>
    <w:rsid w:val="00EE7FFC"/>
    <w:rsid w:val="00EF00B1"/>
    <w:rsid w:val="00EF1B9D"/>
    <w:rsid w:val="00EF2D1D"/>
    <w:rsid w:val="00EF70CB"/>
    <w:rsid w:val="00F005DC"/>
    <w:rsid w:val="00F03EE5"/>
    <w:rsid w:val="00F073E5"/>
    <w:rsid w:val="00F106F5"/>
    <w:rsid w:val="00F120D6"/>
    <w:rsid w:val="00F1223E"/>
    <w:rsid w:val="00F16799"/>
    <w:rsid w:val="00F17AC1"/>
    <w:rsid w:val="00F2059D"/>
    <w:rsid w:val="00F2148D"/>
    <w:rsid w:val="00F226CC"/>
    <w:rsid w:val="00F2278B"/>
    <w:rsid w:val="00F25862"/>
    <w:rsid w:val="00F25A87"/>
    <w:rsid w:val="00F25C08"/>
    <w:rsid w:val="00F305CD"/>
    <w:rsid w:val="00F329A9"/>
    <w:rsid w:val="00F340C8"/>
    <w:rsid w:val="00F356C9"/>
    <w:rsid w:val="00F359F9"/>
    <w:rsid w:val="00F35A1D"/>
    <w:rsid w:val="00F36297"/>
    <w:rsid w:val="00F37605"/>
    <w:rsid w:val="00F4064D"/>
    <w:rsid w:val="00F42B1F"/>
    <w:rsid w:val="00F431A3"/>
    <w:rsid w:val="00F45F90"/>
    <w:rsid w:val="00F465F1"/>
    <w:rsid w:val="00F46E6C"/>
    <w:rsid w:val="00F54670"/>
    <w:rsid w:val="00F54E88"/>
    <w:rsid w:val="00F5523D"/>
    <w:rsid w:val="00F553F1"/>
    <w:rsid w:val="00F5695D"/>
    <w:rsid w:val="00F57E4B"/>
    <w:rsid w:val="00F62D84"/>
    <w:rsid w:val="00F6448E"/>
    <w:rsid w:val="00F646B5"/>
    <w:rsid w:val="00F65D66"/>
    <w:rsid w:val="00F72003"/>
    <w:rsid w:val="00F72143"/>
    <w:rsid w:val="00F7232A"/>
    <w:rsid w:val="00F73577"/>
    <w:rsid w:val="00F735B0"/>
    <w:rsid w:val="00F739E6"/>
    <w:rsid w:val="00F7628F"/>
    <w:rsid w:val="00F80257"/>
    <w:rsid w:val="00F8191E"/>
    <w:rsid w:val="00F81BB2"/>
    <w:rsid w:val="00F865A7"/>
    <w:rsid w:val="00F86CD1"/>
    <w:rsid w:val="00F90577"/>
    <w:rsid w:val="00F95004"/>
    <w:rsid w:val="00F95CB8"/>
    <w:rsid w:val="00F976CB"/>
    <w:rsid w:val="00F97DBD"/>
    <w:rsid w:val="00FA0B25"/>
    <w:rsid w:val="00FA1ED2"/>
    <w:rsid w:val="00FA2F57"/>
    <w:rsid w:val="00FA31DB"/>
    <w:rsid w:val="00FA31F7"/>
    <w:rsid w:val="00FA58BF"/>
    <w:rsid w:val="00FC0012"/>
    <w:rsid w:val="00FC0FCA"/>
    <w:rsid w:val="00FC36DC"/>
    <w:rsid w:val="00FC388F"/>
    <w:rsid w:val="00FC7346"/>
    <w:rsid w:val="00FD0D26"/>
    <w:rsid w:val="00FD236A"/>
    <w:rsid w:val="00FD240D"/>
    <w:rsid w:val="00FD2558"/>
    <w:rsid w:val="00FD2B08"/>
    <w:rsid w:val="00FD581B"/>
    <w:rsid w:val="00FD5D21"/>
    <w:rsid w:val="00FD6874"/>
    <w:rsid w:val="00FD6B13"/>
    <w:rsid w:val="00FE06BB"/>
    <w:rsid w:val="00FE3B5D"/>
    <w:rsid w:val="00FE5A56"/>
    <w:rsid w:val="00FE5E73"/>
    <w:rsid w:val="00FE78CD"/>
    <w:rsid w:val="00FF01AE"/>
    <w:rsid w:val="00FF1ED6"/>
    <w:rsid w:val="00FF4D0F"/>
    <w:rsid w:val="00FF5B2E"/>
  </w:rsids>
  <m:mathPr>
    <m:mathFont m:val="Cambria Math"/>
    <m:brkBin m:val="before"/>
    <m:brkBinSub m:val="--"/>
    <m:smallFrac m:val="0"/>
    <m:dispDef/>
    <m:lMargin m:val="0"/>
    <m:rMargin m:val="0"/>
    <m:defJc m:val="centerGroup"/>
    <m:wrapIndent m:val="1440"/>
    <m:intLim m:val="subSup"/>
    <m:naryLim m:val="undOvr"/>
  </m:mathPr>
  <w:themeFontLang w:val="en-CA"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A8F9F1E"/>
  <w15:chartTrackingRefBased/>
  <w15:docId w15:val="{E008BE92-5792-4FB5-BE2C-C9F561DC557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CA" w:eastAsia="zh-CN"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42B1F"/>
    <w:rPr>
      <w:rFonts w:ascii="Times New Roman" w:hAnsi="Times New Roman"/>
      <w:sz w:val="24"/>
    </w:rPr>
  </w:style>
  <w:style w:type="paragraph" w:styleId="Heading1">
    <w:name w:val="heading 1"/>
    <w:basedOn w:val="Normal"/>
    <w:next w:val="Normal"/>
    <w:link w:val="Heading1Char"/>
    <w:uiPriority w:val="9"/>
    <w:qFormat/>
    <w:rsid w:val="00326692"/>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BE1FE6"/>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BE1FE6"/>
    <w:pPr>
      <w:keepNext/>
      <w:keepLines/>
      <w:spacing w:before="40" w:after="0"/>
      <w:outlineLvl w:val="2"/>
    </w:pPr>
    <w:rPr>
      <w:rFonts w:asciiTheme="majorHAnsi" w:eastAsiaTheme="majorEastAsia" w:hAnsiTheme="majorHAnsi" w:cstheme="majorBidi"/>
      <w:color w:val="1F3763" w:themeColor="accent1" w:themeShade="7F"/>
      <w:szCs w:val="24"/>
    </w:rPr>
  </w:style>
  <w:style w:type="paragraph" w:styleId="Heading4">
    <w:name w:val="heading 4"/>
    <w:basedOn w:val="Normal"/>
    <w:next w:val="Normal"/>
    <w:link w:val="Heading4Char"/>
    <w:uiPriority w:val="9"/>
    <w:unhideWhenUsed/>
    <w:qFormat/>
    <w:rsid w:val="0032691A"/>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326692"/>
    <w:rPr>
      <w:rFonts w:asciiTheme="majorHAnsi" w:eastAsiaTheme="majorEastAsia" w:hAnsiTheme="majorHAnsi" w:cstheme="majorBidi"/>
      <w:color w:val="2F5496" w:themeColor="accent1" w:themeShade="BF"/>
      <w:sz w:val="32"/>
      <w:szCs w:val="32"/>
    </w:rPr>
  </w:style>
  <w:style w:type="character" w:customStyle="1" w:styleId="Heading2Char">
    <w:name w:val="Heading 2 Char"/>
    <w:basedOn w:val="DefaultParagraphFont"/>
    <w:link w:val="Heading2"/>
    <w:uiPriority w:val="9"/>
    <w:rsid w:val="00BE1FE6"/>
    <w:rPr>
      <w:rFonts w:asciiTheme="majorHAnsi" w:eastAsiaTheme="majorEastAsia" w:hAnsiTheme="majorHAnsi" w:cstheme="majorBidi"/>
      <w:color w:val="2F5496" w:themeColor="accent1" w:themeShade="BF"/>
      <w:sz w:val="26"/>
      <w:szCs w:val="26"/>
    </w:rPr>
  </w:style>
  <w:style w:type="character" w:customStyle="1" w:styleId="Heading3Char">
    <w:name w:val="Heading 3 Char"/>
    <w:basedOn w:val="DefaultParagraphFont"/>
    <w:link w:val="Heading3"/>
    <w:uiPriority w:val="9"/>
    <w:rsid w:val="00BE1FE6"/>
    <w:rPr>
      <w:rFonts w:asciiTheme="majorHAnsi" w:eastAsiaTheme="majorEastAsia" w:hAnsiTheme="majorHAnsi" w:cstheme="majorBidi"/>
      <w:color w:val="1F3763" w:themeColor="accent1" w:themeShade="7F"/>
      <w:sz w:val="24"/>
      <w:szCs w:val="24"/>
    </w:rPr>
  </w:style>
  <w:style w:type="paragraph" w:styleId="NormalWeb">
    <w:name w:val="Normal (Web)"/>
    <w:basedOn w:val="Normal"/>
    <w:uiPriority w:val="99"/>
    <w:unhideWhenUsed/>
    <w:rsid w:val="00937AA6"/>
    <w:pPr>
      <w:spacing w:after="0" w:line="240" w:lineRule="auto"/>
      <w:ind w:firstLine="720"/>
    </w:pPr>
    <w:rPr>
      <w:rFonts w:eastAsia="宋体" w:cs="Times New Roman"/>
      <w:szCs w:val="24"/>
      <w:lang w:val="en-US"/>
    </w:rPr>
  </w:style>
  <w:style w:type="character" w:styleId="LineNumber">
    <w:name w:val="line number"/>
    <w:basedOn w:val="DefaultParagraphFont"/>
    <w:uiPriority w:val="99"/>
    <w:semiHidden/>
    <w:unhideWhenUsed/>
    <w:rsid w:val="00937AA6"/>
  </w:style>
  <w:style w:type="character" w:styleId="Hyperlink">
    <w:name w:val="Hyperlink"/>
    <w:basedOn w:val="DefaultParagraphFont"/>
    <w:uiPriority w:val="99"/>
    <w:unhideWhenUsed/>
    <w:rsid w:val="00937AA6"/>
    <w:rPr>
      <w:color w:val="0563C1" w:themeColor="hyperlink"/>
      <w:u w:val="single"/>
    </w:rPr>
  </w:style>
  <w:style w:type="character" w:styleId="UnresolvedMention">
    <w:name w:val="Unresolved Mention"/>
    <w:basedOn w:val="DefaultParagraphFont"/>
    <w:uiPriority w:val="99"/>
    <w:semiHidden/>
    <w:unhideWhenUsed/>
    <w:rsid w:val="00937AA6"/>
    <w:rPr>
      <w:color w:val="605E5C"/>
      <w:shd w:val="clear" w:color="auto" w:fill="E1DFDD"/>
    </w:rPr>
  </w:style>
  <w:style w:type="paragraph" w:styleId="ListParagraph">
    <w:name w:val="List Paragraph"/>
    <w:basedOn w:val="Normal"/>
    <w:uiPriority w:val="34"/>
    <w:qFormat/>
    <w:rsid w:val="004208E7"/>
    <w:pPr>
      <w:ind w:left="720"/>
      <w:contextualSpacing/>
    </w:pPr>
  </w:style>
  <w:style w:type="paragraph" w:customStyle="1" w:styleId="indent3">
    <w:name w:val="indent3"/>
    <w:basedOn w:val="Normal"/>
    <w:uiPriority w:val="99"/>
    <w:semiHidden/>
    <w:rsid w:val="0085035C"/>
    <w:pPr>
      <w:spacing w:after="0" w:line="240" w:lineRule="auto"/>
      <w:ind w:left="720" w:hanging="720"/>
    </w:pPr>
    <w:rPr>
      <w:rFonts w:eastAsia="宋体" w:cs="Times New Roman"/>
      <w:szCs w:val="24"/>
      <w:lang w:val="en-US"/>
    </w:rPr>
  </w:style>
  <w:style w:type="paragraph" w:styleId="BalloonText">
    <w:name w:val="Balloon Text"/>
    <w:basedOn w:val="Normal"/>
    <w:link w:val="BalloonTextChar"/>
    <w:uiPriority w:val="99"/>
    <w:semiHidden/>
    <w:unhideWhenUsed/>
    <w:rsid w:val="00EC0C4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EC0C44"/>
    <w:rPr>
      <w:rFonts w:ascii="Segoe UI" w:hAnsi="Segoe UI" w:cs="Segoe UI"/>
      <w:sz w:val="18"/>
      <w:szCs w:val="18"/>
    </w:rPr>
  </w:style>
  <w:style w:type="paragraph" w:styleId="Header">
    <w:name w:val="header"/>
    <w:basedOn w:val="Normal"/>
    <w:link w:val="HeaderChar"/>
    <w:uiPriority w:val="99"/>
    <w:unhideWhenUsed/>
    <w:rsid w:val="000D00D8"/>
    <w:pPr>
      <w:tabs>
        <w:tab w:val="center" w:pos="4320"/>
        <w:tab w:val="right" w:pos="8640"/>
      </w:tabs>
      <w:spacing w:after="0" w:line="240" w:lineRule="auto"/>
    </w:pPr>
  </w:style>
  <w:style w:type="character" w:customStyle="1" w:styleId="HeaderChar">
    <w:name w:val="Header Char"/>
    <w:basedOn w:val="DefaultParagraphFont"/>
    <w:link w:val="Header"/>
    <w:uiPriority w:val="99"/>
    <w:rsid w:val="000D00D8"/>
    <w:rPr>
      <w:rFonts w:ascii="Times New Roman" w:hAnsi="Times New Roman"/>
      <w:sz w:val="24"/>
    </w:rPr>
  </w:style>
  <w:style w:type="paragraph" w:styleId="Footer">
    <w:name w:val="footer"/>
    <w:basedOn w:val="Normal"/>
    <w:link w:val="FooterChar"/>
    <w:uiPriority w:val="99"/>
    <w:unhideWhenUsed/>
    <w:rsid w:val="000D00D8"/>
    <w:pPr>
      <w:tabs>
        <w:tab w:val="center" w:pos="4320"/>
        <w:tab w:val="right" w:pos="8640"/>
      </w:tabs>
      <w:spacing w:after="0" w:line="240" w:lineRule="auto"/>
    </w:pPr>
  </w:style>
  <w:style w:type="character" w:customStyle="1" w:styleId="FooterChar">
    <w:name w:val="Footer Char"/>
    <w:basedOn w:val="DefaultParagraphFont"/>
    <w:link w:val="Footer"/>
    <w:uiPriority w:val="99"/>
    <w:rsid w:val="000D00D8"/>
    <w:rPr>
      <w:rFonts w:ascii="Times New Roman" w:hAnsi="Times New Roman"/>
      <w:sz w:val="24"/>
    </w:rPr>
  </w:style>
  <w:style w:type="paragraph" w:styleId="CommentText">
    <w:name w:val="annotation text"/>
    <w:basedOn w:val="Normal"/>
    <w:link w:val="CommentTextChar"/>
    <w:uiPriority w:val="99"/>
    <w:semiHidden/>
    <w:unhideWhenUsed/>
    <w:rsid w:val="00030FAC"/>
    <w:pPr>
      <w:spacing w:line="240" w:lineRule="auto"/>
    </w:pPr>
    <w:rPr>
      <w:sz w:val="20"/>
      <w:szCs w:val="20"/>
    </w:rPr>
  </w:style>
  <w:style w:type="character" w:customStyle="1" w:styleId="CommentTextChar">
    <w:name w:val="Comment Text Char"/>
    <w:basedOn w:val="DefaultParagraphFont"/>
    <w:link w:val="CommentText"/>
    <w:uiPriority w:val="99"/>
    <w:semiHidden/>
    <w:rsid w:val="00030FAC"/>
    <w:rPr>
      <w:rFonts w:ascii="Times New Roman" w:hAnsi="Times New Roman"/>
      <w:sz w:val="20"/>
      <w:szCs w:val="20"/>
    </w:rPr>
  </w:style>
  <w:style w:type="character" w:styleId="CommentReference">
    <w:name w:val="annotation reference"/>
    <w:basedOn w:val="DefaultParagraphFont"/>
    <w:uiPriority w:val="99"/>
    <w:semiHidden/>
    <w:unhideWhenUsed/>
    <w:rsid w:val="00030FAC"/>
    <w:rPr>
      <w:sz w:val="16"/>
      <w:szCs w:val="16"/>
    </w:rPr>
  </w:style>
  <w:style w:type="character" w:customStyle="1" w:styleId="Heading4Char">
    <w:name w:val="Heading 4 Char"/>
    <w:basedOn w:val="DefaultParagraphFont"/>
    <w:link w:val="Heading4"/>
    <w:uiPriority w:val="9"/>
    <w:rsid w:val="0032691A"/>
    <w:rPr>
      <w:rFonts w:asciiTheme="majorHAnsi" w:eastAsiaTheme="majorEastAsia" w:hAnsiTheme="majorHAnsi" w:cstheme="majorBidi"/>
      <w:i/>
      <w:iCs/>
      <w:color w:val="2F5496" w:themeColor="accent1" w:themeShade="BF"/>
      <w:sz w:val="24"/>
    </w:rPr>
  </w:style>
  <w:style w:type="paragraph" w:styleId="TOC1">
    <w:name w:val="toc 1"/>
    <w:basedOn w:val="Normal"/>
    <w:next w:val="Normal"/>
    <w:autoRedefine/>
    <w:uiPriority w:val="39"/>
    <w:unhideWhenUsed/>
    <w:rsid w:val="002A5C39"/>
    <w:pPr>
      <w:spacing w:after="100"/>
    </w:pPr>
  </w:style>
  <w:style w:type="paragraph" w:styleId="TOC3">
    <w:name w:val="toc 3"/>
    <w:basedOn w:val="Normal"/>
    <w:next w:val="Normal"/>
    <w:autoRedefine/>
    <w:uiPriority w:val="39"/>
    <w:unhideWhenUsed/>
    <w:rsid w:val="002A5C39"/>
    <w:pPr>
      <w:spacing w:after="100"/>
      <w:ind w:left="480"/>
    </w:pPr>
  </w:style>
  <w:style w:type="paragraph" w:styleId="TOC2">
    <w:name w:val="toc 2"/>
    <w:basedOn w:val="Normal"/>
    <w:next w:val="Normal"/>
    <w:autoRedefine/>
    <w:uiPriority w:val="39"/>
    <w:unhideWhenUsed/>
    <w:rsid w:val="002A5C39"/>
    <w:pPr>
      <w:spacing w:after="100"/>
      <w:ind w:left="240"/>
    </w:pPr>
  </w:style>
  <w:style w:type="paragraph" w:styleId="EndnoteText">
    <w:name w:val="endnote text"/>
    <w:basedOn w:val="Normal"/>
    <w:link w:val="EndnoteTextChar"/>
    <w:uiPriority w:val="99"/>
    <w:semiHidden/>
    <w:unhideWhenUsed/>
    <w:rsid w:val="00B70B36"/>
    <w:pPr>
      <w:spacing w:after="0" w:line="240" w:lineRule="auto"/>
    </w:pPr>
    <w:rPr>
      <w:sz w:val="20"/>
      <w:szCs w:val="20"/>
    </w:rPr>
  </w:style>
  <w:style w:type="character" w:customStyle="1" w:styleId="EndnoteTextChar">
    <w:name w:val="Endnote Text Char"/>
    <w:basedOn w:val="DefaultParagraphFont"/>
    <w:link w:val="EndnoteText"/>
    <w:uiPriority w:val="99"/>
    <w:semiHidden/>
    <w:rsid w:val="00B70B36"/>
    <w:rPr>
      <w:rFonts w:ascii="Times New Roman" w:hAnsi="Times New Roman"/>
      <w:sz w:val="20"/>
      <w:szCs w:val="20"/>
    </w:rPr>
  </w:style>
  <w:style w:type="character" w:styleId="EndnoteReference">
    <w:name w:val="endnote reference"/>
    <w:basedOn w:val="DefaultParagraphFont"/>
    <w:uiPriority w:val="99"/>
    <w:semiHidden/>
    <w:unhideWhenUsed/>
    <w:rsid w:val="00B70B36"/>
    <w:rPr>
      <w:vertAlign w:val="superscript"/>
    </w:rPr>
  </w:style>
  <w:style w:type="paragraph" w:styleId="FootnoteText">
    <w:name w:val="footnote text"/>
    <w:basedOn w:val="Normal"/>
    <w:link w:val="FootnoteTextChar"/>
    <w:uiPriority w:val="99"/>
    <w:semiHidden/>
    <w:unhideWhenUsed/>
    <w:rsid w:val="00B70B36"/>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70B36"/>
    <w:rPr>
      <w:rFonts w:ascii="Times New Roman" w:hAnsi="Times New Roman"/>
      <w:sz w:val="20"/>
      <w:szCs w:val="20"/>
    </w:rPr>
  </w:style>
  <w:style w:type="character" w:styleId="FootnoteReference">
    <w:name w:val="footnote reference"/>
    <w:basedOn w:val="DefaultParagraphFont"/>
    <w:uiPriority w:val="99"/>
    <w:semiHidden/>
    <w:unhideWhenUsed/>
    <w:rsid w:val="00B70B36"/>
    <w:rPr>
      <w:vertAlign w:val="superscript"/>
    </w:rPr>
  </w:style>
  <w:style w:type="paragraph" w:styleId="TOCHeading">
    <w:name w:val="TOC Heading"/>
    <w:basedOn w:val="Heading1"/>
    <w:next w:val="Normal"/>
    <w:uiPriority w:val="39"/>
    <w:unhideWhenUsed/>
    <w:qFormat/>
    <w:rsid w:val="004506CE"/>
    <w:pPr>
      <w:outlineLvl w:val="9"/>
    </w:pPr>
    <w:rPr>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2340223">
      <w:bodyDiv w:val="1"/>
      <w:marLeft w:val="0"/>
      <w:marRight w:val="0"/>
      <w:marTop w:val="0"/>
      <w:marBottom w:val="0"/>
      <w:divBdr>
        <w:top w:val="none" w:sz="0" w:space="0" w:color="auto"/>
        <w:left w:val="none" w:sz="0" w:space="0" w:color="auto"/>
        <w:bottom w:val="none" w:sz="0" w:space="0" w:color="auto"/>
        <w:right w:val="none" w:sz="0" w:space="0" w:color="auto"/>
      </w:divBdr>
    </w:div>
    <w:div w:id="13844391">
      <w:bodyDiv w:val="1"/>
      <w:marLeft w:val="0"/>
      <w:marRight w:val="0"/>
      <w:marTop w:val="0"/>
      <w:marBottom w:val="0"/>
      <w:divBdr>
        <w:top w:val="none" w:sz="0" w:space="0" w:color="auto"/>
        <w:left w:val="none" w:sz="0" w:space="0" w:color="auto"/>
        <w:bottom w:val="none" w:sz="0" w:space="0" w:color="auto"/>
        <w:right w:val="none" w:sz="0" w:space="0" w:color="auto"/>
      </w:divBdr>
    </w:div>
    <w:div w:id="37321841">
      <w:bodyDiv w:val="1"/>
      <w:marLeft w:val="0"/>
      <w:marRight w:val="0"/>
      <w:marTop w:val="0"/>
      <w:marBottom w:val="0"/>
      <w:divBdr>
        <w:top w:val="none" w:sz="0" w:space="0" w:color="auto"/>
        <w:left w:val="none" w:sz="0" w:space="0" w:color="auto"/>
        <w:bottom w:val="none" w:sz="0" w:space="0" w:color="auto"/>
        <w:right w:val="none" w:sz="0" w:space="0" w:color="auto"/>
      </w:divBdr>
    </w:div>
    <w:div w:id="50035504">
      <w:bodyDiv w:val="1"/>
      <w:marLeft w:val="0"/>
      <w:marRight w:val="0"/>
      <w:marTop w:val="0"/>
      <w:marBottom w:val="0"/>
      <w:divBdr>
        <w:top w:val="none" w:sz="0" w:space="0" w:color="auto"/>
        <w:left w:val="none" w:sz="0" w:space="0" w:color="auto"/>
        <w:bottom w:val="none" w:sz="0" w:space="0" w:color="auto"/>
        <w:right w:val="none" w:sz="0" w:space="0" w:color="auto"/>
      </w:divBdr>
    </w:div>
    <w:div w:id="57830237">
      <w:bodyDiv w:val="1"/>
      <w:marLeft w:val="0"/>
      <w:marRight w:val="0"/>
      <w:marTop w:val="0"/>
      <w:marBottom w:val="0"/>
      <w:divBdr>
        <w:top w:val="none" w:sz="0" w:space="0" w:color="auto"/>
        <w:left w:val="none" w:sz="0" w:space="0" w:color="auto"/>
        <w:bottom w:val="none" w:sz="0" w:space="0" w:color="auto"/>
        <w:right w:val="none" w:sz="0" w:space="0" w:color="auto"/>
      </w:divBdr>
    </w:div>
    <w:div w:id="59183532">
      <w:bodyDiv w:val="1"/>
      <w:marLeft w:val="0"/>
      <w:marRight w:val="0"/>
      <w:marTop w:val="0"/>
      <w:marBottom w:val="0"/>
      <w:divBdr>
        <w:top w:val="none" w:sz="0" w:space="0" w:color="auto"/>
        <w:left w:val="none" w:sz="0" w:space="0" w:color="auto"/>
        <w:bottom w:val="none" w:sz="0" w:space="0" w:color="auto"/>
        <w:right w:val="none" w:sz="0" w:space="0" w:color="auto"/>
      </w:divBdr>
    </w:div>
    <w:div w:id="66542504">
      <w:bodyDiv w:val="1"/>
      <w:marLeft w:val="0"/>
      <w:marRight w:val="0"/>
      <w:marTop w:val="0"/>
      <w:marBottom w:val="0"/>
      <w:divBdr>
        <w:top w:val="none" w:sz="0" w:space="0" w:color="auto"/>
        <w:left w:val="none" w:sz="0" w:space="0" w:color="auto"/>
        <w:bottom w:val="none" w:sz="0" w:space="0" w:color="auto"/>
        <w:right w:val="none" w:sz="0" w:space="0" w:color="auto"/>
      </w:divBdr>
    </w:div>
    <w:div w:id="95834310">
      <w:bodyDiv w:val="1"/>
      <w:marLeft w:val="0"/>
      <w:marRight w:val="0"/>
      <w:marTop w:val="0"/>
      <w:marBottom w:val="0"/>
      <w:divBdr>
        <w:top w:val="none" w:sz="0" w:space="0" w:color="auto"/>
        <w:left w:val="none" w:sz="0" w:space="0" w:color="auto"/>
        <w:bottom w:val="none" w:sz="0" w:space="0" w:color="auto"/>
        <w:right w:val="none" w:sz="0" w:space="0" w:color="auto"/>
      </w:divBdr>
    </w:div>
    <w:div w:id="111898385">
      <w:bodyDiv w:val="1"/>
      <w:marLeft w:val="0"/>
      <w:marRight w:val="0"/>
      <w:marTop w:val="0"/>
      <w:marBottom w:val="0"/>
      <w:divBdr>
        <w:top w:val="none" w:sz="0" w:space="0" w:color="auto"/>
        <w:left w:val="none" w:sz="0" w:space="0" w:color="auto"/>
        <w:bottom w:val="none" w:sz="0" w:space="0" w:color="auto"/>
        <w:right w:val="none" w:sz="0" w:space="0" w:color="auto"/>
      </w:divBdr>
    </w:div>
    <w:div w:id="152962112">
      <w:bodyDiv w:val="1"/>
      <w:marLeft w:val="0"/>
      <w:marRight w:val="0"/>
      <w:marTop w:val="0"/>
      <w:marBottom w:val="0"/>
      <w:divBdr>
        <w:top w:val="none" w:sz="0" w:space="0" w:color="auto"/>
        <w:left w:val="none" w:sz="0" w:space="0" w:color="auto"/>
        <w:bottom w:val="none" w:sz="0" w:space="0" w:color="auto"/>
        <w:right w:val="none" w:sz="0" w:space="0" w:color="auto"/>
      </w:divBdr>
    </w:div>
    <w:div w:id="165217331">
      <w:bodyDiv w:val="1"/>
      <w:marLeft w:val="0"/>
      <w:marRight w:val="0"/>
      <w:marTop w:val="0"/>
      <w:marBottom w:val="0"/>
      <w:divBdr>
        <w:top w:val="none" w:sz="0" w:space="0" w:color="auto"/>
        <w:left w:val="none" w:sz="0" w:space="0" w:color="auto"/>
        <w:bottom w:val="none" w:sz="0" w:space="0" w:color="auto"/>
        <w:right w:val="none" w:sz="0" w:space="0" w:color="auto"/>
      </w:divBdr>
    </w:div>
    <w:div w:id="174653491">
      <w:bodyDiv w:val="1"/>
      <w:marLeft w:val="0"/>
      <w:marRight w:val="0"/>
      <w:marTop w:val="0"/>
      <w:marBottom w:val="0"/>
      <w:divBdr>
        <w:top w:val="none" w:sz="0" w:space="0" w:color="auto"/>
        <w:left w:val="none" w:sz="0" w:space="0" w:color="auto"/>
        <w:bottom w:val="none" w:sz="0" w:space="0" w:color="auto"/>
        <w:right w:val="none" w:sz="0" w:space="0" w:color="auto"/>
      </w:divBdr>
    </w:div>
    <w:div w:id="182592011">
      <w:bodyDiv w:val="1"/>
      <w:marLeft w:val="0"/>
      <w:marRight w:val="0"/>
      <w:marTop w:val="0"/>
      <w:marBottom w:val="0"/>
      <w:divBdr>
        <w:top w:val="none" w:sz="0" w:space="0" w:color="auto"/>
        <w:left w:val="none" w:sz="0" w:space="0" w:color="auto"/>
        <w:bottom w:val="none" w:sz="0" w:space="0" w:color="auto"/>
        <w:right w:val="none" w:sz="0" w:space="0" w:color="auto"/>
      </w:divBdr>
    </w:div>
    <w:div w:id="184639031">
      <w:bodyDiv w:val="1"/>
      <w:marLeft w:val="0"/>
      <w:marRight w:val="0"/>
      <w:marTop w:val="0"/>
      <w:marBottom w:val="0"/>
      <w:divBdr>
        <w:top w:val="none" w:sz="0" w:space="0" w:color="auto"/>
        <w:left w:val="none" w:sz="0" w:space="0" w:color="auto"/>
        <w:bottom w:val="none" w:sz="0" w:space="0" w:color="auto"/>
        <w:right w:val="none" w:sz="0" w:space="0" w:color="auto"/>
      </w:divBdr>
    </w:div>
    <w:div w:id="211769854">
      <w:bodyDiv w:val="1"/>
      <w:marLeft w:val="0"/>
      <w:marRight w:val="0"/>
      <w:marTop w:val="0"/>
      <w:marBottom w:val="0"/>
      <w:divBdr>
        <w:top w:val="none" w:sz="0" w:space="0" w:color="auto"/>
        <w:left w:val="none" w:sz="0" w:space="0" w:color="auto"/>
        <w:bottom w:val="none" w:sz="0" w:space="0" w:color="auto"/>
        <w:right w:val="none" w:sz="0" w:space="0" w:color="auto"/>
      </w:divBdr>
    </w:div>
    <w:div w:id="247887660">
      <w:bodyDiv w:val="1"/>
      <w:marLeft w:val="0"/>
      <w:marRight w:val="0"/>
      <w:marTop w:val="0"/>
      <w:marBottom w:val="0"/>
      <w:divBdr>
        <w:top w:val="none" w:sz="0" w:space="0" w:color="auto"/>
        <w:left w:val="none" w:sz="0" w:space="0" w:color="auto"/>
        <w:bottom w:val="none" w:sz="0" w:space="0" w:color="auto"/>
        <w:right w:val="none" w:sz="0" w:space="0" w:color="auto"/>
      </w:divBdr>
    </w:div>
    <w:div w:id="264775637">
      <w:bodyDiv w:val="1"/>
      <w:marLeft w:val="0"/>
      <w:marRight w:val="0"/>
      <w:marTop w:val="0"/>
      <w:marBottom w:val="0"/>
      <w:divBdr>
        <w:top w:val="none" w:sz="0" w:space="0" w:color="auto"/>
        <w:left w:val="none" w:sz="0" w:space="0" w:color="auto"/>
        <w:bottom w:val="none" w:sz="0" w:space="0" w:color="auto"/>
        <w:right w:val="none" w:sz="0" w:space="0" w:color="auto"/>
      </w:divBdr>
    </w:div>
    <w:div w:id="285232467">
      <w:bodyDiv w:val="1"/>
      <w:marLeft w:val="0"/>
      <w:marRight w:val="0"/>
      <w:marTop w:val="0"/>
      <w:marBottom w:val="0"/>
      <w:divBdr>
        <w:top w:val="none" w:sz="0" w:space="0" w:color="auto"/>
        <w:left w:val="none" w:sz="0" w:space="0" w:color="auto"/>
        <w:bottom w:val="none" w:sz="0" w:space="0" w:color="auto"/>
        <w:right w:val="none" w:sz="0" w:space="0" w:color="auto"/>
      </w:divBdr>
    </w:div>
    <w:div w:id="287200630">
      <w:bodyDiv w:val="1"/>
      <w:marLeft w:val="0"/>
      <w:marRight w:val="0"/>
      <w:marTop w:val="0"/>
      <w:marBottom w:val="0"/>
      <w:divBdr>
        <w:top w:val="none" w:sz="0" w:space="0" w:color="auto"/>
        <w:left w:val="none" w:sz="0" w:space="0" w:color="auto"/>
        <w:bottom w:val="none" w:sz="0" w:space="0" w:color="auto"/>
        <w:right w:val="none" w:sz="0" w:space="0" w:color="auto"/>
      </w:divBdr>
    </w:div>
    <w:div w:id="325090780">
      <w:bodyDiv w:val="1"/>
      <w:marLeft w:val="0"/>
      <w:marRight w:val="0"/>
      <w:marTop w:val="0"/>
      <w:marBottom w:val="0"/>
      <w:divBdr>
        <w:top w:val="none" w:sz="0" w:space="0" w:color="auto"/>
        <w:left w:val="none" w:sz="0" w:space="0" w:color="auto"/>
        <w:bottom w:val="none" w:sz="0" w:space="0" w:color="auto"/>
        <w:right w:val="none" w:sz="0" w:space="0" w:color="auto"/>
      </w:divBdr>
    </w:div>
    <w:div w:id="327178123">
      <w:bodyDiv w:val="1"/>
      <w:marLeft w:val="0"/>
      <w:marRight w:val="0"/>
      <w:marTop w:val="0"/>
      <w:marBottom w:val="0"/>
      <w:divBdr>
        <w:top w:val="none" w:sz="0" w:space="0" w:color="auto"/>
        <w:left w:val="none" w:sz="0" w:space="0" w:color="auto"/>
        <w:bottom w:val="none" w:sz="0" w:space="0" w:color="auto"/>
        <w:right w:val="none" w:sz="0" w:space="0" w:color="auto"/>
      </w:divBdr>
    </w:div>
    <w:div w:id="339238689">
      <w:bodyDiv w:val="1"/>
      <w:marLeft w:val="0"/>
      <w:marRight w:val="0"/>
      <w:marTop w:val="0"/>
      <w:marBottom w:val="0"/>
      <w:divBdr>
        <w:top w:val="none" w:sz="0" w:space="0" w:color="auto"/>
        <w:left w:val="none" w:sz="0" w:space="0" w:color="auto"/>
        <w:bottom w:val="none" w:sz="0" w:space="0" w:color="auto"/>
        <w:right w:val="none" w:sz="0" w:space="0" w:color="auto"/>
      </w:divBdr>
    </w:div>
    <w:div w:id="346755469">
      <w:bodyDiv w:val="1"/>
      <w:marLeft w:val="0"/>
      <w:marRight w:val="0"/>
      <w:marTop w:val="0"/>
      <w:marBottom w:val="0"/>
      <w:divBdr>
        <w:top w:val="none" w:sz="0" w:space="0" w:color="auto"/>
        <w:left w:val="none" w:sz="0" w:space="0" w:color="auto"/>
        <w:bottom w:val="none" w:sz="0" w:space="0" w:color="auto"/>
        <w:right w:val="none" w:sz="0" w:space="0" w:color="auto"/>
      </w:divBdr>
    </w:div>
    <w:div w:id="349337076">
      <w:bodyDiv w:val="1"/>
      <w:marLeft w:val="0"/>
      <w:marRight w:val="0"/>
      <w:marTop w:val="0"/>
      <w:marBottom w:val="0"/>
      <w:divBdr>
        <w:top w:val="none" w:sz="0" w:space="0" w:color="auto"/>
        <w:left w:val="none" w:sz="0" w:space="0" w:color="auto"/>
        <w:bottom w:val="none" w:sz="0" w:space="0" w:color="auto"/>
        <w:right w:val="none" w:sz="0" w:space="0" w:color="auto"/>
      </w:divBdr>
    </w:div>
    <w:div w:id="363990369">
      <w:bodyDiv w:val="1"/>
      <w:marLeft w:val="0"/>
      <w:marRight w:val="0"/>
      <w:marTop w:val="0"/>
      <w:marBottom w:val="0"/>
      <w:divBdr>
        <w:top w:val="none" w:sz="0" w:space="0" w:color="auto"/>
        <w:left w:val="none" w:sz="0" w:space="0" w:color="auto"/>
        <w:bottom w:val="none" w:sz="0" w:space="0" w:color="auto"/>
        <w:right w:val="none" w:sz="0" w:space="0" w:color="auto"/>
      </w:divBdr>
    </w:div>
    <w:div w:id="367220397">
      <w:bodyDiv w:val="1"/>
      <w:marLeft w:val="0"/>
      <w:marRight w:val="0"/>
      <w:marTop w:val="0"/>
      <w:marBottom w:val="0"/>
      <w:divBdr>
        <w:top w:val="none" w:sz="0" w:space="0" w:color="auto"/>
        <w:left w:val="none" w:sz="0" w:space="0" w:color="auto"/>
        <w:bottom w:val="none" w:sz="0" w:space="0" w:color="auto"/>
        <w:right w:val="none" w:sz="0" w:space="0" w:color="auto"/>
      </w:divBdr>
    </w:div>
    <w:div w:id="404574962">
      <w:bodyDiv w:val="1"/>
      <w:marLeft w:val="0"/>
      <w:marRight w:val="0"/>
      <w:marTop w:val="0"/>
      <w:marBottom w:val="0"/>
      <w:divBdr>
        <w:top w:val="none" w:sz="0" w:space="0" w:color="auto"/>
        <w:left w:val="none" w:sz="0" w:space="0" w:color="auto"/>
        <w:bottom w:val="none" w:sz="0" w:space="0" w:color="auto"/>
        <w:right w:val="none" w:sz="0" w:space="0" w:color="auto"/>
      </w:divBdr>
    </w:div>
    <w:div w:id="462233841">
      <w:bodyDiv w:val="1"/>
      <w:marLeft w:val="0"/>
      <w:marRight w:val="0"/>
      <w:marTop w:val="0"/>
      <w:marBottom w:val="0"/>
      <w:divBdr>
        <w:top w:val="none" w:sz="0" w:space="0" w:color="auto"/>
        <w:left w:val="none" w:sz="0" w:space="0" w:color="auto"/>
        <w:bottom w:val="none" w:sz="0" w:space="0" w:color="auto"/>
        <w:right w:val="none" w:sz="0" w:space="0" w:color="auto"/>
      </w:divBdr>
    </w:div>
    <w:div w:id="472793926">
      <w:bodyDiv w:val="1"/>
      <w:marLeft w:val="0"/>
      <w:marRight w:val="0"/>
      <w:marTop w:val="0"/>
      <w:marBottom w:val="0"/>
      <w:divBdr>
        <w:top w:val="none" w:sz="0" w:space="0" w:color="auto"/>
        <w:left w:val="none" w:sz="0" w:space="0" w:color="auto"/>
        <w:bottom w:val="none" w:sz="0" w:space="0" w:color="auto"/>
        <w:right w:val="none" w:sz="0" w:space="0" w:color="auto"/>
      </w:divBdr>
    </w:div>
    <w:div w:id="479201670">
      <w:bodyDiv w:val="1"/>
      <w:marLeft w:val="0"/>
      <w:marRight w:val="0"/>
      <w:marTop w:val="0"/>
      <w:marBottom w:val="0"/>
      <w:divBdr>
        <w:top w:val="none" w:sz="0" w:space="0" w:color="auto"/>
        <w:left w:val="none" w:sz="0" w:space="0" w:color="auto"/>
        <w:bottom w:val="none" w:sz="0" w:space="0" w:color="auto"/>
        <w:right w:val="none" w:sz="0" w:space="0" w:color="auto"/>
      </w:divBdr>
    </w:div>
    <w:div w:id="526213794">
      <w:bodyDiv w:val="1"/>
      <w:marLeft w:val="0"/>
      <w:marRight w:val="0"/>
      <w:marTop w:val="0"/>
      <w:marBottom w:val="0"/>
      <w:divBdr>
        <w:top w:val="none" w:sz="0" w:space="0" w:color="auto"/>
        <w:left w:val="none" w:sz="0" w:space="0" w:color="auto"/>
        <w:bottom w:val="none" w:sz="0" w:space="0" w:color="auto"/>
        <w:right w:val="none" w:sz="0" w:space="0" w:color="auto"/>
      </w:divBdr>
    </w:div>
    <w:div w:id="540213918">
      <w:bodyDiv w:val="1"/>
      <w:marLeft w:val="0"/>
      <w:marRight w:val="0"/>
      <w:marTop w:val="0"/>
      <w:marBottom w:val="0"/>
      <w:divBdr>
        <w:top w:val="none" w:sz="0" w:space="0" w:color="auto"/>
        <w:left w:val="none" w:sz="0" w:space="0" w:color="auto"/>
        <w:bottom w:val="none" w:sz="0" w:space="0" w:color="auto"/>
        <w:right w:val="none" w:sz="0" w:space="0" w:color="auto"/>
      </w:divBdr>
    </w:div>
    <w:div w:id="578254537">
      <w:bodyDiv w:val="1"/>
      <w:marLeft w:val="0"/>
      <w:marRight w:val="0"/>
      <w:marTop w:val="0"/>
      <w:marBottom w:val="0"/>
      <w:divBdr>
        <w:top w:val="none" w:sz="0" w:space="0" w:color="auto"/>
        <w:left w:val="none" w:sz="0" w:space="0" w:color="auto"/>
        <w:bottom w:val="none" w:sz="0" w:space="0" w:color="auto"/>
        <w:right w:val="none" w:sz="0" w:space="0" w:color="auto"/>
      </w:divBdr>
    </w:div>
    <w:div w:id="587734155">
      <w:bodyDiv w:val="1"/>
      <w:marLeft w:val="0"/>
      <w:marRight w:val="0"/>
      <w:marTop w:val="0"/>
      <w:marBottom w:val="0"/>
      <w:divBdr>
        <w:top w:val="none" w:sz="0" w:space="0" w:color="auto"/>
        <w:left w:val="none" w:sz="0" w:space="0" w:color="auto"/>
        <w:bottom w:val="none" w:sz="0" w:space="0" w:color="auto"/>
        <w:right w:val="none" w:sz="0" w:space="0" w:color="auto"/>
      </w:divBdr>
      <w:divsChild>
        <w:div w:id="1490904632">
          <w:marLeft w:val="0"/>
          <w:marRight w:val="0"/>
          <w:marTop w:val="0"/>
          <w:marBottom w:val="0"/>
          <w:divBdr>
            <w:top w:val="none" w:sz="0" w:space="0" w:color="auto"/>
            <w:left w:val="none" w:sz="0" w:space="0" w:color="auto"/>
            <w:bottom w:val="none" w:sz="0" w:space="0" w:color="auto"/>
            <w:right w:val="none" w:sz="0" w:space="0" w:color="auto"/>
          </w:divBdr>
        </w:div>
      </w:divsChild>
    </w:div>
    <w:div w:id="625965889">
      <w:bodyDiv w:val="1"/>
      <w:marLeft w:val="0"/>
      <w:marRight w:val="0"/>
      <w:marTop w:val="0"/>
      <w:marBottom w:val="0"/>
      <w:divBdr>
        <w:top w:val="none" w:sz="0" w:space="0" w:color="auto"/>
        <w:left w:val="none" w:sz="0" w:space="0" w:color="auto"/>
        <w:bottom w:val="none" w:sz="0" w:space="0" w:color="auto"/>
        <w:right w:val="none" w:sz="0" w:space="0" w:color="auto"/>
      </w:divBdr>
    </w:div>
    <w:div w:id="630939079">
      <w:bodyDiv w:val="1"/>
      <w:marLeft w:val="0"/>
      <w:marRight w:val="0"/>
      <w:marTop w:val="0"/>
      <w:marBottom w:val="0"/>
      <w:divBdr>
        <w:top w:val="none" w:sz="0" w:space="0" w:color="auto"/>
        <w:left w:val="none" w:sz="0" w:space="0" w:color="auto"/>
        <w:bottom w:val="none" w:sz="0" w:space="0" w:color="auto"/>
        <w:right w:val="none" w:sz="0" w:space="0" w:color="auto"/>
      </w:divBdr>
    </w:div>
    <w:div w:id="637490162">
      <w:bodyDiv w:val="1"/>
      <w:marLeft w:val="0"/>
      <w:marRight w:val="0"/>
      <w:marTop w:val="0"/>
      <w:marBottom w:val="0"/>
      <w:divBdr>
        <w:top w:val="none" w:sz="0" w:space="0" w:color="auto"/>
        <w:left w:val="none" w:sz="0" w:space="0" w:color="auto"/>
        <w:bottom w:val="none" w:sz="0" w:space="0" w:color="auto"/>
        <w:right w:val="none" w:sz="0" w:space="0" w:color="auto"/>
      </w:divBdr>
    </w:div>
    <w:div w:id="641614508">
      <w:bodyDiv w:val="1"/>
      <w:marLeft w:val="0"/>
      <w:marRight w:val="0"/>
      <w:marTop w:val="0"/>
      <w:marBottom w:val="0"/>
      <w:divBdr>
        <w:top w:val="none" w:sz="0" w:space="0" w:color="auto"/>
        <w:left w:val="none" w:sz="0" w:space="0" w:color="auto"/>
        <w:bottom w:val="none" w:sz="0" w:space="0" w:color="auto"/>
        <w:right w:val="none" w:sz="0" w:space="0" w:color="auto"/>
      </w:divBdr>
    </w:div>
    <w:div w:id="641891703">
      <w:bodyDiv w:val="1"/>
      <w:marLeft w:val="0"/>
      <w:marRight w:val="0"/>
      <w:marTop w:val="0"/>
      <w:marBottom w:val="0"/>
      <w:divBdr>
        <w:top w:val="none" w:sz="0" w:space="0" w:color="auto"/>
        <w:left w:val="none" w:sz="0" w:space="0" w:color="auto"/>
        <w:bottom w:val="none" w:sz="0" w:space="0" w:color="auto"/>
        <w:right w:val="none" w:sz="0" w:space="0" w:color="auto"/>
      </w:divBdr>
    </w:div>
    <w:div w:id="652946709">
      <w:bodyDiv w:val="1"/>
      <w:marLeft w:val="0"/>
      <w:marRight w:val="0"/>
      <w:marTop w:val="0"/>
      <w:marBottom w:val="0"/>
      <w:divBdr>
        <w:top w:val="none" w:sz="0" w:space="0" w:color="auto"/>
        <w:left w:val="none" w:sz="0" w:space="0" w:color="auto"/>
        <w:bottom w:val="none" w:sz="0" w:space="0" w:color="auto"/>
        <w:right w:val="none" w:sz="0" w:space="0" w:color="auto"/>
      </w:divBdr>
    </w:div>
    <w:div w:id="655230234">
      <w:bodyDiv w:val="1"/>
      <w:marLeft w:val="0"/>
      <w:marRight w:val="0"/>
      <w:marTop w:val="0"/>
      <w:marBottom w:val="0"/>
      <w:divBdr>
        <w:top w:val="none" w:sz="0" w:space="0" w:color="auto"/>
        <w:left w:val="none" w:sz="0" w:space="0" w:color="auto"/>
        <w:bottom w:val="none" w:sz="0" w:space="0" w:color="auto"/>
        <w:right w:val="none" w:sz="0" w:space="0" w:color="auto"/>
      </w:divBdr>
    </w:div>
    <w:div w:id="666790609">
      <w:bodyDiv w:val="1"/>
      <w:marLeft w:val="0"/>
      <w:marRight w:val="0"/>
      <w:marTop w:val="0"/>
      <w:marBottom w:val="0"/>
      <w:divBdr>
        <w:top w:val="none" w:sz="0" w:space="0" w:color="auto"/>
        <w:left w:val="none" w:sz="0" w:space="0" w:color="auto"/>
        <w:bottom w:val="none" w:sz="0" w:space="0" w:color="auto"/>
        <w:right w:val="none" w:sz="0" w:space="0" w:color="auto"/>
      </w:divBdr>
    </w:div>
    <w:div w:id="690841767">
      <w:bodyDiv w:val="1"/>
      <w:marLeft w:val="0"/>
      <w:marRight w:val="0"/>
      <w:marTop w:val="0"/>
      <w:marBottom w:val="0"/>
      <w:divBdr>
        <w:top w:val="none" w:sz="0" w:space="0" w:color="auto"/>
        <w:left w:val="none" w:sz="0" w:space="0" w:color="auto"/>
        <w:bottom w:val="none" w:sz="0" w:space="0" w:color="auto"/>
        <w:right w:val="none" w:sz="0" w:space="0" w:color="auto"/>
      </w:divBdr>
    </w:div>
    <w:div w:id="705571084">
      <w:bodyDiv w:val="1"/>
      <w:marLeft w:val="0"/>
      <w:marRight w:val="0"/>
      <w:marTop w:val="0"/>
      <w:marBottom w:val="0"/>
      <w:divBdr>
        <w:top w:val="none" w:sz="0" w:space="0" w:color="auto"/>
        <w:left w:val="none" w:sz="0" w:space="0" w:color="auto"/>
        <w:bottom w:val="none" w:sz="0" w:space="0" w:color="auto"/>
        <w:right w:val="none" w:sz="0" w:space="0" w:color="auto"/>
      </w:divBdr>
    </w:div>
    <w:div w:id="722867372">
      <w:bodyDiv w:val="1"/>
      <w:marLeft w:val="0"/>
      <w:marRight w:val="0"/>
      <w:marTop w:val="0"/>
      <w:marBottom w:val="0"/>
      <w:divBdr>
        <w:top w:val="none" w:sz="0" w:space="0" w:color="auto"/>
        <w:left w:val="none" w:sz="0" w:space="0" w:color="auto"/>
        <w:bottom w:val="none" w:sz="0" w:space="0" w:color="auto"/>
        <w:right w:val="none" w:sz="0" w:space="0" w:color="auto"/>
      </w:divBdr>
    </w:div>
    <w:div w:id="728920515">
      <w:bodyDiv w:val="1"/>
      <w:marLeft w:val="0"/>
      <w:marRight w:val="0"/>
      <w:marTop w:val="0"/>
      <w:marBottom w:val="0"/>
      <w:divBdr>
        <w:top w:val="none" w:sz="0" w:space="0" w:color="auto"/>
        <w:left w:val="none" w:sz="0" w:space="0" w:color="auto"/>
        <w:bottom w:val="none" w:sz="0" w:space="0" w:color="auto"/>
        <w:right w:val="none" w:sz="0" w:space="0" w:color="auto"/>
      </w:divBdr>
    </w:div>
    <w:div w:id="742340179">
      <w:bodyDiv w:val="1"/>
      <w:marLeft w:val="0"/>
      <w:marRight w:val="0"/>
      <w:marTop w:val="0"/>
      <w:marBottom w:val="0"/>
      <w:divBdr>
        <w:top w:val="none" w:sz="0" w:space="0" w:color="auto"/>
        <w:left w:val="none" w:sz="0" w:space="0" w:color="auto"/>
        <w:bottom w:val="none" w:sz="0" w:space="0" w:color="auto"/>
        <w:right w:val="none" w:sz="0" w:space="0" w:color="auto"/>
      </w:divBdr>
    </w:div>
    <w:div w:id="748576599">
      <w:bodyDiv w:val="1"/>
      <w:marLeft w:val="0"/>
      <w:marRight w:val="0"/>
      <w:marTop w:val="0"/>
      <w:marBottom w:val="0"/>
      <w:divBdr>
        <w:top w:val="none" w:sz="0" w:space="0" w:color="auto"/>
        <w:left w:val="none" w:sz="0" w:space="0" w:color="auto"/>
        <w:bottom w:val="none" w:sz="0" w:space="0" w:color="auto"/>
        <w:right w:val="none" w:sz="0" w:space="0" w:color="auto"/>
      </w:divBdr>
    </w:div>
    <w:div w:id="765537439">
      <w:bodyDiv w:val="1"/>
      <w:marLeft w:val="0"/>
      <w:marRight w:val="0"/>
      <w:marTop w:val="0"/>
      <w:marBottom w:val="0"/>
      <w:divBdr>
        <w:top w:val="none" w:sz="0" w:space="0" w:color="auto"/>
        <w:left w:val="none" w:sz="0" w:space="0" w:color="auto"/>
        <w:bottom w:val="none" w:sz="0" w:space="0" w:color="auto"/>
        <w:right w:val="none" w:sz="0" w:space="0" w:color="auto"/>
      </w:divBdr>
    </w:div>
    <w:div w:id="785467379">
      <w:bodyDiv w:val="1"/>
      <w:marLeft w:val="0"/>
      <w:marRight w:val="0"/>
      <w:marTop w:val="0"/>
      <w:marBottom w:val="0"/>
      <w:divBdr>
        <w:top w:val="none" w:sz="0" w:space="0" w:color="auto"/>
        <w:left w:val="none" w:sz="0" w:space="0" w:color="auto"/>
        <w:bottom w:val="none" w:sz="0" w:space="0" w:color="auto"/>
        <w:right w:val="none" w:sz="0" w:space="0" w:color="auto"/>
      </w:divBdr>
    </w:div>
    <w:div w:id="808789357">
      <w:bodyDiv w:val="1"/>
      <w:marLeft w:val="0"/>
      <w:marRight w:val="0"/>
      <w:marTop w:val="0"/>
      <w:marBottom w:val="0"/>
      <w:divBdr>
        <w:top w:val="none" w:sz="0" w:space="0" w:color="auto"/>
        <w:left w:val="none" w:sz="0" w:space="0" w:color="auto"/>
        <w:bottom w:val="none" w:sz="0" w:space="0" w:color="auto"/>
        <w:right w:val="none" w:sz="0" w:space="0" w:color="auto"/>
      </w:divBdr>
    </w:div>
    <w:div w:id="812216327">
      <w:bodyDiv w:val="1"/>
      <w:marLeft w:val="0"/>
      <w:marRight w:val="0"/>
      <w:marTop w:val="0"/>
      <w:marBottom w:val="0"/>
      <w:divBdr>
        <w:top w:val="none" w:sz="0" w:space="0" w:color="auto"/>
        <w:left w:val="none" w:sz="0" w:space="0" w:color="auto"/>
        <w:bottom w:val="none" w:sz="0" w:space="0" w:color="auto"/>
        <w:right w:val="none" w:sz="0" w:space="0" w:color="auto"/>
      </w:divBdr>
    </w:div>
    <w:div w:id="818151903">
      <w:bodyDiv w:val="1"/>
      <w:marLeft w:val="0"/>
      <w:marRight w:val="0"/>
      <w:marTop w:val="0"/>
      <w:marBottom w:val="0"/>
      <w:divBdr>
        <w:top w:val="none" w:sz="0" w:space="0" w:color="auto"/>
        <w:left w:val="none" w:sz="0" w:space="0" w:color="auto"/>
        <w:bottom w:val="none" w:sz="0" w:space="0" w:color="auto"/>
        <w:right w:val="none" w:sz="0" w:space="0" w:color="auto"/>
      </w:divBdr>
    </w:div>
    <w:div w:id="828593433">
      <w:bodyDiv w:val="1"/>
      <w:marLeft w:val="0"/>
      <w:marRight w:val="0"/>
      <w:marTop w:val="0"/>
      <w:marBottom w:val="0"/>
      <w:divBdr>
        <w:top w:val="none" w:sz="0" w:space="0" w:color="auto"/>
        <w:left w:val="none" w:sz="0" w:space="0" w:color="auto"/>
        <w:bottom w:val="none" w:sz="0" w:space="0" w:color="auto"/>
        <w:right w:val="none" w:sz="0" w:space="0" w:color="auto"/>
      </w:divBdr>
    </w:div>
    <w:div w:id="839810032">
      <w:bodyDiv w:val="1"/>
      <w:marLeft w:val="0"/>
      <w:marRight w:val="0"/>
      <w:marTop w:val="0"/>
      <w:marBottom w:val="0"/>
      <w:divBdr>
        <w:top w:val="none" w:sz="0" w:space="0" w:color="auto"/>
        <w:left w:val="none" w:sz="0" w:space="0" w:color="auto"/>
        <w:bottom w:val="none" w:sz="0" w:space="0" w:color="auto"/>
        <w:right w:val="none" w:sz="0" w:space="0" w:color="auto"/>
      </w:divBdr>
    </w:div>
    <w:div w:id="846596665">
      <w:bodyDiv w:val="1"/>
      <w:marLeft w:val="0"/>
      <w:marRight w:val="0"/>
      <w:marTop w:val="0"/>
      <w:marBottom w:val="0"/>
      <w:divBdr>
        <w:top w:val="none" w:sz="0" w:space="0" w:color="auto"/>
        <w:left w:val="none" w:sz="0" w:space="0" w:color="auto"/>
        <w:bottom w:val="none" w:sz="0" w:space="0" w:color="auto"/>
        <w:right w:val="none" w:sz="0" w:space="0" w:color="auto"/>
      </w:divBdr>
    </w:div>
    <w:div w:id="879897522">
      <w:bodyDiv w:val="1"/>
      <w:marLeft w:val="0"/>
      <w:marRight w:val="0"/>
      <w:marTop w:val="0"/>
      <w:marBottom w:val="0"/>
      <w:divBdr>
        <w:top w:val="none" w:sz="0" w:space="0" w:color="auto"/>
        <w:left w:val="none" w:sz="0" w:space="0" w:color="auto"/>
        <w:bottom w:val="none" w:sz="0" w:space="0" w:color="auto"/>
        <w:right w:val="none" w:sz="0" w:space="0" w:color="auto"/>
      </w:divBdr>
    </w:div>
    <w:div w:id="935094342">
      <w:bodyDiv w:val="1"/>
      <w:marLeft w:val="0"/>
      <w:marRight w:val="0"/>
      <w:marTop w:val="0"/>
      <w:marBottom w:val="0"/>
      <w:divBdr>
        <w:top w:val="none" w:sz="0" w:space="0" w:color="auto"/>
        <w:left w:val="none" w:sz="0" w:space="0" w:color="auto"/>
        <w:bottom w:val="none" w:sz="0" w:space="0" w:color="auto"/>
        <w:right w:val="none" w:sz="0" w:space="0" w:color="auto"/>
      </w:divBdr>
    </w:div>
    <w:div w:id="941836877">
      <w:bodyDiv w:val="1"/>
      <w:marLeft w:val="0"/>
      <w:marRight w:val="0"/>
      <w:marTop w:val="0"/>
      <w:marBottom w:val="0"/>
      <w:divBdr>
        <w:top w:val="none" w:sz="0" w:space="0" w:color="auto"/>
        <w:left w:val="none" w:sz="0" w:space="0" w:color="auto"/>
        <w:bottom w:val="none" w:sz="0" w:space="0" w:color="auto"/>
        <w:right w:val="none" w:sz="0" w:space="0" w:color="auto"/>
      </w:divBdr>
    </w:div>
    <w:div w:id="953050095">
      <w:bodyDiv w:val="1"/>
      <w:marLeft w:val="0"/>
      <w:marRight w:val="0"/>
      <w:marTop w:val="0"/>
      <w:marBottom w:val="0"/>
      <w:divBdr>
        <w:top w:val="none" w:sz="0" w:space="0" w:color="auto"/>
        <w:left w:val="none" w:sz="0" w:space="0" w:color="auto"/>
        <w:bottom w:val="none" w:sz="0" w:space="0" w:color="auto"/>
        <w:right w:val="none" w:sz="0" w:space="0" w:color="auto"/>
      </w:divBdr>
    </w:div>
    <w:div w:id="988707513">
      <w:bodyDiv w:val="1"/>
      <w:marLeft w:val="0"/>
      <w:marRight w:val="0"/>
      <w:marTop w:val="0"/>
      <w:marBottom w:val="0"/>
      <w:divBdr>
        <w:top w:val="none" w:sz="0" w:space="0" w:color="auto"/>
        <w:left w:val="none" w:sz="0" w:space="0" w:color="auto"/>
        <w:bottom w:val="none" w:sz="0" w:space="0" w:color="auto"/>
        <w:right w:val="none" w:sz="0" w:space="0" w:color="auto"/>
      </w:divBdr>
    </w:div>
    <w:div w:id="1007945721">
      <w:bodyDiv w:val="1"/>
      <w:marLeft w:val="0"/>
      <w:marRight w:val="0"/>
      <w:marTop w:val="0"/>
      <w:marBottom w:val="0"/>
      <w:divBdr>
        <w:top w:val="none" w:sz="0" w:space="0" w:color="auto"/>
        <w:left w:val="none" w:sz="0" w:space="0" w:color="auto"/>
        <w:bottom w:val="none" w:sz="0" w:space="0" w:color="auto"/>
        <w:right w:val="none" w:sz="0" w:space="0" w:color="auto"/>
      </w:divBdr>
    </w:div>
    <w:div w:id="1014957662">
      <w:bodyDiv w:val="1"/>
      <w:marLeft w:val="0"/>
      <w:marRight w:val="0"/>
      <w:marTop w:val="0"/>
      <w:marBottom w:val="0"/>
      <w:divBdr>
        <w:top w:val="none" w:sz="0" w:space="0" w:color="auto"/>
        <w:left w:val="none" w:sz="0" w:space="0" w:color="auto"/>
        <w:bottom w:val="none" w:sz="0" w:space="0" w:color="auto"/>
        <w:right w:val="none" w:sz="0" w:space="0" w:color="auto"/>
      </w:divBdr>
    </w:div>
    <w:div w:id="1022632065">
      <w:bodyDiv w:val="1"/>
      <w:marLeft w:val="0"/>
      <w:marRight w:val="0"/>
      <w:marTop w:val="0"/>
      <w:marBottom w:val="0"/>
      <w:divBdr>
        <w:top w:val="none" w:sz="0" w:space="0" w:color="auto"/>
        <w:left w:val="none" w:sz="0" w:space="0" w:color="auto"/>
        <w:bottom w:val="none" w:sz="0" w:space="0" w:color="auto"/>
        <w:right w:val="none" w:sz="0" w:space="0" w:color="auto"/>
      </w:divBdr>
    </w:div>
    <w:div w:id="1077628058">
      <w:bodyDiv w:val="1"/>
      <w:marLeft w:val="0"/>
      <w:marRight w:val="0"/>
      <w:marTop w:val="0"/>
      <w:marBottom w:val="0"/>
      <w:divBdr>
        <w:top w:val="none" w:sz="0" w:space="0" w:color="auto"/>
        <w:left w:val="none" w:sz="0" w:space="0" w:color="auto"/>
        <w:bottom w:val="none" w:sz="0" w:space="0" w:color="auto"/>
        <w:right w:val="none" w:sz="0" w:space="0" w:color="auto"/>
      </w:divBdr>
    </w:div>
    <w:div w:id="1078212580">
      <w:bodyDiv w:val="1"/>
      <w:marLeft w:val="0"/>
      <w:marRight w:val="0"/>
      <w:marTop w:val="0"/>
      <w:marBottom w:val="0"/>
      <w:divBdr>
        <w:top w:val="none" w:sz="0" w:space="0" w:color="auto"/>
        <w:left w:val="none" w:sz="0" w:space="0" w:color="auto"/>
        <w:bottom w:val="none" w:sz="0" w:space="0" w:color="auto"/>
        <w:right w:val="none" w:sz="0" w:space="0" w:color="auto"/>
      </w:divBdr>
    </w:div>
    <w:div w:id="1087845514">
      <w:bodyDiv w:val="1"/>
      <w:marLeft w:val="0"/>
      <w:marRight w:val="0"/>
      <w:marTop w:val="0"/>
      <w:marBottom w:val="0"/>
      <w:divBdr>
        <w:top w:val="none" w:sz="0" w:space="0" w:color="auto"/>
        <w:left w:val="none" w:sz="0" w:space="0" w:color="auto"/>
        <w:bottom w:val="none" w:sz="0" w:space="0" w:color="auto"/>
        <w:right w:val="none" w:sz="0" w:space="0" w:color="auto"/>
      </w:divBdr>
    </w:div>
    <w:div w:id="1090735552">
      <w:bodyDiv w:val="1"/>
      <w:marLeft w:val="0"/>
      <w:marRight w:val="0"/>
      <w:marTop w:val="0"/>
      <w:marBottom w:val="0"/>
      <w:divBdr>
        <w:top w:val="none" w:sz="0" w:space="0" w:color="auto"/>
        <w:left w:val="none" w:sz="0" w:space="0" w:color="auto"/>
        <w:bottom w:val="none" w:sz="0" w:space="0" w:color="auto"/>
        <w:right w:val="none" w:sz="0" w:space="0" w:color="auto"/>
      </w:divBdr>
    </w:div>
    <w:div w:id="1097557099">
      <w:bodyDiv w:val="1"/>
      <w:marLeft w:val="0"/>
      <w:marRight w:val="0"/>
      <w:marTop w:val="0"/>
      <w:marBottom w:val="0"/>
      <w:divBdr>
        <w:top w:val="none" w:sz="0" w:space="0" w:color="auto"/>
        <w:left w:val="none" w:sz="0" w:space="0" w:color="auto"/>
        <w:bottom w:val="none" w:sz="0" w:space="0" w:color="auto"/>
        <w:right w:val="none" w:sz="0" w:space="0" w:color="auto"/>
      </w:divBdr>
    </w:div>
    <w:div w:id="1099713051">
      <w:bodyDiv w:val="1"/>
      <w:marLeft w:val="0"/>
      <w:marRight w:val="0"/>
      <w:marTop w:val="0"/>
      <w:marBottom w:val="0"/>
      <w:divBdr>
        <w:top w:val="none" w:sz="0" w:space="0" w:color="auto"/>
        <w:left w:val="none" w:sz="0" w:space="0" w:color="auto"/>
        <w:bottom w:val="none" w:sz="0" w:space="0" w:color="auto"/>
        <w:right w:val="none" w:sz="0" w:space="0" w:color="auto"/>
      </w:divBdr>
    </w:div>
    <w:div w:id="1116827397">
      <w:bodyDiv w:val="1"/>
      <w:marLeft w:val="0"/>
      <w:marRight w:val="0"/>
      <w:marTop w:val="0"/>
      <w:marBottom w:val="0"/>
      <w:divBdr>
        <w:top w:val="none" w:sz="0" w:space="0" w:color="auto"/>
        <w:left w:val="none" w:sz="0" w:space="0" w:color="auto"/>
        <w:bottom w:val="none" w:sz="0" w:space="0" w:color="auto"/>
        <w:right w:val="none" w:sz="0" w:space="0" w:color="auto"/>
      </w:divBdr>
    </w:div>
    <w:div w:id="1143035770">
      <w:bodyDiv w:val="1"/>
      <w:marLeft w:val="0"/>
      <w:marRight w:val="0"/>
      <w:marTop w:val="0"/>
      <w:marBottom w:val="0"/>
      <w:divBdr>
        <w:top w:val="none" w:sz="0" w:space="0" w:color="auto"/>
        <w:left w:val="none" w:sz="0" w:space="0" w:color="auto"/>
        <w:bottom w:val="none" w:sz="0" w:space="0" w:color="auto"/>
        <w:right w:val="none" w:sz="0" w:space="0" w:color="auto"/>
      </w:divBdr>
    </w:div>
    <w:div w:id="1152596096">
      <w:bodyDiv w:val="1"/>
      <w:marLeft w:val="0"/>
      <w:marRight w:val="0"/>
      <w:marTop w:val="0"/>
      <w:marBottom w:val="0"/>
      <w:divBdr>
        <w:top w:val="none" w:sz="0" w:space="0" w:color="auto"/>
        <w:left w:val="none" w:sz="0" w:space="0" w:color="auto"/>
        <w:bottom w:val="none" w:sz="0" w:space="0" w:color="auto"/>
        <w:right w:val="none" w:sz="0" w:space="0" w:color="auto"/>
      </w:divBdr>
    </w:div>
    <w:div w:id="1157501804">
      <w:bodyDiv w:val="1"/>
      <w:marLeft w:val="0"/>
      <w:marRight w:val="0"/>
      <w:marTop w:val="0"/>
      <w:marBottom w:val="0"/>
      <w:divBdr>
        <w:top w:val="none" w:sz="0" w:space="0" w:color="auto"/>
        <w:left w:val="none" w:sz="0" w:space="0" w:color="auto"/>
        <w:bottom w:val="none" w:sz="0" w:space="0" w:color="auto"/>
        <w:right w:val="none" w:sz="0" w:space="0" w:color="auto"/>
      </w:divBdr>
    </w:div>
    <w:div w:id="1157764964">
      <w:bodyDiv w:val="1"/>
      <w:marLeft w:val="0"/>
      <w:marRight w:val="0"/>
      <w:marTop w:val="0"/>
      <w:marBottom w:val="0"/>
      <w:divBdr>
        <w:top w:val="none" w:sz="0" w:space="0" w:color="auto"/>
        <w:left w:val="none" w:sz="0" w:space="0" w:color="auto"/>
        <w:bottom w:val="none" w:sz="0" w:space="0" w:color="auto"/>
        <w:right w:val="none" w:sz="0" w:space="0" w:color="auto"/>
      </w:divBdr>
    </w:div>
    <w:div w:id="1169515928">
      <w:bodyDiv w:val="1"/>
      <w:marLeft w:val="0"/>
      <w:marRight w:val="0"/>
      <w:marTop w:val="0"/>
      <w:marBottom w:val="0"/>
      <w:divBdr>
        <w:top w:val="none" w:sz="0" w:space="0" w:color="auto"/>
        <w:left w:val="none" w:sz="0" w:space="0" w:color="auto"/>
        <w:bottom w:val="none" w:sz="0" w:space="0" w:color="auto"/>
        <w:right w:val="none" w:sz="0" w:space="0" w:color="auto"/>
      </w:divBdr>
    </w:div>
    <w:div w:id="1210992663">
      <w:bodyDiv w:val="1"/>
      <w:marLeft w:val="0"/>
      <w:marRight w:val="0"/>
      <w:marTop w:val="0"/>
      <w:marBottom w:val="0"/>
      <w:divBdr>
        <w:top w:val="none" w:sz="0" w:space="0" w:color="auto"/>
        <w:left w:val="none" w:sz="0" w:space="0" w:color="auto"/>
        <w:bottom w:val="none" w:sz="0" w:space="0" w:color="auto"/>
        <w:right w:val="none" w:sz="0" w:space="0" w:color="auto"/>
      </w:divBdr>
    </w:div>
    <w:div w:id="1245796549">
      <w:bodyDiv w:val="1"/>
      <w:marLeft w:val="0"/>
      <w:marRight w:val="0"/>
      <w:marTop w:val="0"/>
      <w:marBottom w:val="0"/>
      <w:divBdr>
        <w:top w:val="none" w:sz="0" w:space="0" w:color="auto"/>
        <w:left w:val="none" w:sz="0" w:space="0" w:color="auto"/>
        <w:bottom w:val="none" w:sz="0" w:space="0" w:color="auto"/>
        <w:right w:val="none" w:sz="0" w:space="0" w:color="auto"/>
      </w:divBdr>
    </w:div>
    <w:div w:id="1253784156">
      <w:bodyDiv w:val="1"/>
      <w:marLeft w:val="0"/>
      <w:marRight w:val="0"/>
      <w:marTop w:val="0"/>
      <w:marBottom w:val="0"/>
      <w:divBdr>
        <w:top w:val="none" w:sz="0" w:space="0" w:color="auto"/>
        <w:left w:val="none" w:sz="0" w:space="0" w:color="auto"/>
        <w:bottom w:val="none" w:sz="0" w:space="0" w:color="auto"/>
        <w:right w:val="none" w:sz="0" w:space="0" w:color="auto"/>
      </w:divBdr>
    </w:div>
    <w:div w:id="1303004887">
      <w:bodyDiv w:val="1"/>
      <w:marLeft w:val="0"/>
      <w:marRight w:val="0"/>
      <w:marTop w:val="0"/>
      <w:marBottom w:val="0"/>
      <w:divBdr>
        <w:top w:val="none" w:sz="0" w:space="0" w:color="auto"/>
        <w:left w:val="none" w:sz="0" w:space="0" w:color="auto"/>
        <w:bottom w:val="none" w:sz="0" w:space="0" w:color="auto"/>
        <w:right w:val="none" w:sz="0" w:space="0" w:color="auto"/>
      </w:divBdr>
    </w:div>
    <w:div w:id="1316495001">
      <w:bodyDiv w:val="1"/>
      <w:marLeft w:val="0"/>
      <w:marRight w:val="0"/>
      <w:marTop w:val="0"/>
      <w:marBottom w:val="0"/>
      <w:divBdr>
        <w:top w:val="none" w:sz="0" w:space="0" w:color="auto"/>
        <w:left w:val="none" w:sz="0" w:space="0" w:color="auto"/>
        <w:bottom w:val="none" w:sz="0" w:space="0" w:color="auto"/>
        <w:right w:val="none" w:sz="0" w:space="0" w:color="auto"/>
      </w:divBdr>
    </w:div>
    <w:div w:id="1321232120">
      <w:bodyDiv w:val="1"/>
      <w:marLeft w:val="0"/>
      <w:marRight w:val="0"/>
      <w:marTop w:val="0"/>
      <w:marBottom w:val="0"/>
      <w:divBdr>
        <w:top w:val="none" w:sz="0" w:space="0" w:color="auto"/>
        <w:left w:val="none" w:sz="0" w:space="0" w:color="auto"/>
        <w:bottom w:val="none" w:sz="0" w:space="0" w:color="auto"/>
        <w:right w:val="none" w:sz="0" w:space="0" w:color="auto"/>
      </w:divBdr>
    </w:div>
    <w:div w:id="1327514601">
      <w:bodyDiv w:val="1"/>
      <w:marLeft w:val="0"/>
      <w:marRight w:val="0"/>
      <w:marTop w:val="0"/>
      <w:marBottom w:val="0"/>
      <w:divBdr>
        <w:top w:val="none" w:sz="0" w:space="0" w:color="auto"/>
        <w:left w:val="none" w:sz="0" w:space="0" w:color="auto"/>
        <w:bottom w:val="none" w:sz="0" w:space="0" w:color="auto"/>
        <w:right w:val="none" w:sz="0" w:space="0" w:color="auto"/>
      </w:divBdr>
    </w:div>
    <w:div w:id="1338581946">
      <w:bodyDiv w:val="1"/>
      <w:marLeft w:val="0"/>
      <w:marRight w:val="0"/>
      <w:marTop w:val="0"/>
      <w:marBottom w:val="0"/>
      <w:divBdr>
        <w:top w:val="none" w:sz="0" w:space="0" w:color="auto"/>
        <w:left w:val="none" w:sz="0" w:space="0" w:color="auto"/>
        <w:bottom w:val="none" w:sz="0" w:space="0" w:color="auto"/>
        <w:right w:val="none" w:sz="0" w:space="0" w:color="auto"/>
      </w:divBdr>
    </w:div>
    <w:div w:id="1348480930">
      <w:bodyDiv w:val="1"/>
      <w:marLeft w:val="0"/>
      <w:marRight w:val="0"/>
      <w:marTop w:val="0"/>
      <w:marBottom w:val="0"/>
      <w:divBdr>
        <w:top w:val="none" w:sz="0" w:space="0" w:color="auto"/>
        <w:left w:val="none" w:sz="0" w:space="0" w:color="auto"/>
        <w:bottom w:val="none" w:sz="0" w:space="0" w:color="auto"/>
        <w:right w:val="none" w:sz="0" w:space="0" w:color="auto"/>
      </w:divBdr>
    </w:div>
    <w:div w:id="1399282714">
      <w:bodyDiv w:val="1"/>
      <w:marLeft w:val="0"/>
      <w:marRight w:val="0"/>
      <w:marTop w:val="0"/>
      <w:marBottom w:val="0"/>
      <w:divBdr>
        <w:top w:val="none" w:sz="0" w:space="0" w:color="auto"/>
        <w:left w:val="none" w:sz="0" w:space="0" w:color="auto"/>
        <w:bottom w:val="none" w:sz="0" w:space="0" w:color="auto"/>
        <w:right w:val="none" w:sz="0" w:space="0" w:color="auto"/>
      </w:divBdr>
    </w:div>
    <w:div w:id="1419716538">
      <w:bodyDiv w:val="1"/>
      <w:marLeft w:val="0"/>
      <w:marRight w:val="0"/>
      <w:marTop w:val="0"/>
      <w:marBottom w:val="0"/>
      <w:divBdr>
        <w:top w:val="none" w:sz="0" w:space="0" w:color="auto"/>
        <w:left w:val="none" w:sz="0" w:space="0" w:color="auto"/>
        <w:bottom w:val="none" w:sz="0" w:space="0" w:color="auto"/>
        <w:right w:val="none" w:sz="0" w:space="0" w:color="auto"/>
      </w:divBdr>
    </w:div>
    <w:div w:id="1422486519">
      <w:bodyDiv w:val="1"/>
      <w:marLeft w:val="0"/>
      <w:marRight w:val="0"/>
      <w:marTop w:val="0"/>
      <w:marBottom w:val="0"/>
      <w:divBdr>
        <w:top w:val="none" w:sz="0" w:space="0" w:color="auto"/>
        <w:left w:val="none" w:sz="0" w:space="0" w:color="auto"/>
        <w:bottom w:val="none" w:sz="0" w:space="0" w:color="auto"/>
        <w:right w:val="none" w:sz="0" w:space="0" w:color="auto"/>
      </w:divBdr>
    </w:div>
    <w:div w:id="1436746841">
      <w:bodyDiv w:val="1"/>
      <w:marLeft w:val="0"/>
      <w:marRight w:val="0"/>
      <w:marTop w:val="0"/>
      <w:marBottom w:val="0"/>
      <w:divBdr>
        <w:top w:val="none" w:sz="0" w:space="0" w:color="auto"/>
        <w:left w:val="none" w:sz="0" w:space="0" w:color="auto"/>
        <w:bottom w:val="none" w:sz="0" w:space="0" w:color="auto"/>
        <w:right w:val="none" w:sz="0" w:space="0" w:color="auto"/>
      </w:divBdr>
    </w:div>
    <w:div w:id="1441416801">
      <w:bodyDiv w:val="1"/>
      <w:marLeft w:val="0"/>
      <w:marRight w:val="0"/>
      <w:marTop w:val="0"/>
      <w:marBottom w:val="0"/>
      <w:divBdr>
        <w:top w:val="none" w:sz="0" w:space="0" w:color="auto"/>
        <w:left w:val="none" w:sz="0" w:space="0" w:color="auto"/>
        <w:bottom w:val="none" w:sz="0" w:space="0" w:color="auto"/>
        <w:right w:val="none" w:sz="0" w:space="0" w:color="auto"/>
      </w:divBdr>
    </w:div>
    <w:div w:id="1442724318">
      <w:bodyDiv w:val="1"/>
      <w:marLeft w:val="0"/>
      <w:marRight w:val="0"/>
      <w:marTop w:val="0"/>
      <w:marBottom w:val="0"/>
      <w:divBdr>
        <w:top w:val="none" w:sz="0" w:space="0" w:color="auto"/>
        <w:left w:val="none" w:sz="0" w:space="0" w:color="auto"/>
        <w:bottom w:val="none" w:sz="0" w:space="0" w:color="auto"/>
        <w:right w:val="none" w:sz="0" w:space="0" w:color="auto"/>
      </w:divBdr>
    </w:div>
    <w:div w:id="1453938146">
      <w:bodyDiv w:val="1"/>
      <w:marLeft w:val="0"/>
      <w:marRight w:val="0"/>
      <w:marTop w:val="0"/>
      <w:marBottom w:val="0"/>
      <w:divBdr>
        <w:top w:val="none" w:sz="0" w:space="0" w:color="auto"/>
        <w:left w:val="none" w:sz="0" w:space="0" w:color="auto"/>
        <w:bottom w:val="none" w:sz="0" w:space="0" w:color="auto"/>
        <w:right w:val="none" w:sz="0" w:space="0" w:color="auto"/>
      </w:divBdr>
    </w:div>
    <w:div w:id="1467508554">
      <w:bodyDiv w:val="1"/>
      <w:marLeft w:val="0"/>
      <w:marRight w:val="0"/>
      <w:marTop w:val="0"/>
      <w:marBottom w:val="0"/>
      <w:divBdr>
        <w:top w:val="none" w:sz="0" w:space="0" w:color="auto"/>
        <w:left w:val="none" w:sz="0" w:space="0" w:color="auto"/>
        <w:bottom w:val="none" w:sz="0" w:space="0" w:color="auto"/>
        <w:right w:val="none" w:sz="0" w:space="0" w:color="auto"/>
      </w:divBdr>
    </w:div>
    <w:div w:id="1478302889">
      <w:bodyDiv w:val="1"/>
      <w:marLeft w:val="0"/>
      <w:marRight w:val="0"/>
      <w:marTop w:val="0"/>
      <w:marBottom w:val="0"/>
      <w:divBdr>
        <w:top w:val="none" w:sz="0" w:space="0" w:color="auto"/>
        <w:left w:val="none" w:sz="0" w:space="0" w:color="auto"/>
        <w:bottom w:val="none" w:sz="0" w:space="0" w:color="auto"/>
        <w:right w:val="none" w:sz="0" w:space="0" w:color="auto"/>
      </w:divBdr>
    </w:div>
    <w:div w:id="1481969379">
      <w:bodyDiv w:val="1"/>
      <w:marLeft w:val="0"/>
      <w:marRight w:val="0"/>
      <w:marTop w:val="0"/>
      <w:marBottom w:val="0"/>
      <w:divBdr>
        <w:top w:val="none" w:sz="0" w:space="0" w:color="auto"/>
        <w:left w:val="none" w:sz="0" w:space="0" w:color="auto"/>
        <w:bottom w:val="none" w:sz="0" w:space="0" w:color="auto"/>
        <w:right w:val="none" w:sz="0" w:space="0" w:color="auto"/>
      </w:divBdr>
    </w:div>
    <w:div w:id="1513377849">
      <w:bodyDiv w:val="1"/>
      <w:marLeft w:val="0"/>
      <w:marRight w:val="0"/>
      <w:marTop w:val="0"/>
      <w:marBottom w:val="0"/>
      <w:divBdr>
        <w:top w:val="none" w:sz="0" w:space="0" w:color="auto"/>
        <w:left w:val="none" w:sz="0" w:space="0" w:color="auto"/>
        <w:bottom w:val="none" w:sz="0" w:space="0" w:color="auto"/>
        <w:right w:val="none" w:sz="0" w:space="0" w:color="auto"/>
      </w:divBdr>
    </w:div>
    <w:div w:id="1521892825">
      <w:bodyDiv w:val="1"/>
      <w:marLeft w:val="0"/>
      <w:marRight w:val="0"/>
      <w:marTop w:val="0"/>
      <w:marBottom w:val="0"/>
      <w:divBdr>
        <w:top w:val="none" w:sz="0" w:space="0" w:color="auto"/>
        <w:left w:val="none" w:sz="0" w:space="0" w:color="auto"/>
        <w:bottom w:val="none" w:sz="0" w:space="0" w:color="auto"/>
        <w:right w:val="none" w:sz="0" w:space="0" w:color="auto"/>
      </w:divBdr>
    </w:div>
    <w:div w:id="1534029353">
      <w:bodyDiv w:val="1"/>
      <w:marLeft w:val="0"/>
      <w:marRight w:val="0"/>
      <w:marTop w:val="0"/>
      <w:marBottom w:val="0"/>
      <w:divBdr>
        <w:top w:val="none" w:sz="0" w:space="0" w:color="auto"/>
        <w:left w:val="none" w:sz="0" w:space="0" w:color="auto"/>
        <w:bottom w:val="none" w:sz="0" w:space="0" w:color="auto"/>
        <w:right w:val="none" w:sz="0" w:space="0" w:color="auto"/>
      </w:divBdr>
    </w:div>
    <w:div w:id="1541359761">
      <w:bodyDiv w:val="1"/>
      <w:marLeft w:val="0"/>
      <w:marRight w:val="0"/>
      <w:marTop w:val="0"/>
      <w:marBottom w:val="0"/>
      <w:divBdr>
        <w:top w:val="none" w:sz="0" w:space="0" w:color="auto"/>
        <w:left w:val="none" w:sz="0" w:space="0" w:color="auto"/>
        <w:bottom w:val="none" w:sz="0" w:space="0" w:color="auto"/>
        <w:right w:val="none" w:sz="0" w:space="0" w:color="auto"/>
      </w:divBdr>
    </w:div>
    <w:div w:id="1543516616">
      <w:bodyDiv w:val="1"/>
      <w:marLeft w:val="0"/>
      <w:marRight w:val="0"/>
      <w:marTop w:val="0"/>
      <w:marBottom w:val="0"/>
      <w:divBdr>
        <w:top w:val="none" w:sz="0" w:space="0" w:color="auto"/>
        <w:left w:val="none" w:sz="0" w:space="0" w:color="auto"/>
        <w:bottom w:val="none" w:sz="0" w:space="0" w:color="auto"/>
        <w:right w:val="none" w:sz="0" w:space="0" w:color="auto"/>
      </w:divBdr>
    </w:div>
    <w:div w:id="1556772338">
      <w:bodyDiv w:val="1"/>
      <w:marLeft w:val="0"/>
      <w:marRight w:val="0"/>
      <w:marTop w:val="0"/>
      <w:marBottom w:val="0"/>
      <w:divBdr>
        <w:top w:val="none" w:sz="0" w:space="0" w:color="auto"/>
        <w:left w:val="none" w:sz="0" w:space="0" w:color="auto"/>
        <w:bottom w:val="none" w:sz="0" w:space="0" w:color="auto"/>
        <w:right w:val="none" w:sz="0" w:space="0" w:color="auto"/>
      </w:divBdr>
    </w:div>
    <w:div w:id="1561016615">
      <w:bodyDiv w:val="1"/>
      <w:marLeft w:val="0"/>
      <w:marRight w:val="0"/>
      <w:marTop w:val="0"/>
      <w:marBottom w:val="0"/>
      <w:divBdr>
        <w:top w:val="none" w:sz="0" w:space="0" w:color="auto"/>
        <w:left w:val="none" w:sz="0" w:space="0" w:color="auto"/>
        <w:bottom w:val="none" w:sz="0" w:space="0" w:color="auto"/>
        <w:right w:val="none" w:sz="0" w:space="0" w:color="auto"/>
      </w:divBdr>
    </w:div>
    <w:div w:id="1595477522">
      <w:bodyDiv w:val="1"/>
      <w:marLeft w:val="0"/>
      <w:marRight w:val="0"/>
      <w:marTop w:val="0"/>
      <w:marBottom w:val="0"/>
      <w:divBdr>
        <w:top w:val="none" w:sz="0" w:space="0" w:color="auto"/>
        <w:left w:val="none" w:sz="0" w:space="0" w:color="auto"/>
        <w:bottom w:val="none" w:sz="0" w:space="0" w:color="auto"/>
        <w:right w:val="none" w:sz="0" w:space="0" w:color="auto"/>
      </w:divBdr>
    </w:div>
    <w:div w:id="1601987123">
      <w:bodyDiv w:val="1"/>
      <w:marLeft w:val="0"/>
      <w:marRight w:val="0"/>
      <w:marTop w:val="0"/>
      <w:marBottom w:val="0"/>
      <w:divBdr>
        <w:top w:val="none" w:sz="0" w:space="0" w:color="auto"/>
        <w:left w:val="none" w:sz="0" w:space="0" w:color="auto"/>
        <w:bottom w:val="none" w:sz="0" w:space="0" w:color="auto"/>
        <w:right w:val="none" w:sz="0" w:space="0" w:color="auto"/>
      </w:divBdr>
    </w:div>
    <w:div w:id="1606226725">
      <w:bodyDiv w:val="1"/>
      <w:marLeft w:val="0"/>
      <w:marRight w:val="0"/>
      <w:marTop w:val="0"/>
      <w:marBottom w:val="0"/>
      <w:divBdr>
        <w:top w:val="none" w:sz="0" w:space="0" w:color="auto"/>
        <w:left w:val="none" w:sz="0" w:space="0" w:color="auto"/>
        <w:bottom w:val="none" w:sz="0" w:space="0" w:color="auto"/>
        <w:right w:val="none" w:sz="0" w:space="0" w:color="auto"/>
      </w:divBdr>
    </w:div>
    <w:div w:id="1676492912">
      <w:bodyDiv w:val="1"/>
      <w:marLeft w:val="0"/>
      <w:marRight w:val="0"/>
      <w:marTop w:val="0"/>
      <w:marBottom w:val="0"/>
      <w:divBdr>
        <w:top w:val="none" w:sz="0" w:space="0" w:color="auto"/>
        <w:left w:val="none" w:sz="0" w:space="0" w:color="auto"/>
        <w:bottom w:val="none" w:sz="0" w:space="0" w:color="auto"/>
        <w:right w:val="none" w:sz="0" w:space="0" w:color="auto"/>
      </w:divBdr>
    </w:div>
    <w:div w:id="1677151615">
      <w:bodyDiv w:val="1"/>
      <w:marLeft w:val="0"/>
      <w:marRight w:val="0"/>
      <w:marTop w:val="0"/>
      <w:marBottom w:val="0"/>
      <w:divBdr>
        <w:top w:val="none" w:sz="0" w:space="0" w:color="auto"/>
        <w:left w:val="none" w:sz="0" w:space="0" w:color="auto"/>
        <w:bottom w:val="none" w:sz="0" w:space="0" w:color="auto"/>
        <w:right w:val="none" w:sz="0" w:space="0" w:color="auto"/>
      </w:divBdr>
    </w:div>
    <w:div w:id="1696954495">
      <w:bodyDiv w:val="1"/>
      <w:marLeft w:val="0"/>
      <w:marRight w:val="0"/>
      <w:marTop w:val="0"/>
      <w:marBottom w:val="0"/>
      <w:divBdr>
        <w:top w:val="none" w:sz="0" w:space="0" w:color="auto"/>
        <w:left w:val="none" w:sz="0" w:space="0" w:color="auto"/>
        <w:bottom w:val="none" w:sz="0" w:space="0" w:color="auto"/>
        <w:right w:val="none" w:sz="0" w:space="0" w:color="auto"/>
      </w:divBdr>
    </w:div>
    <w:div w:id="1697846825">
      <w:bodyDiv w:val="1"/>
      <w:marLeft w:val="0"/>
      <w:marRight w:val="0"/>
      <w:marTop w:val="0"/>
      <w:marBottom w:val="0"/>
      <w:divBdr>
        <w:top w:val="none" w:sz="0" w:space="0" w:color="auto"/>
        <w:left w:val="none" w:sz="0" w:space="0" w:color="auto"/>
        <w:bottom w:val="none" w:sz="0" w:space="0" w:color="auto"/>
        <w:right w:val="none" w:sz="0" w:space="0" w:color="auto"/>
      </w:divBdr>
    </w:div>
    <w:div w:id="1708986447">
      <w:bodyDiv w:val="1"/>
      <w:marLeft w:val="0"/>
      <w:marRight w:val="0"/>
      <w:marTop w:val="0"/>
      <w:marBottom w:val="0"/>
      <w:divBdr>
        <w:top w:val="none" w:sz="0" w:space="0" w:color="auto"/>
        <w:left w:val="none" w:sz="0" w:space="0" w:color="auto"/>
        <w:bottom w:val="none" w:sz="0" w:space="0" w:color="auto"/>
        <w:right w:val="none" w:sz="0" w:space="0" w:color="auto"/>
      </w:divBdr>
    </w:div>
    <w:div w:id="1711032174">
      <w:bodyDiv w:val="1"/>
      <w:marLeft w:val="0"/>
      <w:marRight w:val="0"/>
      <w:marTop w:val="0"/>
      <w:marBottom w:val="0"/>
      <w:divBdr>
        <w:top w:val="none" w:sz="0" w:space="0" w:color="auto"/>
        <w:left w:val="none" w:sz="0" w:space="0" w:color="auto"/>
        <w:bottom w:val="none" w:sz="0" w:space="0" w:color="auto"/>
        <w:right w:val="none" w:sz="0" w:space="0" w:color="auto"/>
      </w:divBdr>
    </w:div>
    <w:div w:id="1730836523">
      <w:bodyDiv w:val="1"/>
      <w:marLeft w:val="0"/>
      <w:marRight w:val="0"/>
      <w:marTop w:val="0"/>
      <w:marBottom w:val="0"/>
      <w:divBdr>
        <w:top w:val="none" w:sz="0" w:space="0" w:color="auto"/>
        <w:left w:val="none" w:sz="0" w:space="0" w:color="auto"/>
        <w:bottom w:val="none" w:sz="0" w:space="0" w:color="auto"/>
        <w:right w:val="none" w:sz="0" w:space="0" w:color="auto"/>
      </w:divBdr>
    </w:div>
    <w:div w:id="1740515835">
      <w:bodyDiv w:val="1"/>
      <w:marLeft w:val="0"/>
      <w:marRight w:val="0"/>
      <w:marTop w:val="0"/>
      <w:marBottom w:val="0"/>
      <w:divBdr>
        <w:top w:val="none" w:sz="0" w:space="0" w:color="auto"/>
        <w:left w:val="none" w:sz="0" w:space="0" w:color="auto"/>
        <w:bottom w:val="none" w:sz="0" w:space="0" w:color="auto"/>
        <w:right w:val="none" w:sz="0" w:space="0" w:color="auto"/>
      </w:divBdr>
    </w:div>
    <w:div w:id="1741899409">
      <w:bodyDiv w:val="1"/>
      <w:marLeft w:val="0"/>
      <w:marRight w:val="0"/>
      <w:marTop w:val="0"/>
      <w:marBottom w:val="0"/>
      <w:divBdr>
        <w:top w:val="none" w:sz="0" w:space="0" w:color="auto"/>
        <w:left w:val="none" w:sz="0" w:space="0" w:color="auto"/>
        <w:bottom w:val="none" w:sz="0" w:space="0" w:color="auto"/>
        <w:right w:val="none" w:sz="0" w:space="0" w:color="auto"/>
      </w:divBdr>
    </w:div>
    <w:div w:id="1780484981">
      <w:bodyDiv w:val="1"/>
      <w:marLeft w:val="0"/>
      <w:marRight w:val="0"/>
      <w:marTop w:val="0"/>
      <w:marBottom w:val="0"/>
      <w:divBdr>
        <w:top w:val="none" w:sz="0" w:space="0" w:color="auto"/>
        <w:left w:val="none" w:sz="0" w:space="0" w:color="auto"/>
        <w:bottom w:val="none" w:sz="0" w:space="0" w:color="auto"/>
        <w:right w:val="none" w:sz="0" w:space="0" w:color="auto"/>
      </w:divBdr>
    </w:div>
    <w:div w:id="1791626518">
      <w:bodyDiv w:val="1"/>
      <w:marLeft w:val="0"/>
      <w:marRight w:val="0"/>
      <w:marTop w:val="0"/>
      <w:marBottom w:val="0"/>
      <w:divBdr>
        <w:top w:val="none" w:sz="0" w:space="0" w:color="auto"/>
        <w:left w:val="none" w:sz="0" w:space="0" w:color="auto"/>
        <w:bottom w:val="none" w:sz="0" w:space="0" w:color="auto"/>
        <w:right w:val="none" w:sz="0" w:space="0" w:color="auto"/>
      </w:divBdr>
    </w:div>
    <w:div w:id="1796021022">
      <w:bodyDiv w:val="1"/>
      <w:marLeft w:val="0"/>
      <w:marRight w:val="0"/>
      <w:marTop w:val="0"/>
      <w:marBottom w:val="0"/>
      <w:divBdr>
        <w:top w:val="none" w:sz="0" w:space="0" w:color="auto"/>
        <w:left w:val="none" w:sz="0" w:space="0" w:color="auto"/>
        <w:bottom w:val="none" w:sz="0" w:space="0" w:color="auto"/>
        <w:right w:val="none" w:sz="0" w:space="0" w:color="auto"/>
      </w:divBdr>
    </w:div>
    <w:div w:id="1798645019">
      <w:bodyDiv w:val="1"/>
      <w:marLeft w:val="0"/>
      <w:marRight w:val="0"/>
      <w:marTop w:val="0"/>
      <w:marBottom w:val="0"/>
      <w:divBdr>
        <w:top w:val="none" w:sz="0" w:space="0" w:color="auto"/>
        <w:left w:val="none" w:sz="0" w:space="0" w:color="auto"/>
        <w:bottom w:val="none" w:sz="0" w:space="0" w:color="auto"/>
        <w:right w:val="none" w:sz="0" w:space="0" w:color="auto"/>
      </w:divBdr>
    </w:div>
    <w:div w:id="1803385337">
      <w:bodyDiv w:val="1"/>
      <w:marLeft w:val="0"/>
      <w:marRight w:val="0"/>
      <w:marTop w:val="0"/>
      <w:marBottom w:val="0"/>
      <w:divBdr>
        <w:top w:val="none" w:sz="0" w:space="0" w:color="auto"/>
        <w:left w:val="none" w:sz="0" w:space="0" w:color="auto"/>
        <w:bottom w:val="none" w:sz="0" w:space="0" w:color="auto"/>
        <w:right w:val="none" w:sz="0" w:space="0" w:color="auto"/>
      </w:divBdr>
    </w:div>
    <w:div w:id="1832213526">
      <w:bodyDiv w:val="1"/>
      <w:marLeft w:val="0"/>
      <w:marRight w:val="0"/>
      <w:marTop w:val="0"/>
      <w:marBottom w:val="0"/>
      <w:divBdr>
        <w:top w:val="none" w:sz="0" w:space="0" w:color="auto"/>
        <w:left w:val="none" w:sz="0" w:space="0" w:color="auto"/>
        <w:bottom w:val="none" w:sz="0" w:space="0" w:color="auto"/>
        <w:right w:val="none" w:sz="0" w:space="0" w:color="auto"/>
      </w:divBdr>
    </w:div>
    <w:div w:id="1834293857">
      <w:bodyDiv w:val="1"/>
      <w:marLeft w:val="0"/>
      <w:marRight w:val="0"/>
      <w:marTop w:val="0"/>
      <w:marBottom w:val="0"/>
      <w:divBdr>
        <w:top w:val="none" w:sz="0" w:space="0" w:color="auto"/>
        <w:left w:val="none" w:sz="0" w:space="0" w:color="auto"/>
        <w:bottom w:val="none" w:sz="0" w:space="0" w:color="auto"/>
        <w:right w:val="none" w:sz="0" w:space="0" w:color="auto"/>
      </w:divBdr>
    </w:div>
    <w:div w:id="1843276342">
      <w:bodyDiv w:val="1"/>
      <w:marLeft w:val="0"/>
      <w:marRight w:val="0"/>
      <w:marTop w:val="0"/>
      <w:marBottom w:val="0"/>
      <w:divBdr>
        <w:top w:val="none" w:sz="0" w:space="0" w:color="auto"/>
        <w:left w:val="none" w:sz="0" w:space="0" w:color="auto"/>
        <w:bottom w:val="none" w:sz="0" w:space="0" w:color="auto"/>
        <w:right w:val="none" w:sz="0" w:space="0" w:color="auto"/>
      </w:divBdr>
    </w:div>
    <w:div w:id="1861701706">
      <w:bodyDiv w:val="1"/>
      <w:marLeft w:val="0"/>
      <w:marRight w:val="0"/>
      <w:marTop w:val="0"/>
      <w:marBottom w:val="0"/>
      <w:divBdr>
        <w:top w:val="none" w:sz="0" w:space="0" w:color="auto"/>
        <w:left w:val="none" w:sz="0" w:space="0" w:color="auto"/>
        <w:bottom w:val="none" w:sz="0" w:space="0" w:color="auto"/>
        <w:right w:val="none" w:sz="0" w:space="0" w:color="auto"/>
      </w:divBdr>
    </w:div>
    <w:div w:id="1861889500">
      <w:bodyDiv w:val="1"/>
      <w:marLeft w:val="0"/>
      <w:marRight w:val="0"/>
      <w:marTop w:val="0"/>
      <w:marBottom w:val="0"/>
      <w:divBdr>
        <w:top w:val="none" w:sz="0" w:space="0" w:color="auto"/>
        <w:left w:val="none" w:sz="0" w:space="0" w:color="auto"/>
        <w:bottom w:val="none" w:sz="0" w:space="0" w:color="auto"/>
        <w:right w:val="none" w:sz="0" w:space="0" w:color="auto"/>
      </w:divBdr>
    </w:div>
    <w:div w:id="1893423492">
      <w:bodyDiv w:val="1"/>
      <w:marLeft w:val="0"/>
      <w:marRight w:val="0"/>
      <w:marTop w:val="0"/>
      <w:marBottom w:val="0"/>
      <w:divBdr>
        <w:top w:val="none" w:sz="0" w:space="0" w:color="auto"/>
        <w:left w:val="none" w:sz="0" w:space="0" w:color="auto"/>
        <w:bottom w:val="none" w:sz="0" w:space="0" w:color="auto"/>
        <w:right w:val="none" w:sz="0" w:space="0" w:color="auto"/>
      </w:divBdr>
    </w:div>
    <w:div w:id="1913587596">
      <w:bodyDiv w:val="1"/>
      <w:marLeft w:val="0"/>
      <w:marRight w:val="0"/>
      <w:marTop w:val="0"/>
      <w:marBottom w:val="0"/>
      <w:divBdr>
        <w:top w:val="none" w:sz="0" w:space="0" w:color="auto"/>
        <w:left w:val="none" w:sz="0" w:space="0" w:color="auto"/>
        <w:bottom w:val="none" w:sz="0" w:space="0" w:color="auto"/>
        <w:right w:val="none" w:sz="0" w:space="0" w:color="auto"/>
      </w:divBdr>
    </w:div>
    <w:div w:id="1918706275">
      <w:bodyDiv w:val="1"/>
      <w:marLeft w:val="0"/>
      <w:marRight w:val="0"/>
      <w:marTop w:val="0"/>
      <w:marBottom w:val="0"/>
      <w:divBdr>
        <w:top w:val="none" w:sz="0" w:space="0" w:color="auto"/>
        <w:left w:val="none" w:sz="0" w:space="0" w:color="auto"/>
        <w:bottom w:val="none" w:sz="0" w:space="0" w:color="auto"/>
        <w:right w:val="none" w:sz="0" w:space="0" w:color="auto"/>
      </w:divBdr>
    </w:div>
    <w:div w:id="1919628191">
      <w:bodyDiv w:val="1"/>
      <w:marLeft w:val="0"/>
      <w:marRight w:val="0"/>
      <w:marTop w:val="0"/>
      <w:marBottom w:val="0"/>
      <w:divBdr>
        <w:top w:val="none" w:sz="0" w:space="0" w:color="auto"/>
        <w:left w:val="none" w:sz="0" w:space="0" w:color="auto"/>
        <w:bottom w:val="none" w:sz="0" w:space="0" w:color="auto"/>
        <w:right w:val="none" w:sz="0" w:space="0" w:color="auto"/>
      </w:divBdr>
    </w:div>
    <w:div w:id="1970893307">
      <w:bodyDiv w:val="1"/>
      <w:marLeft w:val="0"/>
      <w:marRight w:val="0"/>
      <w:marTop w:val="0"/>
      <w:marBottom w:val="0"/>
      <w:divBdr>
        <w:top w:val="none" w:sz="0" w:space="0" w:color="auto"/>
        <w:left w:val="none" w:sz="0" w:space="0" w:color="auto"/>
        <w:bottom w:val="none" w:sz="0" w:space="0" w:color="auto"/>
        <w:right w:val="none" w:sz="0" w:space="0" w:color="auto"/>
      </w:divBdr>
    </w:div>
    <w:div w:id="2002611420">
      <w:bodyDiv w:val="1"/>
      <w:marLeft w:val="0"/>
      <w:marRight w:val="0"/>
      <w:marTop w:val="0"/>
      <w:marBottom w:val="0"/>
      <w:divBdr>
        <w:top w:val="none" w:sz="0" w:space="0" w:color="auto"/>
        <w:left w:val="none" w:sz="0" w:space="0" w:color="auto"/>
        <w:bottom w:val="none" w:sz="0" w:space="0" w:color="auto"/>
        <w:right w:val="none" w:sz="0" w:space="0" w:color="auto"/>
      </w:divBdr>
    </w:div>
    <w:div w:id="2031838799">
      <w:bodyDiv w:val="1"/>
      <w:marLeft w:val="0"/>
      <w:marRight w:val="0"/>
      <w:marTop w:val="0"/>
      <w:marBottom w:val="0"/>
      <w:divBdr>
        <w:top w:val="none" w:sz="0" w:space="0" w:color="auto"/>
        <w:left w:val="none" w:sz="0" w:space="0" w:color="auto"/>
        <w:bottom w:val="none" w:sz="0" w:space="0" w:color="auto"/>
        <w:right w:val="none" w:sz="0" w:space="0" w:color="auto"/>
      </w:divBdr>
    </w:div>
    <w:div w:id="2034530385">
      <w:bodyDiv w:val="1"/>
      <w:marLeft w:val="0"/>
      <w:marRight w:val="0"/>
      <w:marTop w:val="0"/>
      <w:marBottom w:val="0"/>
      <w:divBdr>
        <w:top w:val="none" w:sz="0" w:space="0" w:color="auto"/>
        <w:left w:val="none" w:sz="0" w:space="0" w:color="auto"/>
        <w:bottom w:val="none" w:sz="0" w:space="0" w:color="auto"/>
        <w:right w:val="none" w:sz="0" w:space="0" w:color="auto"/>
      </w:divBdr>
    </w:div>
    <w:div w:id="2042316015">
      <w:bodyDiv w:val="1"/>
      <w:marLeft w:val="0"/>
      <w:marRight w:val="0"/>
      <w:marTop w:val="0"/>
      <w:marBottom w:val="0"/>
      <w:divBdr>
        <w:top w:val="none" w:sz="0" w:space="0" w:color="auto"/>
        <w:left w:val="none" w:sz="0" w:space="0" w:color="auto"/>
        <w:bottom w:val="none" w:sz="0" w:space="0" w:color="auto"/>
        <w:right w:val="none" w:sz="0" w:space="0" w:color="auto"/>
      </w:divBdr>
    </w:div>
    <w:div w:id="2076933515">
      <w:bodyDiv w:val="1"/>
      <w:marLeft w:val="0"/>
      <w:marRight w:val="0"/>
      <w:marTop w:val="0"/>
      <w:marBottom w:val="0"/>
      <w:divBdr>
        <w:top w:val="none" w:sz="0" w:space="0" w:color="auto"/>
        <w:left w:val="none" w:sz="0" w:space="0" w:color="auto"/>
        <w:bottom w:val="none" w:sz="0" w:space="0" w:color="auto"/>
        <w:right w:val="none" w:sz="0" w:space="0" w:color="auto"/>
      </w:divBdr>
    </w:div>
    <w:div w:id="2082605806">
      <w:bodyDiv w:val="1"/>
      <w:marLeft w:val="0"/>
      <w:marRight w:val="0"/>
      <w:marTop w:val="0"/>
      <w:marBottom w:val="0"/>
      <w:divBdr>
        <w:top w:val="none" w:sz="0" w:space="0" w:color="auto"/>
        <w:left w:val="none" w:sz="0" w:space="0" w:color="auto"/>
        <w:bottom w:val="none" w:sz="0" w:space="0" w:color="auto"/>
        <w:right w:val="none" w:sz="0" w:space="0" w:color="auto"/>
      </w:divBdr>
    </w:div>
    <w:div w:id="2103795243">
      <w:bodyDiv w:val="1"/>
      <w:marLeft w:val="0"/>
      <w:marRight w:val="0"/>
      <w:marTop w:val="0"/>
      <w:marBottom w:val="0"/>
      <w:divBdr>
        <w:top w:val="none" w:sz="0" w:space="0" w:color="auto"/>
        <w:left w:val="none" w:sz="0" w:space="0" w:color="auto"/>
        <w:bottom w:val="none" w:sz="0" w:space="0" w:color="auto"/>
        <w:right w:val="none" w:sz="0" w:space="0" w:color="auto"/>
      </w:divBdr>
    </w:div>
    <w:div w:id="2110543131">
      <w:bodyDiv w:val="1"/>
      <w:marLeft w:val="0"/>
      <w:marRight w:val="0"/>
      <w:marTop w:val="0"/>
      <w:marBottom w:val="0"/>
      <w:divBdr>
        <w:top w:val="none" w:sz="0" w:space="0" w:color="auto"/>
        <w:left w:val="none" w:sz="0" w:space="0" w:color="auto"/>
        <w:bottom w:val="none" w:sz="0" w:space="0" w:color="auto"/>
        <w:right w:val="none" w:sz="0" w:space="0" w:color="auto"/>
      </w:divBdr>
    </w:div>
    <w:div w:id="21282311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3.png"/><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1.png"/><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CCE8C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688FD0A-AEFA-4E3C-9D3E-960C410C60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6</TotalTime>
  <Pages>46</Pages>
  <Words>12625</Words>
  <Characters>71969</Characters>
  <Application>Microsoft Office Word</Application>
  <DocSecurity>0</DocSecurity>
  <Lines>599</Lines>
  <Paragraphs>168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84426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LucasD</dc:creator>
  <cp:keywords/>
  <dc:description/>
  <cp:lastModifiedBy>LucasD</cp:lastModifiedBy>
  <cp:revision>6</cp:revision>
  <cp:lastPrinted>2020-05-25T19:21:00Z</cp:lastPrinted>
  <dcterms:created xsi:type="dcterms:W3CDTF">2020-05-22T22:01:00Z</dcterms:created>
  <dcterms:modified xsi:type="dcterms:W3CDTF">2020-05-25T19:21:00Z</dcterms:modified>
</cp:coreProperties>
</file>