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28A358" w14:textId="77777777" w:rsidR="001134C1" w:rsidRDefault="00937468" w:rsidP="00937468">
      <w:pPr>
        <w:pStyle w:val="Heading1"/>
      </w:pPr>
      <w:r>
        <w:t>Review Title</w:t>
      </w:r>
    </w:p>
    <w:p w14:paraId="739A5B52" w14:textId="1D0D42F2" w:rsidR="00A732D1" w:rsidRDefault="00937468" w:rsidP="00937468">
      <w:r>
        <w:t xml:space="preserve">Compatibility of Lactated Ringer’s Solution </w:t>
      </w:r>
      <w:r w:rsidR="00ED04D5">
        <w:t xml:space="preserve">human </w:t>
      </w:r>
      <w:r>
        <w:t>blood products</w:t>
      </w:r>
      <w:r w:rsidR="009F6325">
        <w:t xml:space="preserve"> containing red blood cells</w:t>
      </w:r>
    </w:p>
    <w:p w14:paraId="03AE5D31" w14:textId="77777777" w:rsidR="00937468" w:rsidRDefault="00937468" w:rsidP="00937468">
      <w:pPr>
        <w:pStyle w:val="Heading1"/>
      </w:pPr>
      <w:r>
        <w:t>Named Contact</w:t>
      </w:r>
    </w:p>
    <w:p w14:paraId="6C57FC0D" w14:textId="57CDC928" w:rsidR="00A732D1" w:rsidRDefault="00937468" w:rsidP="00937468">
      <w:r>
        <w:t>Lauralyn McIntyre, MD, MSc, FRCPC</w:t>
      </w:r>
    </w:p>
    <w:p w14:paraId="066D5DCF" w14:textId="77777777" w:rsidR="00937468" w:rsidRDefault="00937468" w:rsidP="00937468">
      <w:pPr>
        <w:pStyle w:val="Heading1"/>
      </w:pPr>
      <w:r>
        <w:t>Named Contact Email</w:t>
      </w:r>
    </w:p>
    <w:p w14:paraId="2CB49502" w14:textId="77777777" w:rsidR="00937468" w:rsidRDefault="008C79F5" w:rsidP="00937468">
      <w:hyperlink r:id="rId8" w:history="1">
        <w:r w:rsidR="00937468" w:rsidRPr="009F5FBD">
          <w:rPr>
            <w:rStyle w:val="Hyperlink"/>
          </w:rPr>
          <w:t>lmcintyre@ohri.ca</w:t>
        </w:r>
      </w:hyperlink>
    </w:p>
    <w:p w14:paraId="7754CE7E" w14:textId="77777777" w:rsidR="00937468" w:rsidRDefault="00937468" w:rsidP="00937468">
      <w:pPr>
        <w:pStyle w:val="Heading1"/>
      </w:pPr>
      <w:r>
        <w:t>Named Contact Address</w:t>
      </w:r>
    </w:p>
    <w:p w14:paraId="0B82C04C" w14:textId="77777777" w:rsidR="00937468" w:rsidRDefault="00937468" w:rsidP="00937468">
      <w:pPr>
        <w:pStyle w:val="Nospace"/>
      </w:pPr>
      <w:r>
        <w:t>501 Smyth Rd, Box 201</w:t>
      </w:r>
    </w:p>
    <w:p w14:paraId="3217D54A" w14:textId="77777777" w:rsidR="00937468" w:rsidRDefault="00937468" w:rsidP="00937468">
      <w:pPr>
        <w:pStyle w:val="Nospace"/>
      </w:pPr>
      <w:r>
        <w:t>Ottawa, ON K1H 8L6</w:t>
      </w:r>
    </w:p>
    <w:p w14:paraId="5527BDC5" w14:textId="21EC2D48" w:rsidR="00A732D1" w:rsidRDefault="00937468" w:rsidP="00937468">
      <w:pPr>
        <w:pStyle w:val="Nospace"/>
      </w:pPr>
      <w:r>
        <w:t>Fax: 613-739-6266</w:t>
      </w:r>
    </w:p>
    <w:p w14:paraId="70A81A29" w14:textId="77777777" w:rsidR="00937468" w:rsidRDefault="00937468" w:rsidP="00937468">
      <w:pPr>
        <w:pStyle w:val="Heading1"/>
      </w:pPr>
      <w:r>
        <w:t>Named Contact Phone Number</w:t>
      </w:r>
    </w:p>
    <w:p w14:paraId="3CBFF6B1" w14:textId="7C91F008" w:rsidR="00A732D1" w:rsidRDefault="00937468" w:rsidP="00937468">
      <w:r>
        <w:t>+1 613-737-8899 x73231</w:t>
      </w:r>
    </w:p>
    <w:p w14:paraId="2B67C5A2" w14:textId="77777777" w:rsidR="00937468" w:rsidRDefault="00937468" w:rsidP="00937468">
      <w:pPr>
        <w:pStyle w:val="Heading1"/>
      </w:pPr>
      <w:r>
        <w:t>Organizational Affiliation of Review</w:t>
      </w:r>
    </w:p>
    <w:p w14:paraId="2606C835" w14:textId="05B24AB0" w:rsidR="00A732D1" w:rsidRDefault="00937468" w:rsidP="00937468">
      <w:r>
        <w:t>Ottawa Hospital Research Institute (</w:t>
      </w:r>
      <w:hyperlink r:id="rId9" w:history="1">
        <w:r w:rsidRPr="009F5FBD">
          <w:rPr>
            <w:rStyle w:val="Hyperlink"/>
          </w:rPr>
          <w:t>www.ohri.ca</w:t>
        </w:r>
      </w:hyperlink>
      <w:r>
        <w:t>)</w:t>
      </w:r>
    </w:p>
    <w:p w14:paraId="6D3B6694" w14:textId="77777777" w:rsidR="00937468" w:rsidRDefault="00937468" w:rsidP="00937468">
      <w:pPr>
        <w:pStyle w:val="Heading1"/>
      </w:pPr>
      <w:r>
        <w:t>Review Team Members and their Organizational Affiliations</w:t>
      </w:r>
    </w:p>
    <w:p w14:paraId="1ADB26FE" w14:textId="77777777" w:rsidR="00937468" w:rsidRDefault="00937468" w:rsidP="00937468">
      <w:pPr>
        <w:pStyle w:val="Nospace"/>
      </w:pPr>
      <w:r>
        <w:t>Dianna Wolfe</w:t>
      </w:r>
      <w:r w:rsidRPr="00937468">
        <w:rPr>
          <w:vertAlign w:val="superscript"/>
        </w:rPr>
        <w:t>1</w:t>
      </w:r>
    </w:p>
    <w:p w14:paraId="64738F0D" w14:textId="77777777" w:rsidR="00937468" w:rsidRDefault="00937468" w:rsidP="00937468">
      <w:pPr>
        <w:pStyle w:val="Nospace"/>
      </w:pPr>
      <w:r>
        <w:t>Lauralyn McIntyre</w:t>
      </w:r>
      <w:r w:rsidRPr="00937468">
        <w:rPr>
          <w:vertAlign w:val="superscript"/>
        </w:rPr>
        <w:t>2,3</w:t>
      </w:r>
    </w:p>
    <w:p w14:paraId="4043C914" w14:textId="77777777" w:rsidR="00937468" w:rsidRDefault="00937468" w:rsidP="00937468">
      <w:pPr>
        <w:pStyle w:val="Nospace"/>
      </w:pPr>
    </w:p>
    <w:p w14:paraId="0385D890" w14:textId="7CDD7EF7" w:rsidR="00937468" w:rsidRDefault="00937468" w:rsidP="00937468">
      <w:pPr>
        <w:pStyle w:val="Nospace"/>
      </w:pPr>
      <w:r w:rsidRPr="00937468">
        <w:rPr>
          <w:vertAlign w:val="superscript"/>
        </w:rPr>
        <w:t>1</w:t>
      </w:r>
      <w:r w:rsidR="008855FE">
        <w:rPr>
          <w:vertAlign w:val="superscript"/>
        </w:rPr>
        <w:t xml:space="preserve"> </w:t>
      </w:r>
      <w:r>
        <w:t>Knowledge Synthesis Group, The Ottawa Hospital Research Institute</w:t>
      </w:r>
      <w:r w:rsidR="00C56941">
        <w:t>, Ottawa, Canada</w:t>
      </w:r>
    </w:p>
    <w:p w14:paraId="40D1CD0D" w14:textId="17FBBC98" w:rsidR="00937468" w:rsidRDefault="00937468" w:rsidP="00937468">
      <w:pPr>
        <w:pStyle w:val="Nospace"/>
      </w:pPr>
      <w:r w:rsidRPr="00937468">
        <w:rPr>
          <w:vertAlign w:val="superscript"/>
        </w:rPr>
        <w:t>2</w:t>
      </w:r>
      <w:r w:rsidR="008855FE">
        <w:rPr>
          <w:vertAlign w:val="superscript"/>
        </w:rPr>
        <w:t xml:space="preserve"> </w:t>
      </w:r>
      <w:r>
        <w:t>Clinical Epidemiology Program, The Ottawa Hospital Research Institute</w:t>
      </w:r>
      <w:r w:rsidR="00C56941">
        <w:t>, Ottawa, Canada</w:t>
      </w:r>
    </w:p>
    <w:p w14:paraId="5D817B1F" w14:textId="2F7EC0DA" w:rsidR="00A732D1" w:rsidRDefault="00937468" w:rsidP="00937468">
      <w:pPr>
        <w:pStyle w:val="Nospace"/>
      </w:pPr>
      <w:r w:rsidRPr="00937468">
        <w:rPr>
          <w:vertAlign w:val="superscript"/>
        </w:rPr>
        <w:t>3</w:t>
      </w:r>
      <w:r w:rsidR="008855FE">
        <w:rPr>
          <w:vertAlign w:val="superscript"/>
        </w:rPr>
        <w:t xml:space="preserve"> </w:t>
      </w:r>
      <w:r>
        <w:t>Department of Medicine (Division of Critical Care), University of Ottawa</w:t>
      </w:r>
      <w:r w:rsidR="00C56941">
        <w:t>, Ottawa, Canada</w:t>
      </w:r>
    </w:p>
    <w:p w14:paraId="4B5D3E6F" w14:textId="77777777" w:rsidR="00937468" w:rsidRDefault="00937468" w:rsidP="00937468">
      <w:pPr>
        <w:pStyle w:val="Heading1"/>
      </w:pPr>
      <w:r>
        <w:t>Funding Sources / Sponsors</w:t>
      </w:r>
    </w:p>
    <w:p w14:paraId="533110EC" w14:textId="12B00638" w:rsidR="00937468" w:rsidRDefault="00605E28" w:rsidP="00937468">
      <w:r>
        <w:t>No specific funding</w:t>
      </w:r>
    </w:p>
    <w:p w14:paraId="1C631D74" w14:textId="77777777" w:rsidR="00937468" w:rsidRDefault="00937468" w:rsidP="00937468">
      <w:pPr>
        <w:pStyle w:val="Heading1"/>
      </w:pPr>
      <w:r>
        <w:t>Conflicts of Interest</w:t>
      </w:r>
    </w:p>
    <w:p w14:paraId="216DBE50" w14:textId="66106862" w:rsidR="00937468" w:rsidRDefault="001F6DE8" w:rsidP="00937468">
      <w:r>
        <w:t>None</w:t>
      </w:r>
      <w:r w:rsidR="008837FA">
        <w:t xml:space="preserve"> to declare</w:t>
      </w:r>
    </w:p>
    <w:p w14:paraId="0A2ACE5E" w14:textId="77777777" w:rsidR="00937468" w:rsidRDefault="00937468" w:rsidP="00937468">
      <w:pPr>
        <w:pStyle w:val="Heading1"/>
      </w:pPr>
      <w:r>
        <w:t>Collaborators</w:t>
      </w:r>
    </w:p>
    <w:p w14:paraId="4E33872F" w14:textId="40EA9D78" w:rsidR="00EA40A6" w:rsidRDefault="001F6DE8" w:rsidP="008855FE">
      <w:pPr>
        <w:pStyle w:val="Nospace"/>
      </w:pPr>
      <w:r>
        <w:t>Shane English</w:t>
      </w:r>
      <w:r w:rsidR="008855FE">
        <w:rPr>
          <w:vertAlign w:val="superscript"/>
        </w:rPr>
        <w:t>1, 2</w:t>
      </w:r>
    </w:p>
    <w:p w14:paraId="03A7E64E" w14:textId="776CDE98" w:rsidR="004537AE" w:rsidRPr="004537AE" w:rsidRDefault="004537AE" w:rsidP="008855FE">
      <w:pPr>
        <w:pStyle w:val="Nospace"/>
      </w:pPr>
      <w:r>
        <w:t>Dean Fergusson</w:t>
      </w:r>
      <w:r w:rsidR="003E3C7F">
        <w:rPr>
          <w:vertAlign w:val="superscript"/>
        </w:rPr>
        <w:t>1, 2</w:t>
      </w:r>
    </w:p>
    <w:p w14:paraId="56473A09" w14:textId="180DB0FA" w:rsidR="001F6DE8" w:rsidRDefault="003E3C7F" w:rsidP="001F6DE8">
      <w:pPr>
        <w:pStyle w:val="Nospace"/>
      </w:pPr>
      <w:r>
        <w:t>Salmaan Kanji</w:t>
      </w:r>
      <w:r>
        <w:rPr>
          <w:vertAlign w:val="superscript"/>
        </w:rPr>
        <w:t>1, 5</w:t>
      </w:r>
    </w:p>
    <w:p w14:paraId="5DEE5A36" w14:textId="3DC395B1" w:rsidR="000A2BB9" w:rsidRPr="008855FE" w:rsidRDefault="000A2BB9" w:rsidP="001F6DE8">
      <w:pPr>
        <w:pStyle w:val="Nospace"/>
        <w:rPr>
          <w:vertAlign w:val="superscript"/>
        </w:rPr>
      </w:pPr>
      <w:r>
        <w:t>Mano</w:t>
      </w:r>
      <w:r w:rsidR="009F6325">
        <w:t>j M.</w:t>
      </w:r>
      <w:r>
        <w:t xml:space="preserve"> Lalu</w:t>
      </w:r>
      <w:r w:rsidR="008855FE">
        <w:rPr>
          <w:vertAlign w:val="superscript"/>
        </w:rPr>
        <w:t>3</w:t>
      </w:r>
      <w:r w:rsidR="003E3C7F">
        <w:rPr>
          <w:vertAlign w:val="superscript"/>
        </w:rPr>
        <w:t>,4</w:t>
      </w:r>
    </w:p>
    <w:p w14:paraId="7D698003" w14:textId="615EBAA9" w:rsidR="00EA40A6" w:rsidRDefault="00EA40A6" w:rsidP="001F6DE8">
      <w:pPr>
        <w:pStyle w:val="Nospace"/>
      </w:pPr>
      <w:r>
        <w:t>Nick Mendis</w:t>
      </w:r>
      <w:r w:rsidR="003E3C7F">
        <w:rPr>
          <w:vertAlign w:val="superscript"/>
        </w:rPr>
        <w:t>4</w:t>
      </w:r>
    </w:p>
    <w:p w14:paraId="1639187A" w14:textId="3D602107" w:rsidR="001F6DE8" w:rsidRDefault="001F6DE8" w:rsidP="001F6DE8">
      <w:pPr>
        <w:pStyle w:val="Nospace"/>
      </w:pPr>
      <w:r>
        <w:t>Alan Tinmouth</w:t>
      </w:r>
      <w:r w:rsidR="003E3C7F">
        <w:rPr>
          <w:vertAlign w:val="superscript"/>
        </w:rPr>
        <w:t>1</w:t>
      </w:r>
    </w:p>
    <w:p w14:paraId="3544F240" w14:textId="0B84D8AA" w:rsidR="008855FE" w:rsidRDefault="008855FE" w:rsidP="001F6DE8">
      <w:pPr>
        <w:pStyle w:val="Nospace"/>
      </w:pPr>
    </w:p>
    <w:p w14:paraId="7448A15D" w14:textId="77777777" w:rsidR="00C56941" w:rsidRDefault="008855FE" w:rsidP="008855FE">
      <w:pPr>
        <w:pStyle w:val="Nospace"/>
        <w:rPr>
          <w:vertAlign w:val="superscript"/>
        </w:rPr>
      </w:pPr>
      <w:r>
        <w:rPr>
          <w:vertAlign w:val="superscript"/>
        </w:rPr>
        <w:lastRenderedPageBreak/>
        <w:t xml:space="preserve">1 </w:t>
      </w:r>
      <w:r w:rsidR="00C56941">
        <w:t>Department of Medicine (Division of Critical Care), University of Ottawa, Ottawa, Canada</w:t>
      </w:r>
      <w:r w:rsidR="00C56941">
        <w:rPr>
          <w:vertAlign w:val="superscript"/>
        </w:rPr>
        <w:t xml:space="preserve"> </w:t>
      </w:r>
    </w:p>
    <w:p w14:paraId="46EF369A" w14:textId="121EF758" w:rsidR="008855FE" w:rsidRDefault="008855FE" w:rsidP="008855FE">
      <w:pPr>
        <w:pStyle w:val="Nospace"/>
      </w:pPr>
      <w:r>
        <w:rPr>
          <w:vertAlign w:val="superscript"/>
        </w:rPr>
        <w:t xml:space="preserve">2 </w:t>
      </w:r>
      <w:r w:rsidR="00C56941">
        <w:t>Clinical Epidemiology Program, The Ottawa Hospital Research Institute, Ottawa, Canada</w:t>
      </w:r>
    </w:p>
    <w:p w14:paraId="6028BAA6" w14:textId="5F74F019" w:rsidR="003E3C7F" w:rsidRDefault="008855FE" w:rsidP="008855FE">
      <w:pPr>
        <w:pStyle w:val="Nospace"/>
      </w:pPr>
      <w:r>
        <w:rPr>
          <w:vertAlign w:val="superscript"/>
        </w:rPr>
        <w:t xml:space="preserve">3 </w:t>
      </w:r>
      <w:r>
        <w:t xml:space="preserve">Regenerative Medicine Program, The Ottawa Hospital Research </w:t>
      </w:r>
      <w:r w:rsidR="003E3C7F">
        <w:t>Institute</w:t>
      </w:r>
    </w:p>
    <w:p w14:paraId="53701386" w14:textId="242BC660" w:rsidR="008855FE" w:rsidRDefault="003E3C7F" w:rsidP="008855FE">
      <w:pPr>
        <w:pStyle w:val="Nospace"/>
      </w:pPr>
      <w:r>
        <w:rPr>
          <w:vertAlign w:val="superscript"/>
        </w:rPr>
        <w:t>4</w:t>
      </w:r>
      <w:r w:rsidR="008855FE">
        <w:t>Department of Anesthesiology, The Ottawa Hospital, Ottawa, Canada</w:t>
      </w:r>
    </w:p>
    <w:p w14:paraId="0E11EDE2" w14:textId="6E4579E3" w:rsidR="003E3C7F" w:rsidRPr="003E3C7F" w:rsidRDefault="003E3C7F" w:rsidP="008855FE">
      <w:pPr>
        <w:pStyle w:val="Nospace"/>
      </w:pPr>
      <w:r>
        <w:rPr>
          <w:vertAlign w:val="superscript"/>
        </w:rPr>
        <w:t>5</w:t>
      </w:r>
      <w:r>
        <w:t>Department of Pharmacy, The Ottawa Hospital, Ottawa</w:t>
      </w:r>
    </w:p>
    <w:p w14:paraId="0278AEC1" w14:textId="6AD4D00B" w:rsidR="008855FE" w:rsidRPr="008855FE" w:rsidRDefault="008855FE" w:rsidP="001F6DE8">
      <w:pPr>
        <w:pStyle w:val="Nospace"/>
      </w:pPr>
    </w:p>
    <w:p w14:paraId="388F4A75" w14:textId="77777777" w:rsidR="00937468" w:rsidRDefault="00937468" w:rsidP="00937468">
      <w:pPr>
        <w:pStyle w:val="Heading1"/>
      </w:pPr>
      <w:r>
        <w:t>Review Objective</w:t>
      </w:r>
    </w:p>
    <w:p w14:paraId="5EB062B3" w14:textId="06E88D83" w:rsidR="00A732D1" w:rsidRPr="00916C7C" w:rsidRDefault="00937468" w:rsidP="00937468">
      <w:r w:rsidRPr="00916C7C">
        <w:t xml:space="preserve">To systematically review </w:t>
      </w:r>
      <w:r w:rsidR="000E415F">
        <w:t xml:space="preserve">the risk of coagulation when combining </w:t>
      </w:r>
      <w:r w:rsidR="00ED04D5">
        <w:t xml:space="preserve">human </w:t>
      </w:r>
      <w:r w:rsidR="000E415F">
        <w:t xml:space="preserve">blood products </w:t>
      </w:r>
      <w:r w:rsidR="003D5233">
        <w:t xml:space="preserve">containing red blood cells </w:t>
      </w:r>
      <w:r w:rsidR="000E415F">
        <w:t>with lactated Ringer’s solution (LRS) as compared to other crystalloid solutions.</w:t>
      </w:r>
      <w:r w:rsidR="001F6DE8">
        <w:t xml:space="preserve"> </w:t>
      </w:r>
    </w:p>
    <w:p w14:paraId="2FC76716" w14:textId="77777777" w:rsidR="00937468" w:rsidRDefault="00937468" w:rsidP="00937468">
      <w:pPr>
        <w:pStyle w:val="Heading1"/>
      </w:pPr>
      <w:r>
        <w:t>Searches</w:t>
      </w:r>
    </w:p>
    <w:p w14:paraId="6884F429" w14:textId="2CC3AE73" w:rsidR="00A732D1" w:rsidRDefault="00937468" w:rsidP="00937468">
      <w:r w:rsidRPr="00937468">
        <w:t>The search strategies outlined below were developed in conjunction with a</w:t>
      </w:r>
      <w:r w:rsidR="00563C2D">
        <w:t xml:space="preserve"> health</w:t>
      </w:r>
      <w:r w:rsidRPr="00937468">
        <w:t xml:space="preserve"> information specialist</w:t>
      </w:r>
      <w:r w:rsidR="000E415F">
        <w:t xml:space="preserve"> using PRESS guidelines</w:t>
      </w:r>
      <w:r w:rsidRPr="00937468">
        <w:t xml:space="preserve">. Embase, BIOSIS, MEDLINE, and Web of Science will be searched. The </w:t>
      </w:r>
      <w:r w:rsidR="00563C2D">
        <w:t xml:space="preserve">original </w:t>
      </w:r>
      <w:r w:rsidRPr="00937468">
        <w:t xml:space="preserve">strategy </w:t>
      </w:r>
      <w:r w:rsidR="00563C2D">
        <w:t>(</w:t>
      </w:r>
      <w:r w:rsidRPr="00937468">
        <w:t>below</w:t>
      </w:r>
      <w:r w:rsidR="00563C2D">
        <w:t>)</w:t>
      </w:r>
      <w:r w:rsidRPr="00937468">
        <w:t xml:space="preserve"> was </w:t>
      </w:r>
      <w:r w:rsidR="00563C2D">
        <w:t>designed</w:t>
      </w:r>
      <w:r w:rsidRPr="00937468">
        <w:t xml:space="preserve"> to search MEDLINE</w:t>
      </w:r>
      <w:r w:rsidR="000E415F">
        <w:t xml:space="preserve"> and was adapted for use in each database</w:t>
      </w:r>
      <w:r w:rsidRPr="00937468">
        <w:t xml:space="preserve">. </w:t>
      </w:r>
      <w:r w:rsidR="00784ADC">
        <w:t xml:space="preserve">There </w:t>
      </w:r>
      <w:r w:rsidR="00563C2D">
        <w:t>were no</w:t>
      </w:r>
      <w:r w:rsidR="00784ADC">
        <w:t xml:space="preserve"> language or date restrictions</w:t>
      </w:r>
      <w:r w:rsidR="003D5233">
        <w:t>, with databases searched from inception to 21 March 2016</w:t>
      </w:r>
      <w:r w:rsidR="00784ADC">
        <w:t xml:space="preserve">. </w:t>
      </w:r>
      <w:r w:rsidRPr="00937468">
        <w:t xml:space="preserve">In addition, a manual review of the bibliographies of eligible studies and relevant review articles will be performed. </w:t>
      </w:r>
      <w:r w:rsidR="009752AE">
        <w:t>P</w:t>
      </w:r>
      <w:r w:rsidRPr="00937468">
        <w:t xml:space="preserve">roceedings and abstracts </w:t>
      </w:r>
      <w:r w:rsidR="009752AE">
        <w:t xml:space="preserve">from the AABB conference for the previous 5 years </w:t>
      </w:r>
      <w:r w:rsidRPr="00937468">
        <w:t>will also be searched.</w:t>
      </w:r>
      <w:r w:rsidR="00784ADC">
        <w:t xml:space="preserve"> </w:t>
      </w:r>
    </w:p>
    <w:p w14:paraId="4F97C520" w14:textId="77777777" w:rsidR="00937468" w:rsidRDefault="00937468" w:rsidP="00937468">
      <w:pPr>
        <w:pStyle w:val="Heading1"/>
      </w:pPr>
      <w:r>
        <w:t>Condition or Domain Being Studied</w:t>
      </w:r>
    </w:p>
    <w:p w14:paraId="158BFA4D" w14:textId="78856D4D" w:rsidR="00D02DC1" w:rsidRDefault="00D02DC1" w:rsidP="00937468">
      <w:r w:rsidRPr="00D02DC1">
        <w:t xml:space="preserve">Crystalloid fluids and </w:t>
      </w:r>
      <w:r w:rsidR="00990290">
        <w:t xml:space="preserve">red-cell-containing blood products </w:t>
      </w:r>
      <w:r w:rsidRPr="00D02DC1">
        <w:t>are commonly used for resuscitation</w:t>
      </w:r>
      <w:r w:rsidR="00242D09">
        <w:t xml:space="preserve"> of</w:t>
      </w:r>
      <w:r w:rsidRPr="00D02DC1">
        <w:t xml:space="preserve"> </w:t>
      </w:r>
      <w:r w:rsidR="0078215F">
        <w:t xml:space="preserve">patients in </w:t>
      </w:r>
      <w:r w:rsidRPr="00D02DC1">
        <w:t xml:space="preserve">hemorrhagic shock. </w:t>
      </w:r>
      <w:r w:rsidR="00A54985">
        <w:t>In Canada, two crystalloid fluid</w:t>
      </w:r>
      <w:r w:rsidR="005863C8">
        <w:t>s—</w:t>
      </w:r>
      <w:r w:rsidRPr="00D02DC1">
        <w:t>Lactated Ringer’s solution (LRS)</w:t>
      </w:r>
      <w:r w:rsidR="005863C8">
        <w:t xml:space="preserve"> and normal saline (NS)—account for over 90% of crystalloids used, with LRS having</w:t>
      </w:r>
      <w:r w:rsidRPr="00D02DC1">
        <w:t xml:space="preserve"> potential </w:t>
      </w:r>
      <w:r w:rsidR="005863C8">
        <w:t xml:space="preserve">clinically relevant </w:t>
      </w:r>
      <w:r w:rsidRPr="00D02DC1">
        <w:t xml:space="preserve">advantages over </w:t>
      </w:r>
      <w:r w:rsidR="005863C8">
        <w:t>NS</w:t>
      </w:r>
      <w:r w:rsidRPr="00D02DC1">
        <w:t xml:space="preserve"> in initial resuscitation efforts. </w:t>
      </w:r>
      <w:r w:rsidR="007E6789">
        <w:t>However, current transfusion</w:t>
      </w:r>
      <w:r w:rsidR="00990290">
        <w:t xml:space="preserve"> guidelines</w:t>
      </w:r>
      <w:r w:rsidR="007E6789">
        <w:t xml:space="preserve"> advise against co-administration of red-blood-cell containing products with LRS because of the potential for </w:t>
      </w:r>
      <w:r w:rsidR="00990290">
        <w:t xml:space="preserve">clot formation, </w:t>
      </w:r>
      <w:r w:rsidR="00ED04D5">
        <w:t xml:space="preserve">potentially </w:t>
      </w:r>
      <w:r w:rsidR="00990290">
        <w:t>leading to negative patient outcomes</w:t>
      </w:r>
      <w:r w:rsidR="007E6789">
        <w:t xml:space="preserve">. </w:t>
      </w:r>
      <w:r w:rsidR="00990290">
        <w:t>The evidence supporting these guidelines is conflicting</w:t>
      </w:r>
      <w:r w:rsidRPr="00D02DC1">
        <w:t xml:space="preserve">. </w:t>
      </w:r>
      <w:r w:rsidR="005863C8">
        <w:t xml:space="preserve">Original studies conducted in the 1970s and 80s demonstrated the potential for small amounts of calcium in LRS to overwhelm anticoagulants in whole blood for transfusion, </w:t>
      </w:r>
      <w:r w:rsidR="00F54A7F">
        <w:t>resulting in clot formation</w:t>
      </w:r>
      <w:r w:rsidR="00CE53E3">
        <w:t xml:space="preserve"> at higher</w:t>
      </w:r>
      <w:r w:rsidR="005863C8">
        <w:t xml:space="preserve"> LRS</w:t>
      </w:r>
      <w:r w:rsidR="00CE53E3">
        <w:t xml:space="preserve">-to-blood product </w:t>
      </w:r>
      <w:r w:rsidR="00990290">
        <w:t>ratios</w:t>
      </w:r>
      <w:r w:rsidR="005863C8">
        <w:t xml:space="preserve">. </w:t>
      </w:r>
      <w:r w:rsidR="003D55D0">
        <w:t>Research published since 2000</w:t>
      </w:r>
      <w:r w:rsidR="00990290">
        <w:t xml:space="preserve"> has suggested that </w:t>
      </w:r>
      <w:r w:rsidR="003D55D0">
        <w:t>certain</w:t>
      </w:r>
      <w:r w:rsidR="005863C8">
        <w:t xml:space="preserve"> </w:t>
      </w:r>
      <w:r w:rsidR="00ED04D5">
        <w:t xml:space="preserve">blood product </w:t>
      </w:r>
      <w:r w:rsidR="005863C8">
        <w:t xml:space="preserve">additives </w:t>
      </w:r>
      <w:r w:rsidR="00ED04D5">
        <w:t xml:space="preserve">and rapid transfusion methods </w:t>
      </w:r>
      <w:r w:rsidR="003D55D0">
        <w:t xml:space="preserve">currently in use </w:t>
      </w:r>
      <w:r w:rsidR="005863C8">
        <w:t xml:space="preserve">may reduce the potential for LRS to induce coagulation. </w:t>
      </w:r>
      <w:r w:rsidRPr="00D02DC1">
        <w:t>A systematic review of the availa</w:t>
      </w:r>
      <w:r w:rsidR="005863C8">
        <w:t>ble literature is necessary to summarize the evidence in a methodologically rigorous manner.</w:t>
      </w:r>
    </w:p>
    <w:p w14:paraId="2643AEEB" w14:textId="531BF398" w:rsidR="00443F8C" w:rsidRDefault="00443F8C" w:rsidP="00443F8C">
      <w:pPr>
        <w:pStyle w:val="Heading1"/>
      </w:pPr>
      <w:r>
        <w:t>Types of studies</w:t>
      </w:r>
    </w:p>
    <w:p w14:paraId="725D00A2" w14:textId="726BFD7A" w:rsidR="00605E28" w:rsidRDefault="00605E28" w:rsidP="00605E28">
      <w:pPr>
        <w:pStyle w:val="ListParagraph"/>
        <w:numPr>
          <w:ilvl w:val="0"/>
          <w:numId w:val="14"/>
        </w:numPr>
      </w:pPr>
      <w:r>
        <w:t>Experimental ex vivo studies that include an intervention arm (blood product and Ringer’s lactate) and a control arm (blood product and either normal saline and or Plasmalyte)</w:t>
      </w:r>
    </w:p>
    <w:p w14:paraId="33E81F2B" w14:textId="54B0AE89" w:rsidR="00605E28" w:rsidRDefault="00605E28" w:rsidP="00605E28">
      <w:pPr>
        <w:pStyle w:val="ListParagraph"/>
        <w:numPr>
          <w:ilvl w:val="0"/>
          <w:numId w:val="14"/>
        </w:numPr>
      </w:pPr>
      <w:r>
        <w:t>Experimental ex vivo studies that include single-arm dose-responses (i.e., comparisons of varying ratios of LRS combined with red-cell-containing blood product).</w:t>
      </w:r>
    </w:p>
    <w:p w14:paraId="19249118" w14:textId="31B5932C" w:rsidR="00605E28" w:rsidRDefault="00605E28" w:rsidP="00605E28">
      <w:pPr>
        <w:pStyle w:val="ListParagraph"/>
        <w:numPr>
          <w:ilvl w:val="0"/>
          <w:numId w:val="14"/>
        </w:numPr>
      </w:pPr>
      <w:r w:rsidRPr="00605E28">
        <w:t>In vivo</w:t>
      </w:r>
      <w:r>
        <w:t xml:space="preserve"> studies with a comparator, whether randomized or non-randomized will be included. Case reports, case series, and non-primary research (e.g., editorials, letters) and syntheses (e.g., reviews, systematic reviews) will be excluded.  </w:t>
      </w:r>
    </w:p>
    <w:p w14:paraId="360E1658" w14:textId="4C2EA8A4" w:rsidR="00937468" w:rsidRDefault="00443F8C" w:rsidP="00937468">
      <w:pPr>
        <w:pStyle w:val="Heading1"/>
      </w:pPr>
      <w:r>
        <w:lastRenderedPageBreak/>
        <w:t>Tissue/</w:t>
      </w:r>
      <w:r w:rsidR="00937468">
        <w:t>Participants/Population</w:t>
      </w:r>
    </w:p>
    <w:p w14:paraId="557BF48D" w14:textId="34636EAC" w:rsidR="00937468" w:rsidRDefault="00F54A7F" w:rsidP="00937468">
      <w:r>
        <w:t xml:space="preserve">Inclusion: </w:t>
      </w:r>
      <w:r w:rsidR="00443F8C">
        <w:t xml:space="preserve">Given the ex vivo design of the expected included studies, a “tissue” of interest is more relevant than a “population” of interest. </w:t>
      </w:r>
      <w:r w:rsidR="00242D09">
        <w:t xml:space="preserve">The </w:t>
      </w:r>
      <w:r w:rsidR="00443F8C">
        <w:t>tissue</w:t>
      </w:r>
      <w:r w:rsidR="00242D09">
        <w:t xml:space="preserve"> of interest is any human blood product</w:t>
      </w:r>
      <w:r w:rsidR="00443F8C">
        <w:t xml:space="preserve"> containing red blood cells</w:t>
      </w:r>
      <w:r w:rsidR="00AD4390">
        <w:t xml:space="preserve"> that was processed for transfusion</w:t>
      </w:r>
      <w:r w:rsidR="00242D09">
        <w:t xml:space="preserve">. </w:t>
      </w:r>
      <w:r w:rsidR="00443F8C">
        <w:t xml:space="preserve">For </w:t>
      </w:r>
      <w:r w:rsidR="00B6095E">
        <w:t xml:space="preserve">any </w:t>
      </w:r>
      <w:r w:rsidR="00443F8C">
        <w:t>in vivo studies</w:t>
      </w:r>
      <w:r w:rsidR="00B6095E">
        <w:t xml:space="preserve"> identified</w:t>
      </w:r>
      <w:r w:rsidR="00443F8C">
        <w:t>, the population of interest is any hospitalized patient in receipt of transfusion of a blood product containing red blood cells.</w:t>
      </w:r>
    </w:p>
    <w:p w14:paraId="06BCF7A1" w14:textId="79E8C097" w:rsidR="00080810" w:rsidRDefault="00F54A7F" w:rsidP="00937468">
      <w:r>
        <w:t xml:space="preserve">Exclusion: </w:t>
      </w:r>
      <w:r w:rsidR="00443F8C">
        <w:t xml:space="preserve">Tissue: </w:t>
      </w:r>
      <w:r w:rsidR="00242D09">
        <w:t xml:space="preserve">plasma and </w:t>
      </w:r>
      <w:r w:rsidR="004B7627">
        <w:t>platelet concentrates</w:t>
      </w:r>
    </w:p>
    <w:p w14:paraId="2FBB3381" w14:textId="77777777" w:rsidR="00937468" w:rsidRDefault="00937468" w:rsidP="00937468">
      <w:pPr>
        <w:pStyle w:val="Heading1"/>
      </w:pPr>
      <w:r>
        <w:t>Interventions</w:t>
      </w:r>
    </w:p>
    <w:p w14:paraId="3BB39688" w14:textId="653A503B" w:rsidR="00937468" w:rsidRDefault="00F54A7F" w:rsidP="00937468">
      <w:r>
        <w:t>The intervention of interest is Lactated Ringer’s Solution</w:t>
      </w:r>
      <w:r w:rsidR="00086DE6">
        <w:t xml:space="preserve"> </w:t>
      </w:r>
      <w:r w:rsidR="00AA42F7">
        <w:t xml:space="preserve">or Hartmann’s Solution </w:t>
      </w:r>
      <w:r w:rsidR="00086DE6">
        <w:t xml:space="preserve">co-administered with </w:t>
      </w:r>
      <w:r w:rsidR="00DC0439">
        <w:t xml:space="preserve">red-cell-containing </w:t>
      </w:r>
      <w:r w:rsidR="00086DE6">
        <w:t>blood products</w:t>
      </w:r>
      <w:r w:rsidR="007D632A">
        <w:t>.</w:t>
      </w:r>
    </w:p>
    <w:p w14:paraId="73A2C1DC" w14:textId="77777777" w:rsidR="00937468" w:rsidRDefault="00937468" w:rsidP="00937468">
      <w:pPr>
        <w:pStyle w:val="Heading1"/>
      </w:pPr>
      <w:r>
        <w:t>Comparator(s) / Control(s)</w:t>
      </w:r>
    </w:p>
    <w:p w14:paraId="0F6CBEAA" w14:textId="77777777" w:rsidR="00CF6946" w:rsidRDefault="00F54A7F" w:rsidP="00937468">
      <w:r>
        <w:t xml:space="preserve">Any crystalloid fluid </w:t>
      </w:r>
      <w:r w:rsidR="000E415F">
        <w:t xml:space="preserve">co-administered with </w:t>
      </w:r>
      <w:r w:rsidR="00DC0439">
        <w:t>red-cell-containing b</w:t>
      </w:r>
      <w:r w:rsidR="000E415F">
        <w:t>lood</w:t>
      </w:r>
      <w:r>
        <w:t xml:space="preserve"> </w:t>
      </w:r>
      <w:r w:rsidR="00A62348">
        <w:t xml:space="preserve">products </w:t>
      </w:r>
      <w:r>
        <w:t>will be co</w:t>
      </w:r>
      <w:r w:rsidR="007D632A">
        <w:t>nsidered a valid comparator</w:t>
      </w:r>
      <w:r w:rsidR="00B7019E">
        <w:t xml:space="preserve">. </w:t>
      </w:r>
      <w:r w:rsidR="002574CD">
        <w:t>The</w:t>
      </w:r>
      <w:r w:rsidR="00B7019E">
        <w:t xml:space="preserve"> list </w:t>
      </w:r>
      <w:r w:rsidR="002574CD">
        <w:t xml:space="preserve">of valid comparators </w:t>
      </w:r>
      <w:r w:rsidR="00B7019E">
        <w:t>will include</w:t>
      </w:r>
      <w:r w:rsidR="007D632A">
        <w:t xml:space="preserve"> normal saline</w:t>
      </w:r>
      <w:r w:rsidR="00B7019E">
        <w:t xml:space="preserve"> and</w:t>
      </w:r>
      <w:r w:rsidR="007D632A">
        <w:t xml:space="preserve"> Plasma-Lyte</w:t>
      </w:r>
      <w:r w:rsidR="00B7019E">
        <w:t xml:space="preserve">, and will be </w:t>
      </w:r>
      <w:r w:rsidR="002574CD">
        <w:t xml:space="preserve">further </w:t>
      </w:r>
      <w:r w:rsidR="00B7019E">
        <w:t>populated from the included studies</w:t>
      </w:r>
      <w:r w:rsidR="007D632A">
        <w:t xml:space="preserve">. </w:t>
      </w:r>
    </w:p>
    <w:p w14:paraId="189D0D76" w14:textId="77777777" w:rsidR="00937468" w:rsidRDefault="00937468" w:rsidP="00937468">
      <w:pPr>
        <w:pStyle w:val="Heading1"/>
      </w:pPr>
      <w:r>
        <w:t>Outcomes</w:t>
      </w:r>
    </w:p>
    <w:p w14:paraId="5C1A16C5" w14:textId="432F66CA" w:rsidR="00937468" w:rsidRDefault="00C02FAD" w:rsidP="00937468">
      <w:r>
        <w:t xml:space="preserve">The primary outcome of interest will be </w:t>
      </w:r>
      <w:r w:rsidR="008A5EDC">
        <w:t xml:space="preserve">clotting </w:t>
      </w:r>
      <w:r>
        <w:t>of the blood product ex vivo, whether that is measured macroscopically in the blood samples or on filters, biochemically (e.g., enzyme-linked immunosorbent assay of prothrombin activation fragment 1 + 2)</w:t>
      </w:r>
      <w:r w:rsidR="003945FE">
        <w:t>, or through other methods</w:t>
      </w:r>
      <w:r w:rsidR="00B6095E">
        <w:t>.</w:t>
      </w:r>
      <w:r>
        <w:t xml:space="preserve"> </w:t>
      </w:r>
      <w:r w:rsidR="00F032E7">
        <w:t>Data will be extracted for these outcomes at all crystalloid:blood</w:t>
      </w:r>
      <w:r w:rsidR="00990290">
        <w:t>-</w:t>
      </w:r>
      <w:r w:rsidR="00F032E7">
        <w:t>product ratios and at all studied time points</w:t>
      </w:r>
      <w:r w:rsidR="00182BB9">
        <w:t xml:space="preserve"> and incubation temperatures</w:t>
      </w:r>
      <w:r w:rsidR="00F032E7">
        <w:t>.</w:t>
      </w:r>
    </w:p>
    <w:p w14:paraId="6FE87887" w14:textId="77777777" w:rsidR="00937468" w:rsidRDefault="00937468" w:rsidP="00937468">
      <w:pPr>
        <w:pStyle w:val="Heading1"/>
      </w:pPr>
      <w:r>
        <w:t>Data Extraction</w:t>
      </w:r>
    </w:p>
    <w:p w14:paraId="0F58C07A" w14:textId="60D4BD27" w:rsidR="00BF0B7A" w:rsidRDefault="00F032E7" w:rsidP="00937468">
      <w:r>
        <w:t xml:space="preserve">The available literature will be screened </w:t>
      </w:r>
      <w:r w:rsidR="00BF0B7A">
        <w:t xml:space="preserve">for relevance </w:t>
      </w:r>
      <w:r>
        <w:t>by two independent reviewers at two levels. Initially, all titles an</w:t>
      </w:r>
      <w:r w:rsidR="00BF0B7A">
        <w:t xml:space="preserve">d abstracts will be screened, with both reviewers being required to exclude a study but only one </w:t>
      </w:r>
      <w:r w:rsidR="00990290">
        <w:t xml:space="preserve">reviewer required </w:t>
      </w:r>
      <w:r w:rsidR="00BF0B7A">
        <w:t xml:space="preserve">for inclusion. Subsequently, the full texts of all </w:t>
      </w:r>
      <w:r>
        <w:t>potenti</w:t>
      </w:r>
      <w:r w:rsidR="00BF0B7A">
        <w:t xml:space="preserve">ally relevant studies will be screened in the same manner. Data will be extracted </w:t>
      </w:r>
      <w:r w:rsidR="00990290">
        <w:t xml:space="preserve">by two independent reviewers </w:t>
      </w:r>
      <w:r w:rsidR="00BF0B7A">
        <w:t xml:space="preserve">from all studies deemed relevant after full text screening. </w:t>
      </w:r>
    </w:p>
    <w:p w14:paraId="1811D8B7" w14:textId="39B5A502" w:rsidR="00BF0B7A" w:rsidRDefault="00BF0B7A" w:rsidP="00937468">
      <w:r>
        <w:t xml:space="preserve">All conflicts during relevance screening and data extraction will be resolved </w:t>
      </w:r>
      <w:r w:rsidR="00966D55">
        <w:t>by consensus</w:t>
      </w:r>
      <w:r>
        <w:t>, with final resolution through discussion with the primary investigator, if necessary. Relevance screening and data extraction will be conducted on piloted, standardized forms, using the online systematic review software SRDistiller® (</w:t>
      </w:r>
      <w:hyperlink r:id="rId10" w:history="1">
        <w:r w:rsidR="00990290" w:rsidRPr="00780163">
          <w:rPr>
            <w:rStyle w:val="Hyperlink"/>
          </w:rPr>
          <w:t>https://distillercer.com/</w:t>
        </w:r>
      </w:hyperlink>
      <w:r>
        <w:t>)</w:t>
      </w:r>
      <w:r w:rsidR="00990290">
        <w:t xml:space="preserve"> and Excel (Microsoft Corp)</w:t>
      </w:r>
      <w:r>
        <w:t xml:space="preserve">. </w:t>
      </w:r>
    </w:p>
    <w:p w14:paraId="227E8577" w14:textId="7F250E8F" w:rsidR="00852EF9" w:rsidRDefault="00852EF9" w:rsidP="00937468">
      <w:r>
        <w:t>The following manuscript-level data will be extracted: first author’s last name, year of publication, country of study or of corresponding author.</w:t>
      </w:r>
    </w:p>
    <w:p w14:paraId="699E1793" w14:textId="5DF861AC" w:rsidR="00852EF9" w:rsidRDefault="00852EF9" w:rsidP="00937468">
      <w:r>
        <w:t>Study-level data will include the following</w:t>
      </w:r>
      <w:r w:rsidR="006E1BB3">
        <w:t xml:space="preserve"> (draft only)</w:t>
      </w:r>
      <w:r>
        <w:t>:</w:t>
      </w:r>
    </w:p>
    <w:p w14:paraId="0B506324" w14:textId="62205EFD" w:rsidR="00852EF9" w:rsidRDefault="00852EF9" w:rsidP="00852EF9">
      <w:pPr>
        <w:pStyle w:val="ListParagraph"/>
        <w:numPr>
          <w:ilvl w:val="0"/>
          <w:numId w:val="4"/>
        </w:numPr>
      </w:pPr>
      <w:r>
        <w:t>Type of blood product used</w:t>
      </w:r>
    </w:p>
    <w:p w14:paraId="0EE90314" w14:textId="777F45DA" w:rsidR="00852EF9" w:rsidRDefault="00852EF9" w:rsidP="00852EF9">
      <w:pPr>
        <w:pStyle w:val="ListParagraph"/>
        <w:numPr>
          <w:ilvl w:val="1"/>
          <w:numId w:val="4"/>
        </w:numPr>
      </w:pPr>
      <w:r>
        <w:t>Whole blood</w:t>
      </w:r>
    </w:p>
    <w:p w14:paraId="68A7AED5" w14:textId="05F0F792" w:rsidR="00852EF9" w:rsidRDefault="00852EF9" w:rsidP="00852EF9">
      <w:pPr>
        <w:pStyle w:val="ListParagraph"/>
        <w:numPr>
          <w:ilvl w:val="1"/>
          <w:numId w:val="4"/>
        </w:numPr>
      </w:pPr>
      <w:r>
        <w:t>Packed red cell concentrate</w:t>
      </w:r>
    </w:p>
    <w:p w14:paraId="4E273BC9" w14:textId="2E0B8740" w:rsidR="00852EF9" w:rsidRDefault="00852EF9" w:rsidP="00852EF9">
      <w:pPr>
        <w:pStyle w:val="ListParagraph"/>
        <w:numPr>
          <w:ilvl w:val="0"/>
          <w:numId w:val="4"/>
        </w:numPr>
      </w:pPr>
      <w:r>
        <w:t>Anti-coagulants and additives added to the red-cell product (check all that apply)</w:t>
      </w:r>
    </w:p>
    <w:p w14:paraId="2641C52E" w14:textId="783918CF" w:rsidR="00852EF9" w:rsidRDefault="00852EF9" w:rsidP="00852EF9">
      <w:pPr>
        <w:pStyle w:val="ListParagraph"/>
        <w:numPr>
          <w:ilvl w:val="1"/>
          <w:numId w:val="4"/>
        </w:numPr>
      </w:pPr>
      <w:r>
        <w:lastRenderedPageBreak/>
        <w:t>Citrate alone</w:t>
      </w:r>
    </w:p>
    <w:p w14:paraId="4179B22A" w14:textId="6571FA62" w:rsidR="00852EF9" w:rsidRDefault="00852EF9" w:rsidP="00852EF9">
      <w:pPr>
        <w:pStyle w:val="ListParagraph"/>
        <w:numPr>
          <w:ilvl w:val="1"/>
          <w:numId w:val="4"/>
        </w:numPr>
      </w:pPr>
      <w:r>
        <w:t>CPD (citrate-phosphate-dextrose)</w:t>
      </w:r>
    </w:p>
    <w:p w14:paraId="609F681A" w14:textId="5C228A6F" w:rsidR="00852EF9" w:rsidRDefault="00852EF9" w:rsidP="00852EF9">
      <w:pPr>
        <w:pStyle w:val="ListParagraph"/>
        <w:numPr>
          <w:ilvl w:val="1"/>
          <w:numId w:val="4"/>
        </w:numPr>
      </w:pPr>
      <w:r>
        <w:t>CPD2 (citrate-phosphate-double-dextrose)</w:t>
      </w:r>
    </w:p>
    <w:p w14:paraId="342598C5" w14:textId="42B0C26B" w:rsidR="004273A7" w:rsidRDefault="004273A7" w:rsidP="00852EF9">
      <w:pPr>
        <w:pStyle w:val="ListParagraph"/>
        <w:numPr>
          <w:ilvl w:val="1"/>
          <w:numId w:val="4"/>
        </w:numPr>
      </w:pPr>
      <w:r>
        <w:t>AS-1</w:t>
      </w:r>
    </w:p>
    <w:p w14:paraId="53C1F1CA" w14:textId="204D5ED6" w:rsidR="00852EF9" w:rsidRDefault="00852EF9" w:rsidP="00852EF9">
      <w:pPr>
        <w:pStyle w:val="ListParagraph"/>
        <w:numPr>
          <w:ilvl w:val="1"/>
          <w:numId w:val="4"/>
        </w:numPr>
      </w:pPr>
      <w:r>
        <w:t>AS-3</w:t>
      </w:r>
    </w:p>
    <w:p w14:paraId="533BF8B4" w14:textId="0FEE68C6" w:rsidR="00852EF9" w:rsidRDefault="00852EF9" w:rsidP="00852EF9">
      <w:pPr>
        <w:pStyle w:val="ListParagraph"/>
        <w:numPr>
          <w:ilvl w:val="1"/>
          <w:numId w:val="4"/>
        </w:numPr>
      </w:pPr>
      <w:r>
        <w:t>SAGM (saline-adenine-gluose-mannitol)</w:t>
      </w:r>
    </w:p>
    <w:p w14:paraId="48362502" w14:textId="4A51EC99" w:rsidR="00852EF9" w:rsidRDefault="00852EF9" w:rsidP="00852EF9">
      <w:pPr>
        <w:pStyle w:val="ListParagraph"/>
        <w:numPr>
          <w:ilvl w:val="1"/>
          <w:numId w:val="4"/>
        </w:numPr>
      </w:pPr>
      <w:r>
        <w:t>Other (please specify)</w:t>
      </w:r>
    </w:p>
    <w:p w14:paraId="4D128C6E" w14:textId="05A770AF" w:rsidR="008B75B3" w:rsidRDefault="008B75B3" w:rsidP="00852EF9">
      <w:pPr>
        <w:pStyle w:val="ListParagraph"/>
        <w:numPr>
          <w:ilvl w:val="0"/>
          <w:numId w:val="4"/>
        </w:numPr>
      </w:pPr>
      <w:r>
        <w:t>Type(s) of crystalloids used (check all that apply)</w:t>
      </w:r>
    </w:p>
    <w:p w14:paraId="00F5D85F" w14:textId="28AB267C" w:rsidR="008B75B3" w:rsidRDefault="008B75B3" w:rsidP="008B75B3">
      <w:pPr>
        <w:pStyle w:val="ListParagraph"/>
        <w:numPr>
          <w:ilvl w:val="1"/>
          <w:numId w:val="4"/>
        </w:numPr>
      </w:pPr>
      <w:r>
        <w:t>LRS</w:t>
      </w:r>
    </w:p>
    <w:p w14:paraId="48F0188C" w14:textId="4A057467" w:rsidR="008B75B3" w:rsidRDefault="008B75B3" w:rsidP="008B75B3">
      <w:pPr>
        <w:pStyle w:val="ListParagraph"/>
        <w:numPr>
          <w:ilvl w:val="1"/>
          <w:numId w:val="4"/>
        </w:numPr>
      </w:pPr>
      <w:r>
        <w:t>Normal saline (check if used alone or in combination with dextrose)</w:t>
      </w:r>
    </w:p>
    <w:p w14:paraId="6AB31F6B" w14:textId="05F74A9A" w:rsidR="008B75B3" w:rsidRDefault="008B75B3" w:rsidP="008B75B3">
      <w:pPr>
        <w:pStyle w:val="ListParagraph"/>
        <w:numPr>
          <w:ilvl w:val="1"/>
          <w:numId w:val="4"/>
        </w:numPr>
      </w:pPr>
      <w:r>
        <w:t>Dextrose (check if used alone or in combination with saline)</w:t>
      </w:r>
    </w:p>
    <w:p w14:paraId="0126F527" w14:textId="7A5852E1" w:rsidR="008B75B3" w:rsidRDefault="008B75B3" w:rsidP="008B75B3">
      <w:pPr>
        <w:pStyle w:val="ListParagraph"/>
        <w:numPr>
          <w:ilvl w:val="1"/>
          <w:numId w:val="4"/>
        </w:numPr>
      </w:pPr>
      <w:r>
        <w:t>PlasmaLyte</w:t>
      </w:r>
    </w:p>
    <w:p w14:paraId="6DA616A0" w14:textId="7F150FCB" w:rsidR="008B75B3" w:rsidRDefault="008B75B3" w:rsidP="008B75B3">
      <w:pPr>
        <w:pStyle w:val="ListParagraph"/>
        <w:numPr>
          <w:ilvl w:val="1"/>
          <w:numId w:val="4"/>
        </w:numPr>
      </w:pPr>
      <w:r>
        <w:t>Other (please specify)</w:t>
      </w:r>
    </w:p>
    <w:p w14:paraId="43EE82F9" w14:textId="23E61724" w:rsidR="00852EF9" w:rsidRDefault="00852EF9" w:rsidP="00852EF9">
      <w:pPr>
        <w:pStyle w:val="ListParagraph"/>
        <w:numPr>
          <w:ilvl w:val="0"/>
          <w:numId w:val="4"/>
        </w:numPr>
      </w:pPr>
      <w:r>
        <w:t>Study type</w:t>
      </w:r>
    </w:p>
    <w:p w14:paraId="71DC7D23" w14:textId="4BEE09AE" w:rsidR="00852EF9" w:rsidRDefault="00852EF9" w:rsidP="00852EF9">
      <w:pPr>
        <w:pStyle w:val="ListParagraph"/>
        <w:numPr>
          <w:ilvl w:val="1"/>
          <w:numId w:val="4"/>
        </w:numPr>
      </w:pPr>
      <w:r w:rsidRPr="00852EF9">
        <w:t>Ex vivo experiment comparing LRS to another crystalloid fluid</w:t>
      </w:r>
    </w:p>
    <w:p w14:paraId="05F63D38" w14:textId="33EB8F8C" w:rsidR="00852EF9" w:rsidRDefault="00852EF9" w:rsidP="00852EF9">
      <w:pPr>
        <w:pStyle w:val="ListParagraph"/>
        <w:numPr>
          <w:ilvl w:val="1"/>
          <w:numId w:val="4"/>
        </w:numPr>
      </w:pPr>
      <w:r>
        <w:t>Ex vivo single-arm dose-response experi</w:t>
      </w:r>
      <w:r w:rsidRPr="00852EF9">
        <w:t>ment of LRS (evaluates different concentrations, times, etc.)</w:t>
      </w:r>
    </w:p>
    <w:p w14:paraId="2464C81A" w14:textId="350A793A" w:rsidR="00852EF9" w:rsidRDefault="00852EF9" w:rsidP="00852EF9">
      <w:pPr>
        <w:pStyle w:val="ListParagraph"/>
        <w:numPr>
          <w:ilvl w:val="1"/>
          <w:numId w:val="4"/>
        </w:numPr>
      </w:pPr>
      <w:r>
        <w:t xml:space="preserve">In vivo experimental design, randomized or non-randomized, </w:t>
      </w:r>
      <w:r w:rsidRPr="00852EF9">
        <w:t>with any number of arms</w:t>
      </w:r>
    </w:p>
    <w:p w14:paraId="3E0DE7BC" w14:textId="5A9820B4" w:rsidR="00852EF9" w:rsidRDefault="00852EF9" w:rsidP="00852EF9">
      <w:pPr>
        <w:pStyle w:val="ListParagraph"/>
        <w:numPr>
          <w:ilvl w:val="1"/>
          <w:numId w:val="4"/>
        </w:numPr>
      </w:pPr>
      <w:r w:rsidRPr="00852EF9">
        <w:t>In vivo</w:t>
      </w:r>
      <w:r>
        <w:t xml:space="preserve"> observational study, excluding case reports and case series</w:t>
      </w:r>
    </w:p>
    <w:p w14:paraId="41182142" w14:textId="77777777" w:rsidR="00CF6946" w:rsidRDefault="00CF6946" w:rsidP="00605E28">
      <w:pPr>
        <w:pStyle w:val="ListParagraph"/>
        <w:ind w:left="1440"/>
      </w:pPr>
    </w:p>
    <w:p w14:paraId="192B7C73" w14:textId="0B3F1F06" w:rsidR="00852EF9" w:rsidRDefault="00852EF9" w:rsidP="00852EF9">
      <w:pPr>
        <w:pStyle w:val="ListParagraph"/>
        <w:numPr>
          <w:ilvl w:val="0"/>
          <w:numId w:val="4"/>
        </w:numPr>
      </w:pPr>
      <w:r>
        <w:t>Narrative description of the experimental</w:t>
      </w:r>
      <w:r w:rsidR="00D941C8">
        <w:t xml:space="preserve"> procedure, including description of experimental design (e.g., fluids and blood product mixed in tubes or in </w:t>
      </w:r>
      <w:r w:rsidR="00D6412C">
        <w:t>transfusion set</w:t>
      </w:r>
      <w:r w:rsidR="00D941C8">
        <w:t xml:space="preserve"> for ex vivo designs), concentrations of mixtures studied, number of replicates, temperature(s) at which experiments were conducted</w:t>
      </w:r>
      <w:r w:rsidR="00D6412C">
        <w:t xml:space="preserve"> (or whether blood or mixture went through a warmer in transfusion set), time points at which outcome was measured</w:t>
      </w:r>
    </w:p>
    <w:p w14:paraId="0F95D192" w14:textId="694A5713" w:rsidR="00D6412C" w:rsidRDefault="00D6412C" w:rsidP="00852EF9">
      <w:pPr>
        <w:pStyle w:val="ListParagraph"/>
        <w:numPr>
          <w:ilvl w:val="0"/>
          <w:numId w:val="4"/>
        </w:numPr>
      </w:pPr>
      <w:r>
        <w:t>How was coagulation measured?</w:t>
      </w:r>
    </w:p>
    <w:p w14:paraId="63FB64F8" w14:textId="6CAF8202" w:rsidR="00D6412C" w:rsidRDefault="00D6412C" w:rsidP="00D6412C">
      <w:pPr>
        <w:pStyle w:val="ListParagraph"/>
        <w:numPr>
          <w:ilvl w:val="1"/>
          <w:numId w:val="4"/>
        </w:numPr>
      </w:pPr>
      <w:r>
        <w:t>Visual inspection, no filter</w:t>
      </w:r>
    </w:p>
    <w:p w14:paraId="3729C68E" w14:textId="642C53A3" w:rsidR="00D6412C" w:rsidRDefault="00D6412C" w:rsidP="00D6412C">
      <w:pPr>
        <w:pStyle w:val="ListParagraph"/>
        <w:numPr>
          <w:ilvl w:val="1"/>
          <w:numId w:val="4"/>
        </w:numPr>
      </w:pPr>
      <w:r>
        <w:t>Visual inspection of filter</w:t>
      </w:r>
    </w:p>
    <w:p w14:paraId="13916EF5" w14:textId="7BE8B52E" w:rsidR="00D6412C" w:rsidRDefault="00D6412C" w:rsidP="00D6412C">
      <w:pPr>
        <w:pStyle w:val="ListParagraph"/>
        <w:numPr>
          <w:ilvl w:val="1"/>
          <w:numId w:val="4"/>
        </w:numPr>
      </w:pPr>
      <w:r>
        <w:t>Microscopy</w:t>
      </w:r>
    </w:p>
    <w:p w14:paraId="297B8FBC" w14:textId="03DB4BCB" w:rsidR="00D6412C" w:rsidRDefault="009340F0" w:rsidP="00D6412C">
      <w:pPr>
        <w:pStyle w:val="ListParagraph"/>
        <w:numPr>
          <w:ilvl w:val="1"/>
          <w:numId w:val="4"/>
        </w:numPr>
      </w:pPr>
      <w:r>
        <w:t>P</w:t>
      </w:r>
      <w:r w:rsidR="00D6412C">
        <w:t>rothrombin activation fragment 1+2</w:t>
      </w:r>
    </w:p>
    <w:p w14:paraId="4E17391D" w14:textId="67C5C33C" w:rsidR="00D6412C" w:rsidRDefault="00D6412C" w:rsidP="00D6412C">
      <w:pPr>
        <w:pStyle w:val="ListParagraph"/>
        <w:numPr>
          <w:ilvl w:val="1"/>
          <w:numId w:val="4"/>
        </w:numPr>
      </w:pPr>
      <w:r>
        <w:t>Other method (please describe)</w:t>
      </w:r>
    </w:p>
    <w:p w14:paraId="28DFD274" w14:textId="07E55F62" w:rsidR="00D6412C" w:rsidRDefault="00D6412C" w:rsidP="00D6412C">
      <w:pPr>
        <w:pStyle w:val="ListParagraph"/>
        <w:numPr>
          <w:ilvl w:val="0"/>
          <w:numId w:val="4"/>
        </w:numPr>
      </w:pPr>
      <w:r>
        <w:t xml:space="preserve">Narrative summary of results, including any quantitative data reported. </w:t>
      </w:r>
    </w:p>
    <w:p w14:paraId="686567F3" w14:textId="77777777" w:rsidR="00937468" w:rsidRDefault="00937468" w:rsidP="00937468">
      <w:pPr>
        <w:pStyle w:val="Heading1"/>
      </w:pPr>
      <w:r>
        <w:t>Risk of Bias (Methodological Quality) Assessment</w:t>
      </w:r>
    </w:p>
    <w:p w14:paraId="1551B809" w14:textId="4C611EAB" w:rsidR="00937468" w:rsidRDefault="00825E48" w:rsidP="00937468">
      <w:r>
        <w:t>Elements from the Cochrane risk of bias tool for randomized studies and the Guidance on Good Cell Culture Practice (a report of the Second European Centre for the Validation of Alternative Methods (ECVAM) Task Force on Good Cell Culture Practice, 2005) were adapted to create a tool for the assessment of bias in and the methodological quality of ex vivo studies. The included elements are the following:</w:t>
      </w:r>
    </w:p>
    <w:p w14:paraId="059B1F09" w14:textId="77777777" w:rsidR="004509E5" w:rsidRDefault="004509E5" w:rsidP="004509E5">
      <w:pPr>
        <w:pStyle w:val="Heading1"/>
        <w:numPr>
          <w:ilvl w:val="0"/>
          <w:numId w:val="8"/>
        </w:numPr>
      </w:pPr>
      <w:r>
        <w:t>Performance bias</w:t>
      </w:r>
    </w:p>
    <w:p w14:paraId="0193CF55" w14:textId="79CCEAF6" w:rsidR="004509E5" w:rsidRDefault="004509E5" w:rsidP="004509E5">
      <w:pPr>
        <w:pStyle w:val="ListParagraph"/>
        <w:numPr>
          <w:ilvl w:val="0"/>
          <w:numId w:val="7"/>
        </w:numPr>
      </w:pPr>
      <w:r>
        <w:t>Were the researchers conducting the experiment blinded?</w:t>
      </w:r>
    </w:p>
    <w:p w14:paraId="1E859066" w14:textId="77777777" w:rsidR="004509E5" w:rsidRDefault="004509E5" w:rsidP="004509E5">
      <w:pPr>
        <w:pStyle w:val="Heading1"/>
        <w:numPr>
          <w:ilvl w:val="0"/>
          <w:numId w:val="8"/>
        </w:numPr>
      </w:pPr>
      <w:r>
        <w:lastRenderedPageBreak/>
        <w:t>Detection bias</w:t>
      </w:r>
    </w:p>
    <w:p w14:paraId="034BEEDB" w14:textId="523CE4A5" w:rsidR="004509E5" w:rsidRDefault="004509E5" w:rsidP="004509E5">
      <w:pPr>
        <w:pStyle w:val="ListParagraph"/>
        <w:numPr>
          <w:ilvl w:val="0"/>
          <w:numId w:val="7"/>
        </w:numPr>
      </w:pPr>
      <w:r>
        <w:t>Were the outcome assessors blinded?</w:t>
      </w:r>
    </w:p>
    <w:p w14:paraId="1316FC16" w14:textId="77777777" w:rsidR="004509E5" w:rsidRDefault="004509E5" w:rsidP="004509E5">
      <w:pPr>
        <w:pStyle w:val="Heading1"/>
        <w:numPr>
          <w:ilvl w:val="0"/>
          <w:numId w:val="8"/>
        </w:numPr>
      </w:pPr>
      <w:r>
        <w:t>Attrition bias</w:t>
      </w:r>
    </w:p>
    <w:p w14:paraId="4DFA6363" w14:textId="41B272FB" w:rsidR="004509E5" w:rsidRDefault="004509E5" w:rsidP="004509E5">
      <w:pPr>
        <w:pStyle w:val="ListParagraph"/>
        <w:numPr>
          <w:ilvl w:val="0"/>
          <w:numId w:val="7"/>
        </w:numPr>
      </w:pPr>
      <w:r>
        <w:t>Was there complete outcome data? (i.e., were all the samples accounted for in the reported results?)</w:t>
      </w:r>
    </w:p>
    <w:p w14:paraId="19C3A30F" w14:textId="77777777" w:rsidR="004509E5" w:rsidRDefault="004509E5" w:rsidP="004509E5">
      <w:pPr>
        <w:pStyle w:val="Heading1"/>
        <w:numPr>
          <w:ilvl w:val="0"/>
          <w:numId w:val="8"/>
        </w:numPr>
      </w:pPr>
      <w:r>
        <w:t>Reporting bias</w:t>
      </w:r>
    </w:p>
    <w:p w14:paraId="268259F8" w14:textId="1B5A5CB9" w:rsidR="004509E5" w:rsidRDefault="004509E5" w:rsidP="004509E5">
      <w:pPr>
        <w:pStyle w:val="ListParagraph"/>
        <w:numPr>
          <w:ilvl w:val="0"/>
          <w:numId w:val="7"/>
        </w:numPr>
      </w:pPr>
      <w:r>
        <w:t>Was there non-selective outcome reporting? (i.e., were all the tests identified in the Methods section reported in the Results section?)</w:t>
      </w:r>
    </w:p>
    <w:p w14:paraId="71C2447A" w14:textId="77777777" w:rsidR="004509E5" w:rsidRDefault="004509E5" w:rsidP="004509E5">
      <w:pPr>
        <w:pStyle w:val="Heading1"/>
        <w:numPr>
          <w:ilvl w:val="0"/>
          <w:numId w:val="8"/>
        </w:numPr>
      </w:pPr>
      <w:r>
        <w:t>Other bias</w:t>
      </w:r>
    </w:p>
    <w:p w14:paraId="0BE7D0FA" w14:textId="67039A40" w:rsidR="004509E5" w:rsidRDefault="004509E5" w:rsidP="004509E5">
      <w:pPr>
        <w:pStyle w:val="ListParagraph"/>
        <w:numPr>
          <w:ilvl w:val="0"/>
          <w:numId w:val="7"/>
        </w:numPr>
      </w:pPr>
      <w:r>
        <w:t>Did the red cell product(s) used in the experiment(s) meet accepted transfusion standards at the time of the study</w:t>
      </w:r>
      <w:r w:rsidR="00BE0828">
        <w:t>?</w:t>
      </w:r>
      <w:r>
        <w:t xml:space="preserve"> (e.g., blood underwent standard processing, handling, and maintenance at a blood bank [it would be sufficient to report that blood had been obtained from a blood bank rather than from study volunteers]; blood was used within its expiry date; blood had not been discarded from blood bank)</w:t>
      </w:r>
      <w:r>
        <w:br/>
      </w:r>
    </w:p>
    <w:p w14:paraId="5748C502" w14:textId="7AA6A59E" w:rsidR="004509E5" w:rsidRDefault="004509E5" w:rsidP="004509E5">
      <w:pPr>
        <w:pStyle w:val="ListParagraph"/>
        <w:numPr>
          <w:ilvl w:val="0"/>
          <w:numId w:val="7"/>
        </w:numPr>
      </w:pPr>
      <w:r>
        <w:t>Was the crystalloid used obtained from an industry source</w:t>
      </w:r>
      <w:r w:rsidR="00BE0828">
        <w:t>?</w:t>
      </w:r>
      <w:r>
        <w:t xml:space="preserve"> (i.e., </w:t>
      </w:r>
      <w:r w:rsidR="00BE0828">
        <w:t xml:space="preserve">the </w:t>
      </w:r>
      <w:r>
        <w:t xml:space="preserve">name of </w:t>
      </w:r>
      <w:r w:rsidR="00BE0828">
        <w:t xml:space="preserve">the </w:t>
      </w:r>
      <w:r>
        <w:t xml:space="preserve">manufacturer </w:t>
      </w:r>
      <w:r w:rsidR="00BE0828">
        <w:t>must</w:t>
      </w:r>
      <w:r>
        <w:t xml:space="preserve"> be cited)</w:t>
      </w:r>
    </w:p>
    <w:p w14:paraId="44E2735E" w14:textId="1238E1A5" w:rsidR="00825E48" w:rsidRDefault="004509E5" w:rsidP="004509E5">
      <w:r>
        <w:t xml:space="preserve">Possible response options for all risk of bias questions will be </w:t>
      </w:r>
      <w:r w:rsidR="00BE0828">
        <w:t>“</w:t>
      </w:r>
      <w:r>
        <w:t>Yes</w:t>
      </w:r>
      <w:r w:rsidR="00BE0828">
        <w:t>”</w:t>
      </w:r>
      <w:r>
        <w:t xml:space="preserve"> (low bias), </w:t>
      </w:r>
      <w:r w:rsidR="00BE0828">
        <w:t>“</w:t>
      </w:r>
      <w:r>
        <w:t>No</w:t>
      </w:r>
      <w:r w:rsidR="00BE0828">
        <w:t>”</w:t>
      </w:r>
      <w:r>
        <w:t xml:space="preserve"> (high bias), </w:t>
      </w:r>
      <w:r w:rsidR="00BE0828">
        <w:t>and “</w:t>
      </w:r>
      <w:r>
        <w:t>Unclear</w:t>
      </w:r>
      <w:r w:rsidR="00BE0828">
        <w:t>”</w:t>
      </w:r>
      <w:r>
        <w:t xml:space="preserve"> (unclear bias). Studies will be considered </w:t>
      </w:r>
      <w:r w:rsidR="00BE0828">
        <w:t>to have a</w:t>
      </w:r>
      <w:r>
        <w:t xml:space="preserve"> low risk of bias overall for the coagulation outcome if all responses are </w:t>
      </w:r>
      <w:r w:rsidR="00BE0828">
        <w:t>“</w:t>
      </w:r>
      <w:r>
        <w:t>Yes.</w:t>
      </w:r>
      <w:r w:rsidR="00BE0828">
        <w:t>”</w:t>
      </w:r>
      <w:r>
        <w:t xml:space="preserve"> Any “No” response will result in an over</w:t>
      </w:r>
      <w:r w:rsidR="00BE0828">
        <w:t xml:space="preserve">all high risk of bias, while a combination of “Yes” and “Unclear” responses will be considered to be an unclear risk of bias overall. </w:t>
      </w:r>
    </w:p>
    <w:p w14:paraId="57C85F50" w14:textId="77777777" w:rsidR="00937468" w:rsidRDefault="00937468" w:rsidP="00937468">
      <w:pPr>
        <w:pStyle w:val="Heading1"/>
      </w:pPr>
      <w:r>
        <w:t>Strategy for Data Synthesis</w:t>
      </w:r>
    </w:p>
    <w:p w14:paraId="3CFD751A" w14:textId="32B3DB1D" w:rsidR="00937468" w:rsidRDefault="000037F9" w:rsidP="00937468">
      <w:r>
        <w:t>The number of relevant studies is expected to be low and their heterogeneity high. Thus, a meta-analysis of the data will be</w:t>
      </w:r>
      <w:r w:rsidR="00DB02CD">
        <w:t xml:space="preserve"> unlikely and </w:t>
      </w:r>
      <w:r>
        <w:t>qualitat</w:t>
      </w:r>
      <w:r w:rsidR="00DB02CD">
        <w:t>ive synthese</w:t>
      </w:r>
      <w:r>
        <w:t xml:space="preserve">s will be </w:t>
      </w:r>
      <w:r w:rsidR="004D39A6">
        <w:t xml:space="preserve">conducted and </w:t>
      </w:r>
      <w:r>
        <w:t xml:space="preserve">reported narratively. </w:t>
      </w:r>
      <w:r w:rsidR="003945FE">
        <w:t xml:space="preserve">Sources of heterogeneity will be explored and qualitative syntheses for subgroups </w:t>
      </w:r>
      <w:r w:rsidR="00852EF9">
        <w:t>will be conducted where possible (see below)</w:t>
      </w:r>
      <w:r w:rsidR="00D73135">
        <w:t>.</w:t>
      </w:r>
    </w:p>
    <w:p w14:paraId="3850D48E" w14:textId="788ABA21" w:rsidR="00937468" w:rsidRDefault="00937468" w:rsidP="00937468">
      <w:pPr>
        <w:pStyle w:val="Heading1"/>
      </w:pPr>
      <w:r>
        <w:t>Analysis of Subgroups</w:t>
      </w:r>
    </w:p>
    <w:p w14:paraId="35976A56" w14:textId="2C0B8F9E" w:rsidR="00605E28" w:rsidRDefault="00852EF9" w:rsidP="000037F9">
      <w:r>
        <w:t>Qualitative s</w:t>
      </w:r>
      <w:r w:rsidR="000037F9">
        <w:t xml:space="preserve">ubgroup </w:t>
      </w:r>
      <w:r>
        <w:t>analyses</w:t>
      </w:r>
      <w:r w:rsidR="000037F9">
        <w:t xml:space="preserve"> will be </w:t>
      </w:r>
      <w:r>
        <w:t>conducted and discussed</w:t>
      </w:r>
      <w:r w:rsidR="000037F9">
        <w:t xml:space="preserve"> in the narrative summary, </w:t>
      </w:r>
      <w:r w:rsidR="004D39A6">
        <w:t xml:space="preserve">where </w:t>
      </w:r>
      <w:r w:rsidR="00605E28">
        <w:t>appropriate. Subgroups considered will include the following:</w:t>
      </w:r>
    </w:p>
    <w:p w14:paraId="375708EA" w14:textId="72FF2982" w:rsidR="00605E28" w:rsidRDefault="00605E28" w:rsidP="00605E28">
      <w:pPr>
        <w:pStyle w:val="ListParagraph"/>
        <w:numPr>
          <w:ilvl w:val="0"/>
          <w:numId w:val="15"/>
        </w:numPr>
      </w:pPr>
      <w:r>
        <w:t>the type of red-cell containing blood product (e.g., whole blood vs packed red cells), leukocyte-reduced vs. non-leukocyte-reduce blood product,</w:t>
      </w:r>
    </w:p>
    <w:p w14:paraId="41E84275" w14:textId="246464EE" w:rsidR="00605E28" w:rsidRDefault="00605E28" w:rsidP="00605E28">
      <w:pPr>
        <w:pStyle w:val="ListParagraph"/>
        <w:numPr>
          <w:ilvl w:val="0"/>
          <w:numId w:val="15"/>
        </w:numPr>
      </w:pPr>
      <w:r>
        <w:t>the presence and type of additive in the blood product, the age and temperature of the blood product, variability in donor characteristics (e.g., whether more than one donor was used in evaluations),</w:t>
      </w:r>
    </w:p>
    <w:p w14:paraId="3A80D31F" w14:textId="07237A5D" w:rsidR="00605E28" w:rsidRDefault="00605E28" w:rsidP="00605E28">
      <w:pPr>
        <w:pStyle w:val="ListParagraph"/>
        <w:numPr>
          <w:ilvl w:val="0"/>
          <w:numId w:val="15"/>
        </w:numPr>
      </w:pPr>
      <w:r>
        <w:t>type of tubing used</w:t>
      </w:r>
    </w:p>
    <w:p w14:paraId="7719ECD4" w14:textId="4516A795" w:rsidR="00605E28" w:rsidRDefault="00605E28" w:rsidP="00605E28">
      <w:pPr>
        <w:pStyle w:val="ListParagraph"/>
        <w:numPr>
          <w:ilvl w:val="0"/>
          <w:numId w:val="15"/>
        </w:numPr>
      </w:pPr>
      <w:r>
        <w:t>the ratio of crystalloid fluid to blood product volume assessed, and</w:t>
      </w:r>
    </w:p>
    <w:p w14:paraId="09FC595F" w14:textId="377BCF79" w:rsidR="00605E28" w:rsidRDefault="00605E28" w:rsidP="00605E28">
      <w:pPr>
        <w:pStyle w:val="ListParagraph"/>
        <w:numPr>
          <w:ilvl w:val="0"/>
          <w:numId w:val="15"/>
        </w:numPr>
      </w:pPr>
      <w:r>
        <w:t>time of assessment post-mixing of crystalloid fluid and blood product</w:t>
      </w:r>
      <w:bookmarkStart w:id="0" w:name="_GoBack"/>
      <w:bookmarkEnd w:id="0"/>
      <w:r>
        <w:t>.</w:t>
      </w:r>
    </w:p>
    <w:p w14:paraId="7D13896F" w14:textId="1729F6BF" w:rsidR="000037F9" w:rsidRPr="000037F9" w:rsidRDefault="00C8715C" w:rsidP="00523447">
      <w:r>
        <w:lastRenderedPageBreak/>
        <w:t>Narrative analysis by these specific subgroups will capture changes in transfusion products and practice that have occurred over time.</w:t>
      </w:r>
    </w:p>
    <w:p w14:paraId="0FF72EB8" w14:textId="77777777" w:rsidR="00937468" w:rsidRDefault="00937468" w:rsidP="00937468">
      <w:pPr>
        <w:pStyle w:val="Heading1"/>
      </w:pPr>
      <w:r>
        <w:t>Current Stage of Review</w:t>
      </w:r>
    </w:p>
    <w:p w14:paraId="18C8083C" w14:textId="46000083" w:rsidR="00937468" w:rsidRDefault="004D39A6" w:rsidP="00937468">
      <w:r>
        <w:t>Currently, the search strategies have been developed and an initial database of references compiled.</w:t>
      </w:r>
      <w:r w:rsidR="00591172">
        <w:t xml:space="preserve"> Questions for title/abstract screening have been drafted and are being piloted. Questions for full-text screening and data extraction have also been drafted.</w:t>
      </w:r>
    </w:p>
    <w:p w14:paraId="4CF0B2E6" w14:textId="77777777" w:rsidR="00937468" w:rsidRDefault="00937468" w:rsidP="00937468">
      <w:pPr>
        <w:pStyle w:val="Heading1"/>
      </w:pPr>
      <w:r>
        <w:t>Knowledge Dissemination</w:t>
      </w:r>
    </w:p>
    <w:p w14:paraId="490BF7DF" w14:textId="76CA2EE4" w:rsidR="00937468" w:rsidRDefault="00824817" w:rsidP="00937468">
      <w:r>
        <w:t>Findings of this systematic review will be pr</w:t>
      </w:r>
      <w:r w:rsidR="00443F8C">
        <w:t>esented at relevant conferences</w:t>
      </w:r>
      <w:r w:rsidR="00563C2D">
        <w:t xml:space="preserve"> (e.g., AABB conference, October 2016)</w:t>
      </w:r>
      <w:r w:rsidR="00443F8C">
        <w:t>,</w:t>
      </w:r>
      <w:r>
        <w:t xml:space="preserve"> published in a peer-reviewed journal</w:t>
      </w:r>
      <w:r w:rsidR="00443F8C">
        <w:t xml:space="preserve">, and shared with Canadian Blood Services and other blood </w:t>
      </w:r>
      <w:r w:rsidR="00AD4390">
        <w:t>agencies,</w:t>
      </w:r>
      <w:r w:rsidR="00443F8C">
        <w:t xml:space="preserve"> nationally and internationally</w:t>
      </w:r>
      <w:r>
        <w:t xml:space="preserve">. </w:t>
      </w:r>
    </w:p>
    <w:p w14:paraId="6B310970" w14:textId="4EDEBE82" w:rsidR="00937468" w:rsidRDefault="000E3BA7" w:rsidP="000E3BA7">
      <w:pPr>
        <w:pStyle w:val="Heading1"/>
      </w:pPr>
      <w:r>
        <w:t>MEDLINE Search Strategy</w:t>
      </w:r>
    </w:p>
    <w:p w14:paraId="43D8758F" w14:textId="77777777" w:rsidR="000E3BA7" w:rsidRPr="00911180" w:rsidRDefault="000E3BA7" w:rsidP="000E3BA7">
      <w:pPr>
        <w:pStyle w:val="Nospace"/>
      </w:pPr>
      <w:r w:rsidRPr="00911180">
        <w:t>Database: Embase Classic+Embase &lt;1947 to 2016 March 18&gt;, Ovid MEDLINE(R) In-Process &amp; Other Non-Indexed Citations and Ovid MEDLINE(R) &lt;1946 to Present&gt;</w:t>
      </w:r>
    </w:p>
    <w:p w14:paraId="6222D646" w14:textId="77777777" w:rsidR="000E3BA7" w:rsidRPr="00911180" w:rsidRDefault="000E3BA7" w:rsidP="000E3BA7">
      <w:pPr>
        <w:pStyle w:val="Nospace"/>
      </w:pPr>
      <w:r w:rsidRPr="00911180">
        <w:t>Search Strategy:</w:t>
      </w:r>
    </w:p>
    <w:p w14:paraId="6D8327C6" w14:textId="77777777" w:rsidR="000E3BA7" w:rsidRPr="00911180" w:rsidRDefault="000E3BA7" w:rsidP="000E3BA7">
      <w:pPr>
        <w:pStyle w:val="Nospace"/>
      </w:pPr>
      <w:r w:rsidRPr="00911180">
        <w:t>--------------------------------------------------------------------------------</w:t>
      </w:r>
    </w:p>
    <w:p w14:paraId="5B99C9CB" w14:textId="77777777" w:rsidR="000E3BA7" w:rsidRPr="00911180" w:rsidRDefault="000E3BA7" w:rsidP="000E3BA7">
      <w:pPr>
        <w:pStyle w:val="Nospace"/>
      </w:pPr>
      <w:r w:rsidRPr="00911180">
        <w:t>1     *Ringer lactate solution/ (1958)</w:t>
      </w:r>
    </w:p>
    <w:p w14:paraId="35DF5C1F" w14:textId="77777777" w:rsidR="000E3BA7" w:rsidRPr="00911180" w:rsidRDefault="000E3BA7" w:rsidP="000E3BA7">
      <w:pPr>
        <w:pStyle w:val="Nospace"/>
      </w:pPr>
      <w:r w:rsidRPr="00911180">
        <w:t>2     ringer*.tw. (30655)</w:t>
      </w:r>
    </w:p>
    <w:p w14:paraId="54DDCFE7" w14:textId="77777777" w:rsidR="000E3BA7" w:rsidRPr="00911180" w:rsidRDefault="000E3BA7" w:rsidP="000E3BA7">
      <w:pPr>
        <w:pStyle w:val="Nospace"/>
      </w:pPr>
      <w:r w:rsidRPr="00911180">
        <w:t>3     *hartmann solution/ (107)</w:t>
      </w:r>
    </w:p>
    <w:p w14:paraId="5C7DA510" w14:textId="77777777" w:rsidR="000E3BA7" w:rsidRPr="00911180" w:rsidRDefault="000E3BA7" w:rsidP="000E3BA7">
      <w:pPr>
        <w:pStyle w:val="Nospace"/>
      </w:pPr>
      <w:r w:rsidRPr="00911180">
        <w:t>4     (hartmann* adj5 solution).tw. (470)</w:t>
      </w:r>
    </w:p>
    <w:p w14:paraId="5B322FFA" w14:textId="77777777" w:rsidR="000E3BA7" w:rsidRPr="00911180" w:rsidRDefault="000E3BA7" w:rsidP="000E3BA7">
      <w:pPr>
        <w:pStyle w:val="Nospace"/>
      </w:pPr>
      <w:r w:rsidRPr="00911180">
        <w:t>5     or/1-4 (32054)</w:t>
      </w:r>
    </w:p>
    <w:p w14:paraId="2F676981" w14:textId="77777777" w:rsidR="000E3BA7" w:rsidRPr="00911180" w:rsidRDefault="000E3BA7" w:rsidP="000E3BA7">
      <w:pPr>
        <w:pStyle w:val="Nospace"/>
      </w:pPr>
      <w:r w:rsidRPr="00911180">
        <w:t>6     blood transfusion/ (170416)</w:t>
      </w:r>
    </w:p>
    <w:p w14:paraId="2D4751FB" w14:textId="77777777" w:rsidR="000E3BA7" w:rsidRPr="00911180" w:rsidRDefault="000E3BA7" w:rsidP="000E3BA7">
      <w:pPr>
        <w:pStyle w:val="Nospace"/>
      </w:pPr>
      <w:r w:rsidRPr="00911180">
        <w:t>7     blood component therapy/ or erythrocyte transfusion/ (26945)</w:t>
      </w:r>
    </w:p>
    <w:p w14:paraId="2420D50A" w14:textId="77777777" w:rsidR="000E3BA7" w:rsidRPr="00911180" w:rsidRDefault="000E3BA7" w:rsidP="000E3BA7">
      <w:pPr>
        <w:pStyle w:val="Nospace"/>
      </w:pPr>
      <w:r w:rsidRPr="00911180">
        <w:t>8     ((red blood cell* or red cell* or erythrocyte* or rbc) and (transfus* or component* or coadministrat* or co administrat* or concentrate*)).tw. (71620)</w:t>
      </w:r>
    </w:p>
    <w:p w14:paraId="1A99A5B8" w14:textId="77777777" w:rsidR="000E3BA7" w:rsidRPr="00911180" w:rsidRDefault="000E3BA7" w:rsidP="000E3BA7">
      <w:pPr>
        <w:pStyle w:val="Nospace"/>
      </w:pPr>
      <w:r w:rsidRPr="00911180">
        <w:t>9     ((packed or stored) adj3 cell*).tw. (26345)</w:t>
      </w:r>
    </w:p>
    <w:p w14:paraId="13774975" w14:textId="77777777" w:rsidR="000E3BA7" w:rsidRPr="00911180" w:rsidRDefault="000E3BA7" w:rsidP="000E3BA7">
      <w:pPr>
        <w:pStyle w:val="Nospace"/>
      </w:pPr>
      <w:r w:rsidRPr="00911180">
        <w:t>10     erythrocyte concentrate/ (6639)</w:t>
      </w:r>
    </w:p>
    <w:p w14:paraId="6249B72A" w14:textId="77777777" w:rsidR="000E3BA7" w:rsidRPr="00911180" w:rsidRDefault="000E3BA7" w:rsidP="000E3BA7">
      <w:pPr>
        <w:pStyle w:val="Nospace"/>
      </w:pPr>
      <w:r w:rsidRPr="00911180">
        <w:t>11     blood clotting/ (104524)</w:t>
      </w:r>
    </w:p>
    <w:p w14:paraId="41049FCC" w14:textId="77777777" w:rsidR="000E3BA7" w:rsidRPr="00911180" w:rsidRDefault="000E3BA7" w:rsidP="000E3BA7">
      <w:pPr>
        <w:pStyle w:val="Nospace"/>
      </w:pPr>
      <w:r w:rsidRPr="00911180">
        <w:t>12     (coagulat* or clot or clotting).tw. (273473)</w:t>
      </w:r>
    </w:p>
    <w:p w14:paraId="69733145" w14:textId="77777777" w:rsidR="000E3BA7" w:rsidRPr="00911180" w:rsidRDefault="000E3BA7" w:rsidP="000E3BA7">
      <w:pPr>
        <w:pStyle w:val="Nospace"/>
      </w:pPr>
      <w:r w:rsidRPr="00911180">
        <w:t>13     or/6-12 (559248)</w:t>
      </w:r>
    </w:p>
    <w:p w14:paraId="03360DF2" w14:textId="77777777" w:rsidR="000E3BA7" w:rsidRPr="00911180" w:rsidRDefault="000E3BA7" w:rsidP="000E3BA7">
      <w:pPr>
        <w:pStyle w:val="Nospace"/>
      </w:pPr>
      <w:r w:rsidRPr="00911180">
        <w:t>14     5 and 13 (1488)</w:t>
      </w:r>
    </w:p>
    <w:p w14:paraId="4BC1A347" w14:textId="77777777" w:rsidR="000E3BA7" w:rsidRPr="00911180" w:rsidRDefault="000E3BA7" w:rsidP="000E3BA7">
      <w:pPr>
        <w:pStyle w:val="Nospace"/>
      </w:pPr>
      <w:r w:rsidRPr="00911180">
        <w:t>15     (exp animal/ or nonhuman/) not exp human/ (10332314)</w:t>
      </w:r>
    </w:p>
    <w:p w14:paraId="5EA1B4A2" w14:textId="77777777" w:rsidR="000E3BA7" w:rsidRPr="00911180" w:rsidRDefault="000E3BA7" w:rsidP="000E3BA7">
      <w:pPr>
        <w:pStyle w:val="Nospace"/>
      </w:pPr>
      <w:r w:rsidRPr="00911180">
        <w:t>16     14 not 15 (954)</w:t>
      </w:r>
    </w:p>
    <w:p w14:paraId="7C9B9386" w14:textId="77777777" w:rsidR="000E3BA7" w:rsidRPr="00911180" w:rsidRDefault="000E3BA7" w:rsidP="000E3BA7">
      <w:pPr>
        <w:pStyle w:val="Nospace"/>
      </w:pPr>
      <w:r w:rsidRPr="00911180">
        <w:t>17     16 use emczd (636)</w:t>
      </w:r>
    </w:p>
    <w:p w14:paraId="7777725D" w14:textId="77777777" w:rsidR="000E3BA7" w:rsidRPr="00911180" w:rsidRDefault="000E3BA7" w:rsidP="000E3BA7">
      <w:pPr>
        <w:pStyle w:val="Nospace"/>
      </w:pPr>
      <w:r w:rsidRPr="00911180">
        <w:t>18     ringer*.tw. (30655)</w:t>
      </w:r>
    </w:p>
    <w:p w14:paraId="3C6B4F33" w14:textId="77777777" w:rsidR="000E3BA7" w:rsidRPr="00911180" w:rsidRDefault="000E3BA7" w:rsidP="000E3BA7">
      <w:pPr>
        <w:pStyle w:val="Nospace"/>
      </w:pPr>
      <w:r w:rsidRPr="00911180">
        <w:t>19     (hartmann* adj5 solution).tw. (470)</w:t>
      </w:r>
    </w:p>
    <w:p w14:paraId="7BCA2347" w14:textId="77777777" w:rsidR="000E3BA7" w:rsidRPr="00911180" w:rsidRDefault="000E3BA7" w:rsidP="000E3BA7">
      <w:pPr>
        <w:pStyle w:val="Nospace"/>
      </w:pPr>
      <w:r w:rsidRPr="00911180">
        <w:t>20     18 or 19 (31092)</w:t>
      </w:r>
    </w:p>
    <w:p w14:paraId="14B84D23" w14:textId="77777777" w:rsidR="000E3BA7" w:rsidRPr="00911180" w:rsidRDefault="000E3BA7" w:rsidP="000E3BA7">
      <w:pPr>
        <w:pStyle w:val="Nospace"/>
      </w:pPr>
      <w:r w:rsidRPr="00911180">
        <w:t>21     blood transfusion/ or exp blood component transfusion/ (214993)</w:t>
      </w:r>
    </w:p>
    <w:p w14:paraId="7D73F261" w14:textId="77777777" w:rsidR="000E3BA7" w:rsidRPr="00911180" w:rsidRDefault="000E3BA7" w:rsidP="000E3BA7">
      <w:pPr>
        <w:pStyle w:val="Nospace"/>
      </w:pPr>
      <w:r w:rsidRPr="00911180">
        <w:t>22     Erythrocytes/ (285541)</w:t>
      </w:r>
    </w:p>
    <w:p w14:paraId="64267C0E" w14:textId="77777777" w:rsidR="000E3BA7" w:rsidRPr="00911180" w:rsidRDefault="000E3BA7" w:rsidP="000E3BA7">
      <w:pPr>
        <w:pStyle w:val="Nospace"/>
      </w:pPr>
      <w:r w:rsidRPr="00911180">
        <w:t>23     ((red blood cell* or red cell* or erythrocyte* or rbc) and (transfus* or component* or coadministrat* or co administrat* or concentrate*)).tw. (71620)</w:t>
      </w:r>
    </w:p>
    <w:p w14:paraId="33721900" w14:textId="77777777" w:rsidR="000E3BA7" w:rsidRPr="00911180" w:rsidRDefault="000E3BA7" w:rsidP="000E3BA7">
      <w:pPr>
        <w:pStyle w:val="Nospace"/>
      </w:pPr>
      <w:r w:rsidRPr="00911180">
        <w:t>24     ((packed or stored) adj3 cell*).tw. (26345)</w:t>
      </w:r>
    </w:p>
    <w:p w14:paraId="3B35EEC4" w14:textId="77777777" w:rsidR="000E3BA7" w:rsidRPr="00911180" w:rsidRDefault="000E3BA7" w:rsidP="000E3BA7">
      <w:pPr>
        <w:pStyle w:val="Nospace"/>
      </w:pPr>
      <w:r w:rsidRPr="00911180">
        <w:t>25     Blood Coagulation/ (101015)</w:t>
      </w:r>
    </w:p>
    <w:p w14:paraId="1F159FE9" w14:textId="77777777" w:rsidR="000E3BA7" w:rsidRPr="00911180" w:rsidRDefault="000E3BA7" w:rsidP="000E3BA7">
      <w:pPr>
        <w:pStyle w:val="Nospace"/>
      </w:pPr>
      <w:r w:rsidRPr="00911180">
        <w:t>26     (coagulat* or clot or clotting).tw. (273473)</w:t>
      </w:r>
    </w:p>
    <w:p w14:paraId="1BA464CB" w14:textId="77777777" w:rsidR="000E3BA7" w:rsidRPr="00911180" w:rsidRDefault="000E3BA7" w:rsidP="000E3BA7">
      <w:pPr>
        <w:pStyle w:val="Nospace"/>
      </w:pPr>
      <w:r w:rsidRPr="00911180">
        <w:lastRenderedPageBreak/>
        <w:t>27     or/21-26 (828134)</w:t>
      </w:r>
    </w:p>
    <w:p w14:paraId="0CBB8D9A" w14:textId="77777777" w:rsidR="000E3BA7" w:rsidRPr="00911180" w:rsidRDefault="000E3BA7" w:rsidP="000E3BA7">
      <w:pPr>
        <w:pStyle w:val="Nospace"/>
      </w:pPr>
      <w:r w:rsidRPr="00911180">
        <w:t>28     20 and 27 (1854)</w:t>
      </w:r>
    </w:p>
    <w:p w14:paraId="1233F5DC" w14:textId="77777777" w:rsidR="000E3BA7" w:rsidRPr="00911180" w:rsidRDefault="000E3BA7" w:rsidP="000E3BA7">
      <w:pPr>
        <w:pStyle w:val="Nospace"/>
      </w:pPr>
      <w:r w:rsidRPr="00911180">
        <w:t>29     animals/ not humans/ (5330346)</w:t>
      </w:r>
    </w:p>
    <w:p w14:paraId="6E6BB323" w14:textId="77777777" w:rsidR="000E3BA7" w:rsidRPr="00911180" w:rsidRDefault="000E3BA7" w:rsidP="000E3BA7">
      <w:pPr>
        <w:pStyle w:val="Nospace"/>
      </w:pPr>
      <w:r w:rsidRPr="00911180">
        <w:t>30     28 not 29 (1542)</w:t>
      </w:r>
    </w:p>
    <w:p w14:paraId="34C44B17" w14:textId="77777777" w:rsidR="000E3BA7" w:rsidRPr="00911180" w:rsidRDefault="000E3BA7" w:rsidP="000E3BA7">
      <w:pPr>
        <w:pStyle w:val="Nospace"/>
      </w:pPr>
      <w:r w:rsidRPr="00911180">
        <w:t>31     30 use prmz (377)</w:t>
      </w:r>
    </w:p>
    <w:p w14:paraId="6981711E" w14:textId="77777777" w:rsidR="000E3BA7" w:rsidRPr="00911180" w:rsidRDefault="000E3BA7" w:rsidP="000E3BA7">
      <w:pPr>
        <w:pStyle w:val="Nospace"/>
      </w:pPr>
      <w:r w:rsidRPr="00911180">
        <w:t>32     17 or 31 (1013)</w:t>
      </w:r>
    </w:p>
    <w:p w14:paraId="25DD7BD8" w14:textId="77777777" w:rsidR="000E3BA7" w:rsidRPr="00911180" w:rsidRDefault="000E3BA7" w:rsidP="000E3BA7">
      <w:pPr>
        <w:pStyle w:val="Nospace"/>
      </w:pPr>
      <w:r w:rsidRPr="00911180">
        <w:t>33     remove duplicates from 32 (756)</w:t>
      </w:r>
    </w:p>
    <w:p w14:paraId="3CE4CF2E" w14:textId="77777777" w:rsidR="000E3BA7" w:rsidRPr="00911180" w:rsidRDefault="000E3BA7" w:rsidP="000E3BA7">
      <w:pPr>
        <w:pStyle w:val="Nospace"/>
      </w:pPr>
      <w:r w:rsidRPr="00911180">
        <w:t xml:space="preserve">34     </w:t>
      </w:r>
      <w:r w:rsidRPr="00911180">
        <w:rPr>
          <w:b/>
        </w:rPr>
        <w:t>33 use prmz (373)  Medline</w:t>
      </w:r>
    </w:p>
    <w:p w14:paraId="74E0648D" w14:textId="6A0F1D39" w:rsidR="001134C1" w:rsidRPr="001134C1" w:rsidRDefault="000E3BA7" w:rsidP="000E3BA7">
      <w:pPr>
        <w:pStyle w:val="Nospace"/>
      </w:pPr>
      <w:r w:rsidRPr="00911180">
        <w:t xml:space="preserve">35     </w:t>
      </w:r>
      <w:r w:rsidRPr="00911180">
        <w:rPr>
          <w:b/>
        </w:rPr>
        <w:t>33 use emczd (383)</w:t>
      </w:r>
      <w:r>
        <w:rPr>
          <w:b/>
        </w:rPr>
        <w:t xml:space="preserve">  Embase</w:t>
      </w:r>
    </w:p>
    <w:sectPr w:rsidR="001134C1" w:rsidRPr="001134C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91B441" w14:textId="77777777" w:rsidR="008C79F5" w:rsidRDefault="008C79F5" w:rsidP="000E415F">
      <w:pPr>
        <w:spacing w:after="0" w:line="240" w:lineRule="auto"/>
      </w:pPr>
      <w:r>
        <w:separator/>
      </w:r>
    </w:p>
  </w:endnote>
  <w:endnote w:type="continuationSeparator" w:id="0">
    <w:p w14:paraId="37CEBEF3" w14:textId="77777777" w:rsidR="008C79F5" w:rsidRDefault="008C79F5" w:rsidP="000E41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106CE5" w14:textId="77777777" w:rsidR="008C79F5" w:rsidRDefault="008C79F5" w:rsidP="000E415F">
      <w:pPr>
        <w:spacing w:after="0" w:line="240" w:lineRule="auto"/>
      </w:pPr>
      <w:r>
        <w:separator/>
      </w:r>
    </w:p>
  </w:footnote>
  <w:footnote w:type="continuationSeparator" w:id="0">
    <w:p w14:paraId="6ED7CABC" w14:textId="77777777" w:rsidR="008C79F5" w:rsidRDefault="008C79F5" w:rsidP="000E415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0F2BB9"/>
    <w:multiLevelType w:val="multilevel"/>
    <w:tmpl w:val="41EC4D0C"/>
    <w:numStyleLink w:val="Multilevelheading"/>
  </w:abstractNum>
  <w:abstractNum w:abstractNumId="1" w15:restartNumberingAfterBreak="0">
    <w:nsid w:val="1C7A38B2"/>
    <w:multiLevelType w:val="hybridMultilevel"/>
    <w:tmpl w:val="3228A3A2"/>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3BD649DA"/>
    <w:multiLevelType w:val="hybridMultilevel"/>
    <w:tmpl w:val="E4226FE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1D268CE"/>
    <w:multiLevelType w:val="hybridMultilevel"/>
    <w:tmpl w:val="9820B03C"/>
    <w:lvl w:ilvl="0" w:tplc="85FEF87E">
      <w:numFmt w:val="bullet"/>
      <w:lvlText w:val="-"/>
      <w:lvlJc w:val="left"/>
      <w:pPr>
        <w:ind w:left="720" w:hanging="360"/>
      </w:pPr>
      <w:rPr>
        <w:rFonts w:ascii="Calibri" w:eastAsiaTheme="minorHAnsi" w:hAnsi="Calibri"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4D050B2D"/>
    <w:multiLevelType w:val="multilevel"/>
    <w:tmpl w:val="41EC4D0C"/>
    <w:styleLink w:val="Multilevelheading"/>
    <w:lvl w:ilvl="0">
      <w:start w:val="1"/>
      <w:numFmt w:val="decimal"/>
      <w:pStyle w:val="Heading1"/>
      <w:lvlText w:val="%1. "/>
      <w:lvlJc w:val="left"/>
      <w:pPr>
        <w:ind w:left="839" w:hanging="839"/>
      </w:pPr>
      <w:rPr>
        <w:rFonts w:hint="default"/>
      </w:rPr>
    </w:lvl>
    <w:lvl w:ilvl="1">
      <w:start w:val="1"/>
      <w:numFmt w:val="decimal"/>
      <w:pStyle w:val="Heading2"/>
      <w:lvlText w:val="%1.%2. "/>
      <w:lvlJc w:val="left"/>
      <w:pPr>
        <w:ind w:left="839" w:hanging="839"/>
      </w:pPr>
      <w:rPr>
        <w:rFonts w:hint="default"/>
      </w:rPr>
    </w:lvl>
    <w:lvl w:ilvl="2">
      <w:start w:val="1"/>
      <w:numFmt w:val="decimal"/>
      <w:pStyle w:val="Heading3"/>
      <w:lvlText w:val="%1.%2.%3. "/>
      <w:lvlJc w:val="left"/>
      <w:pPr>
        <w:ind w:left="839" w:hanging="839"/>
      </w:pPr>
      <w:rPr>
        <w:rFonts w:hint="default"/>
      </w:rPr>
    </w:lvl>
    <w:lvl w:ilvl="3">
      <w:start w:val="1"/>
      <w:numFmt w:val="decimal"/>
      <w:pStyle w:val="Heading4"/>
      <w:lvlText w:val="%1.%2.%3.%4. "/>
      <w:lvlJc w:val="left"/>
      <w:pPr>
        <w:ind w:left="839" w:hanging="839"/>
      </w:pPr>
      <w:rPr>
        <w:rFonts w:hint="default"/>
      </w:rPr>
    </w:lvl>
    <w:lvl w:ilvl="4">
      <w:start w:val="1"/>
      <w:numFmt w:val="decimal"/>
      <w:pStyle w:val="Heading5"/>
      <w:lvlText w:val="%1.%2.%3.%4.%5. "/>
      <w:lvlJc w:val="left"/>
      <w:pPr>
        <w:ind w:left="839" w:hanging="839"/>
      </w:pPr>
      <w:rPr>
        <w:rFonts w:hint="default"/>
      </w:rPr>
    </w:lvl>
    <w:lvl w:ilvl="5">
      <w:start w:val="1"/>
      <w:numFmt w:val="lowerRoman"/>
      <w:lvlText w:val="(%6)"/>
      <w:lvlJc w:val="left"/>
      <w:pPr>
        <w:ind w:left="839" w:hanging="839"/>
      </w:pPr>
      <w:rPr>
        <w:rFonts w:hint="default"/>
      </w:rPr>
    </w:lvl>
    <w:lvl w:ilvl="6">
      <w:start w:val="1"/>
      <w:numFmt w:val="decimal"/>
      <w:lvlText w:val="%7."/>
      <w:lvlJc w:val="left"/>
      <w:pPr>
        <w:ind w:left="839" w:hanging="839"/>
      </w:pPr>
      <w:rPr>
        <w:rFonts w:hint="default"/>
      </w:rPr>
    </w:lvl>
    <w:lvl w:ilvl="7">
      <w:start w:val="1"/>
      <w:numFmt w:val="lowerLetter"/>
      <w:lvlText w:val="%8."/>
      <w:lvlJc w:val="left"/>
      <w:pPr>
        <w:ind w:left="839" w:hanging="839"/>
      </w:pPr>
      <w:rPr>
        <w:rFonts w:hint="default"/>
      </w:rPr>
    </w:lvl>
    <w:lvl w:ilvl="8">
      <w:start w:val="1"/>
      <w:numFmt w:val="lowerRoman"/>
      <w:lvlText w:val="%9."/>
      <w:lvlJc w:val="left"/>
      <w:pPr>
        <w:ind w:left="839" w:hanging="839"/>
      </w:pPr>
      <w:rPr>
        <w:rFonts w:hint="default"/>
      </w:rPr>
    </w:lvl>
  </w:abstractNum>
  <w:abstractNum w:abstractNumId="5" w15:restartNumberingAfterBreak="0">
    <w:nsid w:val="584C2783"/>
    <w:multiLevelType w:val="hybridMultilevel"/>
    <w:tmpl w:val="5D0E4C16"/>
    <w:lvl w:ilvl="0" w:tplc="A4BC2CDC">
      <w:start w:val="1"/>
      <w:numFmt w:val="bullet"/>
      <w:lvlText w:val="-"/>
      <w:lvlJc w:val="left"/>
      <w:pPr>
        <w:ind w:left="720" w:hanging="360"/>
      </w:pPr>
      <w:rPr>
        <w:rFonts w:ascii="Calibri" w:eastAsiaTheme="minorHAnsi" w:hAnsi="Calibri"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5B2F59E6"/>
    <w:multiLevelType w:val="hybridMultilevel"/>
    <w:tmpl w:val="3CEEE612"/>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665055E4"/>
    <w:multiLevelType w:val="multilevel"/>
    <w:tmpl w:val="41EC4D0C"/>
    <w:numStyleLink w:val="Multilevelheading"/>
  </w:abstractNum>
  <w:abstractNum w:abstractNumId="8" w15:restartNumberingAfterBreak="0">
    <w:nsid w:val="77BE01C5"/>
    <w:multiLevelType w:val="hybridMultilevel"/>
    <w:tmpl w:val="89A27220"/>
    <w:lvl w:ilvl="0" w:tplc="025CE520">
      <w:numFmt w:val="bullet"/>
      <w:lvlText w:val="-"/>
      <w:lvlJc w:val="left"/>
      <w:pPr>
        <w:ind w:left="720" w:hanging="360"/>
      </w:pPr>
      <w:rPr>
        <w:rFonts w:ascii="Calibri" w:eastAsiaTheme="minorHAnsi" w:hAnsi="Calibri"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7DD819A4"/>
    <w:multiLevelType w:val="hybridMultilevel"/>
    <w:tmpl w:val="13C240DA"/>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4"/>
  </w:num>
  <w:num w:numId="2">
    <w:abstractNumId w:val="7"/>
  </w:num>
  <w:num w:numId="3">
    <w:abstractNumId w:val="0"/>
  </w:num>
  <w:num w:numId="4">
    <w:abstractNumId w:val="3"/>
  </w:num>
  <w:num w:numId="5">
    <w:abstractNumId w:val="8"/>
  </w:num>
  <w:num w:numId="6">
    <w:abstractNumId w:val="0"/>
  </w:num>
  <w:num w:numId="7">
    <w:abstractNumId w:val="5"/>
  </w:num>
  <w:num w:numId="8">
    <w:abstractNumId w:val="6"/>
  </w:num>
  <w:num w:numId="9">
    <w:abstractNumId w:val="0"/>
  </w:num>
  <w:num w:numId="10">
    <w:abstractNumId w:val="0"/>
  </w:num>
  <w:num w:numId="11">
    <w:abstractNumId w:val="0"/>
  </w:num>
  <w:num w:numId="12">
    <w:abstractNumId w:val="0"/>
  </w:num>
  <w:num w:numId="13">
    <w:abstractNumId w:val="2"/>
  </w:num>
  <w:num w:numId="14">
    <w:abstractNumId w:val="1"/>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DisplayPageBoundaries/>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7468"/>
    <w:rsid w:val="000037F9"/>
    <w:rsid w:val="00022EE4"/>
    <w:rsid w:val="00077643"/>
    <w:rsid w:val="00080810"/>
    <w:rsid w:val="00083123"/>
    <w:rsid w:val="00086DE6"/>
    <w:rsid w:val="000A2BB9"/>
    <w:rsid w:val="000E2EEE"/>
    <w:rsid w:val="000E3BA7"/>
    <w:rsid w:val="000E415F"/>
    <w:rsid w:val="001134C1"/>
    <w:rsid w:val="00182BB9"/>
    <w:rsid w:val="001C6A00"/>
    <w:rsid w:val="001F6DE8"/>
    <w:rsid w:val="0024187E"/>
    <w:rsid w:val="00242D09"/>
    <w:rsid w:val="00246D47"/>
    <w:rsid w:val="002574CD"/>
    <w:rsid w:val="002C46FA"/>
    <w:rsid w:val="00320554"/>
    <w:rsid w:val="00344AE0"/>
    <w:rsid w:val="00360AF7"/>
    <w:rsid w:val="003945FE"/>
    <w:rsid w:val="003A498F"/>
    <w:rsid w:val="003D5233"/>
    <w:rsid w:val="003D55D0"/>
    <w:rsid w:val="003E3C7F"/>
    <w:rsid w:val="003F20B2"/>
    <w:rsid w:val="004048A9"/>
    <w:rsid w:val="00411B46"/>
    <w:rsid w:val="004273A7"/>
    <w:rsid w:val="00443F8C"/>
    <w:rsid w:val="004509E5"/>
    <w:rsid w:val="004537AE"/>
    <w:rsid w:val="004559F7"/>
    <w:rsid w:val="004866C5"/>
    <w:rsid w:val="004B7627"/>
    <w:rsid w:val="004D39A6"/>
    <w:rsid w:val="00523447"/>
    <w:rsid w:val="0052644E"/>
    <w:rsid w:val="00563C2D"/>
    <w:rsid w:val="005863C8"/>
    <w:rsid w:val="00591172"/>
    <w:rsid w:val="00605E28"/>
    <w:rsid w:val="0062568E"/>
    <w:rsid w:val="00691F90"/>
    <w:rsid w:val="006D1943"/>
    <w:rsid w:val="006D5856"/>
    <w:rsid w:val="006E1BB3"/>
    <w:rsid w:val="00741195"/>
    <w:rsid w:val="007550F0"/>
    <w:rsid w:val="0078215F"/>
    <w:rsid w:val="00783B2A"/>
    <w:rsid w:val="00784ADC"/>
    <w:rsid w:val="00797A9F"/>
    <w:rsid w:val="007D632A"/>
    <w:rsid w:val="007E6789"/>
    <w:rsid w:val="00824817"/>
    <w:rsid w:val="00825E48"/>
    <w:rsid w:val="00852EF9"/>
    <w:rsid w:val="008837FA"/>
    <w:rsid w:val="008855FE"/>
    <w:rsid w:val="008A5EDC"/>
    <w:rsid w:val="008B75B3"/>
    <w:rsid w:val="008C79F5"/>
    <w:rsid w:val="009340F0"/>
    <w:rsid w:val="00937468"/>
    <w:rsid w:val="00961865"/>
    <w:rsid w:val="00966D55"/>
    <w:rsid w:val="009752AE"/>
    <w:rsid w:val="00990290"/>
    <w:rsid w:val="009F6325"/>
    <w:rsid w:val="00A54985"/>
    <w:rsid w:val="00A62348"/>
    <w:rsid w:val="00A732D1"/>
    <w:rsid w:val="00A8132D"/>
    <w:rsid w:val="00A82E33"/>
    <w:rsid w:val="00A91E38"/>
    <w:rsid w:val="00A973B1"/>
    <w:rsid w:val="00AA42F7"/>
    <w:rsid w:val="00AD4390"/>
    <w:rsid w:val="00AE19D2"/>
    <w:rsid w:val="00B12417"/>
    <w:rsid w:val="00B218F1"/>
    <w:rsid w:val="00B6095E"/>
    <w:rsid w:val="00B7019E"/>
    <w:rsid w:val="00BA1124"/>
    <w:rsid w:val="00BE0828"/>
    <w:rsid w:val="00BF0B7A"/>
    <w:rsid w:val="00BF191D"/>
    <w:rsid w:val="00BF20BF"/>
    <w:rsid w:val="00C02FAD"/>
    <w:rsid w:val="00C0353E"/>
    <w:rsid w:val="00C16494"/>
    <w:rsid w:val="00C56941"/>
    <w:rsid w:val="00C8715C"/>
    <w:rsid w:val="00CA4ED5"/>
    <w:rsid w:val="00CE53E3"/>
    <w:rsid w:val="00CE7417"/>
    <w:rsid w:val="00CF6946"/>
    <w:rsid w:val="00D02DC1"/>
    <w:rsid w:val="00D6412C"/>
    <w:rsid w:val="00D73135"/>
    <w:rsid w:val="00D941C8"/>
    <w:rsid w:val="00DB02CD"/>
    <w:rsid w:val="00DB7177"/>
    <w:rsid w:val="00DC0439"/>
    <w:rsid w:val="00DC7B57"/>
    <w:rsid w:val="00E67750"/>
    <w:rsid w:val="00EA40A6"/>
    <w:rsid w:val="00ED04D5"/>
    <w:rsid w:val="00EE7439"/>
    <w:rsid w:val="00EF0122"/>
    <w:rsid w:val="00EF359E"/>
    <w:rsid w:val="00F032E7"/>
    <w:rsid w:val="00F1450F"/>
    <w:rsid w:val="00F54A7F"/>
    <w:rsid w:val="00F96D7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C5544D"/>
  <w15:docId w15:val="{4F055307-25AE-44C3-B387-7B81C36A56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A732D1"/>
    <w:pPr>
      <w:spacing w:after="120"/>
    </w:pPr>
  </w:style>
  <w:style w:type="paragraph" w:styleId="Heading1">
    <w:name w:val="heading 1"/>
    <w:basedOn w:val="Normal"/>
    <w:next w:val="Normal"/>
    <w:link w:val="Heading1Char"/>
    <w:uiPriority w:val="9"/>
    <w:qFormat/>
    <w:rsid w:val="00A82E33"/>
    <w:pPr>
      <w:keepNext/>
      <w:keepLines/>
      <w:numPr>
        <w:numId w:val="3"/>
      </w:numPr>
      <w:spacing w:before="240"/>
      <w:outlineLvl w:val="0"/>
    </w:pPr>
    <w:rPr>
      <w:rFonts w:asciiTheme="majorHAnsi" w:eastAsiaTheme="majorEastAsia" w:hAnsiTheme="majorHAnsi" w:cstheme="majorBidi"/>
      <w:b/>
      <w:szCs w:val="32"/>
    </w:rPr>
  </w:style>
  <w:style w:type="paragraph" w:styleId="Heading2">
    <w:name w:val="heading 2"/>
    <w:basedOn w:val="Normal"/>
    <w:next w:val="Normal"/>
    <w:link w:val="Heading2Char"/>
    <w:uiPriority w:val="9"/>
    <w:unhideWhenUsed/>
    <w:qFormat/>
    <w:rsid w:val="00A82E33"/>
    <w:pPr>
      <w:keepNext/>
      <w:keepLines/>
      <w:numPr>
        <w:ilvl w:val="1"/>
        <w:numId w:val="3"/>
      </w:numPr>
      <w:spacing w:before="240"/>
      <w:outlineLvl w:val="1"/>
    </w:pPr>
    <w:rPr>
      <w:rFonts w:asciiTheme="majorHAnsi" w:eastAsiaTheme="majorEastAsia" w:hAnsiTheme="majorHAnsi" w:cstheme="majorBidi"/>
      <w:b/>
      <w:szCs w:val="26"/>
    </w:rPr>
  </w:style>
  <w:style w:type="paragraph" w:styleId="Heading3">
    <w:name w:val="heading 3"/>
    <w:basedOn w:val="Normal"/>
    <w:next w:val="Normal"/>
    <w:link w:val="Heading3Char"/>
    <w:uiPriority w:val="9"/>
    <w:unhideWhenUsed/>
    <w:qFormat/>
    <w:rsid w:val="00A82E33"/>
    <w:pPr>
      <w:keepNext/>
      <w:keepLines/>
      <w:numPr>
        <w:ilvl w:val="2"/>
        <w:numId w:val="3"/>
      </w:numPr>
      <w:spacing w:before="240"/>
      <w:outlineLvl w:val="2"/>
    </w:pPr>
    <w:rPr>
      <w:rFonts w:asciiTheme="majorHAnsi" w:eastAsiaTheme="majorEastAsia" w:hAnsiTheme="majorHAnsi" w:cstheme="majorBidi"/>
      <w:b/>
      <w:szCs w:val="24"/>
    </w:rPr>
  </w:style>
  <w:style w:type="paragraph" w:styleId="Heading4">
    <w:name w:val="heading 4"/>
    <w:basedOn w:val="Normal"/>
    <w:next w:val="Normal"/>
    <w:link w:val="Heading4Char"/>
    <w:uiPriority w:val="9"/>
    <w:unhideWhenUsed/>
    <w:qFormat/>
    <w:rsid w:val="00A82E33"/>
    <w:pPr>
      <w:keepNext/>
      <w:keepLines/>
      <w:numPr>
        <w:ilvl w:val="3"/>
        <w:numId w:val="3"/>
      </w:numPr>
      <w:spacing w:before="240"/>
      <w:outlineLvl w:val="3"/>
    </w:pPr>
    <w:rPr>
      <w:rFonts w:asciiTheme="majorHAnsi" w:eastAsiaTheme="majorEastAsia" w:hAnsiTheme="majorHAnsi" w:cstheme="majorBidi"/>
      <w:b/>
      <w:iCs/>
    </w:rPr>
  </w:style>
  <w:style w:type="paragraph" w:styleId="Heading5">
    <w:name w:val="heading 5"/>
    <w:basedOn w:val="Normal"/>
    <w:next w:val="Normal"/>
    <w:link w:val="Heading5Char"/>
    <w:uiPriority w:val="9"/>
    <w:unhideWhenUsed/>
    <w:qFormat/>
    <w:rsid w:val="00A82E33"/>
    <w:pPr>
      <w:keepNext/>
      <w:keepLines/>
      <w:numPr>
        <w:ilvl w:val="4"/>
        <w:numId w:val="3"/>
      </w:numPr>
      <w:spacing w:before="240"/>
      <w:outlineLvl w:val="4"/>
    </w:pPr>
    <w:rPr>
      <w:rFonts w:asciiTheme="majorHAnsi" w:eastAsiaTheme="majorEastAsia" w:hAnsiTheme="majorHAnsi" w:cstheme="majorBidi"/>
      <w:b/>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Multilevelheading">
    <w:name w:val="Multilevel heading"/>
    <w:uiPriority w:val="99"/>
    <w:rsid w:val="00A82E33"/>
    <w:pPr>
      <w:numPr>
        <w:numId w:val="1"/>
      </w:numPr>
    </w:pPr>
  </w:style>
  <w:style w:type="character" w:customStyle="1" w:styleId="Heading1Char">
    <w:name w:val="Heading 1 Char"/>
    <w:basedOn w:val="DefaultParagraphFont"/>
    <w:link w:val="Heading1"/>
    <w:uiPriority w:val="9"/>
    <w:rsid w:val="00A82E33"/>
    <w:rPr>
      <w:rFonts w:asciiTheme="majorHAnsi" w:eastAsiaTheme="majorEastAsia" w:hAnsiTheme="majorHAnsi" w:cstheme="majorBidi"/>
      <w:b/>
      <w:szCs w:val="32"/>
    </w:rPr>
  </w:style>
  <w:style w:type="character" w:customStyle="1" w:styleId="Heading2Char">
    <w:name w:val="Heading 2 Char"/>
    <w:basedOn w:val="DefaultParagraphFont"/>
    <w:link w:val="Heading2"/>
    <w:uiPriority w:val="9"/>
    <w:rsid w:val="00A82E33"/>
    <w:rPr>
      <w:rFonts w:asciiTheme="majorHAnsi" w:eastAsiaTheme="majorEastAsia" w:hAnsiTheme="majorHAnsi" w:cstheme="majorBidi"/>
      <w:b/>
      <w:szCs w:val="26"/>
    </w:rPr>
  </w:style>
  <w:style w:type="character" w:customStyle="1" w:styleId="Heading3Char">
    <w:name w:val="Heading 3 Char"/>
    <w:basedOn w:val="DefaultParagraphFont"/>
    <w:link w:val="Heading3"/>
    <w:uiPriority w:val="9"/>
    <w:rsid w:val="00A82E33"/>
    <w:rPr>
      <w:rFonts w:asciiTheme="majorHAnsi" w:eastAsiaTheme="majorEastAsia" w:hAnsiTheme="majorHAnsi" w:cstheme="majorBidi"/>
      <w:b/>
      <w:szCs w:val="24"/>
    </w:rPr>
  </w:style>
  <w:style w:type="character" w:customStyle="1" w:styleId="Heading4Char">
    <w:name w:val="Heading 4 Char"/>
    <w:basedOn w:val="DefaultParagraphFont"/>
    <w:link w:val="Heading4"/>
    <w:uiPriority w:val="9"/>
    <w:rsid w:val="001134C1"/>
    <w:rPr>
      <w:rFonts w:asciiTheme="majorHAnsi" w:eastAsiaTheme="majorEastAsia" w:hAnsiTheme="majorHAnsi" w:cstheme="majorBidi"/>
      <w:b/>
      <w:iCs/>
    </w:rPr>
  </w:style>
  <w:style w:type="character" w:customStyle="1" w:styleId="Heading5Char">
    <w:name w:val="Heading 5 Char"/>
    <w:basedOn w:val="DefaultParagraphFont"/>
    <w:link w:val="Heading5"/>
    <w:uiPriority w:val="9"/>
    <w:rsid w:val="001134C1"/>
    <w:rPr>
      <w:rFonts w:asciiTheme="majorHAnsi" w:eastAsiaTheme="majorEastAsia" w:hAnsiTheme="majorHAnsi" w:cstheme="majorBidi"/>
      <w:b/>
      <w:i/>
    </w:rPr>
  </w:style>
  <w:style w:type="character" w:styleId="Hyperlink">
    <w:name w:val="Hyperlink"/>
    <w:basedOn w:val="DefaultParagraphFont"/>
    <w:uiPriority w:val="99"/>
    <w:unhideWhenUsed/>
    <w:rsid w:val="00937468"/>
    <w:rPr>
      <w:color w:val="0563C1" w:themeColor="hyperlink"/>
      <w:u w:val="single"/>
    </w:rPr>
  </w:style>
  <w:style w:type="paragraph" w:customStyle="1" w:styleId="Nospace">
    <w:name w:val="No space"/>
    <w:basedOn w:val="Normal"/>
    <w:link w:val="NospaceChar"/>
    <w:qFormat/>
    <w:rsid w:val="00937468"/>
    <w:pPr>
      <w:spacing w:after="0" w:line="240" w:lineRule="auto"/>
    </w:pPr>
  </w:style>
  <w:style w:type="character" w:styleId="CommentReference">
    <w:name w:val="annotation reference"/>
    <w:basedOn w:val="DefaultParagraphFont"/>
    <w:rsid w:val="00937468"/>
    <w:rPr>
      <w:sz w:val="16"/>
      <w:szCs w:val="16"/>
    </w:rPr>
  </w:style>
  <w:style w:type="character" w:customStyle="1" w:styleId="NospaceChar">
    <w:name w:val="No space Char"/>
    <w:basedOn w:val="DefaultParagraphFont"/>
    <w:link w:val="Nospace"/>
    <w:rsid w:val="00937468"/>
  </w:style>
  <w:style w:type="paragraph" w:styleId="CommentText">
    <w:name w:val="annotation text"/>
    <w:basedOn w:val="Normal"/>
    <w:link w:val="CommentTextChar"/>
    <w:rsid w:val="00937468"/>
    <w:rPr>
      <w:sz w:val="20"/>
      <w:szCs w:val="20"/>
    </w:rPr>
  </w:style>
  <w:style w:type="character" w:customStyle="1" w:styleId="CommentTextChar">
    <w:name w:val="Comment Text Char"/>
    <w:basedOn w:val="DefaultParagraphFont"/>
    <w:link w:val="CommentText"/>
    <w:rsid w:val="00937468"/>
    <w:rPr>
      <w:sz w:val="20"/>
      <w:szCs w:val="20"/>
    </w:rPr>
  </w:style>
  <w:style w:type="paragraph" w:styleId="BalloonText">
    <w:name w:val="Balloon Text"/>
    <w:basedOn w:val="Normal"/>
    <w:link w:val="BalloonTextChar"/>
    <w:uiPriority w:val="99"/>
    <w:semiHidden/>
    <w:unhideWhenUsed/>
    <w:rsid w:val="00937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37468"/>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937468"/>
    <w:pPr>
      <w:spacing w:line="240" w:lineRule="auto"/>
    </w:pPr>
    <w:rPr>
      <w:b/>
      <w:bCs/>
    </w:rPr>
  </w:style>
  <w:style w:type="character" w:customStyle="1" w:styleId="CommentSubjectChar">
    <w:name w:val="Comment Subject Char"/>
    <w:basedOn w:val="CommentTextChar"/>
    <w:link w:val="CommentSubject"/>
    <w:uiPriority w:val="99"/>
    <w:semiHidden/>
    <w:rsid w:val="00937468"/>
    <w:rPr>
      <w:b/>
      <w:bCs/>
      <w:sz w:val="20"/>
      <w:szCs w:val="20"/>
    </w:rPr>
  </w:style>
  <w:style w:type="paragraph" w:styleId="Revision">
    <w:name w:val="Revision"/>
    <w:hidden/>
    <w:uiPriority w:val="99"/>
    <w:semiHidden/>
    <w:rsid w:val="00966D55"/>
    <w:pPr>
      <w:spacing w:after="0" w:line="240" w:lineRule="auto"/>
    </w:pPr>
  </w:style>
  <w:style w:type="paragraph" w:styleId="Header">
    <w:name w:val="header"/>
    <w:basedOn w:val="Normal"/>
    <w:link w:val="HeaderChar"/>
    <w:uiPriority w:val="99"/>
    <w:unhideWhenUsed/>
    <w:rsid w:val="000E41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415F"/>
  </w:style>
  <w:style w:type="paragraph" w:styleId="Footer">
    <w:name w:val="footer"/>
    <w:basedOn w:val="Normal"/>
    <w:link w:val="FooterChar"/>
    <w:uiPriority w:val="99"/>
    <w:unhideWhenUsed/>
    <w:rsid w:val="000E41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415F"/>
  </w:style>
  <w:style w:type="paragraph" w:styleId="ListParagraph">
    <w:name w:val="List Paragraph"/>
    <w:basedOn w:val="Normal"/>
    <w:uiPriority w:val="34"/>
    <w:qFormat/>
    <w:rsid w:val="00852EF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mcintyre@ohri.c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istillercer.com/" TargetMode="External"/><Relationship Id="rId4" Type="http://schemas.openxmlformats.org/officeDocument/2006/relationships/settings" Target="settings.xml"/><Relationship Id="rId9" Type="http://schemas.openxmlformats.org/officeDocument/2006/relationships/hyperlink" Target="http://www.ohri.ca"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1%20Dropbox\Dropbox\Templates%20and%20Samples\Word\Staff%20Startup%20Templates%20for%20Macros\Di\Normal%20Template%20and%20User%20Templates\OHRI%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822F28-6FFC-411D-8063-4244D2CB86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OHRI template.dotx</Template>
  <TotalTime>1</TotalTime>
  <Pages>7</Pages>
  <Words>1992</Words>
  <Characters>11359</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The Ottawa Hospital</Company>
  <LinksUpToDate>false</LinksUpToDate>
  <CharactersWithSpaces>13325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DW</dc:creator>
  <cp:lastModifiedBy>DW</cp:lastModifiedBy>
  <cp:revision>2</cp:revision>
  <dcterms:created xsi:type="dcterms:W3CDTF">2016-08-31T18:35:00Z</dcterms:created>
  <dcterms:modified xsi:type="dcterms:W3CDTF">2016-08-31T18:35:00Z</dcterms:modified>
</cp:coreProperties>
</file>