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1C259B" w14:textId="22DEE00A" w:rsidR="00E52EB0" w:rsidRPr="00D55AF6" w:rsidRDefault="00D55AF6" w:rsidP="00D55AF6">
      <w:pPr>
        <w:spacing w:line="240" w:lineRule="auto"/>
        <w:ind w:firstLine="0"/>
        <w:jc w:val="center"/>
        <w:rPr>
          <w:rStyle w:val="Strong"/>
          <w:b w:val="0"/>
          <w:bCs w:val="0"/>
          <w:color w:val="000000"/>
          <w:sz w:val="28"/>
          <w:szCs w:val="28"/>
        </w:rPr>
      </w:pPr>
      <w:r w:rsidRPr="00D55AF6">
        <w:rPr>
          <w:rStyle w:val="Strong"/>
          <w:b w:val="0"/>
          <w:bCs w:val="0"/>
          <w:color w:val="000000"/>
          <w:sz w:val="28"/>
          <w:szCs w:val="28"/>
        </w:rPr>
        <w:t>Améliorer l’inclusivité et l’accessibilité dans les arts de la scène :</w:t>
      </w:r>
      <w:r w:rsidRPr="00D55AF6">
        <w:rPr>
          <w:b/>
          <w:bCs/>
          <w:color w:val="000000"/>
          <w:sz w:val="28"/>
          <w:szCs w:val="28"/>
        </w:rPr>
        <w:br/>
      </w:r>
      <w:r w:rsidRPr="00D55AF6">
        <w:rPr>
          <w:rStyle w:val="Strong"/>
          <w:b w:val="0"/>
          <w:bCs w:val="0"/>
          <w:color w:val="000000"/>
          <w:sz w:val="28"/>
          <w:szCs w:val="28"/>
        </w:rPr>
        <w:t>Ressources, pratiques et matériel pédagogique pour les performances adaptées</w:t>
      </w:r>
    </w:p>
    <w:p w14:paraId="7F9DBFA1" w14:textId="77777777" w:rsidR="00D55AF6" w:rsidRDefault="00D55AF6" w:rsidP="00D55AF6">
      <w:pPr>
        <w:spacing w:line="240" w:lineRule="auto"/>
        <w:ind w:firstLine="0"/>
        <w:rPr>
          <w:rStyle w:val="Strong"/>
          <w:color w:val="000000"/>
        </w:rPr>
      </w:pPr>
    </w:p>
    <w:p w14:paraId="2D910159" w14:textId="77777777" w:rsidR="00D55AF6" w:rsidRPr="00D55AF6" w:rsidRDefault="00D55AF6" w:rsidP="00D55AF6">
      <w:pPr>
        <w:spacing w:after="100" w:afterAutospacing="1" w:line="240" w:lineRule="auto"/>
        <w:ind w:firstLine="0"/>
        <w:rPr>
          <w:rFonts w:eastAsia="Times New Roman"/>
          <w:color w:val="000000"/>
        </w:rPr>
      </w:pPr>
      <w:r w:rsidRPr="00D55AF6">
        <w:rPr>
          <w:rFonts w:eastAsia="Times New Roman"/>
          <w:b/>
          <w:bCs/>
          <w:color w:val="000000"/>
        </w:rPr>
        <w:t>Auteures :</w:t>
      </w:r>
      <w:r w:rsidRPr="00D55AF6">
        <w:rPr>
          <w:rFonts w:eastAsia="Times New Roman"/>
          <w:color w:val="000000"/>
        </w:rPr>
        <w:br/>
      </w:r>
      <w:r w:rsidRPr="00D55AF6">
        <w:rPr>
          <w:rFonts w:eastAsia="Times New Roman"/>
          <w:b/>
          <w:bCs/>
          <w:color w:val="000000"/>
        </w:rPr>
        <w:t>Dre Erin Parks,</w:t>
      </w:r>
      <w:r w:rsidRPr="00D55AF6">
        <w:rPr>
          <w:rFonts w:eastAsia="Times New Roman"/>
          <w:color w:val="000000"/>
        </w:rPr>
        <w:t xml:space="preserve"> Université d’Ottawa ; Centre Lotus pour l’éducation musicale spécialisée</w:t>
      </w:r>
      <w:r w:rsidRPr="00D55AF6">
        <w:rPr>
          <w:rFonts w:eastAsia="Times New Roman"/>
          <w:color w:val="000000"/>
        </w:rPr>
        <w:br/>
      </w:r>
      <w:r w:rsidRPr="00D55AF6">
        <w:rPr>
          <w:rFonts w:eastAsia="Times New Roman"/>
          <w:b/>
          <w:bCs/>
          <w:color w:val="000000"/>
        </w:rPr>
        <w:t>Jenna Richards</w:t>
      </w:r>
      <w:r w:rsidRPr="00D55AF6">
        <w:rPr>
          <w:rFonts w:eastAsia="Times New Roman"/>
          <w:color w:val="000000"/>
        </w:rPr>
        <w:t>, Université d’Ottawa ; Ottawa Chamberfest</w:t>
      </w:r>
    </w:p>
    <w:p w14:paraId="2EED854E" w14:textId="581E0F25" w:rsidR="00D55AF6" w:rsidRPr="00D55AF6" w:rsidRDefault="00D55AF6" w:rsidP="00D55AF6">
      <w:pPr>
        <w:spacing w:line="240" w:lineRule="auto"/>
        <w:ind w:firstLine="0"/>
        <w:rPr>
          <w:rFonts w:eastAsia="Times New Roman"/>
          <w:color w:val="000000"/>
        </w:rPr>
      </w:pPr>
      <w:r w:rsidRPr="00D55AF6">
        <w:rPr>
          <w:rFonts w:eastAsia="Times New Roman"/>
          <w:color w:val="000000"/>
        </w:rPr>
        <w:t>Remerciements particuliers à la Bibliothèque de l’Université d’Ottawa pour son programme de subventions qui a rendu ce projet possible, ainsi qu’au personnel et aux bibliothécaires qui ont soutenu ce travail.</w:t>
      </w:r>
      <w:r>
        <w:rPr>
          <w:rFonts w:eastAsia="Times New Roman"/>
          <w:color w:val="000000"/>
        </w:rPr>
        <w:t xml:space="preserve"> </w:t>
      </w:r>
      <w:r w:rsidRPr="00D55AF6">
        <w:rPr>
          <w:rFonts w:eastAsia="Times New Roman"/>
          <w:color w:val="000000"/>
        </w:rPr>
        <w:t>Nous remercions également le Centre Lotus pour l’éducation musicale spécialisée, Ottawa Chamberfest et Xenia Concerts Inc. pour leur expertise et les diverses ressources fournies dans le cadre de ce projet.</w:t>
      </w:r>
    </w:p>
    <w:p w14:paraId="50AF8112" w14:textId="77777777" w:rsidR="00D55AF6" w:rsidRDefault="00D55AF6" w:rsidP="00D55AF6">
      <w:pPr>
        <w:spacing w:line="240" w:lineRule="auto"/>
        <w:ind w:firstLine="0"/>
        <w:rPr>
          <w:rFonts w:eastAsia="Times New Roman"/>
          <w:b/>
          <w:bCs/>
          <w:color w:val="000000"/>
        </w:rPr>
      </w:pPr>
    </w:p>
    <w:p w14:paraId="691FD03C" w14:textId="6CC80688" w:rsidR="00D55AF6" w:rsidRPr="00D55AF6" w:rsidRDefault="00D55AF6" w:rsidP="00D55AF6">
      <w:pPr>
        <w:spacing w:after="100" w:afterAutospacing="1" w:line="240" w:lineRule="auto"/>
        <w:ind w:firstLine="0"/>
        <w:rPr>
          <w:rFonts w:eastAsia="Times New Roman"/>
          <w:color w:val="000000"/>
        </w:rPr>
      </w:pPr>
      <w:r w:rsidRPr="00D55AF6">
        <w:rPr>
          <w:rFonts w:eastAsia="Times New Roman"/>
          <w:b/>
          <w:bCs/>
          <w:color w:val="000000"/>
        </w:rPr>
        <w:t>Sujet :</w:t>
      </w:r>
      <w:r w:rsidRPr="00D55AF6">
        <w:rPr>
          <w:rFonts w:eastAsia="Times New Roman"/>
          <w:color w:val="000000"/>
        </w:rPr>
        <w:br/>
        <w:t>Inclusivité et accessibilité dans les arts de la scène (avec un accent sur la musique)</w:t>
      </w:r>
    </w:p>
    <w:p w14:paraId="3012C153" w14:textId="45975EED" w:rsidR="00D55AF6" w:rsidRPr="00D55AF6" w:rsidRDefault="00D55AF6" w:rsidP="00D55AF6">
      <w:pPr>
        <w:spacing w:before="100" w:beforeAutospacing="1" w:line="240" w:lineRule="auto"/>
        <w:ind w:firstLine="0"/>
        <w:rPr>
          <w:rFonts w:eastAsia="Times New Roman"/>
          <w:color w:val="000000"/>
        </w:rPr>
      </w:pPr>
      <w:r w:rsidRPr="00D55AF6">
        <w:rPr>
          <w:rFonts w:eastAsia="Times New Roman"/>
          <w:b/>
          <w:bCs/>
          <w:color w:val="000000"/>
        </w:rPr>
        <w:t>Mots-clés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5"/>
        <w:gridCol w:w="4675"/>
      </w:tblGrid>
      <w:tr w:rsidR="00D55AF6" w14:paraId="2A2F2466" w14:textId="77777777" w:rsidTr="00D55AF6">
        <w:tc>
          <w:tcPr>
            <w:tcW w:w="4675" w:type="dxa"/>
          </w:tcPr>
          <w:p w14:paraId="2CAB853E" w14:textId="148A7FCC"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Accessibilité dans les arts de la scène</w:t>
            </w:r>
          </w:p>
        </w:tc>
        <w:tc>
          <w:tcPr>
            <w:tcW w:w="4675" w:type="dxa"/>
          </w:tcPr>
          <w:p w14:paraId="4B23743D" w14:textId="112EFE31"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Neurodiversité</w:t>
            </w:r>
          </w:p>
        </w:tc>
      </w:tr>
      <w:tr w:rsidR="00D55AF6" w14:paraId="6B32EC29" w14:textId="77777777" w:rsidTr="00D55AF6">
        <w:tc>
          <w:tcPr>
            <w:tcW w:w="4675" w:type="dxa"/>
          </w:tcPr>
          <w:p w14:paraId="6D942788" w14:textId="7F824FAE"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Musique et accessibilité</w:t>
            </w:r>
          </w:p>
        </w:tc>
        <w:tc>
          <w:tcPr>
            <w:tcW w:w="4675" w:type="dxa"/>
          </w:tcPr>
          <w:p w14:paraId="67BD7B5F" w14:textId="049684F0"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Arts de la scène postsecondaires</w:t>
            </w:r>
          </w:p>
        </w:tc>
      </w:tr>
      <w:tr w:rsidR="00D55AF6" w14:paraId="25F1AF65" w14:textId="77777777" w:rsidTr="00D55AF6">
        <w:tc>
          <w:tcPr>
            <w:tcW w:w="4675" w:type="dxa"/>
          </w:tcPr>
          <w:p w14:paraId="1B9ADC61" w14:textId="0F217707"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Performance adaptée</w:t>
            </w:r>
          </w:p>
        </w:tc>
        <w:tc>
          <w:tcPr>
            <w:tcW w:w="4675" w:type="dxa"/>
          </w:tcPr>
          <w:p w14:paraId="1F0535E7" w14:textId="5C8D3556"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Arts et handicap</w:t>
            </w:r>
          </w:p>
        </w:tc>
      </w:tr>
      <w:tr w:rsidR="00D55AF6" w14:paraId="2FE03E0B" w14:textId="77777777" w:rsidTr="00D55AF6">
        <w:tc>
          <w:tcPr>
            <w:tcW w:w="4675" w:type="dxa"/>
          </w:tcPr>
          <w:p w14:paraId="43E26C50" w14:textId="509634C7"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Éducation artistique</w:t>
            </w:r>
          </w:p>
        </w:tc>
        <w:tc>
          <w:tcPr>
            <w:tcW w:w="4675" w:type="dxa"/>
          </w:tcPr>
          <w:p w14:paraId="606222DC" w14:textId="6A97F7BA"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Inclusion culturelle</w:t>
            </w:r>
          </w:p>
        </w:tc>
      </w:tr>
      <w:tr w:rsidR="00D55AF6" w14:paraId="4233DFE2" w14:textId="77777777" w:rsidTr="00D55AF6">
        <w:tc>
          <w:tcPr>
            <w:tcW w:w="4675" w:type="dxa"/>
          </w:tcPr>
          <w:p w14:paraId="48B909F5" w14:textId="2B5EF13F"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Spectacle sensoriel adapté</w:t>
            </w:r>
          </w:p>
        </w:tc>
        <w:tc>
          <w:tcPr>
            <w:tcW w:w="4675" w:type="dxa"/>
          </w:tcPr>
          <w:p w14:paraId="7DBFCD4C" w14:textId="1F64A474"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Éducation inclusive</w:t>
            </w:r>
          </w:p>
        </w:tc>
      </w:tr>
      <w:tr w:rsidR="00D55AF6" w14:paraId="6C5BE3F9" w14:textId="77777777" w:rsidTr="00D55AF6">
        <w:tc>
          <w:tcPr>
            <w:tcW w:w="4675" w:type="dxa"/>
          </w:tcPr>
          <w:p w14:paraId="5B20C3EE" w14:textId="2D166C62"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Pratiques artistiques équitables</w:t>
            </w:r>
          </w:p>
        </w:tc>
        <w:tc>
          <w:tcPr>
            <w:tcW w:w="4675" w:type="dxa"/>
          </w:tcPr>
          <w:p w14:paraId="130971B5" w14:textId="4824C49C" w:rsidR="00D55AF6" w:rsidRPr="00D55AF6" w:rsidRDefault="00D55AF6" w:rsidP="00D55AF6">
            <w:pPr>
              <w:spacing w:before="100" w:beforeAutospacing="1" w:after="100" w:afterAutospacing="1" w:line="276" w:lineRule="auto"/>
              <w:ind w:firstLine="0"/>
              <w:rPr>
                <w:rFonts w:eastAsia="Times New Roman"/>
                <w:color w:val="000000"/>
              </w:rPr>
            </w:pPr>
            <w:r w:rsidRPr="00D55AF6">
              <w:rPr>
                <w:rFonts w:eastAsia="Times New Roman"/>
                <w:color w:val="000000"/>
              </w:rPr>
              <w:t>• Arts et santé</w:t>
            </w:r>
          </w:p>
        </w:tc>
      </w:tr>
    </w:tbl>
    <w:p w14:paraId="3513F03C" w14:textId="683BE312" w:rsidR="00D55AF6" w:rsidRPr="00D55AF6" w:rsidRDefault="00D55AF6" w:rsidP="00D55AF6">
      <w:pPr>
        <w:spacing w:before="100" w:beforeAutospacing="1" w:after="100" w:afterAutospacing="1" w:line="240" w:lineRule="auto"/>
        <w:ind w:firstLine="0"/>
        <w:rPr>
          <w:rFonts w:eastAsia="Times New Roman"/>
          <w:color w:val="000000"/>
        </w:rPr>
      </w:pPr>
      <w:r w:rsidRPr="00D55AF6">
        <w:rPr>
          <w:rFonts w:eastAsia="Times New Roman"/>
          <w:b/>
          <w:bCs/>
          <w:color w:val="000000"/>
        </w:rPr>
        <w:t>Résumé :</w:t>
      </w:r>
      <w:r w:rsidRPr="00D55AF6">
        <w:rPr>
          <w:rFonts w:eastAsia="Times New Roman"/>
          <w:color w:val="000000"/>
        </w:rPr>
        <w:br/>
        <w:t>Cette ressource éducative libre (REL), constitue une boîte à outils complète et pratique pour favoriser l’inclusivité et l’accessibilité dans les arts de la scène, avec un accent particulier sur la musique. Conçue pour les étudiant·e·s de premier cycle, les enseignant·e·s et les apprenant·e·s autonomes, cette ressource répond à un besoin important de contenu pédagogique gratuit et adaptable soutenant des pratiques artistiques inclusives à destination des communautés en situation de handicap et neurodivergentes.</w:t>
      </w:r>
    </w:p>
    <w:p w14:paraId="58F408D5" w14:textId="77777777" w:rsidR="00D55AF6" w:rsidRPr="00D55AF6" w:rsidRDefault="00D55AF6" w:rsidP="00D55AF6">
      <w:pPr>
        <w:spacing w:before="100" w:beforeAutospacing="1" w:after="100" w:afterAutospacing="1" w:line="240" w:lineRule="auto"/>
        <w:ind w:firstLine="0"/>
        <w:rPr>
          <w:rFonts w:eastAsia="Times New Roman"/>
          <w:color w:val="000000"/>
        </w:rPr>
      </w:pPr>
      <w:r w:rsidRPr="00D55AF6">
        <w:rPr>
          <w:rFonts w:eastAsia="Times New Roman"/>
          <w:color w:val="000000"/>
        </w:rPr>
        <w:t>Structurée en quatre modules — dont un module introductif préalable — cette REL aborde les connaissances de base sur le handicap et la neurodiversité, les pratiques générales inclusives et accessibles, ainsi que des approches approfondies des performances adaptées dans des contextes tels que la démence et les soins palliatifs. Elle intègre divers formats, notamment des présentations PowerPoint, des activités d’apprentissage, des questionnaires, des lectures, des vidéos et des études de cas, permettant une utilisation flexible dans plusieurs disciplines et établissements.</w:t>
      </w:r>
    </w:p>
    <w:p w14:paraId="46490AF1" w14:textId="5C831EBA" w:rsidR="00D55AF6" w:rsidRDefault="00D55AF6" w:rsidP="00D55AF6">
      <w:pPr>
        <w:spacing w:before="100" w:beforeAutospacing="1" w:after="100" w:afterAutospacing="1" w:line="240" w:lineRule="auto"/>
        <w:ind w:firstLine="0"/>
        <w:rPr>
          <w:rFonts w:eastAsia="Times New Roman"/>
          <w:color w:val="000000"/>
        </w:rPr>
      </w:pPr>
      <w:r w:rsidRPr="00D55AF6">
        <w:rPr>
          <w:rFonts w:eastAsia="Times New Roman"/>
          <w:color w:val="000000"/>
        </w:rPr>
        <w:t>En offrant des outils qui soutiennent la création et la présentation de performances inclusives, cette REL outille les artistes, éducateurs et leaders artistiques de demain pour promouvoir une participation culturelle équitable. Elle favorise la compréhension des pratiques inclusives émergentes tout en contribuant à l’employabilité, à la créativité et à l’esprit critique des étudiant·e·s dans un monde artistique en constante évolution.</w:t>
      </w:r>
    </w:p>
    <w:p w14:paraId="090DF58B" w14:textId="77777777" w:rsidR="00D55AF6" w:rsidRPr="00D55AF6" w:rsidRDefault="00D55AF6" w:rsidP="00D55AF6">
      <w:pPr>
        <w:spacing w:before="100" w:beforeAutospacing="1" w:line="240" w:lineRule="auto"/>
        <w:ind w:firstLine="0"/>
        <w:rPr>
          <w:rFonts w:eastAsia="Times New Roman"/>
          <w:color w:val="000000"/>
        </w:rPr>
      </w:pPr>
      <w:r w:rsidRPr="00D55AF6">
        <w:rPr>
          <w:rFonts w:eastAsia="Times New Roman"/>
          <w:b/>
          <w:bCs/>
          <w:color w:val="000000"/>
        </w:rPr>
        <w:lastRenderedPageBreak/>
        <w:t>Public cible :</w:t>
      </w:r>
    </w:p>
    <w:p w14:paraId="77917A5C" w14:textId="77777777" w:rsidR="00D55AF6" w:rsidRPr="00D55AF6" w:rsidRDefault="00D55AF6" w:rsidP="00D55AF6">
      <w:pPr>
        <w:numPr>
          <w:ilvl w:val="0"/>
          <w:numId w:val="2"/>
        </w:numPr>
        <w:spacing w:after="100" w:afterAutospacing="1" w:line="240" w:lineRule="auto"/>
        <w:rPr>
          <w:rFonts w:eastAsia="Times New Roman"/>
          <w:color w:val="000000"/>
        </w:rPr>
      </w:pPr>
      <w:r w:rsidRPr="00D55AF6">
        <w:rPr>
          <w:rFonts w:eastAsia="Times New Roman"/>
          <w:color w:val="000000"/>
        </w:rPr>
        <w:t>Étudiant·e·s de premier cycle en arts de la scène (peut également s’appliquer aux étudiant·e·s des cycles supérieurs et à celles et ceux issu·e·s d’autres disciplines), via les enseignant·e·s, professeur·e·s et formateur·trice·s</w:t>
      </w:r>
    </w:p>
    <w:p w14:paraId="31582519" w14:textId="6BFDB763" w:rsidR="00D55AF6" w:rsidRPr="00D55AF6" w:rsidRDefault="00D55AF6" w:rsidP="00D55AF6">
      <w:pPr>
        <w:numPr>
          <w:ilvl w:val="0"/>
          <w:numId w:val="2"/>
        </w:numPr>
        <w:spacing w:before="100" w:beforeAutospacing="1" w:after="100" w:afterAutospacing="1" w:line="240" w:lineRule="auto"/>
        <w:rPr>
          <w:rFonts w:eastAsia="Times New Roman"/>
          <w:color w:val="000000"/>
        </w:rPr>
      </w:pPr>
      <w:r w:rsidRPr="00D55AF6">
        <w:rPr>
          <w:rFonts w:eastAsia="Times New Roman"/>
          <w:color w:val="000000"/>
        </w:rPr>
        <w:t>Apprenant·e·s à la recherche de matériel d’autoformation</w:t>
      </w:r>
    </w:p>
    <w:p w14:paraId="39250F9A" w14:textId="77777777" w:rsidR="00D55AF6" w:rsidRPr="00D55AF6" w:rsidRDefault="00D55AF6" w:rsidP="00D55AF6">
      <w:pPr>
        <w:spacing w:line="240" w:lineRule="auto"/>
        <w:ind w:firstLine="0"/>
        <w:rPr>
          <w:rFonts w:eastAsia="Times New Roman"/>
          <w:color w:val="000000"/>
        </w:rPr>
      </w:pPr>
      <w:r w:rsidRPr="00D55AF6">
        <w:rPr>
          <w:rFonts w:eastAsia="Times New Roman"/>
          <w:b/>
          <w:bCs/>
          <w:color w:val="000000"/>
        </w:rPr>
        <w:t>Portée et objectifs :</w:t>
      </w:r>
    </w:p>
    <w:p w14:paraId="5DD45060" w14:textId="77777777" w:rsidR="00D55AF6" w:rsidRPr="00D55AF6" w:rsidRDefault="00D55AF6" w:rsidP="00621AEA">
      <w:pPr>
        <w:numPr>
          <w:ilvl w:val="0"/>
          <w:numId w:val="3"/>
        </w:numPr>
        <w:spacing w:after="100" w:afterAutospacing="1" w:line="240" w:lineRule="auto"/>
        <w:rPr>
          <w:rFonts w:eastAsia="Times New Roman"/>
          <w:color w:val="000000"/>
        </w:rPr>
      </w:pPr>
      <w:r w:rsidRPr="00D55AF6">
        <w:rPr>
          <w:rFonts w:eastAsia="Times New Roman"/>
          <w:color w:val="000000"/>
        </w:rPr>
        <w:t>Créer des modules destinés aux enseignant·e·s pour l’enseignement de la musique ou d’autres disciplines des arts de la scène au niveau postsecondaire, ainsi qu’aux étudiant·e·s, portant sur des pratiques inclusives adaptées à leur domaine</w:t>
      </w:r>
    </w:p>
    <w:p w14:paraId="351C4D04" w14:textId="77777777" w:rsidR="00D55AF6" w:rsidRPr="00D55AF6" w:rsidRDefault="00D55AF6" w:rsidP="00D55AF6">
      <w:pPr>
        <w:numPr>
          <w:ilvl w:val="0"/>
          <w:numId w:val="3"/>
        </w:numPr>
        <w:spacing w:before="100" w:beforeAutospacing="1" w:after="100" w:afterAutospacing="1" w:line="240" w:lineRule="auto"/>
        <w:rPr>
          <w:rFonts w:eastAsia="Times New Roman"/>
          <w:color w:val="000000"/>
        </w:rPr>
      </w:pPr>
      <w:r w:rsidRPr="00D55AF6">
        <w:rPr>
          <w:rFonts w:eastAsia="Times New Roman"/>
          <w:color w:val="000000"/>
        </w:rPr>
        <w:t>Fournir du matériel pratique comprenant des activités d’apprentissage, des listes de lectures et de ressources, des liens et des textes à adapter ou à appliquer en contexte éducatif ou de formation</w:t>
      </w:r>
    </w:p>
    <w:p w14:paraId="19C359A3" w14:textId="77777777" w:rsidR="00D55AF6" w:rsidRPr="00D55AF6" w:rsidRDefault="00D55AF6" w:rsidP="00D55AF6">
      <w:pPr>
        <w:numPr>
          <w:ilvl w:val="0"/>
          <w:numId w:val="3"/>
        </w:numPr>
        <w:spacing w:before="100" w:beforeAutospacing="1" w:after="100" w:afterAutospacing="1" w:line="240" w:lineRule="auto"/>
        <w:rPr>
          <w:rFonts w:eastAsia="Times New Roman"/>
          <w:color w:val="000000"/>
        </w:rPr>
      </w:pPr>
      <w:r w:rsidRPr="00D55AF6">
        <w:rPr>
          <w:rFonts w:eastAsia="Times New Roman"/>
          <w:color w:val="000000"/>
        </w:rPr>
        <w:t>Proposer un aperçu des pratiques artistiques actuelles visant à renforcer l’inclusivité et l’accessibilité</w:t>
      </w:r>
    </w:p>
    <w:p w14:paraId="76528B1E" w14:textId="77777777" w:rsidR="00D55AF6" w:rsidRPr="00D55AF6" w:rsidRDefault="00D55AF6" w:rsidP="00D55AF6">
      <w:pPr>
        <w:numPr>
          <w:ilvl w:val="0"/>
          <w:numId w:val="3"/>
        </w:numPr>
        <w:spacing w:before="100" w:beforeAutospacing="1" w:after="100" w:afterAutospacing="1" w:line="240" w:lineRule="auto"/>
        <w:rPr>
          <w:rFonts w:eastAsia="Times New Roman"/>
          <w:color w:val="000000"/>
        </w:rPr>
      </w:pPr>
      <w:r w:rsidRPr="00D55AF6">
        <w:rPr>
          <w:rFonts w:eastAsia="Times New Roman"/>
          <w:color w:val="000000"/>
        </w:rPr>
        <w:t>Accroître les ressources et les connaissances sur les pratiques artistiques inclusives contemporaines</w:t>
      </w:r>
    </w:p>
    <w:p w14:paraId="4B20D6CD" w14:textId="77777777" w:rsidR="00621AEA" w:rsidRPr="00621AEA" w:rsidRDefault="00621AEA" w:rsidP="00621AEA">
      <w:pPr>
        <w:spacing w:before="100" w:beforeAutospacing="1" w:after="100" w:afterAutospacing="1" w:line="240" w:lineRule="auto"/>
        <w:ind w:firstLine="0"/>
        <w:rPr>
          <w:rFonts w:eastAsia="Times New Roman"/>
          <w:color w:val="000000"/>
        </w:rPr>
      </w:pPr>
      <w:r w:rsidRPr="00621AEA">
        <w:rPr>
          <w:rFonts w:eastAsia="Times New Roman"/>
          <w:b/>
          <w:bCs/>
          <w:color w:val="000000"/>
        </w:rPr>
        <w:t>Introduction :</w:t>
      </w:r>
      <w:r w:rsidRPr="00621AEA">
        <w:rPr>
          <w:rFonts w:eastAsia="Times New Roman"/>
          <w:color w:val="000000"/>
        </w:rPr>
        <w:br/>
        <w:t>Les universitaires, artistes, étudiant·e·s et décideur·euse·s rencontrent des difficultés lorsqu’ils·elles cherchent des ressources visant à améliorer l’inclusivité et l’accessibilité dans les arts de la scène à des fins éducatives ou de formation. Les options disponibles sont limitées et, en 2024, aucune n’est accessible gratuitement. Ce projet a donc pour objectif de créer des modules sur les performances adaptées destinées aux communautés neurodivergentes et en situation de handicap, afin de faire progresser les pratiques artistiques inclusives dans le domaine de l’éducation et au-delà. Les performances adaptées sont des événements intégrant des éléments des arts de la scène et conçus avec des considérations spécifiques pour l’inclusivité et l’accessibilité, de manière à éliminer les obstacles potentiels à l’accès et à la participation pour les personnes en situation de handicap ou présentant des particularités, ainsi que leurs familles ou aidant·e·s (Richards et Parkes, 2023 ; Shiloh et Lagasse, 2021).</w:t>
      </w:r>
    </w:p>
    <w:p w14:paraId="45DD4A2B" w14:textId="77777777" w:rsidR="00621AEA" w:rsidRPr="00621AEA" w:rsidRDefault="00621AEA" w:rsidP="00621AEA">
      <w:pPr>
        <w:spacing w:before="100" w:beforeAutospacing="1" w:after="100" w:afterAutospacing="1" w:line="240" w:lineRule="auto"/>
        <w:ind w:firstLine="0"/>
        <w:rPr>
          <w:rFonts w:eastAsia="Times New Roman"/>
          <w:color w:val="000000"/>
        </w:rPr>
      </w:pPr>
      <w:r w:rsidRPr="00621AEA">
        <w:rPr>
          <w:rFonts w:eastAsia="Times New Roman"/>
          <w:color w:val="000000"/>
        </w:rPr>
        <w:t>Les modules de cette REL couvrent les soins de longue durée, la démence/la maladie d’Alzheimer, les soins palliatifs et les performances en milieu de santé, ainsi que les performances adaptées de manière plus générale et les pratiques inclusives, accessibles et équitables applicables aux arts de la scène. Ces contenus s’adressent aux présentateur·trice·s, praticien·ne·s, interprètes, bénévoles, décideur·euse·s et enseignant·e·s. Des présentations PowerPoint originales, des activités pédagogiques, du matériel écrit, des études de cas, des exemples de travaux, des articles scientifiques en libre accès, des questionnaires, des sondages et du contenu vidéo libre de droits ont été rassemblés pour former des sections éducatives complètes, utilisables telles quelles dans les arts de la scène ou comme source d’inspiration dans d’autres domaines. Un module introductif (pré-module) fournit un contexte sur les communautés en situation de handicap ou neurodivergentes, afin d’assurer une compréhension partagée et une base de connaissances suffisante avant d’aborder le contenu artistique spécifique.</w:t>
      </w:r>
    </w:p>
    <w:p w14:paraId="55732957" w14:textId="77777777" w:rsidR="00621AEA" w:rsidRPr="00621AEA" w:rsidRDefault="00621AEA" w:rsidP="00621AEA">
      <w:pPr>
        <w:spacing w:before="100" w:beforeAutospacing="1" w:after="100" w:afterAutospacing="1" w:line="240" w:lineRule="auto"/>
        <w:ind w:firstLine="0"/>
        <w:rPr>
          <w:rFonts w:eastAsia="Times New Roman"/>
          <w:color w:val="000000"/>
        </w:rPr>
      </w:pPr>
      <w:r w:rsidRPr="00621AEA">
        <w:rPr>
          <w:rFonts w:eastAsia="Times New Roman"/>
          <w:color w:val="000000"/>
        </w:rPr>
        <w:t xml:space="preserve">Les ressources sur l’accessibilité et l’inclusivité peuvent souvent être dépendantes de moyens (coûteuses ou difficiles à utiliser), ce qui pousse parfois les gens à maintenir des normes qui </w:t>
      </w:r>
      <w:r w:rsidRPr="00621AEA">
        <w:rPr>
          <w:rFonts w:eastAsia="Times New Roman"/>
          <w:color w:val="000000"/>
        </w:rPr>
        <w:lastRenderedPageBreak/>
        <w:t>excluent de nombreuses personnes de notre société, les isolant et nuisant à leur bien-être (Shiloh et Lagasse, 2021), tout en les rendant invisibles dans les programmes éducatifs. Cette REL offrira aux enseignant·e·s et aux étudiant·e·s un accès à des recherches pratiques, actuelles et des activités inclusives, en phase avec un monde en transformation et conscient de la nécessité d’humaniser et de démystifier les arts de la scène. Elle contribuera à la capacité des étudiant·e·s à pratiquer, comprendre un domaine en pleine expansion et développer leur employabilité, leur créativité et leur esprit critique.</w:t>
      </w:r>
    </w:p>
    <w:p w14:paraId="4491B636" w14:textId="77777777" w:rsidR="00621AEA" w:rsidRDefault="00621AEA" w:rsidP="00621AEA">
      <w:pPr>
        <w:spacing w:before="100" w:beforeAutospacing="1" w:after="100" w:afterAutospacing="1" w:line="240" w:lineRule="auto"/>
        <w:ind w:firstLine="0"/>
        <w:rPr>
          <w:rFonts w:eastAsia="Times New Roman"/>
        </w:rPr>
      </w:pPr>
    </w:p>
    <w:p w14:paraId="7DBC9C88" w14:textId="5F7FCABE" w:rsidR="00621AEA" w:rsidRPr="00621AEA" w:rsidRDefault="00621AEA" w:rsidP="00621AEA">
      <w:pPr>
        <w:spacing w:before="100" w:beforeAutospacing="1" w:after="100" w:afterAutospacing="1" w:line="240" w:lineRule="auto"/>
        <w:ind w:firstLine="0"/>
        <w:rPr>
          <w:rFonts w:eastAsia="Times New Roman"/>
          <w:color w:val="000000"/>
        </w:rPr>
      </w:pPr>
      <w:r w:rsidRPr="00621AEA">
        <w:rPr>
          <w:rFonts w:eastAsia="Times New Roman"/>
          <w:b/>
          <w:bCs/>
          <w:color w:val="000000"/>
        </w:rPr>
        <w:t>Plan du cours :</w:t>
      </w:r>
      <w:r w:rsidRPr="00621AEA">
        <w:rPr>
          <w:rFonts w:eastAsia="Times New Roman"/>
          <w:color w:val="000000"/>
        </w:rPr>
        <w:br/>
      </w:r>
      <w:r w:rsidRPr="00621AEA">
        <w:rPr>
          <w:rFonts w:eastAsia="Times New Roman"/>
          <w:b/>
          <w:bCs/>
          <w:color w:val="000000"/>
        </w:rPr>
        <w:t>Module 0 (module introductif)</w:t>
      </w:r>
      <w:r w:rsidRPr="00621AEA">
        <w:rPr>
          <w:rFonts w:eastAsia="Times New Roman"/>
          <w:color w:val="000000"/>
        </w:rPr>
        <w:t> : Connaître son public</w:t>
      </w:r>
      <w:r w:rsidRPr="00621AEA">
        <w:rPr>
          <w:rFonts w:eastAsia="Times New Roman"/>
          <w:color w:val="000000"/>
        </w:rPr>
        <w:br/>
      </w:r>
      <w:r w:rsidRPr="00621AEA">
        <w:rPr>
          <w:rFonts w:eastAsia="Times New Roman"/>
          <w:b/>
          <w:bCs/>
          <w:color w:val="000000"/>
        </w:rPr>
        <w:t>Module 1</w:t>
      </w:r>
      <w:r w:rsidRPr="00621AEA">
        <w:rPr>
          <w:rFonts w:eastAsia="Times New Roman"/>
          <w:color w:val="000000"/>
        </w:rPr>
        <w:t> : Inclusivité et accessibilité dans les arts de la scène</w:t>
      </w:r>
      <w:r w:rsidRPr="00621AEA">
        <w:rPr>
          <w:rFonts w:eastAsia="Times New Roman"/>
          <w:color w:val="000000"/>
        </w:rPr>
        <w:br/>
      </w:r>
      <w:r w:rsidRPr="00621AEA">
        <w:rPr>
          <w:rFonts w:eastAsia="Times New Roman"/>
          <w:b/>
          <w:bCs/>
          <w:color w:val="000000"/>
        </w:rPr>
        <w:t>Module 2</w:t>
      </w:r>
      <w:r w:rsidRPr="00621AEA">
        <w:rPr>
          <w:rFonts w:eastAsia="Times New Roman"/>
          <w:color w:val="000000"/>
        </w:rPr>
        <w:t> : Performances adaptées – Partie I</w:t>
      </w:r>
      <w:r w:rsidRPr="00621AEA">
        <w:rPr>
          <w:rFonts w:eastAsia="Times New Roman"/>
          <w:color w:val="000000"/>
        </w:rPr>
        <w:br/>
      </w:r>
      <w:r w:rsidRPr="00621AEA">
        <w:rPr>
          <w:rFonts w:eastAsia="Times New Roman"/>
          <w:b/>
          <w:bCs/>
          <w:color w:val="000000"/>
        </w:rPr>
        <w:t>Module 3</w:t>
      </w:r>
      <w:r w:rsidRPr="00621AEA">
        <w:rPr>
          <w:rFonts w:eastAsia="Times New Roman"/>
          <w:color w:val="000000"/>
        </w:rPr>
        <w:t> : Performances adaptées – Partie II</w:t>
      </w:r>
    </w:p>
    <w:p w14:paraId="3AC148EE" w14:textId="77777777" w:rsidR="00D55AF6" w:rsidRPr="00D55AF6" w:rsidRDefault="00D55AF6" w:rsidP="00D55AF6">
      <w:pPr>
        <w:spacing w:before="100" w:beforeAutospacing="1" w:after="100" w:afterAutospacing="1" w:line="240" w:lineRule="auto"/>
        <w:ind w:firstLine="0"/>
        <w:rPr>
          <w:rFonts w:eastAsia="Times New Roman"/>
          <w:color w:val="000000"/>
        </w:rPr>
      </w:pPr>
    </w:p>
    <w:sectPr w:rsidR="00D55AF6" w:rsidRPr="00D55AF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666761"/>
    <w:multiLevelType w:val="multilevel"/>
    <w:tmpl w:val="9D9CD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A94E99"/>
    <w:multiLevelType w:val="hybridMultilevel"/>
    <w:tmpl w:val="1474E9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34852CA"/>
    <w:multiLevelType w:val="multilevel"/>
    <w:tmpl w:val="BF4EA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8688540">
    <w:abstractNumId w:val="1"/>
  </w:num>
  <w:num w:numId="2" w16cid:durableId="557478194">
    <w:abstractNumId w:val="0"/>
  </w:num>
  <w:num w:numId="3" w16cid:durableId="3313735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5AF6"/>
    <w:rsid w:val="0021579D"/>
    <w:rsid w:val="00621AEA"/>
    <w:rsid w:val="00B426CF"/>
    <w:rsid w:val="00D55AF6"/>
    <w:rsid w:val="00D674FD"/>
    <w:rsid w:val="00E52EB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1AD578"/>
  <w15:chartTrackingRefBased/>
  <w15:docId w15:val="{D759AA04-505A-DB47-9510-E5DC2E9CE3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CA" w:eastAsia="en-US" w:bidi="ar-SA"/>
      </w:rPr>
    </w:rPrDefault>
    <w:pPrDefault>
      <w:pPr>
        <w:spacing w:line="480" w:lineRule="auto"/>
        <w:ind w:firstLine="425"/>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55A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55A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55AF6"/>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55AF6"/>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D55AF6"/>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D55AF6"/>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D55AF6"/>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D55AF6"/>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D55AF6"/>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55A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55A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55AF6"/>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55AF6"/>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D55AF6"/>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D55AF6"/>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D55AF6"/>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D55AF6"/>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D55AF6"/>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D55A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55A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55AF6"/>
    <w:pPr>
      <w:numPr>
        <w:ilvl w:val="1"/>
      </w:numPr>
      <w:spacing w:after="160"/>
      <w:ind w:firstLine="425"/>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55AF6"/>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D55AF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55AF6"/>
    <w:rPr>
      <w:i/>
      <w:iCs/>
      <w:color w:val="404040" w:themeColor="text1" w:themeTint="BF"/>
    </w:rPr>
  </w:style>
  <w:style w:type="paragraph" w:styleId="ListParagraph">
    <w:name w:val="List Paragraph"/>
    <w:basedOn w:val="Normal"/>
    <w:uiPriority w:val="34"/>
    <w:qFormat/>
    <w:rsid w:val="00D55AF6"/>
    <w:pPr>
      <w:ind w:left="720"/>
      <w:contextualSpacing/>
    </w:pPr>
  </w:style>
  <w:style w:type="character" w:styleId="IntenseEmphasis">
    <w:name w:val="Intense Emphasis"/>
    <w:basedOn w:val="DefaultParagraphFont"/>
    <w:uiPriority w:val="21"/>
    <w:qFormat/>
    <w:rsid w:val="00D55AF6"/>
    <w:rPr>
      <w:i/>
      <w:iCs/>
      <w:color w:val="0F4761" w:themeColor="accent1" w:themeShade="BF"/>
    </w:rPr>
  </w:style>
  <w:style w:type="paragraph" w:styleId="IntenseQuote">
    <w:name w:val="Intense Quote"/>
    <w:basedOn w:val="Normal"/>
    <w:next w:val="Normal"/>
    <w:link w:val="IntenseQuoteChar"/>
    <w:uiPriority w:val="30"/>
    <w:qFormat/>
    <w:rsid w:val="00D55A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55AF6"/>
    <w:rPr>
      <w:i/>
      <w:iCs/>
      <w:color w:val="0F4761" w:themeColor="accent1" w:themeShade="BF"/>
    </w:rPr>
  </w:style>
  <w:style w:type="character" w:styleId="IntenseReference">
    <w:name w:val="Intense Reference"/>
    <w:basedOn w:val="DefaultParagraphFont"/>
    <w:uiPriority w:val="32"/>
    <w:qFormat/>
    <w:rsid w:val="00D55AF6"/>
    <w:rPr>
      <w:b/>
      <w:bCs/>
      <w:smallCaps/>
      <w:color w:val="0F4761" w:themeColor="accent1" w:themeShade="BF"/>
      <w:spacing w:val="5"/>
    </w:rPr>
  </w:style>
  <w:style w:type="character" w:styleId="Strong">
    <w:name w:val="Strong"/>
    <w:basedOn w:val="DefaultParagraphFont"/>
    <w:uiPriority w:val="22"/>
    <w:qFormat/>
    <w:rsid w:val="00D55AF6"/>
    <w:rPr>
      <w:b/>
      <w:bCs/>
    </w:rPr>
  </w:style>
  <w:style w:type="table" w:styleId="TableGrid">
    <w:name w:val="Table Grid"/>
    <w:basedOn w:val="TableNormal"/>
    <w:uiPriority w:val="39"/>
    <w:rsid w:val="00D55AF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D55AF6"/>
  </w:style>
  <w:style w:type="character" w:styleId="Emphasis">
    <w:name w:val="Emphasis"/>
    <w:basedOn w:val="DefaultParagraphFont"/>
    <w:uiPriority w:val="20"/>
    <w:qFormat/>
    <w:rsid w:val="00D55A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457931">
      <w:bodyDiv w:val="1"/>
      <w:marLeft w:val="0"/>
      <w:marRight w:val="0"/>
      <w:marTop w:val="0"/>
      <w:marBottom w:val="0"/>
      <w:divBdr>
        <w:top w:val="none" w:sz="0" w:space="0" w:color="auto"/>
        <w:left w:val="none" w:sz="0" w:space="0" w:color="auto"/>
        <w:bottom w:val="none" w:sz="0" w:space="0" w:color="auto"/>
        <w:right w:val="none" w:sz="0" w:space="0" w:color="auto"/>
      </w:divBdr>
    </w:div>
    <w:div w:id="1353989625">
      <w:bodyDiv w:val="1"/>
      <w:marLeft w:val="0"/>
      <w:marRight w:val="0"/>
      <w:marTop w:val="0"/>
      <w:marBottom w:val="0"/>
      <w:divBdr>
        <w:top w:val="none" w:sz="0" w:space="0" w:color="auto"/>
        <w:left w:val="none" w:sz="0" w:space="0" w:color="auto"/>
        <w:bottom w:val="none" w:sz="0" w:space="0" w:color="auto"/>
        <w:right w:val="none" w:sz="0" w:space="0" w:color="auto"/>
      </w:divBdr>
    </w:div>
    <w:div w:id="1359620681">
      <w:bodyDiv w:val="1"/>
      <w:marLeft w:val="0"/>
      <w:marRight w:val="0"/>
      <w:marTop w:val="0"/>
      <w:marBottom w:val="0"/>
      <w:divBdr>
        <w:top w:val="none" w:sz="0" w:space="0" w:color="auto"/>
        <w:left w:val="none" w:sz="0" w:space="0" w:color="auto"/>
        <w:bottom w:val="none" w:sz="0" w:space="0" w:color="auto"/>
        <w:right w:val="none" w:sz="0" w:space="0" w:color="auto"/>
      </w:divBdr>
    </w:div>
    <w:div w:id="1802766285">
      <w:bodyDiv w:val="1"/>
      <w:marLeft w:val="0"/>
      <w:marRight w:val="0"/>
      <w:marTop w:val="0"/>
      <w:marBottom w:val="0"/>
      <w:divBdr>
        <w:top w:val="none" w:sz="0" w:space="0" w:color="auto"/>
        <w:left w:val="none" w:sz="0" w:space="0" w:color="auto"/>
        <w:bottom w:val="none" w:sz="0" w:space="0" w:color="auto"/>
        <w:right w:val="none" w:sz="0" w:space="0" w:color="auto"/>
      </w:divBdr>
    </w:div>
    <w:div w:id="1832132867">
      <w:bodyDiv w:val="1"/>
      <w:marLeft w:val="0"/>
      <w:marRight w:val="0"/>
      <w:marTop w:val="0"/>
      <w:marBottom w:val="0"/>
      <w:divBdr>
        <w:top w:val="none" w:sz="0" w:space="0" w:color="auto"/>
        <w:left w:val="none" w:sz="0" w:space="0" w:color="auto"/>
        <w:bottom w:val="none" w:sz="0" w:space="0" w:color="auto"/>
        <w:right w:val="none" w:sz="0" w:space="0" w:color="auto"/>
      </w:divBdr>
    </w:div>
    <w:div w:id="1912347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1019</Words>
  <Characters>5810</Characters>
  <Application>Microsoft Office Word</Application>
  <DocSecurity>0</DocSecurity>
  <Lines>48</Lines>
  <Paragraphs>13</Paragraphs>
  <ScaleCrop>false</ScaleCrop>
  <Company/>
  <LinksUpToDate>false</LinksUpToDate>
  <CharactersWithSpaces>6816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2</cp:revision>
  <dcterms:created xsi:type="dcterms:W3CDTF">2025-05-16T14:12:00Z</dcterms:created>
  <dcterms:modified xsi:type="dcterms:W3CDTF">2025-05-16T14:18:00Z</dcterms:modified>
</cp:coreProperties>
</file>