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993BE9" w14:textId="77777777" w:rsidR="00FC5064" w:rsidRDefault="00FC5064" w:rsidP="00FC5064">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Have Canadian Emergency Physician Opioid Prescriptions for Undifferentiated Abdominal Pain Changed Significantly Over Five Years?</w:t>
      </w:r>
    </w:p>
    <w:p w14:paraId="139C4BEA" w14:textId="77777777" w:rsidR="00FC5064" w:rsidRDefault="00FC5064" w:rsidP="00FC5064">
      <w:pPr>
        <w:rPr>
          <w:rFonts w:ascii="Times New Roman" w:eastAsia="Times New Roman" w:hAnsi="Times New Roman" w:cs="Times New Roman"/>
          <w:sz w:val="24"/>
          <w:szCs w:val="24"/>
        </w:rPr>
      </w:pPr>
    </w:p>
    <w:p w14:paraId="6E19038E" w14:textId="77777777" w:rsidR="00FC5064" w:rsidRDefault="00FC5064" w:rsidP="00FC5064">
      <w:pPr>
        <w:rPr>
          <w:rFonts w:ascii="Times New Roman" w:eastAsia="Times New Roman" w:hAnsi="Times New Roman" w:cs="Times New Roman"/>
          <w:sz w:val="24"/>
          <w:szCs w:val="24"/>
        </w:rPr>
      </w:pPr>
      <w:r>
        <w:rPr>
          <w:rFonts w:ascii="Times New Roman" w:eastAsia="Times New Roman" w:hAnsi="Times New Roman" w:cs="Times New Roman"/>
          <w:sz w:val="24"/>
          <w:szCs w:val="24"/>
        </w:rPr>
        <w:t>Mike Wei, MD; Marco Da Silva, MD; Jeffrey J. Perry, MD, MSc</w:t>
      </w:r>
    </w:p>
    <w:p w14:paraId="50AA5D97" w14:textId="77777777" w:rsidR="00FC5064" w:rsidRDefault="00FC5064" w:rsidP="00FC5064">
      <w:pPr>
        <w:rPr>
          <w:rFonts w:ascii="Times New Roman" w:eastAsia="Times New Roman" w:hAnsi="Times New Roman" w:cs="Times New Roman"/>
          <w:sz w:val="24"/>
          <w:szCs w:val="24"/>
        </w:rPr>
      </w:pPr>
    </w:p>
    <w:p w14:paraId="32D53F33" w14:textId="77777777" w:rsidR="00FC5064" w:rsidRDefault="00FC5064" w:rsidP="00FC5064">
      <w:pPr>
        <w:rPr>
          <w:rFonts w:ascii="Times New Roman" w:eastAsia="Times New Roman" w:hAnsi="Times New Roman" w:cs="Times New Roman"/>
          <w:sz w:val="24"/>
          <w:szCs w:val="24"/>
        </w:rPr>
      </w:pPr>
      <w:r>
        <w:rPr>
          <w:rFonts w:ascii="Times New Roman" w:eastAsia="Times New Roman" w:hAnsi="Times New Roman" w:cs="Times New Roman"/>
          <w:sz w:val="24"/>
          <w:szCs w:val="24"/>
        </w:rPr>
        <w:t>Department of Family Medicine, University of Ottawa, Ottawa, Ontario, Canada (MW, MDS)</w:t>
      </w:r>
    </w:p>
    <w:p w14:paraId="39E65D19" w14:textId="77777777" w:rsidR="00FC5064" w:rsidRDefault="00FC5064" w:rsidP="00FC5064">
      <w:pPr>
        <w:rPr>
          <w:rFonts w:ascii="Times New Roman" w:eastAsia="Times New Roman" w:hAnsi="Times New Roman" w:cs="Times New Roman"/>
          <w:sz w:val="24"/>
          <w:szCs w:val="24"/>
        </w:rPr>
      </w:pPr>
      <w:r>
        <w:rPr>
          <w:rFonts w:ascii="Times New Roman" w:eastAsia="Times New Roman" w:hAnsi="Times New Roman" w:cs="Times New Roman"/>
          <w:sz w:val="24"/>
          <w:szCs w:val="24"/>
        </w:rPr>
        <w:t>Department of Emergency Medicine, University of Ottawa, Ottawa, Ontario, Canada (JJP)</w:t>
      </w:r>
    </w:p>
    <w:p w14:paraId="558E4C31" w14:textId="77777777" w:rsidR="00FC5064" w:rsidRDefault="00FC5064" w:rsidP="00FC5064">
      <w:pPr>
        <w:rPr>
          <w:rFonts w:ascii="Times New Roman" w:eastAsia="Times New Roman" w:hAnsi="Times New Roman" w:cs="Times New Roman"/>
          <w:sz w:val="24"/>
          <w:szCs w:val="24"/>
        </w:rPr>
      </w:pPr>
      <w:r>
        <w:rPr>
          <w:rFonts w:ascii="Times New Roman" w:eastAsia="Times New Roman" w:hAnsi="Times New Roman" w:cs="Times New Roman"/>
          <w:sz w:val="24"/>
          <w:szCs w:val="24"/>
        </w:rPr>
        <w:t>Ottawa Hospital Research Institute, Ottawa, Ontario, Canada (JJP)</w:t>
      </w:r>
    </w:p>
    <w:p w14:paraId="4F0DD1E9" w14:textId="77777777" w:rsidR="00FC5064" w:rsidRDefault="00FC5064" w:rsidP="00FC5064">
      <w:pPr>
        <w:rPr>
          <w:rFonts w:ascii="Times New Roman" w:eastAsia="Times New Roman" w:hAnsi="Times New Roman" w:cs="Times New Roman"/>
          <w:sz w:val="24"/>
          <w:szCs w:val="24"/>
        </w:rPr>
      </w:pPr>
    </w:p>
    <w:p w14:paraId="603AB6E0" w14:textId="77777777" w:rsidR="00FC5064" w:rsidRDefault="00FC5064" w:rsidP="00FC506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Mailing address: </w:t>
      </w:r>
    </w:p>
    <w:p w14:paraId="4786AA68" w14:textId="77777777" w:rsidR="00FC5064" w:rsidRDefault="00FC5064" w:rsidP="00FC5064">
      <w:pPr>
        <w:rPr>
          <w:rFonts w:ascii="Times New Roman" w:eastAsia="Times New Roman" w:hAnsi="Times New Roman" w:cs="Times New Roman"/>
          <w:sz w:val="24"/>
          <w:szCs w:val="24"/>
        </w:rPr>
      </w:pPr>
      <w:r>
        <w:rPr>
          <w:rFonts w:ascii="Times New Roman" w:eastAsia="Times New Roman" w:hAnsi="Times New Roman" w:cs="Times New Roman"/>
          <w:sz w:val="24"/>
          <w:szCs w:val="24"/>
        </w:rPr>
        <w:t>Jeffrey J. Perry</w:t>
      </w:r>
    </w:p>
    <w:p w14:paraId="14443B5D" w14:textId="77777777" w:rsidR="00FC5064" w:rsidRDefault="00FC5064" w:rsidP="00FC5064">
      <w:pPr>
        <w:rPr>
          <w:rFonts w:ascii="Times New Roman" w:eastAsia="Times New Roman" w:hAnsi="Times New Roman" w:cs="Times New Roman"/>
          <w:sz w:val="24"/>
          <w:szCs w:val="24"/>
        </w:rPr>
      </w:pPr>
      <w:r>
        <w:rPr>
          <w:rFonts w:ascii="Times New Roman" w:eastAsia="Times New Roman" w:hAnsi="Times New Roman" w:cs="Times New Roman"/>
          <w:sz w:val="24"/>
          <w:szCs w:val="24"/>
        </w:rPr>
        <w:t>Clinical Epidemiology Unit, The Ottawa Hospital</w:t>
      </w:r>
    </w:p>
    <w:p w14:paraId="18A621A0" w14:textId="77777777" w:rsidR="00FC5064" w:rsidRDefault="00FC5064" w:rsidP="00FC5064">
      <w:pPr>
        <w:rPr>
          <w:rFonts w:ascii="Times New Roman" w:eastAsia="Times New Roman" w:hAnsi="Times New Roman" w:cs="Times New Roman"/>
          <w:sz w:val="24"/>
          <w:szCs w:val="24"/>
        </w:rPr>
      </w:pPr>
      <w:r>
        <w:rPr>
          <w:rFonts w:ascii="Times New Roman" w:eastAsia="Times New Roman" w:hAnsi="Times New Roman" w:cs="Times New Roman"/>
          <w:sz w:val="24"/>
          <w:szCs w:val="24"/>
        </w:rPr>
        <w:t>1053 Carling Avenue</w:t>
      </w:r>
    </w:p>
    <w:p w14:paraId="3864AB80" w14:textId="77777777" w:rsidR="00FC5064" w:rsidRDefault="00FC5064" w:rsidP="00FC5064">
      <w:pPr>
        <w:rPr>
          <w:rFonts w:ascii="Times New Roman" w:eastAsia="Times New Roman" w:hAnsi="Times New Roman" w:cs="Times New Roman"/>
          <w:sz w:val="24"/>
          <w:szCs w:val="24"/>
        </w:rPr>
      </w:pPr>
      <w:r>
        <w:rPr>
          <w:rFonts w:ascii="Times New Roman" w:eastAsia="Times New Roman" w:hAnsi="Times New Roman" w:cs="Times New Roman"/>
          <w:sz w:val="24"/>
          <w:szCs w:val="24"/>
        </w:rPr>
        <w:t>Ottawa, Ontario, Canada K1Y 4E9</w:t>
      </w:r>
    </w:p>
    <w:p w14:paraId="09142612" w14:textId="77777777" w:rsidR="00FC5064" w:rsidRDefault="00FC5064" w:rsidP="00FC5064">
      <w:pPr>
        <w:rPr>
          <w:rFonts w:ascii="Times New Roman" w:eastAsia="Times New Roman" w:hAnsi="Times New Roman" w:cs="Times New Roman"/>
          <w:sz w:val="24"/>
          <w:szCs w:val="24"/>
        </w:rPr>
      </w:pPr>
    </w:p>
    <w:p w14:paraId="65052879" w14:textId="77777777" w:rsidR="00FC5064" w:rsidRDefault="00FC5064" w:rsidP="00FC5064">
      <w:pPr>
        <w:tabs>
          <w:tab w:val="left" w:pos="3430"/>
        </w:tabs>
        <w:rPr>
          <w:rFonts w:ascii="Times New Roman" w:eastAsia="Times New Roman" w:hAnsi="Times New Roman" w:cs="Times New Roman"/>
          <w:sz w:val="24"/>
          <w:szCs w:val="24"/>
        </w:rPr>
      </w:pPr>
      <w:r>
        <w:rPr>
          <w:rFonts w:ascii="Times New Roman" w:eastAsia="Times New Roman" w:hAnsi="Times New Roman" w:cs="Times New Roman"/>
          <w:sz w:val="24"/>
          <w:szCs w:val="24"/>
        </w:rPr>
        <w:t>Email: jperry@ohri.ca</w:t>
      </w:r>
      <w:r>
        <w:rPr>
          <w:rFonts w:ascii="Times New Roman" w:eastAsia="Times New Roman" w:hAnsi="Times New Roman" w:cs="Times New Roman"/>
          <w:sz w:val="24"/>
          <w:szCs w:val="24"/>
        </w:rPr>
        <w:tab/>
        <w:t xml:space="preserve"> Telephone: 613-798-5555 x18683</w:t>
      </w:r>
    </w:p>
    <w:p w14:paraId="11EEA30B" w14:textId="77777777" w:rsidR="00FC5064" w:rsidRDefault="00FC5064" w:rsidP="00FC5064">
      <w:pPr>
        <w:rPr>
          <w:rFonts w:ascii="Times New Roman" w:eastAsia="Times New Roman" w:hAnsi="Times New Roman" w:cs="Times New Roman"/>
          <w:sz w:val="24"/>
          <w:szCs w:val="24"/>
        </w:rPr>
      </w:pPr>
      <w:r>
        <w:rPr>
          <w:rFonts w:ascii="Times New Roman" w:eastAsia="Times New Roman" w:hAnsi="Times New Roman" w:cs="Times New Roman"/>
          <w:sz w:val="24"/>
          <w:szCs w:val="24"/>
        </w:rPr>
        <w:t>Word Count: 2087</w:t>
      </w:r>
    </w:p>
    <w:p w14:paraId="0AF1A4DB" w14:textId="77777777" w:rsidR="00FC5064" w:rsidRDefault="00FC5064" w:rsidP="00FC506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Author Contributions: All named authors made significant contributions to the design of the study. Mike Wei and Marco Da Silva contributed equally to the collection, analysis, interpretation of the results, and preparation of the manuscript. Jeff Perry oversaw the project, supervised data analysis, and revision of the manuscript. All authors approve of the final version of the manuscript. Mike Wei and Marco Da Silva had full access to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the data in the study and take responsibility for the integrity of the data and accuracy of the data analysis.  The authors of this study do not have any competing interests.</w:t>
      </w:r>
    </w:p>
    <w:p w14:paraId="734E2073" w14:textId="77777777" w:rsidR="00FC5064" w:rsidRDefault="00FC5064" w:rsidP="00FC5064"/>
    <w:p w14:paraId="173FD324" w14:textId="77777777" w:rsidR="00FC5064" w:rsidRDefault="00FC5064" w:rsidP="00FC5064">
      <w:r>
        <w:t>Funding: None</w:t>
      </w:r>
    </w:p>
    <w:p w14:paraId="6F33A4B8" w14:textId="77777777" w:rsidR="00FC5064" w:rsidRDefault="00FC5064">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14B9EB24" w14:textId="0693CD32" w:rsidR="00E51B96" w:rsidRDefault="00E51B96" w:rsidP="00E51B9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Have Canadian Emergency Physician Opioid Prescriptions for Undifferentiated Abdominal Pain Changed Significantly Over Five Years?</w:t>
      </w:r>
    </w:p>
    <w:p w14:paraId="6694B165" w14:textId="77777777" w:rsidR="005F1189" w:rsidRDefault="00DA7FCF" w:rsidP="0009400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w:t>
      </w:r>
    </w:p>
    <w:p w14:paraId="6694B166"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Introduction: </w:t>
      </w:r>
      <w:r>
        <w:rPr>
          <w:rFonts w:ascii="Times New Roman" w:eastAsia="Times New Roman" w:hAnsi="Times New Roman" w:cs="Times New Roman"/>
          <w:sz w:val="24"/>
          <w:szCs w:val="24"/>
        </w:rPr>
        <w:t>In North America, data over the last decade have found significant morbidity associated with opioid use and prescribing of opioids to patients. The objective of our study was to assess if there has been a change in opioid prescribing practices by emergency physicians over time for undifferentiated abdominal pain.</w:t>
      </w:r>
    </w:p>
    <w:p w14:paraId="6694B167"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Method: </w:t>
      </w:r>
      <w:r>
        <w:rPr>
          <w:rFonts w:ascii="Times New Roman" w:eastAsia="Times New Roman" w:hAnsi="Times New Roman" w:cs="Times New Roman"/>
          <w:sz w:val="24"/>
          <w:szCs w:val="24"/>
        </w:rPr>
        <w:t>A medical records review for adult patients presenting at two urban academic tertiary care emergency departments was conducted for two distinct time periods; the years of 2012 and 2017. The first 500 patients per year with a discharge diagnosis of “abdominal pain” or “abdominal pain not yet diagnosed” for each year were identified and their charts were reviewed. Data were collected regarding analgesia received in the emergency department and opioid prescriptions written. Opioids were standardized into morphine equivalent doses to compare quantities of prescribed opioids.</w:t>
      </w:r>
    </w:p>
    <w:p w14:paraId="6694B168"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Results: </w:t>
      </w:r>
      <w:r>
        <w:rPr>
          <w:rFonts w:ascii="Times New Roman" w:eastAsia="Times New Roman" w:hAnsi="Times New Roman" w:cs="Times New Roman"/>
          <w:sz w:val="24"/>
          <w:szCs w:val="24"/>
        </w:rPr>
        <w:t>1,000 patients were included in our study. The mean age was 42.0 years and 69.6% of patients were female. Comparing 2012 to 2017, there was a non-significant decrease in opioid prescriptions written for patients discharged from the emergency department from 17.8% to 14.4% (p=0.144). Mean opioid quantities per prescription decreased from 130.4 milligrams of morphine equivalents per prescription to 98.9 milligrams per prescription (P=0.002). There was an increase in foundational analgesia use prior to initiating opioids in the emergency department from 17.6% to 26.8% (p=0.001). There was a significant decrease in opioid use in the emergency department from 40.0% to 32.8% (p=0.018).</w:t>
      </w:r>
    </w:p>
    <w:p w14:paraId="6694B169"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Conclusion: </w:t>
      </w:r>
      <w:r>
        <w:rPr>
          <w:rFonts w:ascii="Times New Roman" w:eastAsia="Times New Roman" w:hAnsi="Times New Roman" w:cs="Times New Roman"/>
          <w:sz w:val="24"/>
          <w:szCs w:val="24"/>
        </w:rPr>
        <w:t>Opioid prescription rates have not changed significantly over our 5-year study period. However, physicians have reduced the quantity prescribed per prescription and are using less opioid analgesia in the emergency department for abdominal pain of undetermined etiology.</w:t>
      </w:r>
    </w:p>
    <w:p w14:paraId="6694B16A" w14:textId="77777777" w:rsidR="005F1189" w:rsidRDefault="00DA7FCF" w:rsidP="00094000">
      <w:pPr>
        <w:spacing w:line="480" w:lineRule="auto"/>
        <w:rPr>
          <w:rFonts w:ascii="Times New Roman" w:eastAsia="Times New Roman" w:hAnsi="Times New Roman" w:cs="Times New Roman"/>
          <w:b/>
          <w:sz w:val="24"/>
          <w:szCs w:val="24"/>
        </w:rPr>
      </w:pPr>
      <w:r>
        <w:br w:type="page"/>
      </w:r>
    </w:p>
    <w:p w14:paraId="6694B16B" w14:textId="77777777" w:rsidR="005F1189" w:rsidRDefault="00DA7FCF" w:rsidP="0009400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Introduction:</w:t>
      </w:r>
    </w:p>
    <w:p w14:paraId="6694B16C" w14:textId="77777777" w:rsidR="005F1189" w:rsidRDefault="00DA7FCF" w:rsidP="00094000">
      <w:pPr>
        <w:spacing w:line="480" w:lineRule="auto"/>
        <w:rPr>
          <w:rFonts w:ascii="Times New Roman" w:eastAsia="Times New Roman" w:hAnsi="Times New Roman" w:cs="Times New Roman"/>
          <w:sz w:val="24"/>
          <w:szCs w:val="24"/>
        </w:rPr>
      </w:pPr>
      <w:bookmarkStart w:id="0" w:name="_gjdgxs" w:colFirst="0" w:colLast="0"/>
      <w:bookmarkEnd w:id="0"/>
      <w:r>
        <w:rPr>
          <w:rFonts w:ascii="Times New Roman" w:eastAsia="Times New Roman" w:hAnsi="Times New Roman" w:cs="Times New Roman"/>
          <w:sz w:val="24"/>
          <w:szCs w:val="24"/>
        </w:rPr>
        <w:t>The opioid epidemic has been an important issue in the North American medical community over the last decade. Canada is currently second in the world in opioid prescriptions following the United States, and opioid-related health issues are a significant factor on our health care system. (1) From January 2016 to June 2018, there were more than 9,000 opioid related deaths in Canada. (2) Many opioid naïve patients first encounter opioids in the emergency department, and subsequently continue to use and abuse opioids. (3,4) There are specific institutional emergency department prescription guidelines, and general opioid prescribing guidelines, but none which are widely adopted that specifically target acute pain presentations in the emergency department. (5,6,7,8) Studies have examined opioid prescription rates for analgesia in the emergency department, and have found rates ranging from 27% to 17%, indicating that opioid prescribing in the emergency department is a significant issue. (9,10)</w:t>
      </w:r>
    </w:p>
    <w:p w14:paraId="6694B16D"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Few studies investigating opioid prescription rate changes in the community have examined the emergency department setting. (11) It is believed that emergency physicians </w:t>
      </w:r>
      <w:proofErr w:type="gramStart"/>
      <w:r>
        <w:rPr>
          <w:rFonts w:ascii="Times New Roman" w:eastAsia="Times New Roman" w:hAnsi="Times New Roman" w:cs="Times New Roman"/>
          <w:sz w:val="24"/>
          <w:szCs w:val="24"/>
        </w:rPr>
        <w:t>have a tendency to</w:t>
      </w:r>
      <w:proofErr w:type="gramEnd"/>
      <w:r>
        <w:rPr>
          <w:rFonts w:ascii="Times New Roman" w:eastAsia="Times New Roman" w:hAnsi="Times New Roman" w:cs="Times New Roman"/>
          <w:sz w:val="24"/>
          <w:szCs w:val="24"/>
        </w:rPr>
        <w:t xml:space="preserve"> prescribe more opioids than required to manage the patient’s pain, and this may contribute to opioid diversion and misuse. (12) Compared to patients receiving opioids from a primary care physician, those who receive opioids from the emergency department are more likely to receive higher doses </w:t>
      </w:r>
      <w:proofErr w:type="gramStart"/>
      <w:r>
        <w:rPr>
          <w:rFonts w:ascii="Times New Roman" w:eastAsia="Times New Roman" w:hAnsi="Times New Roman" w:cs="Times New Roman"/>
          <w:sz w:val="24"/>
          <w:szCs w:val="24"/>
        </w:rPr>
        <w:t>and also</w:t>
      </w:r>
      <w:proofErr w:type="gramEnd"/>
      <w:r>
        <w:rPr>
          <w:rFonts w:ascii="Times New Roman" w:eastAsia="Times New Roman" w:hAnsi="Times New Roman" w:cs="Times New Roman"/>
          <w:sz w:val="24"/>
          <w:szCs w:val="24"/>
        </w:rPr>
        <w:t xml:space="preserve"> are more likely to experience side effects from opioid toxicity. (10,13) </w:t>
      </w:r>
    </w:p>
    <w:p w14:paraId="6694B16E"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Our objective was to assess opioid use between two points 5 years apart, to determine if there have been changes to prescribing patterns by emergency physicians. Our specific objectives were to compare 1) the use of opioids during the emergency department visit for undifferentiated abdominal pain, 2) prescription rates for opioids on discharge with undifferentiated abdominal pain, and 3) quantity of morphine equivalents prescribed.</w:t>
      </w:r>
    </w:p>
    <w:p w14:paraId="6694B16F" w14:textId="77777777" w:rsidR="005F1189" w:rsidRDefault="005F1189" w:rsidP="00094000">
      <w:pPr>
        <w:spacing w:line="480" w:lineRule="auto"/>
        <w:rPr>
          <w:rFonts w:ascii="Times New Roman" w:eastAsia="Times New Roman" w:hAnsi="Times New Roman" w:cs="Times New Roman"/>
          <w:sz w:val="24"/>
          <w:szCs w:val="24"/>
        </w:rPr>
      </w:pPr>
    </w:p>
    <w:p w14:paraId="6694B170" w14:textId="77777777" w:rsidR="005F1189" w:rsidRDefault="00DA7FCF" w:rsidP="0009400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Methods:</w:t>
      </w:r>
    </w:p>
    <w:p w14:paraId="6694B171"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Study design</w:t>
      </w:r>
      <w:r>
        <w:rPr>
          <w:rFonts w:ascii="Times New Roman" w:eastAsia="Times New Roman" w:hAnsi="Times New Roman" w:cs="Times New Roman"/>
          <w:sz w:val="24"/>
          <w:szCs w:val="24"/>
        </w:rPr>
        <w:t>:</w:t>
      </w:r>
    </w:p>
    <w:p w14:paraId="6694B172"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 conducted a medical record review of emergency department patients over two distinct periods of time, 5 years apart. The time periods chosen were: January 1</w:t>
      </w:r>
      <w:r>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2012 – December 31</w:t>
      </w:r>
      <w:r>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2012 and January 1</w:t>
      </w:r>
      <w:r>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2017 – December 31, 2017. We selected all charts for patients discharged from the emergency department by emergency physicians with a final discharge diagnosis of “abdominal pain” or “abdominal pain not yet diagnosed. Abdominal pain was chosen as the diagnosis of interest because it is a commonly encountered non-specific discharge diagnosis in the emergency department. Patient records were identified from the electronic health record and compiled in our Excel database by a methodologist at the Ottawa Hospital Research Institute.</w:t>
      </w:r>
    </w:p>
    <w:p w14:paraId="6694B173" w14:textId="77777777" w:rsidR="005F1189" w:rsidRDefault="00DA7FCF" w:rsidP="00094000">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Study setting:</w:t>
      </w:r>
    </w:p>
    <w:p w14:paraId="6694B174"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was conducted at two urban Canadian academic tertiary care emergency departments, each with approximately 80,000 visits per year. The two hospitals share a similar patient population and are approximately 10 kilometers apart. The two emergency departments share approximately 95% of the same physician staffing. Patients may be assessed by residents, medical students, or by staff physicians directly; all cases are reviewed by the attending emergency medicine physician and prescriptions approved by the attending physician.</w:t>
      </w:r>
    </w:p>
    <w:p w14:paraId="6694B175" w14:textId="77777777" w:rsidR="005F1189" w:rsidRDefault="00DA7FCF" w:rsidP="00094000">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Inclusion/exclusion criteria:</w:t>
      </w:r>
    </w:p>
    <w:p w14:paraId="6694B176"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included consecutive patients aged 17 years and older who presented to either emergency department involved in the study during the study periods, who were evaluated, treated, and </w:t>
      </w:r>
      <w:r>
        <w:rPr>
          <w:rFonts w:ascii="Times New Roman" w:eastAsia="Times New Roman" w:hAnsi="Times New Roman" w:cs="Times New Roman"/>
          <w:sz w:val="24"/>
          <w:szCs w:val="24"/>
        </w:rPr>
        <w:lastRenderedPageBreak/>
        <w:t>discharged by an emergency physician with a discharge diagnosis of “abdominal pain” or “abdominal pain not yet determined”. The ICD-10 codes used were R10.8, R10.9, R10.10 and R10.30. We excluded patients who were assessed by a consultant service and then subsequently discharged by the consultant service from the emergency department. Patients were excluded if their investigation/treatment was not completed before they left the emergency department (e.g. scheduled to return the following day for an abdominal ultrasound). We also excluded patients for whom the discharge diagnosis specified a clearly defined etiology for the abdominal pain.  Pregnant patients with a gestational age of 20 weeks or greater were excluded as they were routinely assessed directly by the obstetrics team.</w:t>
      </w:r>
    </w:p>
    <w:p w14:paraId="6694B177" w14:textId="77777777" w:rsidR="005F1189" w:rsidRDefault="00DA7FCF" w:rsidP="00094000">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Data extraction:</w:t>
      </w:r>
    </w:p>
    <w:p w14:paraId="6694B178"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emergency department physician treatment record, nursing record and prescriptions of each patient were examined by the investigators and patients were included based on the inclusion/exclusion criteria. The investigators responsible for data extraction were not blinded to the study objective. All medical records at the institutions were paper based and scanned directly into the electronic medical database after their emergency department visit. Patient demographic data included age, sex, and presenting complaint. Data collected included: non-steroidal anti-inflammatories (NSAIDs) use, acetaminophen use, opioids use, type of opioid, and the dosage. On discharge, study data included: if opioids were prescribed, type of opioid, dosage, and if acetaminophen/NSAIDs were prescribed/suggested. The above data were collected and stored in an Excel database.</w:t>
      </w:r>
    </w:p>
    <w:p w14:paraId="6694B179"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this study, opioids were considered any medication acting on opioid receptors (e.g. hydromorphone, morphine, oxycodone, oxycodone/acetaminophen, acetaminophen/codeine, codeine, fentanyl, hydrocodone, and tramadol). We calculated the percentage of opioid </w:t>
      </w:r>
      <w:r>
        <w:rPr>
          <w:rFonts w:ascii="Times New Roman" w:eastAsia="Times New Roman" w:hAnsi="Times New Roman" w:cs="Times New Roman"/>
          <w:sz w:val="24"/>
          <w:szCs w:val="24"/>
        </w:rPr>
        <w:lastRenderedPageBreak/>
        <w:t xml:space="preserve">prescriptions provided to patients at discharge. We also estimated the quantity of opioids per prescription via calculating the morphine equivalent dose based on accepted guidelines. (14,15) </w:t>
      </w:r>
    </w:p>
    <w:p w14:paraId="6694B17A" w14:textId="77777777" w:rsidR="005F1189" w:rsidRDefault="00DA7FCF" w:rsidP="00094000">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Primary and secondary outcome:</w:t>
      </w:r>
    </w:p>
    <w:p w14:paraId="6694B17B"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Our primary outcome was the change to emergency physician opioid prescription patterns between the two study periods. Secondary outcomes included: change in morphine equivalent doses per prescription, change in use of opioids while patients were in the emergency department, and change in foundational analgesia use while patients were in the emergency department.</w:t>
      </w:r>
    </w:p>
    <w:p w14:paraId="6694B17C" w14:textId="77777777" w:rsidR="005F1189" w:rsidRDefault="00DA7FCF" w:rsidP="00094000">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Sample size and Analysis:</w:t>
      </w:r>
    </w:p>
    <w:p w14:paraId="6694B17D"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sample size was based on feasibility.  We included the first 500 patients of each study period who met the eligibility criteria. Our data were analyzed using SPSS version 21 statistics software. We compared the data from 2012 and 2017 in each individual category using chi-squared statistics, with a p-value of less than 0.05 as statistical significance.</w:t>
      </w:r>
    </w:p>
    <w:p w14:paraId="6694B17E"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Our study protocol was approved by our local Research Ethics Board.</w:t>
      </w:r>
    </w:p>
    <w:p w14:paraId="6694B17F" w14:textId="77777777" w:rsidR="005F1189" w:rsidRDefault="00DA7FCF" w:rsidP="0009400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w:t>
      </w:r>
    </w:p>
    <w:p w14:paraId="6694B180"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Of the 1,000 patients included in the study, 69.6% were female. The age range was diverse over both time periods, ranging from 18 to 95 years, with a mean age of 41.1 years in 2012 and 42.8 in 2017. (Table 1). </w:t>
      </w:r>
    </w:p>
    <w:p w14:paraId="6694B181" w14:textId="77777777" w:rsidR="005F1189" w:rsidRDefault="00DA7FCF" w:rsidP="00094000">
      <w:pPr>
        <w:spacing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During the course of</w:t>
      </w:r>
      <w:proofErr w:type="gramEnd"/>
      <w:r>
        <w:rPr>
          <w:rFonts w:ascii="Times New Roman" w:eastAsia="Times New Roman" w:hAnsi="Times New Roman" w:cs="Times New Roman"/>
          <w:sz w:val="24"/>
          <w:szCs w:val="24"/>
        </w:rPr>
        <w:t xml:space="preserve"> treatment in the emergency department, foundational analgesics (i.e. acetaminophen/NSAIDs) were used more frequently as first line for analgesia in 2017 than in 2012 (Table 2). Acetaminophen was used more frequently by physicians prior to using opioid </w:t>
      </w:r>
      <w:r>
        <w:rPr>
          <w:rFonts w:ascii="Times New Roman" w:eastAsia="Times New Roman" w:hAnsi="Times New Roman" w:cs="Times New Roman"/>
          <w:sz w:val="24"/>
          <w:szCs w:val="24"/>
        </w:rPr>
        <w:lastRenderedPageBreak/>
        <w:t>analgesia in 2017. Overall, opioid use within the emergency department decreased from 40.0% to 32.8% from 2012 to 2017. The specific agents used also changed; there was less use of morphine, oxycodone/acetaminophen and acetaminophen/codeine while the use of hydromorphone and tramadol increased. (Table 2).</w:t>
      </w:r>
    </w:p>
    <w:p w14:paraId="6694B182"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overall rate of opioid prescriptions on discharge decreased from 17.8% in 2012 to 14.4% in 2017, which was not significant (Table 3).  There was a significant decrease in the total dosage of opioids prescribed per prescription written when calculated in morphine equivalents, from a mean of 130.4mg to 98.9mg per prescription. 13.9% of opioid prescriptions were for a duration longer than 3 days in 2017, compared to 2012 when 28.1% of prescriptions were for longer than 3 days.</w:t>
      </w:r>
    </w:p>
    <w:p w14:paraId="6694B183" w14:textId="77777777" w:rsidR="005F1189" w:rsidRDefault="005F1189" w:rsidP="00094000">
      <w:pPr>
        <w:spacing w:line="480" w:lineRule="auto"/>
        <w:rPr>
          <w:rFonts w:ascii="Times New Roman" w:eastAsia="Times New Roman" w:hAnsi="Times New Roman" w:cs="Times New Roman"/>
          <w:sz w:val="24"/>
          <w:szCs w:val="24"/>
        </w:rPr>
      </w:pPr>
    </w:p>
    <w:p w14:paraId="6694B184" w14:textId="77777777" w:rsidR="005F1189" w:rsidRDefault="00DA7FCF" w:rsidP="00094000">
      <w:pPr>
        <w:spacing w:line="480" w:lineRule="auto"/>
        <w:rPr>
          <w:rFonts w:ascii="Times New Roman" w:eastAsia="Times New Roman" w:hAnsi="Times New Roman" w:cs="Times New Roman"/>
          <w:b/>
          <w:sz w:val="24"/>
          <w:szCs w:val="24"/>
        </w:rPr>
      </w:pPr>
      <w:bookmarkStart w:id="1" w:name="_30j0zll" w:colFirst="0" w:colLast="0"/>
      <w:bookmarkEnd w:id="1"/>
      <w:r>
        <w:rPr>
          <w:rFonts w:ascii="Times New Roman" w:eastAsia="Times New Roman" w:hAnsi="Times New Roman" w:cs="Times New Roman"/>
          <w:b/>
          <w:sz w:val="24"/>
          <w:szCs w:val="24"/>
        </w:rPr>
        <w:t>Discussion</w:t>
      </w:r>
    </w:p>
    <w:p w14:paraId="6694B185"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Our results are the first Canadian based study examining the change over time of opioid prescriptions by emergency physicians. Opioid use decreased in the acute in-department setting and the use of foundational analgesia such as acetaminophen increased. This may indicate that more emphasis was placed on ensuring foundational analgesia was provided to patients prior to opioid administration. Among discharged patients, there was no significant decrease in opioid prescriptions. However, the quantity of opioids prescribed per prescription decreased. This may reflect that physicians chose to be more cognisant of the quantity of opioids being prescribed to minimize the chances of opioid toxicity, abuse, and diversion. However, the causes of the change in opioid use and prescription rates are likely multifactorial, which we cannot attribute to any one direct intervention. </w:t>
      </w:r>
    </w:p>
    <w:p w14:paraId="6694B186"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previous study in Ohio by Weiner and colleagues noted a decrease in opioid prescription rates after the introduction of institutional opioid prescribing guidelines. (16) They found that declines in opioid prescription rates were not significant prior to guideline implementation. The results from our study supports the second part of Weiner’s conclusion, as our hospitals do not have opioid prescription guidelines. Weiner did not examine differences in rates of in-department opioid analgesia use, for which our study noted a significant decrease. Similar studies in Washington and New York regarding prescription rates found comparable results to Weiner, demonstrating that opioid prescription rates declined after the implementation of opioid prescribing guidelines. (17,18) The authors of the above studies acknowledged that the decrease in prescription rates cannot be solely attributed to the prescription guidelines. These studies were all conducted in American health care settings, and there was a difference in the preference of the classes of opioids in these studies, with a more prevalent use of oxycodone. We do not expect there to be significant differences between the two populations due to the strong influences of American guidelines and research within the Canadian emergency medicine community. Both our study and the Weiner study noted a decrease in prescription dose and duration over the study period; the cause was attributed to the introduction of the prescription guideline in the Weiner study, but we found a similar decrease without a specific guideline, indicating that there is a significant component of which cannot be attributed to guidelines.</w:t>
      </w:r>
    </w:p>
    <w:p w14:paraId="6694B187"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Our study was directed at one specific discharge diagnosis </w:t>
      </w:r>
      <w:proofErr w:type="gramStart"/>
      <w:r>
        <w:rPr>
          <w:rFonts w:ascii="Times New Roman" w:eastAsia="Times New Roman" w:hAnsi="Times New Roman" w:cs="Times New Roman"/>
          <w:sz w:val="24"/>
          <w:szCs w:val="24"/>
        </w:rPr>
        <w:t>in an attempt to</w:t>
      </w:r>
      <w:proofErr w:type="gramEnd"/>
      <w:r>
        <w:rPr>
          <w:rFonts w:ascii="Times New Roman" w:eastAsia="Times New Roman" w:hAnsi="Times New Roman" w:cs="Times New Roman"/>
          <w:sz w:val="24"/>
          <w:szCs w:val="24"/>
        </w:rPr>
        <w:t xml:space="preserve"> further standardize our protocol and limit confounding factors, which can arise from including multiple diagnoses.  This is in comparison to the above studies which looked at global rates of opioid prescriptions for all emergency department visits, each with specific exclusions. Our study examined both in-</w:t>
      </w:r>
      <w:r>
        <w:rPr>
          <w:rFonts w:ascii="Times New Roman" w:eastAsia="Times New Roman" w:hAnsi="Times New Roman" w:cs="Times New Roman"/>
          <w:sz w:val="24"/>
          <w:szCs w:val="24"/>
        </w:rPr>
        <w:lastRenderedPageBreak/>
        <w:t>department use and prescription rates to obtain a more complete assessment of changes in all aspects of emergency department opioid use.</w:t>
      </w:r>
    </w:p>
    <w:p w14:paraId="6694B188"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Currently in Canada, the only recognized national opioid prescription guideline is the 2017 Canadian Opioid Prescribing Guidelines, published by the College of Family Physicians of Canada, in collaboration with the National Pain Centre at McMaster University. (6,7) In the US, The Center for Disease Control (CDC) recommendation in 2016 is that for acute pain, prescriptions should be limited to three days or less. (19) The multiple studies by Weiner, Osborn, and Chacko have noted that institutional guidelines have been more effective in reducing the opioid prescription rates than national recommendations. Therefore, it may be effective for local institutions to develop their own prescription guidelines in order to reduce opioid prescription rates. </w:t>
      </w:r>
    </w:p>
    <w:p w14:paraId="6694B189" w14:textId="77777777" w:rsidR="005F1189" w:rsidRDefault="00DA7FCF" w:rsidP="00094000">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Limitations:</w:t>
      </w:r>
    </w:p>
    <w:p w14:paraId="6694B18A"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retrospective nature of this study relies on proper documentation by physicians and nurses, as well as proper input of the medical records from the paper charts to the electronic medical record. It also only identifies correlation rather than causation.</w:t>
      </w:r>
    </w:p>
    <w:p w14:paraId="6694B18B"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Patients who were already using opioids at the time of presentation were not excluded from our study; it is unknown whether this would influence the emergency physician’s threshold to prescribe opioids. This was not feasible to include as our current electronic medical record does not reliably record patient’s home medications upon presentation. </w:t>
      </w:r>
    </w:p>
    <w:p w14:paraId="6694B18C"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diagnosis of interest was limited to undifferentiated abdominal pain. It is possible that prescription patterns may be different when considering all undifferentiated pain. Regarding the discharge instruction/prescription of using NSAIDs and acetaminophen at time of discharge, we </w:t>
      </w:r>
      <w:r>
        <w:rPr>
          <w:rFonts w:ascii="Times New Roman" w:eastAsia="Times New Roman" w:hAnsi="Times New Roman" w:cs="Times New Roman"/>
          <w:sz w:val="24"/>
          <w:szCs w:val="24"/>
        </w:rPr>
        <w:lastRenderedPageBreak/>
        <w:t>recognize that both are over the counter medications available without a prescription, so physicians may not feel the need to document the instruction/prescription.</w:t>
      </w:r>
    </w:p>
    <w:p w14:paraId="6694B18D"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Tramadol was included as an opioid analgesic in this study. The classification of tramadol as an opioid is controversial and some studies on opioid prescription exclude tramadol. (8) The morphine equivalent dosing of tramadol is not consistently reported in current literature, therefore a conversion factor of 0.15 was used, as this was a common conversion factor in international literature, but no common conversion factor was reported in Canadian literature. (14,15)</w:t>
      </w:r>
    </w:p>
    <w:p w14:paraId="6694B18E" w14:textId="77777777" w:rsidR="005F1189" w:rsidRDefault="00DA7FCF" w:rsidP="00094000">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Conclusion:</w:t>
      </w:r>
    </w:p>
    <w:p w14:paraId="6694B18F" w14:textId="77777777" w:rsidR="005F1189" w:rsidRDefault="00DA7FCF" w:rsidP="00094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summary, opioid prescription rates from the emergency department for an undifferentiated diagnosis such as abdominal pain has not changed significantly over the 5-year period, but emergency physicians have reduced the quantity of opioids prescribed per prescription and are using less opioid analgesia in the emergency department. The cause of this decrease is multifactorial but likely include elements of increased awareness regarding the significant morbidity associated with initiating and prescribing opioids in the emergency department. Institutional emergency department opioid prescription guidelines may help further reduce the prescription of opioid analgesia.</w:t>
      </w:r>
    </w:p>
    <w:p w14:paraId="6694B190" w14:textId="77777777" w:rsidR="005F1189" w:rsidRDefault="005F1189" w:rsidP="00094000">
      <w:pPr>
        <w:spacing w:line="480" w:lineRule="auto"/>
        <w:rPr>
          <w:rFonts w:ascii="Times New Roman" w:eastAsia="Times New Roman" w:hAnsi="Times New Roman" w:cs="Times New Roman"/>
          <w:sz w:val="24"/>
          <w:szCs w:val="24"/>
        </w:rPr>
      </w:pPr>
    </w:p>
    <w:p w14:paraId="6694B191" w14:textId="77777777" w:rsidR="005F1189" w:rsidRDefault="005F1189" w:rsidP="00094000">
      <w:pPr>
        <w:spacing w:line="480" w:lineRule="auto"/>
        <w:rPr>
          <w:rFonts w:ascii="Times New Roman" w:eastAsia="Times New Roman" w:hAnsi="Times New Roman" w:cs="Times New Roman"/>
          <w:sz w:val="24"/>
          <w:szCs w:val="24"/>
        </w:rPr>
      </w:pPr>
    </w:p>
    <w:p w14:paraId="6694B192" w14:textId="77777777" w:rsidR="005F1189" w:rsidRDefault="00DA7FCF">
      <w:pPr>
        <w:rPr>
          <w:rFonts w:ascii="Times New Roman" w:eastAsia="Times New Roman" w:hAnsi="Times New Roman" w:cs="Times New Roman"/>
          <w:sz w:val="24"/>
          <w:szCs w:val="24"/>
        </w:rPr>
      </w:pPr>
      <w:r>
        <w:br w:type="page"/>
      </w:r>
    </w:p>
    <w:p w14:paraId="6694B228" w14:textId="77777777" w:rsidR="005F1189" w:rsidRDefault="00DA7FCF">
      <w:pPr>
        <w:pBdr>
          <w:top w:val="nil"/>
          <w:left w:val="nil"/>
          <w:bottom w:val="nil"/>
          <w:right w:val="nil"/>
          <w:between w:val="nil"/>
        </w:pBdr>
        <w:tabs>
          <w:tab w:val="left" w:pos="504"/>
        </w:tabs>
        <w:spacing w:after="24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References:</w:t>
      </w:r>
    </w:p>
    <w:p w14:paraId="6694B229"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w:t>
      </w:r>
      <w:r>
        <w:rPr>
          <w:rFonts w:ascii="Times New Roman" w:eastAsia="Times New Roman" w:hAnsi="Times New Roman" w:cs="Times New Roman"/>
          <w:color w:val="000000"/>
          <w:sz w:val="24"/>
          <w:szCs w:val="24"/>
        </w:rPr>
        <w:tab/>
        <w:t xml:space="preserve">International Narcotic Control Board. Narcotic Drugs Technical Report: Estimated World Requirements for 2017 - Statistics for 2015. [Internet]. [cited 2019 May 17]. Available from: http://www.incb.org/incb/en/narcotic-drugs/Technical_Reports/2016/narcotic-drugstechnical-report-2016.html </w:t>
      </w:r>
    </w:p>
    <w:p w14:paraId="6694B22A"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w:t>
      </w:r>
      <w:r>
        <w:rPr>
          <w:rFonts w:ascii="Times New Roman" w:eastAsia="Times New Roman" w:hAnsi="Times New Roman" w:cs="Times New Roman"/>
          <w:color w:val="000000"/>
          <w:sz w:val="24"/>
          <w:szCs w:val="24"/>
        </w:rPr>
        <w:tab/>
      </w:r>
      <w:r>
        <w:rPr>
          <w:rFonts w:ascii="Times New Roman" w:eastAsia="Times New Roman" w:hAnsi="Times New Roman" w:cs="Times New Roman"/>
          <w:sz w:val="24"/>
          <w:szCs w:val="24"/>
        </w:rPr>
        <w:t>Canada Government of Infographic: Opioid-related harms in Canada – December 2018 [Internet]. Government of Canada; [cited 2019 Mar 29]. Available from: https://www.canada.ca/en/health-canada/services/publications/healthy-living/infographic-opioid-related-harms-december-2018.html</w:t>
      </w:r>
    </w:p>
    <w:p w14:paraId="6694B22B"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 </w:t>
      </w:r>
      <w:r>
        <w:rPr>
          <w:rFonts w:ascii="Times New Roman" w:eastAsia="Times New Roman" w:hAnsi="Times New Roman" w:cs="Times New Roman"/>
          <w:color w:val="000000"/>
          <w:sz w:val="24"/>
          <w:szCs w:val="24"/>
        </w:rPr>
        <w:tab/>
        <w:t xml:space="preserve">Barnett M., </w:t>
      </w:r>
      <w:proofErr w:type="spellStart"/>
      <w:r>
        <w:rPr>
          <w:rFonts w:ascii="Times New Roman" w:eastAsia="Times New Roman" w:hAnsi="Times New Roman" w:cs="Times New Roman"/>
          <w:color w:val="000000"/>
          <w:sz w:val="24"/>
          <w:szCs w:val="24"/>
        </w:rPr>
        <w:t>Olenski</w:t>
      </w:r>
      <w:proofErr w:type="spellEnd"/>
      <w:r>
        <w:rPr>
          <w:rFonts w:ascii="Times New Roman" w:eastAsia="Times New Roman" w:hAnsi="Times New Roman" w:cs="Times New Roman"/>
          <w:color w:val="000000"/>
          <w:sz w:val="24"/>
          <w:szCs w:val="24"/>
        </w:rPr>
        <w:t xml:space="preserve"> AR, Jena AB. Opioid-Prescribing Patterns of Emergency Physicians and Risk of Long-Term Use. N </w:t>
      </w:r>
      <w:proofErr w:type="spellStart"/>
      <w:r>
        <w:rPr>
          <w:rFonts w:ascii="Times New Roman" w:eastAsia="Times New Roman" w:hAnsi="Times New Roman" w:cs="Times New Roman"/>
          <w:color w:val="000000"/>
          <w:sz w:val="24"/>
          <w:szCs w:val="24"/>
        </w:rPr>
        <w:t>Engl</w:t>
      </w:r>
      <w:proofErr w:type="spellEnd"/>
      <w:r>
        <w:rPr>
          <w:rFonts w:ascii="Times New Roman" w:eastAsia="Times New Roman" w:hAnsi="Times New Roman" w:cs="Times New Roman"/>
          <w:color w:val="000000"/>
          <w:sz w:val="24"/>
          <w:szCs w:val="24"/>
        </w:rPr>
        <w:t xml:space="preserve"> J Med. 2017 Feb 16;376(7):663–73. </w:t>
      </w:r>
    </w:p>
    <w:p w14:paraId="6694B22C"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w:t>
      </w:r>
      <w:r>
        <w:rPr>
          <w:rFonts w:ascii="Times New Roman" w:eastAsia="Times New Roman" w:hAnsi="Times New Roman" w:cs="Times New Roman"/>
          <w:color w:val="000000"/>
          <w:sz w:val="24"/>
          <w:szCs w:val="24"/>
        </w:rPr>
        <w:tab/>
        <w:t xml:space="preserve">Borgundvaag B, McLeod S, Khuu W, Varner C, </w:t>
      </w:r>
      <w:proofErr w:type="spellStart"/>
      <w:r>
        <w:rPr>
          <w:rFonts w:ascii="Times New Roman" w:eastAsia="Times New Roman" w:hAnsi="Times New Roman" w:cs="Times New Roman"/>
          <w:color w:val="000000"/>
          <w:sz w:val="24"/>
          <w:szCs w:val="24"/>
        </w:rPr>
        <w:t>Tadrous</w:t>
      </w:r>
      <w:proofErr w:type="spellEnd"/>
      <w:r>
        <w:rPr>
          <w:rFonts w:ascii="Times New Roman" w:eastAsia="Times New Roman" w:hAnsi="Times New Roman" w:cs="Times New Roman"/>
          <w:color w:val="000000"/>
          <w:sz w:val="24"/>
          <w:szCs w:val="24"/>
        </w:rPr>
        <w:t xml:space="preserve"> M, Gomes T. Opioid Prescribing and Adverse Events in Opioid-Naive Patients Treated by Emergency Physicians versus Family Physicians: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Population-Based Cohort Study. CMAJ Open. 2018;6(1).</w:t>
      </w:r>
    </w:p>
    <w:p w14:paraId="6694B22D"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 </w:t>
      </w:r>
      <w:r>
        <w:rPr>
          <w:rFonts w:ascii="Times New Roman" w:eastAsia="Times New Roman" w:hAnsi="Times New Roman" w:cs="Times New Roman"/>
          <w:color w:val="000000"/>
          <w:sz w:val="24"/>
          <w:szCs w:val="24"/>
        </w:rPr>
        <w:tab/>
        <w:t>NYC Emergency Department Discharge Opioid Prescribing Guidelines 2018 [Internet]. [cited 2019 Apr 1]. Available from: https://www1.nyc.gov/assets/doh/downloads/pdf/basas/opioid-prescribing-guidelines.pdf</w:t>
      </w:r>
    </w:p>
    <w:p w14:paraId="6694B22E"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 </w:t>
      </w:r>
      <w:r>
        <w:rPr>
          <w:rFonts w:ascii="Times New Roman" w:eastAsia="Times New Roman" w:hAnsi="Times New Roman" w:cs="Times New Roman"/>
          <w:color w:val="000000"/>
          <w:sz w:val="24"/>
          <w:szCs w:val="24"/>
        </w:rPr>
        <w:tab/>
        <w:t>2017 Canadian Opioid Prescribing Guideline [Internet]. College of Family Physicians of Canada; [cited 2019 May 17]. Available from: https://www.cfpc.ca/uploadedFiles/CPD/Opioid%20poster_CFP_ENG.pdf</w:t>
      </w:r>
    </w:p>
    <w:p w14:paraId="6694B22F"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7. </w:t>
      </w:r>
      <w:r>
        <w:rPr>
          <w:rFonts w:ascii="Times New Roman" w:eastAsia="Times New Roman" w:hAnsi="Times New Roman" w:cs="Times New Roman"/>
          <w:color w:val="000000"/>
          <w:sz w:val="24"/>
          <w:szCs w:val="24"/>
        </w:rPr>
        <w:tab/>
      </w:r>
      <w:proofErr w:type="spellStart"/>
      <w:r>
        <w:rPr>
          <w:rFonts w:ascii="Times New Roman" w:eastAsia="Times New Roman" w:hAnsi="Times New Roman" w:cs="Times New Roman"/>
          <w:color w:val="000000"/>
          <w:sz w:val="24"/>
          <w:szCs w:val="24"/>
        </w:rPr>
        <w:t>Busse</w:t>
      </w:r>
      <w:proofErr w:type="spellEnd"/>
      <w:r>
        <w:rPr>
          <w:rFonts w:ascii="Times New Roman" w:eastAsia="Times New Roman" w:hAnsi="Times New Roman" w:cs="Times New Roman"/>
          <w:color w:val="000000"/>
          <w:sz w:val="24"/>
          <w:szCs w:val="24"/>
        </w:rPr>
        <w:t xml:space="preserve"> J. The 2017 Canadian Guideline for Opioids for Chronic Non-Cancer Pain [Internet]. [cited 2019 May 17]. Available from: http://nationalpaincentre.mcmaster.ca/guidelines.html</w:t>
      </w:r>
    </w:p>
    <w:p w14:paraId="6694B230"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8. </w:t>
      </w:r>
      <w:r>
        <w:rPr>
          <w:rFonts w:ascii="Times New Roman" w:eastAsia="Times New Roman" w:hAnsi="Times New Roman" w:cs="Times New Roman"/>
          <w:color w:val="000000"/>
          <w:sz w:val="24"/>
          <w:szCs w:val="24"/>
        </w:rPr>
        <w:tab/>
      </w:r>
      <w:proofErr w:type="spellStart"/>
      <w:r>
        <w:rPr>
          <w:rFonts w:ascii="Times New Roman" w:eastAsia="Times New Roman" w:hAnsi="Times New Roman" w:cs="Times New Roman"/>
          <w:color w:val="000000"/>
          <w:sz w:val="24"/>
          <w:szCs w:val="24"/>
        </w:rPr>
        <w:t>Upadhye</w:t>
      </w:r>
      <w:proofErr w:type="spellEnd"/>
      <w:r>
        <w:rPr>
          <w:rFonts w:ascii="Times New Roman" w:eastAsia="Times New Roman" w:hAnsi="Times New Roman" w:cs="Times New Roman"/>
          <w:color w:val="000000"/>
          <w:sz w:val="24"/>
          <w:szCs w:val="24"/>
        </w:rPr>
        <w:t xml:space="preserve"> S, Worster A, </w:t>
      </w:r>
      <w:proofErr w:type="spellStart"/>
      <w:r>
        <w:rPr>
          <w:rFonts w:ascii="Times New Roman" w:eastAsia="Times New Roman" w:hAnsi="Times New Roman" w:cs="Times New Roman"/>
          <w:color w:val="000000"/>
          <w:sz w:val="24"/>
          <w:szCs w:val="24"/>
        </w:rPr>
        <w:t>Valani</w:t>
      </w:r>
      <w:proofErr w:type="spellEnd"/>
      <w:r>
        <w:rPr>
          <w:rFonts w:ascii="Times New Roman" w:eastAsia="Times New Roman" w:hAnsi="Times New Roman" w:cs="Times New Roman"/>
          <w:color w:val="000000"/>
          <w:sz w:val="24"/>
          <w:szCs w:val="24"/>
        </w:rPr>
        <w:t xml:space="preserve"> R. Relevance of opioid guidelines in the emergency room (ROGER). Am Jour</w:t>
      </w:r>
      <w:r>
        <w:rPr>
          <w:rFonts w:ascii="Times New Roman" w:eastAsia="Times New Roman" w:hAnsi="Times New Roman" w:cs="Times New Roman"/>
          <w:sz w:val="24"/>
          <w:szCs w:val="24"/>
        </w:rPr>
        <w:t>n</w:t>
      </w:r>
      <w:r>
        <w:rPr>
          <w:rFonts w:ascii="Times New Roman" w:eastAsia="Times New Roman" w:hAnsi="Times New Roman" w:cs="Times New Roman"/>
          <w:color w:val="000000"/>
          <w:sz w:val="24"/>
          <w:szCs w:val="24"/>
        </w:rPr>
        <w:t xml:space="preserve">al Emerg Med. 2019 Mar;37(3):538–9. </w:t>
      </w:r>
    </w:p>
    <w:p w14:paraId="6694B231"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9. </w:t>
      </w:r>
      <w:r>
        <w:rPr>
          <w:rFonts w:ascii="Times New Roman" w:eastAsia="Times New Roman" w:hAnsi="Times New Roman" w:cs="Times New Roman"/>
          <w:color w:val="000000"/>
          <w:sz w:val="24"/>
          <w:szCs w:val="24"/>
        </w:rPr>
        <w:tab/>
        <w:t xml:space="preserve">Moretti K, </w:t>
      </w:r>
      <w:proofErr w:type="spellStart"/>
      <w:r>
        <w:rPr>
          <w:rFonts w:ascii="Times New Roman" w:eastAsia="Times New Roman" w:hAnsi="Times New Roman" w:cs="Times New Roman"/>
          <w:color w:val="000000"/>
          <w:sz w:val="24"/>
          <w:szCs w:val="24"/>
        </w:rPr>
        <w:t>Suffoletto</w:t>
      </w:r>
      <w:proofErr w:type="spellEnd"/>
      <w:r>
        <w:rPr>
          <w:rFonts w:ascii="Times New Roman" w:eastAsia="Times New Roman" w:hAnsi="Times New Roman" w:cs="Times New Roman"/>
          <w:color w:val="000000"/>
          <w:sz w:val="24"/>
          <w:szCs w:val="24"/>
        </w:rPr>
        <w:t xml:space="preserve"> B, Callaway C. Opioid Prescribing in the Emergency Department. Ann Emerg Med. 2015 Oct;66(4). </w:t>
      </w:r>
    </w:p>
    <w:p w14:paraId="6694B232"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10. </w:t>
      </w:r>
      <w:r>
        <w:rPr>
          <w:rFonts w:ascii="Times New Roman" w:eastAsia="Times New Roman" w:hAnsi="Times New Roman" w:cs="Times New Roman"/>
          <w:color w:val="000000"/>
          <w:sz w:val="24"/>
          <w:szCs w:val="24"/>
        </w:rPr>
        <w:tab/>
        <w:t xml:space="preserve">Hoppe JA, Nelson LS, Perrone J, Weiner SG. Opioid Prescribing in a Cross Section of US Emergency Departments. Annals of Emergency Medicine. Ann Emerg Med. 2015;66(3):253–9. </w:t>
      </w:r>
    </w:p>
    <w:p w14:paraId="6694B233"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11. </w:t>
      </w:r>
      <w:r>
        <w:rPr>
          <w:rFonts w:ascii="Times New Roman" w:eastAsia="Times New Roman" w:hAnsi="Times New Roman" w:cs="Times New Roman"/>
          <w:color w:val="000000"/>
          <w:sz w:val="24"/>
          <w:szCs w:val="24"/>
        </w:rPr>
        <w:tab/>
      </w:r>
      <w:proofErr w:type="spellStart"/>
      <w:r>
        <w:rPr>
          <w:rFonts w:ascii="Times New Roman" w:eastAsia="Times New Roman" w:hAnsi="Times New Roman" w:cs="Times New Roman"/>
          <w:color w:val="000000"/>
          <w:sz w:val="24"/>
          <w:szCs w:val="24"/>
        </w:rPr>
        <w:t>Upadhye</w:t>
      </w:r>
      <w:proofErr w:type="spellEnd"/>
      <w:r>
        <w:rPr>
          <w:rFonts w:ascii="Times New Roman" w:eastAsia="Times New Roman" w:hAnsi="Times New Roman" w:cs="Times New Roman"/>
          <w:color w:val="000000"/>
          <w:sz w:val="24"/>
          <w:szCs w:val="24"/>
        </w:rPr>
        <w:t xml:space="preserve">, S. Creating Opioid Dependence in the Emergency Department. Can J Emerg Med. 2017;20(1):100–3. </w:t>
      </w:r>
    </w:p>
    <w:p w14:paraId="6694B234"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12. </w:t>
      </w:r>
      <w:r>
        <w:rPr>
          <w:rFonts w:ascii="Times New Roman" w:eastAsia="Times New Roman" w:hAnsi="Times New Roman" w:cs="Times New Roman"/>
          <w:color w:val="000000"/>
          <w:sz w:val="24"/>
          <w:szCs w:val="24"/>
        </w:rPr>
        <w:tab/>
        <w:t xml:space="preserve">Daoust R, Paquet J, Cournoyer A, et al. Quantity of opioids consumed following an emergency department visit for acute pain: a Canadian prospective cohort study. BMJ Open. 2018;8. </w:t>
      </w:r>
    </w:p>
    <w:p w14:paraId="6694B235"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13. </w:t>
      </w:r>
      <w:r>
        <w:rPr>
          <w:rFonts w:ascii="Times New Roman" w:eastAsia="Times New Roman" w:hAnsi="Times New Roman" w:cs="Times New Roman"/>
          <w:color w:val="000000"/>
          <w:sz w:val="24"/>
          <w:szCs w:val="24"/>
        </w:rPr>
        <w:tab/>
        <w:t xml:space="preserve">Kim, HS, Heard, KJ, Heard, S, Hoppe, JA. Opioid RX fill rates after emergency department discharge. Am J Health Syst Pharm. 2016 Jun 15;73(12):902–7. </w:t>
      </w:r>
    </w:p>
    <w:p w14:paraId="6694B236"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14. </w:t>
      </w:r>
      <w:r>
        <w:rPr>
          <w:rFonts w:ascii="Times New Roman" w:eastAsia="Times New Roman" w:hAnsi="Times New Roman" w:cs="Times New Roman"/>
          <w:color w:val="000000"/>
          <w:sz w:val="24"/>
          <w:szCs w:val="24"/>
        </w:rPr>
        <w:tab/>
        <w:t>Appendix B-8: Opioid Conversion and Brand Availability in Canada [Internet]. Michael G. DeGroote National Pain Centre; [cited 2019 Apr 1]. Available from: http://nationalpaincentre.mcmaster.ca/opioid/cgop_b_app_b08.html</w:t>
      </w:r>
    </w:p>
    <w:p w14:paraId="6694B237"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15. </w:t>
      </w:r>
      <w:r>
        <w:rPr>
          <w:rFonts w:ascii="Times New Roman" w:eastAsia="Times New Roman" w:hAnsi="Times New Roman" w:cs="Times New Roman"/>
          <w:color w:val="000000"/>
          <w:sz w:val="24"/>
          <w:szCs w:val="24"/>
        </w:rPr>
        <w:tab/>
        <w:t>Dose Equivalent and Changing Opioids [Internet]. Royal College of Anaesthetists; [cited 2019 Apr 1]. Available from: https://www.rcoa.ac.uk/faculty-of-pain-medicine/opioids-aware/structured-approach-to-prescribing/dose-equivalents-and-changing-opioids</w:t>
      </w:r>
    </w:p>
    <w:p w14:paraId="6694B238"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16. </w:t>
      </w:r>
      <w:r>
        <w:rPr>
          <w:rFonts w:ascii="Times New Roman" w:eastAsia="Times New Roman" w:hAnsi="Times New Roman" w:cs="Times New Roman"/>
          <w:color w:val="000000"/>
          <w:sz w:val="24"/>
          <w:szCs w:val="24"/>
        </w:rPr>
        <w:tab/>
        <w:t xml:space="preserve">Weiner SG, Baker O, Poon SJ, et al. The Effect of Opioid Prescribing Guidelines on Prescriptions by Emergency Physicians in Ohio. Ann Emerg Med. 2017 Dec;70(6):799–808. </w:t>
      </w:r>
    </w:p>
    <w:p w14:paraId="6694B239"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17. </w:t>
      </w:r>
      <w:r>
        <w:rPr>
          <w:rFonts w:ascii="Times New Roman" w:eastAsia="Times New Roman" w:hAnsi="Times New Roman" w:cs="Times New Roman"/>
          <w:color w:val="000000"/>
          <w:sz w:val="24"/>
          <w:szCs w:val="24"/>
        </w:rPr>
        <w:tab/>
        <w:t xml:space="preserve">Osborn SR, Yu, J, Williams, B, </w:t>
      </w:r>
      <w:proofErr w:type="spellStart"/>
      <w:r>
        <w:rPr>
          <w:rFonts w:ascii="Times New Roman" w:eastAsia="Times New Roman" w:hAnsi="Times New Roman" w:cs="Times New Roman"/>
          <w:color w:val="000000"/>
          <w:sz w:val="24"/>
          <w:szCs w:val="24"/>
        </w:rPr>
        <w:t>Vasilyadis</w:t>
      </w:r>
      <w:proofErr w:type="spellEnd"/>
      <w:r>
        <w:rPr>
          <w:rFonts w:ascii="Times New Roman" w:eastAsia="Times New Roman" w:hAnsi="Times New Roman" w:cs="Times New Roman"/>
          <w:color w:val="000000"/>
          <w:sz w:val="24"/>
          <w:szCs w:val="24"/>
        </w:rPr>
        <w:t xml:space="preserve"> M, Blackmore CC. Changes in Provider Prescribing Patterns After Implementation of an Emergency Department Prescription Opioid Policy. J Emerg Med. 2017 Apr;52(4):538–46. </w:t>
      </w:r>
    </w:p>
    <w:p w14:paraId="6694B23A" w14:textId="77777777" w:rsidR="005F1189" w:rsidRDefault="00DA7FCF">
      <w:pPr>
        <w:pBdr>
          <w:top w:val="nil"/>
          <w:left w:val="nil"/>
          <w:bottom w:val="nil"/>
          <w:right w:val="nil"/>
          <w:between w:val="nil"/>
        </w:pBdr>
        <w:tabs>
          <w:tab w:val="left" w:pos="504"/>
        </w:tabs>
        <w:spacing w:after="240" w:line="240"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18. </w:t>
      </w:r>
      <w:r>
        <w:rPr>
          <w:rFonts w:ascii="Times New Roman" w:eastAsia="Times New Roman" w:hAnsi="Times New Roman" w:cs="Times New Roman"/>
          <w:color w:val="000000"/>
          <w:sz w:val="24"/>
          <w:szCs w:val="24"/>
        </w:rPr>
        <w:tab/>
        <w:t xml:space="preserve">Chacko J, Green J, </w:t>
      </w:r>
      <w:proofErr w:type="spellStart"/>
      <w:r>
        <w:rPr>
          <w:rFonts w:ascii="Times New Roman" w:eastAsia="Times New Roman" w:hAnsi="Times New Roman" w:cs="Times New Roman"/>
          <w:color w:val="000000"/>
          <w:sz w:val="24"/>
          <w:szCs w:val="24"/>
        </w:rPr>
        <w:t>Ardoli</w:t>
      </w:r>
      <w:proofErr w:type="spellEnd"/>
      <w:r>
        <w:rPr>
          <w:rFonts w:ascii="Times New Roman" w:eastAsia="Times New Roman" w:hAnsi="Times New Roman" w:cs="Times New Roman"/>
          <w:color w:val="000000"/>
          <w:sz w:val="24"/>
          <w:szCs w:val="24"/>
        </w:rPr>
        <w:t xml:space="preserve"> B, </w:t>
      </w:r>
      <w:proofErr w:type="spellStart"/>
      <w:r>
        <w:rPr>
          <w:rFonts w:ascii="Times New Roman" w:eastAsia="Times New Roman" w:hAnsi="Times New Roman" w:cs="Times New Roman"/>
          <w:color w:val="000000"/>
          <w:sz w:val="24"/>
          <w:szCs w:val="24"/>
        </w:rPr>
        <w:t>Berwald</w:t>
      </w:r>
      <w:proofErr w:type="spellEnd"/>
      <w:r>
        <w:rPr>
          <w:rFonts w:ascii="Times New Roman" w:eastAsia="Times New Roman" w:hAnsi="Times New Roman" w:cs="Times New Roman"/>
          <w:color w:val="000000"/>
          <w:sz w:val="24"/>
          <w:szCs w:val="24"/>
        </w:rPr>
        <w:t xml:space="preserve"> N. Effect of an emergency department opioid prescription policy on prescribing patterns. Am J Emergency Med. 2017 Sep;35(9):1327–9. </w:t>
      </w:r>
    </w:p>
    <w:p w14:paraId="6694B23B" w14:textId="77777777" w:rsidR="005F1189" w:rsidRDefault="00DA7FCF">
      <w:pPr>
        <w:ind w:left="504" w:hanging="50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19. </w:t>
      </w:r>
      <w:r>
        <w:rPr>
          <w:rFonts w:ascii="Times New Roman" w:eastAsia="Times New Roman" w:hAnsi="Times New Roman" w:cs="Times New Roman"/>
          <w:sz w:val="24"/>
          <w:szCs w:val="24"/>
        </w:rPr>
        <w:tab/>
        <w:t xml:space="preserve">Dowell D, </w:t>
      </w:r>
      <w:proofErr w:type="spellStart"/>
      <w:r>
        <w:rPr>
          <w:rFonts w:ascii="Times New Roman" w:eastAsia="Times New Roman" w:hAnsi="Times New Roman" w:cs="Times New Roman"/>
          <w:sz w:val="24"/>
          <w:szCs w:val="24"/>
        </w:rPr>
        <w:t>Haegerich</w:t>
      </w:r>
      <w:proofErr w:type="spellEnd"/>
      <w:r>
        <w:rPr>
          <w:rFonts w:ascii="Times New Roman" w:eastAsia="Times New Roman" w:hAnsi="Times New Roman" w:cs="Times New Roman"/>
          <w:sz w:val="24"/>
          <w:szCs w:val="24"/>
        </w:rPr>
        <w:t xml:space="preserve"> TM, Chou R. CDC guideline for prescription of opioid for chronic pain - United States, 2016. MMWR </w:t>
      </w:r>
      <w:proofErr w:type="spellStart"/>
      <w:r>
        <w:rPr>
          <w:rFonts w:ascii="Times New Roman" w:eastAsia="Times New Roman" w:hAnsi="Times New Roman" w:cs="Times New Roman"/>
          <w:sz w:val="24"/>
          <w:szCs w:val="24"/>
        </w:rPr>
        <w:t>Recomm</w:t>
      </w:r>
      <w:proofErr w:type="spellEnd"/>
      <w:r>
        <w:rPr>
          <w:rFonts w:ascii="Times New Roman" w:eastAsia="Times New Roman" w:hAnsi="Times New Roman" w:cs="Times New Roman"/>
          <w:sz w:val="24"/>
          <w:szCs w:val="24"/>
        </w:rPr>
        <w:t xml:space="preserve"> Rep. 2016; 65:1-49.</w:t>
      </w:r>
    </w:p>
    <w:p w14:paraId="6694B23C" w14:textId="77777777" w:rsidR="005F1189" w:rsidRDefault="005F1189">
      <w:pPr>
        <w:rPr>
          <w:rFonts w:ascii="Times New Roman" w:eastAsia="Times New Roman" w:hAnsi="Times New Roman" w:cs="Times New Roman"/>
          <w:sz w:val="24"/>
          <w:szCs w:val="24"/>
        </w:rPr>
      </w:pPr>
    </w:p>
    <w:p w14:paraId="6694B23D" w14:textId="77777777" w:rsidR="005F1189" w:rsidRDefault="005F1189">
      <w:pPr>
        <w:spacing w:line="240" w:lineRule="auto"/>
      </w:pPr>
    </w:p>
    <w:p w14:paraId="6694B23E" w14:textId="77777777" w:rsidR="005F1189" w:rsidRDefault="005F1189">
      <w:pPr>
        <w:spacing w:line="240" w:lineRule="auto"/>
      </w:pPr>
    </w:p>
    <w:p w14:paraId="6694B23F" w14:textId="77777777" w:rsidR="005F1189" w:rsidRDefault="005F1189">
      <w:pPr>
        <w:spacing w:line="240" w:lineRule="auto"/>
      </w:pPr>
    </w:p>
    <w:p w14:paraId="6694B240" w14:textId="77777777" w:rsidR="005F1189" w:rsidRDefault="005F1189">
      <w:pPr>
        <w:spacing w:line="240" w:lineRule="auto"/>
      </w:pPr>
    </w:p>
    <w:p w14:paraId="6694B241" w14:textId="77777777" w:rsidR="005F1189" w:rsidRDefault="005F1189">
      <w:pPr>
        <w:spacing w:line="240" w:lineRule="auto"/>
      </w:pPr>
    </w:p>
    <w:p w14:paraId="6694B242" w14:textId="77777777" w:rsidR="005F1189" w:rsidRDefault="005F1189">
      <w:pPr>
        <w:spacing w:line="240" w:lineRule="auto"/>
      </w:pPr>
    </w:p>
    <w:p w14:paraId="6694B243" w14:textId="77777777" w:rsidR="005F1189" w:rsidRDefault="005F1189">
      <w:pPr>
        <w:spacing w:line="240" w:lineRule="auto"/>
      </w:pPr>
    </w:p>
    <w:p w14:paraId="6694B244" w14:textId="77777777" w:rsidR="005F1189" w:rsidRDefault="005F1189">
      <w:pPr>
        <w:spacing w:line="240" w:lineRule="auto"/>
      </w:pPr>
    </w:p>
    <w:p w14:paraId="6694B245" w14:textId="77777777" w:rsidR="005F1189" w:rsidRDefault="005F1189">
      <w:pPr>
        <w:spacing w:line="240" w:lineRule="auto"/>
      </w:pPr>
    </w:p>
    <w:p w14:paraId="6694B246" w14:textId="77777777" w:rsidR="005F1189" w:rsidRDefault="005F1189">
      <w:pPr>
        <w:spacing w:line="240" w:lineRule="auto"/>
      </w:pPr>
    </w:p>
    <w:p w14:paraId="6694B247" w14:textId="77777777" w:rsidR="005F1189" w:rsidRDefault="005F1189">
      <w:pPr>
        <w:spacing w:line="240" w:lineRule="auto"/>
      </w:pPr>
    </w:p>
    <w:p w14:paraId="6694B248" w14:textId="77777777" w:rsidR="005F1189" w:rsidRDefault="005F1189">
      <w:pPr>
        <w:spacing w:line="240" w:lineRule="auto"/>
      </w:pPr>
    </w:p>
    <w:p w14:paraId="6694B249" w14:textId="77777777" w:rsidR="005F1189" w:rsidRDefault="005F1189">
      <w:pPr>
        <w:spacing w:line="240" w:lineRule="auto"/>
      </w:pPr>
    </w:p>
    <w:p w14:paraId="6694B24A" w14:textId="110741FF" w:rsidR="005F1189" w:rsidRDefault="005F1189">
      <w:pPr>
        <w:spacing w:line="240" w:lineRule="auto"/>
      </w:pPr>
    </w:p>
    <w:p w14:paraId="441AD3C9" w14:textId="77777777" w:rsidR="00094000" w:rsidRDefault="00094000" w:rsidP="00094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Tables and Figures</w:t>
      </w:r>
    </w:p>
    <w:p w14:paraId="543B9871" w14:textId="77777777" w:rsidR="00094000" w:rsidRDefault="00094000" w:rsidP="00094000">
      <w:pPr>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1: Demographics</w:t>
      </w:r>
    </w:p>
    <w:tbl>
      <w:tblPr>
        <w:tblStyle w:val="a"/>
        <w:tblW w:w="79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1985"/>
        <w:gridCol w:w="2551"/>
      </w:tblGrid>
      <w:tr w:rsidR="00094000" w14:paraId="5BA00BC6" w14:textId="77777777" w:rsidTr="009D12BC">
        <w:tc>
          <w:tcPr>
            <w:tcW w:w="3397" w:type="dxa"/>
          </w:tcPr>
          <w:p w14:paraId="0D53F967" w14:textId="77777777" w:rsidR="00094000" w:rsidRDefault="00094000" w:rsidP="009D12BC">
            <w:pPr>
              <w:rPr>
                <w:rFonts w:ascii="Times New Roman" w:eastAsia="Times New Roman" w:hAnsi="Times New Roman" w:cs="Times New Roman"/>
                <w:sz w:val="24"/>
                <w:szCs w:val="24"/>
              </w:rPr>
            </w:pPr>
          </w:p>
        </w:tc>
        <w:tc>
          <w:tcPr>
            <w:tcW w:w="1985" w:type="dxa"/>
          </w:tcPr>
          <w:p w14:paraId="6993896E"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2012 (n=500)</w:t>
            </w:r>
          </w:p>
        </w:tc>
        <w:tc>
          <w:tcPr>
            <w:tcW w:w="2551" w:type="dxa"/>
          </w:tcPr>
          <w:p w14:paraId="5C0C36D2"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2017 (n=500)</w:t>
            </w:r>
          </w:p>
        </w:tc>
      </w:tr>
      <w:tr w:rsidR="00094000" w14:paraId="01FB0FCE" w14:textId="77777777" w:rsidTr="009D12BC">
        <w:tc>
          <w:tcPr>
            <w:tcW w:w="3397" w:type="dxa"/>
          </w:tcPr>
          <w:p w14:paraId="25F0A3F1"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Patient Characteristics</w:t>
            </w:r>
          </w:p>
        </w:tc>
        <w:tc>
          <w:tcPr>
            <w:tcW w:w="1985" w:type="dxa"/>
          </w:tcPr>
          <w:p w14:paraId="1BCE1571"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N, (%)</w:t>
            </w:r>
          </w:p>
        </w:tc>
        <w:tc>
          <w:tcPr>
            <w:tcW w:w="2551" w:type="dxa"/>
          </w:tcPr>
          <w:p w14:paraId="4C194F11"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N, (%)</w:t>
            </w:r>
          </w:p>
        </w:tc>
      </w:tr>
      <w:tr w:rsidR="00094000" w14:paraId="1C0F54E0" w14:textId="77777777" w:rsidTr="009D12BC">
        <w:tc>
          <w:tcPr>
            <w:tcW w:w="3397" w:type="dxa"/>
          </w:tcPr>
          <w:p w14:paraId="1799F009"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Female (%)</w:t>
            </w:r>
          </w:p>
        </w:tc>
        <w:tc>
          <w:tcPr>
            <w:tcW w:w="1985" w:type="dxa"/>
          </w:tcPr>
          <w:p w14:paraId="079A4478"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337 (67.4%)</w:t>
            </w:r>
          </w:p>
        </w:tc>
        <w:tc>
          <w:tcPr>
            <w:tcW w:w="2551" w:type="dxa"/>
          </w:tcPr>
          <w:p w14:paraId="444166BE"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359 (71.8%)</w:t>
            </w:r>
          </w:p>
        </w:tc>
      </w:tr>
      <w:tr w:rsidR="00094000" w14:paraId="5674B315" w14:textId="77777777" w:rsidTr="009D12BC">
        <w:tc>
          <w:tcPr>
            <w:tcW w:w="3397" w:type="dxa"/>
          </w:tcPr>
          <w:p w14:paraId="1337E4A7"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Mean age (±SD)</w:t>
            </w:r>
          </w:p>
        </w:tc>
        <w:tc>
          <w:tcPr>
            <w:tcW w:w="1985" w:type="dxa"/>
          </w:tcPr>
          <w:p w14:paraId="624B94E3"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41.1 (±18.0)</w:t>
            </w:r>
          </w:p>
        </w:tc>
        <w:tc>
          <w:tcPr>
            <w:tcW w:w="2551" w:type="dxa"/>
          </w:tcPr>
          <w:p w14:paraId="089BA77A"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42.8 (±18.2)</w:t>
            </w:r>
          </w:p>
        </w:tc>
      </w:tr>
      <w:tr w:rsidR="00094000" w14:paraId="433687C3" w14:textId="77777777" w:rsidTr="009D12BC">
        <w:tc>
          <w:tcPr>
            <w:tcW w:w="3397" w:type="dxa"/>
          </w:tcPr>
          <w:p w14:paraId="56071C92"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Presenting Complaint</w:t>
            </w:r>
          </w:p>
        </w:tc>
        <w:tc>
          <w:tcPr>
            <w:tcW w:w="1985" w:type="dxa"/>
          </w:tcPr>
          <w:p w14:paraId="69DFF51D" w14:textId="77777777" w:rsidR="00094000" w:rsidRDefault="00094000" w:rsidP="009D12BC">
            <w:pPr>
              <w:rPr>
                <w:rFonts w:ascii="Times New Roman" w:eastAsia="Times New Roman" w:hAnsi="Times New Roman" w:cs="Times New Roman"/>
                <w:sz w:val="24"/>
                <w:szCs w:val="24"/>
              </w:rPr>
            </w:pPr>
          </w:p>
        </w:tc>
        <w:tc>
          <w:tcPr>
            <w:tcW w:w="2551" w:type="dxa"/>
          </w:tcPr>
          <w:p w14:paraId="4FCB3ED6" w14:textId="77777777" w:rsidR="00094000" w:rsidRDefault="00094000" w:rsidP="009D12BC">
            <w:pPr>
              <w:rPr>
                <w:rFonts w:ascii="Times New Roman" w:eastAsia="Times New Roman" w:hAnsi="Times New Roman" w:cs="Times New Roman"/>
                <w:sz w:val="24"/>
                <w:szCs w:val="24"/>
              </w:rPr>
            </w:pPr>
          </w:p>
        </w:tc>
      </w:tr>
      <w:tr w:rsidR="00094000" w14:paraId="06930192" w14:textId="77777777" w:rsidTr="009D12BC">
        <w:tc>
          <w:tcPr>
            <w:tcW w:w="3397" w:type="dxa"/>
          </w:tcPr>
          <w:p w14:paraId="1E030C86"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Abdominal pain (%)</w:t>
            </w:r>
          </w:p>
        </w:tc>
        <w:tc>
          <w:tcPr>
            <w:tcW w:w="1985" w:type="dxa"/>
          </w:tcPr>
          <w:p w14:paraId="76042B7F"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369 (63.8%)</w:t>
            </w:r>
          </w:p>
        </w:tc>
        <w:tc>
          <w:tcPr>
            <w:tcW w:w="2551" w:type="dxa"/>
          </w:tcPr>
          <w:p w14:paraId="19059788"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394 (78.8%)</w:t>
            </w:r>
          </w:p>
        </w:tc>
      </w:tr>
      <w:tr w:rsidR="00094000" w14:paraId="56549F4A" w14:textId="77777777" w:rsidTr="009D12BC">
        <w:tc>
          <w:tcPr>
            <w:tcW w:w="3397" w:type="dxa"/>
          </w:tcPr>
          <w:p w14:paraId="50AFE440"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Other (%)</w:t>
            </w:r>
          </w:p>
        </w:tc>
        <w:tc>
          <w:tcPr>
            <w:tcW w:w="1985" w:type="dxa"/>
          </w:tcPr>
          <w:p w14:paraId="06D45D85"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131 (36.2%)</w:t>
            </w:r>
          </w:p>
        </w:tc>
        <w:tc>
          <w:tcPr>
            <w:tcW w:w="2551" w:type="dxa"/>
          </w:tcPr>
          <w:p w14:paraId="1C146ADF"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106 (21.2%)</w:t>
            </w:r>
          </w:p>
        </w:tc>
      </w:tr>
    </w:tbl>
    <w:p w14:paraId="076FAF28" w14:textId="77777777" w:rsidR="00094000" w:rsidRDefault="00094000" w:rsidP="00094000">
      <w:pPr>
        <w:rPr>
          <w:rFonts w:ascii="Times New Roman" w:eastAsia="Times New Roman" w:hAnsi="Times New Roman" w:cs="Times New Roman"/>
          <w:sz w:val="24"/>
          <w:szCs w:val="24"/>
        </w:rPr>
      </w:pPr>
    </w:p>
    <w:p w14:paraId="7A1D74DB" w14:textId="77777777" w:rsidR="003A25F3" w:rsidRDefault="003A25F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70884EF7" w14:textId="77777777" w:rsidR="003A25F3" w:rsidRDefault="003A25F3" w:rsidP="00094000">
      <w:pPr>
        <w:rPr>
          <w:rFonts w:ascii="Times New Roman" w:eastAsia="Times New Roman" w:hAnsi="Times New Roman" w:cs="Times New Roman"/>
          <w:b/>
          <w:sz w:val="24"/>
          <w:szCs w:val="24"/>
        </w:rPr>
      </w:pPr>
    </w:p>
    <w:p w14:paraId="629F39C4" w14:textId="5718E14E" w:rsidR="00094000" w:rsidRDefault="00094000" w:rsidP="00094000">
      <w:pPr>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2: Treatment Received in Emergency Department</w:t>
      </w:r>
    </w:p>
    <w:tbl>
      <w:tblPr>
        <w:tblStyle w:val="a0"/>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2"/>
        <w:gridCol w:w="1417"/>
        <w:gridCol w:w="1418"/>
        <w:gridCol w:w="992"/>
      </w:tblGrid>
      <w:tr w:rsidR="00094000" w14:paraId="6F1D221A" w14:textId="77777777" w:rsidTr="009D12BC">
        <w:tc>
          <w:tcPr>
            <w:tcW w:w="5382" w:type="dxa"/>
          </w:tcPr>
          <w:p w14:paraId="117802CD" w14:textId="77777777" w:rsidR="00094000" w:rsidRDefault="00094000" w:rsidP="009D12BC">
            <w:pPr>
              <w:rPr>
                <w:rFonts w:ascii="Times New Roman" w:eastAsia="Times New Roman" w:hAnsi="Times New Roman" w:cs="Times New Roman"/>
                <w:sz w:val="24"/>
                <w:szCs w:val="24"/>
              </w:rPr>
            </w:pPr>
          </w:p>
        </w:tc>
        <w:tc>
          <w:tcPr>
            <w:tcW w:w="1417" w:type="dxa"/>
          </w:tcPr>
          <w:p w14:paraId="441029D8"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2012</w:t>
            </w:r>
          </w:p>
          <w:p w14:paraId="3B22263A"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N=500</w:t>
            </w:r>
          </w:p>
        </w:tc>
        <w:tc>
          <w:tcPr>
            <w:tcW w:w="1418" w:type="dxa"/>
          </w:tcPr>
          <w:p w14:paraId="282141FC"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2017</w:t>
            </w:r>
          </w:p>
          <w:p w14:paraId="1EED1BE4"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N=500</w:t>
            </w:r>
          </w:p>
        </w:tc>
        <w:tc>
          <w:tcPr>
            <w:tcW w:w="992" w:type="dxa"/>
          </w:tcPr>
          <w:p w14:paraId="0953CE47"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p-value</w:t>
            </w:r>
          </w:p>
        </w:tc>
      </w:tr>
      <w:tr w:rsidR="00094000" w14:paraId="524AE91A" w14:textId="77777777" w:rsidTr="009D12BC">
        <w:tc>
          <w:tcPr>
            <w:tcW w:w="5382" w:type="dxa"/>
          </w:tcPr>
          <w:p w14:paraId="4BB23502"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Non-steroidal anti-inflammatory drugs (NSAID)</w:t>
            </w:r>
          </w:p>
        </w:tc>
        <w:tc>
          <w:tcPr>
            <w:tcW w:w="1417" w:type="dxa"/>
          </w:tcPr>
          <w:p w14:paraId="0EA8676B"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117 (23.4%)</w:t>
            </w:r>
          </w:p>
        </w:tc>
        <w:tc>
          <w:tcPr>
            <w:tcW w:w="1418" w:type="dxa"/>
          </w:tcPr>
          <w:p w14:paraId="6D94379B"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117 (23.4%)</w:t>
            </w:r>
          </w:p>
        </w:tc>
        <w:tc>
          <w:tcPr>
            <w:tcW w:w="992" w:type="dxa"/>
          </w:tcPr>
          <w:p w14:paraId="6A2616F0"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094000" w14:paraId="656BB5ED" w14:textId="77777777" w:rsidTr="009D12BC">
        <w:tc>
          <w:tcPr>
            <w:tcW w:w="5382" w:type="dxa"/>
          </w:tcPr>
          <w:p w14:paraId="1EDD6436"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Acetaminophen (%)</w:t>
            </w:r>
          </w:p>
        </w:tc>
        <w:tc>
          <w:tcPr>
            <w:tcW w:w="1417" w:type="dxa"/>
          </w:tcPr>
          <w:p w14:paraId="2E5A3652"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88 (17.6%)</w:t>
            </w:r>
          </w:p>
        </w:tc>
        <w:tc>
          <w:tcPr>
            <w:tcW w:w="1418" w:type="dxa"/>
          </w:tcPr>
          <w:p w14:paraId="55E2C54C"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134 (26.8%)</w:t>
            </w:r>
          </w:p>
        </w:tc>
        <w:tc>
          <w:tcPr>
            <w:tcW w:w="992" w:type="dxa"/>
          </w:tcPr>
          <w:p w14:paraId="77B7E8D2"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0.001</w:t>
            </w:r>
          </w:p>
        </w:tc>
      </w:tr>
      <w:tr w:rsidR="00094000" w14:paraId="40995A5D" w14:textId="77777777" w:rsidTr="009D12BC">
        <w:tc>
          <w:tcPr>
            <w:tcW w:w="5382" w:type="dxa"/>
          </w:tcPr>
          <w:p w14:paraId="702F25D4"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Opioid (%)</w:t>
            </w:r>
          </w:p>
        </w:tc>
        <w:tc>
          <w:tcPr>
            <w:tcW w:w="1417" w:type="dxa"/>
          </w:tcPr>
          <w:p w14:paraId="5BCB22F6"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200 (40.0%)</w:t>
            </w:r>
          </w:p>
        </w:tc>
        <w:tc>
          <w:tcPr>
            <w:tcW w:w="1418" w:type="dxa"/>
          </w:tcPr>
          <w:p w14:paraId="1B091568"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164 (32.8%)</w:t>
            </w:r>
          </w:p>
        </w:tc>
        <w:tc>
          <w:tcPr>
            <w:tcW w:w="992" w:type="dxa"/>
          </w:tcPr>
          <w:p w14:paraId="4686E8AF"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0.018</w:t>
            </w:r>
          </w:p>
        </w:tc>
      </w:tr>
      <w:tr w:rsidR="00094000" w14:paraId="60EBC572" w14:textId="77777777" w:rsidTr="009D12BC">
        <w:tc>
          <w:tcPr>
            <w:tcW w:w="5382" w:type="dxa"/>
          </w:tcPr>
          <w:p w14:paraId="562C84FD"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Hydromorphone</w:t>
            </w:r>
          </w:p>
        </w:tc>
        <w:tc>
          <w:tcPr>
            <w:tcW w:w="1417" w:type="dxa"/>
          </w:tcPr>
          <w:p w14:paraId="04F6CAA3"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94 (47.0%)</w:t>
            </w:r>
          </w:p>
        </w:tc>
        <w:tc>
          <w:tcPr>
            <w:tcW w:w="1418" w:type="dxa"/>
          </w:tcPr>
          <w:p w14:paraId="0AC871D6"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108 (65.9%)</w:t>
            </w:r>
          </w:p>
        </w:tc>
        <w:tc>
          <w:tcPr>
            <w:tcW w:w="992" w:type="dxa"/>
          </w:tcPr>
          <w:p w14:paraId="46C3CF12" w14:textId="77777777" w:rsidR="00094000" w:rsidRDefault="00094000" w:rsidP="009D12BC">
            <w:pPr>
              <w:rPr>
                <w:rFonts w:ascii="Times New Roman" w:eastAsia="Times New Roman" w:hAnsi="Times New Roman" w:cs="Times New Roman"/>
                <w:sz w:val="24"/>
                <w:szCs w:val="24"/>
              </w:rPr>
            </w:pPr>
          </w:p>
        </w:tc>
      </w:tr>
      <w:tr w:rsidR="00094000" w14:paraId="5570893A" w14:textId="77777777" w:rsidTr="009D12BC">
        <w:tc>
          <w:tcPr>
            <w:tcW w:w="5382" w:type="dxa"/>
          </w:tcPr>
          <w:p w14:paraId="5002936F"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Morphine</w:t>
            </w:r>
          </w:p>
        </w:tc>
        <w:tc>
          <w:tcPr>
            <w:tcW w:w="1417" w:type="dxa"/>
          </w:tcPr>
          <w:p w14:paraId="0DDEEE2E"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44 (22.0%)</w:t>
            </w:r>
          </w:p>
        </w:tc>
        <w:tc>
          <w:tcPr>
            <w:tcW w:w="1418" w:type="dxa"/>
          </w:tcPr>
          <w:p w14:paraId="3C6420EB"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14 (8.6%)</w:t>
            </w:r>
          </w:p>
        </w:tc>
        <w:tc>
          <w:tcPr>
            <w:tcW w:w="992" w:type="dxa"/>
          </w:tcPr>
          <w:p w14:paraId="684FB8C7" w14:textId="77777777" w:rsidR="00094000" w:rsidRDefault="00094000" w:rsidP="009D12BC">
            <w:pPr>
              <w:rPr>
                <w:rFonts w:ascii="Times New Roman" w:eastAsia="Times New Roman" w:hAnsi="Times New Roman" w:cs="Times New Roman"/>
                <w:sz w:val="24"/>
                <w:szCs w:val="24"/>
              </w:rPr>
            </w:pPr>
          </w:p>
        </w:tc>
      </w:tr>
      <w:tr w:rsidR="00094000" w14:paraId="43D5061F" w14:textId="77777777" w:rsidTr="009D12BC">
        <w:tc>
          <w:tcPr>
            <w:tcW w:w="5382" w:type="dxa"/>
          </w:tcPr>
          <w:p w14:paraId="594D553A"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Oxycodone/acetaminophen</w:t>
            </w:r>
          </w:p>
        </w:tc>
        <w:tc>
          <w:tcPr>
            <w:tcW w:w="1417" w:type="dxa"/>
          </w:tcPr>
          <w:p w14:paraId="06CB8623"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18 (9.0%)</w:t>
            </w:r>
          </w:p>
        </w:tc>
        <w:tc>
          <w:tcPr>
            <w:tcW w:w="1418" w:type="dxa"/>
          </w:tcPr>
          <w:p w14:paraId="48E5AE0D"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5 (3.0%)</w:t>
            </w:r>
          </w:p>
        </w:tc>
        <w:tc>
          <w:tcPr>
            <w:tcW w:w="992" w:type="dxa"/>
          </w:tcPr>
          <w:p w14:paraId="2E53118C" w14:textId="77777777" w:rsidR="00094000" w:rsidRDefault="00094000" w:rsidP="009D12BC">
            <w:pPr>
              <w:rPr>
                <w:rFonts w:ascii="Times New Roman" w:eastAsia="Times New Roman" w:hAnsi="Times New Roman" w:cs="Times New Roman"/>
                <w:sz w:val="24"/>
                <w:szCs w:val="24"/>
              </w:rPr>
            </w:pPr>
          </w:p>
        </w:tc>
      </w:tr>
      <w:tr w:rsidR="00094000" w14:paraId="61096733" w14:textId="77777777" w:rsidTr="009D12BC">
        <w:tc>
          <w:tcPr>
            <w:tcW w:w="5382" w:type="dxa"/>
          </w:tcPr>
          <w:p w14:paraId="5E589A11"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Tramadol</w:t>
            </w:r>
          </w:p>
        </w:tc>
        <w:tc>
          <w:tcPr>
            <w:tcW w:w="1417" w:type="dxa"/>
          </w:tcPr>
          <w:p w14:paraId="081B70F8"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34 (17.0%)</w:t>
            </w:r>
          </w:p>
        </w:tc>
        <w:tc>
          <w:tcPr>
            <w:tcW w:w="1418" w:type="dxa"/>
          </w:tcPr>
          <w:p w14:paraId="1FC99810"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35 (21.3%)</w:t>
            </w:r>
          </w:p>
        </w:tc>
        <w:tc>
          <w:tcPr>
            <w:tcW w:w="992" w:type="dxa"/>
          </w:tcPr>
          <w:p w14:paraId="13DB599C" w14:textId="77777777" w:rsidR="00094000" w:rsidRDefault="00094000" w:rsidP="009D12BC">
            <w:pPr>
              <w:rPr>
                <w:rFonts w:ascii="Times New Roman" w:eastAsia="Times New Roman" w:hAnsi="Times New Roman" w:cs="Times New Roman"/>
                <w:sz w:val="24"/>
                <w:szCs w:val="24"/>
              </w:rPr>
            </w:pPr>
          </w:p>
        </w:tc>
      </w:tr>
      <w:tr w:rsidR="00094000" w14:paraId="5FC1295B" w14:textId="77777777" w:rsidTr="009D12BC">
        <w:tc>
          <w:tcPr>
            <w:tcW w:w="5382" w:type="dxa"/>
          </w:tcPr>
          <w:p w14:paraId="40C8EBD7"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Codeine/acetaminophen</w:t>
            </w:r>
          </w:p>
        </w:tc>
        <w:tc>
          <w:tcPr>
            <w:tcW w:w="1417" w:type="dxa"/>
          </w:tcPr>
          <w:p w14:paraId="770C688D"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 (1.0%)</w:t>
            </w:r>
          </w:p>
        </w:tc>
        <w:tc>
          <w:tcPr>
            <w:tcW w:w="1418" w:type="dxa"/>
          </w:tcPr>
          <w:p w14:paraId="3213D412"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 (1.2%)</w:t>
            </w:r>
          </w:p>
        </w:tc>
        <w:tc>
          <w:tcPr>
            <w:tcW w:w="992" w:type="dxa"/>
          </w:tcPr>
          <w:p w14:paraId="3DBB9147" w14:textId="77777777" w:rsidR="00094000" w:rsidRDefault="00094000" w:rsidP="009D12BC">
            <w:pPr>
              <w:rPr>
                <w:rFonts w:ascii="Times New Roman" w:eastAsia="Times New Roman" w:hAnsi="Times New Roman" w:cs="Times New Roman"/>
                <w:sz w:val="24"/>
                <w:szCs w:val="24"/>
              </w:rPr>
            </w:pPr>
          </w:p>
        </w:tc>
      </w:tr>
      <w:tr w:rsidR="00094000" w14:paraId="2BD0F393" w14:textId="77777777" w:rsidTr="009D12BC">
        <w:tc>
          <w:tcPr>
            <w:tcW w:w="5382" w:type="dxa"/>
          </w:tcPr>
          <w:p w14:paraId="105C7CBA"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Other </w:t>
            </w:r>
          </w:p>
        </w:tc>
        <w:tc>
          <w:tcPr>
            <w:tcW w:w="1417" w:type="dxa"/>
          </w:tcPr>
          <w:p w14:paraId="472997EE"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8 (4.0%)</w:t>
            </w:r>
          </w:p>
        </w:tc>
        <w:tc>
          <w:tcPr>
            <w:tcW w:w="1418" w:type="dxa"/>
          </w:tcPr>
          <w:p w14:paraId="21B64D52"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0 (0%)</w:t>
            </w:r>
          </w:p>
        </w:tc>
        <w:tc>
          <w:tcPr>
            <w:tcW w:w="992" w:type="dxa"/>
          </w:tcPr>
          <w:p w14:paraId="69C0FDAE" w14:textId="77777777" w:rsidR="00094000" w:rsidRDefault="00094000" w:rsidP="009D12BC">
            <w:pPr>
              <w:rPr>
                <w:rFonts w:ascii="Times New Roman" w:eastAsia="Times New Roman" w:hAnsi="Times New Roman" w:cs="Times New Roman"/>
                <w:sz w:val="24"/>
                <w:szCs w:val="24"/>
              </w:rPr>
            </w:pPr>
          </w:p>
        </w:tc>
      </w:tr>
    </w:tbl>
    <w:p w14:paraId="0A1D0F72" w14:textId="77777777" w:rsidR="00094000" w:rsidRDefault="00094000" w:rsidP="00094000">
      <w:pPr>
        <w:rPr>
          <w:rFonts w:ascii="Times New Roman" w:eastAsia="Times New Roman" w:hAnsi="Times New Roman" w:cs="Times New Roman"/>
          <w:b/>
          <w:sz w:val="24"/>
          <w:szCs w:val="24"/>
        </w:rPr>
      </w:pPr>
    </w:p>
    <w:p w14:paraId="1283A3B3" w14:textId="77777777" w:rsidR="00094000" w:rsidRDefault="00094000" w:rsidP="00094000">
      <w:pPr>
        <w:rPr>
          <w:rFonts w:ascii="Times New Roman" w:eastAsia="Times New Roman" w:hAnsi="Times New Roman" w:cs="Times New Roman"/>
          <w:b/>
          <w:sz w:val="24"/>
          <w:szCs w:val="24"/>
        </w:rPr>
      </w:pPr>
    </w:p>
    <w:p w14:paraId="6EDCD0AC" w14:textId="77777777" w:rsidR="003A25F3" w:rsidRDefault="003A25F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17E62F01" w14:textId="0C81E938" w:rsidR="00094000" w:rsidRDefault="00094000" w:rsidP="00094000">
      <w:p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Table 3: Prescriptions from Emergency Department</w:t>
      </w:r>
    </w:p>
    <w:tbl>
      <w:tblPr>
        <w:tblStyle w:val="a1"/>
        <w:tblW w:w="9445" w:type="dxa"/>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35"/>
        <w:gridCol w:w="1418"/>
        <w:gridCol w:w="1417"/>
        <w:gridCol w:w="1275"/>
      </w:tblGrid>
      <w:tr w:rsidR="00094000" w14:paraId="6DD99413" w14:textId="77777777" w:rsidTr="009D12BC">
        <w:tc>
          <w:tcPr>
            <w:tcW w:w="5335" w:type="dxa"/>
          </w:tcPr>
          <w:p w14:paraId="74A601BE" w14:textId="77777777" w:rsidR="00094000" w:rsidRDefault="00094000" w:rsidP="009D12BC">
            <w:pPr>
              <w:rPr>
                <w:rFonts w:ascii="Times New Roman" w:eastAsia="Times New Roman" w:hAnsi="Times New Roman" w:cs="Times New Roman"/>
                <w:sz w:val="24"/>
                <w:szCs w:val="24"/>
              </w:rPr>
            </w:pPr>
          </w:p>
        </w:tc>
        <w:tc>
          <w:tcPr>
            <w:tcW w:w="1418" w:type="dxa"/>
          </w:tcPr>
          <w:p w14:paraId="1F9DC1B3"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2012</w:t>
            </w:r>
          </w:p>
          <w:p w14:paraId="021CA442"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N=500</w:t>
            </w:r>
          </w:p>
        </w:tc>
        <w:tc>
          <w:tcPr>
            <w:tcW w:w="1417" w:type="dxa"/>
          </w:tcPr>
          <w:p w14:paraId="1FD61C3F"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2017</w:t>
            </w:r>
          </w:p>
          <w:p w14:paraId="74064D11"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N=500</w:t>
            </w:r>
          </w:p>
        </w:tc>
        <w:tc>
          <w:tcPr>
            <w:tcW w:w="1275" w:type="dxa"/>
          </w:tcPr>
          <w:p w14:paraId="30C76E27"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p-value</w:t>
            </w:r>
          </w:p>
        </w:tc>
      </w:tr>
      <w:tr w:rsidR="00094000" w14:paraId="605871BE" w14:textId="77777777" w:rsidTr="009D12BC">
        <w:tc>
          <w:tcPr>
            <w:tcW w:w="5335" w:type="dxa"/>
          </w:tcPr>
          <w:p w14:paraId="4F1288CC"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Non-steroidal anti-inflammatory drugs (NSAID) (%)</w:t>
            </w:r>
          </w:p>
        </w:tc>
        <w:tc>
          <w:tcPr>
            <w:tcW w:w="1418" w:type="dxa"/>
          </w:tcPr>
          <w:p w14:paraId="1516E988"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63 (12.6%)</w:t>
            </w:r>
          </w:p>
        </w:tc>
        <w:tc>
          <w:tcPr>
            <w:tcW w:w="1417" w:type="dxa"/>
          </w:tcPr>
          <w:p w14:paraId="2B09BDB4"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68 (13.6%)</w:t>
            </w:r>
          </w:p>
        </w:tc>
        <w:tc>
          <w:tcPr>
            <w:tcW w:w="1275" w:type="dxa"/>
          </w:tcPr>
          <w:p w14:paraId="2FBF7E2E"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0.639</w:t>
            </w:r>
          </w:p>
        </w:tc>
      </w:tr>
      <w:tr w:rsidR="00094000" w14:paraId="79389E05" w14:textId="77777777" w:rsidTr="009D12BC">
        <w:tc>
          <w:tcPr>
            <w:tcW w:w="5335" w:type="dxa"/>
          </w:tcPr>
          <w:p w14:paraId="3C10675B"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Acetaminophen (%)</w:t>
            </w:r>
          </w:p>
        </w:tc>
        <w:tc>
          <w:tcPr>
            <w:tcW w:w="1418" w:type="dxa"/>
          </w:tcPr>
          <w:p w14:paraId="5C59E606"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52 (10.4%)</w:t>
            </w:r>
          </w:p>
        </w:tc>
        <w:tc>
          <w:tcPr>
            <w:tcW w:w="1417" w:type="dxa"/>
          </w:tcPr>
          <w:p w14:paraId="7FDA5775"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63 (12.6%)</w:t>
            </w:r>
          </w:p>
        </w:tc>
        <w:tc>
          <w:tcPr>
            <w:tcW w:w="1275" w:type="dxa"/>
          </w:tcPr>
          <w:p w14:paraId="765A1731"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0.276</w:t>
            </w:r>
          </w:p>
        </w:tc>
      </w:tr>
      <w:tr w:rsidR="00094000" w14:paraId="001062B4" w14:textId="77777777" w:rsidTr="009D12BC">
        <w:tc>
          <w:tcPr>
            <w:tcW w:w="5335" w:type="dxa"/>
          </w:tcPr>
          <w:p w14:paraId="0C132353"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Opioid (%)</w:t>
            </w:r>
          </w:p>
        </w:tc>
        <w:tc>
          <w:tcPr>
            <w:tcW w:w="1418" w:type="dxa"/>
          </w:tcPr>
          <w:p w14:paraId="553EE438" w14:textId="77777777" w:rsidR="00094000" w:rsidRDefault="00094000" w:rsidP="009D12BC">
            <w:pPr>
              <w:rPr>
                <w:rFonts w:ascii="Times New Roman" w:eastAsia="Times New Roman" w:hAnsi="Times New Roman" w:cs="Times New Roman"/>
                <w:i/>
                <w:sz w:val="24"/>
                <w:szCs w:val="24"/>
              </w:rPr>
            </w:pPr>
            <w:r>
              <w:rPr>
                <w:rFonts w:ascii="Times New Roman" w:eastAsia="Times New Roman" w:hAnsi="Times New Roman" w:cs="Times New Roman"/>
                <w:sz w:val="24"/>
                <w:szCs w:val="24"/>
              </w:rPr>
              <w:t>89 (17.8%)</w:t>
            </w:r>
          </w:p>
        </w:tc>
        <w:tc>
          <w:tcPr>
            <w:tcW w:w="1417" w:type="dxa"/>
          </w:tcPr>
          <w:p w14:paraId="68C6139B"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72 (14.4%)</w:t>
            </w:r>
          </w:p>
        </w:tc>
        <w:tc>
          <w:tcPr>
            <w:tcW w:w="1275" w:type="dxa"/>
          </w:tcPr>
          <w:p w14:paraId="11EB044B"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0.144</w:t>
            </w:r>
          </w:p>
        </w:tc>
      </w:tr>
      <w:tr w:rsidR="00094000" w14:paraId="44162C7B" w14:textId="77777777" w:rsidTr="009D12BC">
        <w:tc>
          <w:tcPr>
            <w:tcW w:w="5335" w:type="dxa"/>
          </w:tcPr>
          <w:p w14:paraId="0FA74260"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Hydromorphone</w:t>
            </w:r>
          </w:p>
        </w:tc>
        <w:tc>
          <w:tcPr>
            <w:tcW w:w="1418" w:type="dxa"/>
          </w:tcPr>
          <w:p w14:paraId="1EAA0C15"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29 (32.6%)</w:t>
            </w:r>
          </w:p>
        </w:tc>
        <w:tc>
          <w:tcPr>
            <w:tcW w:w="1417" w:type="dxa"/>
          </w:tcPr>
          <w:p w14:paraId="7C9E5364"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32 (44.4%)</w:t>
            </w:r>
          </w:p>
        </w:tc>
        <w:tc>
          <w:tcPr>
            <w:tcW w:w="1275" w:type="dxa"/>
          </w:tcPr>
          <w:p w14:paraId="60F2222E" w14:textId="77777777" w:rsidR="00094000" w:rsidRDefault="00094000" w:rsidP="009D12BC">
            <w:pPr>
              <w:rPr>
                <w:rFonts w:ascii="Times New Roman" w:eastAsia="Times New Roman" w:hAnsi="Times New Roman" w:cs="Times New Roman"/>
                <w:sz w:val="24"/>
                <w:szCs w:val="24"/>
              </w:rPr>
            </w:pPr>
          </w:p>
        </w:tc>
      </w:tr>
      <w:tr w:rsidR="00094000" w14:paraId="56EFC0A7" w14:textId="77777777" w:rsidTr="009D12BC">
        <w:tc>
          <w:tcPr>
            <w:tcW w:w="5335" w:type="dxa"/>
          </w:tcPr>
          <w:p w14:paraId="21B5487F"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Morphine</w:t>
            </w:r>
          </w:p>
        </w:tc>
        <w:tc>
          <w:tcPr>
            <w:tcW w:w="1418" w:type="dxa"/>
          </w:tcPr>
          <w:p w14:paraId="42AAF37F"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6 (6.7%)</w:t>
            </w:r>
          </w:p>
        </w:tc>
        <w:tc>
          <w:tcPr>
            <w:tcW w:w="1417" w:type="dxa"/>
          </w:tcPr>
          <w:p w14:paraId="334C344A"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7 (9.7%)</w:t>
            </w:r>
          </w:p>
        </w:tc>
        <w:tc>
          <w:tcPr>
            <w:tcW w:w="1275" w:type="dxa"/>
          </w:tcPr>
          <w:p w14:paraId="0D7EDCF8" w14:textId="77777777" w:rsidR="00094000" w:rsidRDefault="00094000" w:rsidP="009D12BC">
            <w:pPr>
              <w:rPr>
                <w:rFonts w:ascii="Times New Roman" w:eastAsia="Times New Roman" w:hAnsi="Times New Roman" w:cs="Times New Roman"/>
                <w:sz w:val="24"/>
                <w:szCs w:val="24"/>
              </w:rPr>
            </w:pPr>
          </w:p>
        </w:tc>
      </w:tr>
      <w:tr w:rsidR="00094000" w14:paraId="5D13AF4D" w14:textId="77777777" w:rsidTr="009D12BC">
        <w:tc>
          <w:tcPr>
            <w:tcW w:w="5335" w:type="dxa"/>
          </w:tcPr>
          <w:p w14:paraId="46BEA71A"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Oxycodone/acetaminophen</w:t>
            </w:r>
          </w:p>
        </w:tc>
        <w:tc>
          <w:tcPr>
            <w:tcW w:w="1418" w:type="dxa"/>
          </w:tcPr>
          <w:p w14:paraId="1B1D6185"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26 (29.2%)</w:t>
            </w:r>
          </w:p>
        </w:tc>
        <w:tc>
          <w:tcPr>
            <w:tcW w:w="1417" w:type="dxa"/>
          </w:tcPr>
          <w:p w14:paraId="5132F352"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9 (12.5%)</w:t>
            </w:r>
          </w:p>
        </w:tc>
        <w:tc>
          <w:tcPr>
            <w:tcW w:w="1275" w:type="dxa"/>
          </w:tcPr>
          <w:p w14:paraId="2AAD7FFC" w14:textId="77777777" w:rsidR="00094000" w:rsidRDefault="00094000" w:rsidP="009D12BC">
            <w:pPr>
              <w:rPr>
                <w:rFonts w:ascii="Times New Roman" w:eastAsia="Times New Roman" w:hAnsi="Times New Roman" w:cs="Times New Roman"/>
                <w:sz w:val="24"/>
                <w:szCs w:val="24"/>
              </w:rPr>
            </w:pPr>
          </w:p>
        </w:tc>
      </w:tr>
      <w:tr w:rsidR="00094000" w14:paraId="75242DFC" w14:textId="77777777" w:rsidTr="009D12BC">
        <w:tc>
          <w:tcPr>
            <w:tcW w:w="5335" w:type="dxa"/>
          </w:tcPr>
          <w:p w14:paraId="5739051F"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Tramadol</w:t>
            </w:r>
          </w:p>
        </w:tc>
        <w:tc>
          <w:tcPr>
            <w:tcW w:w="1418" w:type="dxa"/>
          </w:tcPr>
          <w:p w14:paraId="41866289"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8 (9.0%)</w:t>
            </w:r>
          </w:p>
        </w:tc>
        <w:tc>
          <w:tcPr>
            <w:tcW w:w="1417" w:type="dxa"/>
          </w:tcPr>
          <w:p w14:paraId="5B7EE74D"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15 (20.8%)</w:t>
            </w:r>
          </w:p>
        </w:tc>
        <w:tc>
          <w:tcPr>
            <w:tcW w:w="1275" w:type="dxa"/>
          </w:tcPr>
          <w:p w14:paraId="2E7C6464" w14:textId="77777777" w:rsidR="00094000" w:rsidRDefault="00094000" w:rsidP="009D12BC">
            <w:pPr>
              <w:rPr>
                <w:rFonts w:ascii="Times New Roman" w:eastAsia="Times New Roman" w:hAnsi="Times New Roman" w:cs="Times New Roman"/>
                <w:sz w:val="24"/>
                <w:szCs w:val="24"/>
              </w:rPr>
            </w:pPr>
          </w:p>
        </w:tc>
      </w:tr>
      <w:tr w:rsidR="00094000" w14:paraId="62B4373E" w14:textId="77777777" w:rsidTr="009D12BC">
        <w:tc>
          <w:tcPr>
            <w:tcW w:w="5335" w:type="dxa"/>
          </w:tcPr>
          <w:p w14:paraId="08051EB3"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Codeine/acetaminophen</w:t>
            </w:r>
          </w:p>
        </w:tc>
        <w:tc>
          <w:tcPr>
            <w:tcW w:w="1418" w:type="dxa"/>
          </w:tcPr>
          <w:p w14:paraId="47778022"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11 (12.4%)</w:t>
            </w:r>
          </w:p>
        </w:tc>
        <w:tc>
          <w:tcPr>
            <w:tcW w:w="1417" w:type="dxa"/>
          </w:tcPr>
          <w:p w14:paraId="4E7B80A7"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3 (4.2%)</w:t>
            </w:r>
          </w:p>
        </w:tc>
        <w:tc>
          <w:tcPr>
            <w:tcW w:w="1275" w:type="dxa"/>
          </w:tcPr>
          <w:p w14:paraId="73035A83" w14:textId="77777777" w:rsidR="00094000" w:rsidRDefault="00094000" w:rsidP="009D12BC">
            <w:pPr>
              <w:rPr>
                <w:rFonts w:ascii="Times New Roman" w:eastAsia="Times New Roman" w:hAnsi="Times New Roman" w:cs="Times New Roman"/>
                <w:sz w:val="24"/>
                <w:szCs w:val="24"/>
              </w:rPr>
            </w:pPr>
          </w:p>
        </w:tc>
      </w:tr>
      <w:tr w:rsidR="00094000" w14:paraId="77E0B752" w14:textId="77777777" w:rsidTr="009D12BC">
        <w:tc>
          <w:tcPr>
            <w:tcW w:w="5335" w:type="dxa"/>
          </w:tcPr>
          <w:p w14:paraId="36B835D8" w14:textId="77777777" w:rsidR="00094000" w:rsidRDefault="00094000" w:rsidP="009D12B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Other</w:t>
            </w:r>
          </w:p>
        </w:tc>
        <w:tc>
          <w:tcPr>
            <w:tcW w:w="1418" w:type="dxa"/>
          </w:tcPr>
          <w:p w14:paraId="53F65DA9"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9 (10.1%)</w:t>
            </w:r>
          </w:p>
        </w:tc>
        <w:tc>
          <w:tcPr>
            <w:tcW w:w="1417" w:type="dxa"/>
          </w:tcPr>
          <w:p w14:paraId="2D73ED18"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6 (8.3%)</w:t>
            </w:r>
          </w:p>
        </w:tc>
        <w:tc>
          <w:tcPr>
            <w:tcW w:w="1275" w:type="dxa"/>
          </w:tcPr>
          <w:p w14:paraId="535B7D3F" w14:textId="77777777" w:rsidR="00094000" w:rsidRDefault="00094000" w:rsidP="009D12BC">
            <w:pPr>
              <w:rPr>
                <w:rFonts w:ascii="Times New Roman" w:eastAsia="Times New Roman" w:hAnsi="Times New Roman" w:cs="Times New Roman"/>
                <w:sz w:val="24"/>
                <w:szCs w:val="24"/>
              </w:rPr>
            </w:pPr>
          </w:p>
        </w:tc>
      </w:tr>
      <w:tr w:rsidR="00094000" w14:paraId="5C029469" w14:textId="77777777" w:rsidTr="009D12BC">
        <w:tc>
          <w:tcPr>
            <w:tcW w:w="5335" w:type="dxa"/>
          </w:tcPr>
          <w:p w14:paraId="02E5B20A"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Mean morphine equivalents dose per prescription in milligrams (SD)</w:t>
            </w:r>
          </w:p>
        </w:tc>
        <w:tc>
          <w:tcPr>
            <w:tcW w:w="1418" w:type="dxa"/>
          </w:tcPr>
          <w:p w14:paraId="40EBD6D1"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130.4 (9.32)</w:t>
            </w:r>
          </w:p>
        </w:tc>
        <w:tc>
          <w:tcPr>
            <w:tcW w:w="1417" w:type="dxa"/>
          </w:tcPr>
          <w:p w14:paraId="329CD7B6"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98.9 (12.4)</w:t>
            </w:r>
          </w:p>
        </w:tc>
        <w:tc>
          <w:tcPr>
            <w:tcW w:w="1275" w:type="dxa"/>
          </w:tcPr>
          <w:p w14:paraId="460C2C0C"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0.002</w:t>
            </w:r>
          </w:p>
        </w:tc>
      </w:tr>
      <w:tr w:rsidR="00094000" w14:paraId="23137B70" w14:textId="77777777" w:rsidTr="009D12BC">
        <w:tc>
          <w:tcPr>
            <w:tcW w:w="5335" w:type="dxa"/>
          </w:tcPr>
          <w:p w14:paraId="6A0467FE"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Prescription longer than 3 days</w:t>
            </w:r>
          </w:p>
        </w:tc>
        <w:tc>
          <w:tcPr>
            <w:tcW w:w="1418" w:type="dxa"/>
          </w:tcPr>
          <w:p w14:paraId="46167209"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25 (28.1%)</w:t>
            </w:r>
          </w:p>
        </w:tc>
        <w:tc>
          <w:tcPr>
            <w:tcW w:w="1417" w:type="dxa"/>
          </w:tcPr>
          <w:p w14:paraId="66219949"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10 (13.9%)</w:t>
            </w:r>
          </w:p>
        </w:tc>
        <w:tc>
          <w:tcPr>
            <w:tcW w:w="1275" w:type="dxa"/>
          </w:tcPr>
          <w:p w14:paraId="32027371" w14:textId="77777777" w:rsidR="00094000" w:rsidRDefault="00094000" w:rsidP="009D12BC">
            <w:pPr>
              <w:rPr>
                <w:rFonts w:ascii="Times New Roman" w:eastAsia="Times New Roman" w:hAnsi="Times New Roman" w:cs="Times New Roman"/>
                <w:sz w:val="24"/>
                <w:szCs w:val="24"/>
              </w:rPr>
            </w:pPr>
            <w:r>
              <w:rPr>
                <w:rFonts w:ascii="Times New Roman" w:eastAsia="Times New Roman" w:hAnsi="Times New Roman" w:cs="Times New Roman"/>
                <w:sz w:val="24"/>
                <w:szCs w:val="24"/>
              </w:rPr>
              <w:t>0.001</w:t>
            </w:r>
          </w:p>
        </w:tc>
      </w:tr>
    </w:tbl>
    <w:p w14:paraId="5E7B87EF" w14:textId="77777777" w:rsidR="00094000" w:rsidRDefault="00094000">
      <w:pPr>
        <w:spacing w:line="240" w:lineRule="auto"/>
      </w:pPr>
      <w:bookmarkStart w:id="2" w:name="_GoBack"/>
      <w:bookmarkEnd w:id="2"/>
    </w:p>
    <w:sectPr w:rsidR="00094000">
      <w:pgSz w:w="12240" w:h="15840"/>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MwNjcyMDU0Mjc1NDFU0lEKTi0uzszPAykwqgUAvX7TnywAAAA="/>
  </w:docVars>
  <w:rsids>
    <w:rsidRoot w:val="005F1189"/>
    <w:rsid w:val="00094000"/>
    <w:rsid w:val="00346CE8"/>
    <w:rsid w:val="003A25F3"/>
    <w:rsid w:val="005F1189"/>
    <w:rsid w:val="00DA7FCF"/>
    <w:rsid w:val="00E51B96"/>
    <w:rsid w:val="00FC506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94B13C"/>
  <w15:docId w15:val="{87851071-2705-4A09-95A7-1BC4D77685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CA" w:eastAsia="en-CA"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after="0"/>
      <w:outlineLvl w:val="0"/>
    </w:pPr>
    <w:rPr>
      <w:color w:val="2F5496"/>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56487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16</Pages>
  <Words>3324</Words>
  <Characters>18953</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Angela Marcantonio</cp:lastModifiedBy>
  <cp:revision>7</cp:revision>
  <dcterms:created xsi:type="dcterms:W3CDTF">2020-07-16T11:19:00Z</dcterms:created>
  <dcterms:modified xsi:type="dcterms:W3CDTF">2022-04-25T18:56:00Z</dcterms:modified>
</cp:coreProperties>
</file>