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5.xml" ContentType="application/vnd.openxmlformats-officedocument.wordprocessingml.footer+xml"/>
  <Override PartName="/word/charts/chart5.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6.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0DB5AB" w14:textId="77777777" w:rsidR="00374D42" w:rsidRPr="0063508B" w:rsidRDefault="00374D42" w:rsidP="00374D42">
      <w:pPr>
        <w:jc w:val="both"/>
        <w:rPr>
          <w:b/>
        </w:rPr>
      </w:pPr>
      <w:bookmarkStart w:id="0" w:name="_GoBack"/>
      <w:bookmarkEnd w:id="0"/>
    </w:p>
    <w:p w14:paraId="25FF2D8D" w14:textId="77777777" w:rsidR="00374D42" w:rsidRPr="00D324D1" w:rsidRDefault="00374D42" w:rsidP="00374D42">
      <w:pPr>
        <w:jc w:val="both"/>
        <w:rPr>
          <w:b/>
          <w:i/>
        </w:rPr>
      </w:pPr>
    </w:p>
    <w:p w14:paraId="49833830" w14:textId="77777777" w:rsidR="00374D42" w:rsidRPr="00D324D1" w:rsidRDefault="00374D42" w:rsidP="00374D42">
      <w:pPr>
        <w:jc w:val="both"/>
        <w:rPr>
          <w:b/>
          <w:i/>
        </w:rPr>
      </w:pPr>
    </w:p>
    <w:p w14:paraId="4A0F6B98" w14:textId="77777777" w:rsidR="00374D42" w:rsidRPr="00D324D1" w:rsidRDefault="00374D42" w:rsidP="00374D42">
      <w:pPr>
        <w:jc w:val="both"/>
        <w:rPr>
          <w:b/>
          <w:i/>
        </w:rPr>
      </w:pPr>
    </w:p>
    <w:p w14:paraId="4C9F7E1C" w14:textId="77777777" w:rsidR="00374D42" w:rsidRPr="00D324D1" w:rsidRDefault="00374D42" w:rsidP="00374D42">
      <w:pPr>
        <w:jc w:val="both"/>
        <w:rPr>
          <w:b/>
          <w:i/>
        </w:rPr>
      </w:pPr>
    </w:p>
    <w:p w14:paraId="1DB5D47C" w14:textId="77777777" w:rsidR="00374D42" w:rsidRPr="00D324D1" w:rsidRDefault="00374D42" w:rsidP="00374D42">
      <w:pPr>
        <w:jc w:val="both"/>
        <w:rPr>
          <w:b/>
          <w:i/>
        </w:rPr>
      </w:pPr>
    </w:p>
    <w:p w14:paraId="63A56A7E" w14:textId="77777777" w:rsidR="00374D42" w:rsidRPr="00D324D1" w:rsidRDefault="00374D42" w:rsidP="00374D42">
      <w:pPr>
        <w:jc w:val="both"/>
        <w:rPr>
          <w:b/>
          <w:i/>
        </w:rPr>
      </w:pPr>
    </w:p>
    <w:p w14:paraId="5BF34E9F" w14:textId="77777777" w:rsidR="00374D42" w:rsidRPr="00D324D1" w:rsidRDefault="00374D42" w:rsidP="00374D42">
      <w:pPr>
        <w:jc w:val="both"/>
        <w:rPr>
          <w:b/>
          <w:i/>
        </w:rPr>
      </w:pPr>
    </w:p>
    <w:p w14:paraId="201C045A" w14:textId="77777777" w:rsidR="00374D42" w:rsidRPr="006647F2" w:rsidRDefault="00374D42" w:rsidP="00374D42">
      <w:pPr>
        <w:jc w:val="both"/>
        <w:rPr>
          <w:b/>
          <w:i/>
          <w:sz w:val="28"/>
        </w:rPr>
      </w:pPr>
    </w:p>
    <w:p w14:paraId="3B2235B2" w14:textId="59DBCC64" w:rsidR="00374D42" w:rsidRPr="006647F2" w:rsidRDefault="00374D42" w:rsidP="00374D42">
      <w:pPr>
        <w:spacing w:line="480" w:lineRule="auto"/>
        <w:jc w:val="center"/>
        <w:outlineLvl w:val="0"/>
        <w:rPr>
          <w:b/>
          <w:sz w:val="28"/>
        </w:rPr>
      </w:pPr>
      <w:r w:rsidRPr="006647F2">
        <w:rPr>
          <w:b/>
          <w:sz w:val="28"/>
        </w:rPr>
        <w:t xml:space="preserve">Investigating </w:t>
      </w:r>
      <w:r w:rsidR="004D5563">
        <w:rPr>
          <w:b/>
          <w:sz w:val="28"/>
        </w:rPr>
        <w:t>barriers</w:t>
      </w:r>
      <w:r w:rsidRPr="006647F2">
        <w:rPr>
          <w:b/>
          <w:sz w:val="28"/>
        </w:rPr>
        <w:t xml:space="preserve"> to </w:t>
      </w:r>
      <w:r w:rsidR="00682648">
        <w:rPr>
          <w:b/>
          <w:sz w:val="28"/>
        </w:rPr>
        <w:t>vegetarianism in developed economies</w:t>
      </w:r>
      <w:r w:rsidR="004D5563">
        <w:rPr>
          <w:b/>
          <w:sz w:val="28"/>
        </w:rPr>
        <w:t>, to determine</w:t>
      </w:r>
      <w:r w:rsidR="00C16A20">
        <w:rPr>
          <w:b/>
          <w:sz w:val="28"/>
        </w:rPr>
        <w:t xml:space="preserve"> the scope of opportunity for policy intervention in shaping pro-environmental consumption </w:t>
      </w:r>
      <w:r w:rsidR="004D5563">
        <w:rPr>
          <w:b/>
          <w:sz w:val="28"/>
        </w:rPr>
        <w:t>of food</w:t>
      </w:r>
    </w:p>
    <w:p w14:paraId="2A72BFB6" w14:textId="77777777" w:rsidR="00374D42" w:rsidRPr="00D324D1" w:rsidRDefault="00374D42" w:rsidP="00374D42">
      <w:pPr>
        <w:jc w:val="center"/>
        <w:rPr>
          <w:b/>
        </w:rPr>
      </w:pPr>
    </w:p>
    <w:p w14:paraId="0F317EFD" w14:textId="77777777" w:rsidR="00374D42" w:rsidRPr="00D324D1" w:rsidRDefault="00374D42" w:rsidP="00374D42">
      <w:pPr>
        <w:jc w:val="center"/>
        <w:rPr>
          <w:b/>
        </w:rPr>
      </w:pPr>
    </w:p>
    <w:p w14:paraId="78E16987" w14:textId="77777777" w:rsidR="00374D42" w:rsidRPr="00D324D1" w:rsidRDefault="00374D42" w:rsidP="00374D42">
      <w:pPr>
        <w:jc w:val="center"/>
        <w:rPr>
          <w:b/>
        </w:rPr>
      </w:pPr>
    </w:p>
    <w:p w14:paraId="7A9A5407" w14:textId="77777777" w:rsidR="00374D42" w:rsidRPr="00D324D1" w:rsidRDefault="00374D42" w:rsidP="00374D42">
      <w:pPr>
        <w:jc w:val="center"/>
        <w:rPr>
          <w:b/>
        </w:rPr>
      </w:pPr>
    </w:p>
    <w:p w14:paraId="0D9697A4" w14:textId="77777777" w:rsidR="00374D42" w:rsidRPr="00D324D1" w:rsidRDefault="00374D42" w:rsidP="00374D42">
      <w:pPr>
        <w:jc w:val="center"/>
        <w:rPr>
          <w:b/>
        </w:rPr>
      </w:pPr>
    </w:p>
    <w:p w14:paraId="6544353C" w14:textId="77777777" w:rsidR="00374D42" w:rsidRPr="00D324D1" w:rsidRDefault="00374D42" w:rsidP="00374D42">
      <w:pPr>
        <w:jc w:val="center"/>
        <w:rPr>
          <w:b/>
        </w:rPr>
      </w:pPr>
    </w:p>
    <w:p w14:paraId="04BB23A8" w14:textId="77777777" w:rsidR="00374D42" w:rsidRPr="00D324D1" w:rsidRDefault="00374D42" w:rsidP="00374D42">
      <w:pPr>
        <w:jc w:val="center"/>
        <w:rPr>
          <w:b/>
        </w:rPr>
      </w:pPr>
    </w:p>
    <w:p w14:paraId="1A5383E1" w14:textId="77777777" w:rsidR="00374D42" w:rsidRPr="00D324D1" w:rsidRDefault="00374D42" w:rsidP="00374D42">
      <w:pPr>
        <w:jc w:val="center"/>
        <w:rPr>
          <w:b/>
        </w:rPr>
      </w:pPr>
    </w:p>
    <w:p w14:paraId="10F709C9" w14:textId="77777777" w:rsidR="00374D42" w:rsidRPr="00D324D1" w:rsidRDefault="00374D42" w:rsidP="00374D42">
      <w:pPr>
        <w:jc w:val="center"/>
        <w:rPr>
          <w:b/>
        </w:rPr>
      </w:pPr>
    </w:p>
    <w:p w14:paraId="703F1C96" w14:textId="77777777" w:rsidR="00374D42" w:rsidRPr="00D324D1" w:rsidRDefault="00374D42" w:rsidP="00374D42">
      <w:pPr>
        <w:jc w:val="center"/>
        <w:rPr>
          <w:b/>
        </w:rPr>
      </w:pPr>
    </w:p>
    <w:p w14:paraId="4038AC04" w14:textId="77777777" w:rsidR="00374D42" w:rsidRPr="00D324D1" w:rsidRDefault="00374D42" w:rsidP="00374D42">
      <w:pPr>
        <w:jc w:val="center"/>
        <w:rPr>
          <w:b/>
        </w:rPr>
      </w:pPr>
    </w:p>
    <w:p w14:paraId="592BE34D" w14:textId="77777777" w:rsidR="00374D42" w:rsidRPr="00D324D1" w:rsidRDefault="00374D42" w:rsidP="00374D42">
      <w:pPr>
        <w:spacing w:line="480" w:lineRule="auto"/>
        <w:jc w:val="center"/>
        <w:outlineLvl w:val="0"/>
        <w:rPr>
          <w:b/>
        </w:rPr>
      </w:pPr>
      <w:r w:rsidRPr="00D324D1">
        <w:rPr>
          <w:b/>
        </w:rPr>
        <w:t>Jessica Currie</w:t>
      </w:r>
    </w:p>
    <w:p w14:paraId="03BBF69D" w14:textId="61EC2D83" w:rsidR="00374D42" w:rsidRPr="00D324D1" w:rsidRDefault="00D90557" w:rsidP="00374D42">
      <w:pPr>
        <w:jc w:val="center"/>
      </w:pPr>
      <w:r w:rsidRPr="00D324D1">
        <w:t>Master’s</w:t>
      </w:r>
      <w:r w:rsidR="00374D42" w:rsidRPr="00D324D1">
        <w:t xml:space="preserve"> of Science in Environmental Sustainability</w:t>
      </w:r>
    </w:p>
    <w:p w14:paraId="5CF09F41" w14:textId="77777777" w:rsidR="00374D42" w:rsidRPr="00D324D1" w:rsidRDefault="00374D42" w:rsidP="00374D42">
      <w:pPr>
        <w:jc w:val="center"/>
      </w:pPr>
      <w:r w:rsidRPr="00D324D1">
        <w:t>Institute of the Environment</w:t>
      </w:r>
    </w:p>
    <w:p w14:paraId="161A5FA0" w14:textId="77777777" w:rsidR="00374D42" w:rsidRPr="00D324D1" w:rsidRDefault="00374D42" w:rsidP="00374D42">
      <w:pPr>
        <w:jc w:val="center"/>
      </w:pPr>
      <w:r w:rsidRPr="00D324D1">
        <w:t>University of Ottawa</w:t>
      </w:r>
    </w:p>
    <w:p w14:paraId="0CD33CE4" w14:textId="77777777" w:rsidR="00374D42" w:rsidRPr="00D324D1" w:rsidRDefault="00374D42" w:rsidP="00374D42">
      <w:pPr>
        <w:jc w:val="center"/>
      </w:pPr>
    </w:p>
    <w:p w14:paraId="1ED3C069" w14:textId="77777777" w:rsidR="00374D42" w:rsidRPr="00D324D1" w:rsidRDefault="00374D42" w:rsidP="00374D42">
      <w:pPr>
        <w:jc w:val="center"/>
      </w:pPr>
    </w:p>
    <w:p w14:paraId="3C893DDB" w14:textId="77777777" w:rsidR="00374D42" w:rsidRPr="00D324D1" w:rsidRDefault="00374D42" w:rsidP="00374D42">
      <w:pPr>
        <w:jc w:val="center"/>
      </w:pPr>
    </w:p>
    <w:p w14:paraId="7816DFDC" w14:textId="77777777" w:rsidR="00374D42" w:rsidRPr="00D324D1" w:rsidRDefault="00374D42" w:rsidP="00374D42">
      <w:pPr>
        <w:jc w:val="center"/>
        <w:outlineLvl w:val="0"/>
      </w:pPr>
      <w:r w:rsidRPr="00D324D1">
        <w:t>Supervisor: Nathan Young</w:t>
      </w:r>
    </w:p>
    <w:p w14:paraId="2096EAF1" w14:textId="4511C9D3" w:rsidR="00374D42" w:rsidRPr="00D324D1" w:rsidRDefault="00374D42" w:rsidP="00374D42">
      <w:pPr>
        <w:jc w:val="center"/>
        <w:outlineLvl w:val="0"/>
      </w:pPr>
      <w:r w:rsidRPr="00D324D1">
        <w:t>Reader: Joshua Ramisch</w:t>
      </w:r>
    </w:p>
    <w:p w14:paraId="58BFE84E" w14:textId="77777777" w:rsidR="00374D42" w:rsidRPr="00D324D1" w:rsidRDefault="00374D42" w:rsidP="00374D42">
      <w:pPr>
        <w:jc w:val="center"/>
        <w:rPr>
          <w:b/>
        </w:rPr>
      </w:pPr>
    </w:p>
    <w:p w14:paraId="553FE07C" w14:textId="77777777" w:rsidR="00374D42" w:rsidRPr="00D324D1" w:rsidRDefault="00374D42" w:rsidP="00374D42">
      <w:pPr>
        <w:jc w:val="both"/>
        <w:rPr>
          <w:b/>
          <w:i/>
        </w:rPr>
      </w:pPr>
    </w:p>
    <w:p w14:paraId="0E93E152" w14:textId="77777777" w:rsidR="00374D42" w:rsidRPr="00D324D1" w:rsidRDefault="00374D42" w:rsidP="00374D42">
      <w:pPr>
        <w:jc w:val="both"/>
        <w:rPr>
          <w:b/>
          <w:i/>
        </w:rPr>
      </w:pPr>
    </w:p>
    <w:p w14:paraId="5A37CC52" w14:textId="77777777" w:rsidR="00374D42" w:rsidRPr="00D324D1" w:rsidRDefault="00374D42" w:rsidP="00374D42">
      <w:pPr>
        <w:jc w:val="both"/>
        <w:rPr>
          <w:b/>
          <w:i/>
        </w:rPr>
      </w:pPr>
    </w:p>
    <w:p w14:paraId="29A65536" w14:textId="77777777" w:rsidR="00374D42" w:rsidRPr="00D324D1" w:rsidRDefault="00374D42" w:rsidP="00374D42">
      <w:pPr>
        <w:jc w:val="both"/>
        <w:rPr>
          <w:b/>
          <w:i/>
        </w:rPr>
      </w:pPr>
    </w:p>
    <w:p w14:paraId="6D1FAFE9" w14:textId="77777777" w:rsidR="00374D42" w:rsidRPr="00D324D1" w:rsidRDefault="00374D42" w:rsidP="00374D42">
      <w:pPr>
        <w:jc w:val="both"/>
        <w:rPr>
          <w:b/>
          <w:i/>
        </w:rPr>
      </w:pPr>
    </w:p>
    <w:p w14:paraId="73AC7FCB" w14:textId="77777777" w:rsidR="00374D42" w:rsidRPr="00D324D1" w:rsidRDefault="00374D42" w:rsidP="00374D42">
      <w:pPr>
        <w:jc w:val="both"/>
        <w:rPr>
          <w:b/>
          <w:i/>
        </w:rPr>
      </w:pPr>
    </w:p>
    <w:p w14:paraId="3BAF7C38" w14:textId="77777777" w:rsidR="00374D42" w:rsidRPr="00D324D1" w:rsidRDefault="00374D42" w:rsidP="00374D42">
      <w:pPr>
        <w:jc w:val="both"/>
        <w:rPr>
          <w:b/>
          <w:i/>
        </w:rPr>
      </w:pPr>
    </w:p>
    <w:p w14:paraId="563D325B" w14:textId="77777777" w:rsidR="00374D42" w:rsidRPr="00D324D1" w:rsidRDefault="00374D42" w:rsidP="00374D42">
      <w:pPr>
        <w:jc w:val="both"/>
        <w:rPr>
          <w:b/>
          <w:i/>
        </w:rPr>
      </w:pPr>
    </w:p>
    <w:p w14:paraId="3ACB40BB" w14:textId="77777777" w:rsidR="00374D42" w:rsidRPr="006647F2" w:rsidRDefault="00374D42" w:rsidP="00374D42">
      <w:pPr>
        <w:spacing w:line="480" w:lineRule="auto"/>
        <w:jc w:val="both"/>
        <w:rPr>
          <w:b/>
          <w:sz w:val="32"/>
          <w:u w:val="single"/>
        </w:rPr>
      </w:pPr>
      <w:r w:rsidRPr="006647F2">
        <w:rPr>
          <w:b/>
          <w:sz w:val="32"/>
          <w:u w:val="single"/>
        </w:rPr>
        <w:lastRenderedPageBreak/>
        <w:t>Abstract</w:t>
      </w:r>
    </w:p>
    <w:p w14:paraId="227F0A45" w14:textId="0421F499" w:rsidR="00374D42" w:rsidRDefault="00374D42"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r w:rsidRPr="00D324D1">
        <w:rPr>
          <w:bCs/>
        </w:rPr>
        <w:tab/>
      </w:r>
      <w:r>
        <w:rPr>
          <w:bCs/>
        </w:rPr>
        <w:t>The process of industrial agriculture substantially impacts four planetary boundaries: climate change, loss of biosphere integrity, land-use change and biogeochemical cycles</w:t>
      </w:r>
      <w:r w:rsidRPr="00D324D1">
        <w:rPr>
          <w:bCs/>
        </w:rPr>
        <w:t xml:space="preserve">. In an effort to mitigate environmental impacts associated with livestock agriculture, a shift to more plant-based diets has been suggested. Despite robust evidence outlining </w:t>
      </w:r>
      <w:r w:rsidR="00E06D52">
        <w:rPr>
          <w:bCs/>
        </w:rPr>
        <w:t>these ecological impacts</w:t>
      </w:r>
      <w:r w:rsidRPr="00D324D1">
        <w:rPr>
          <w:bCs/>
        </w:rPr>
        <w:t xml:space="preserve">, there is a general </w:t>
      </w:r>
      <w:r>
        <w:rPr>
          <w:bCs/>
        </w:rPr>
        <w:t xml:space="preserve">public </w:t>
      </w:r>
      <w:r w:rsidR="008B0B22">
        <w:rPr>
          <w:bCs/>
        </w:rPr>
        <w:t xml:space="preserve">neglect </w:t>
      </w:r>
      <w:r>
        <w:rPr>
          <w:bCs/>
        </w:rPr>
        <w:t xml:space="preserve">and </w:t>
      </w:r>
      <w:r w:rsidR="008B0B22">
        <w:rPr>
          <w:bCs/>
        </w:rPr>
        <w:t>policy void</w:t>
      </w:r>
      <w:r w:rsidRPr="00D324D1">
        <w:rPr>
          <w:bCs/>
        </w:rPr>
        <w:t xml:space="preserve"> of the environmental benefits of vegetarianism</w:t>
      </w:r>
      <w:r>
        <w:rPr>
          <w:bCs/>
        </w:rPr>
        <w:t xml:space="preserve"> or environmentally-conscious consumption</w:t>
      </w:r>
      <w:r w:rsidRPr="00D324D1">
        <w:rPr>
          <w:bCs/>
        </w:rPr>
        <w:t xml:space="preserve">. Self-proclaimed rates of vegetarianism remain quite low, at 3 % of the Canadian population. </w:t>
      </w:r>
      <w:r w:rsidR="007F7004">
        <w:rPr>
          <w:bCs/>
        </w:rPr>
        <w:t>Paying special attention to the role of environmental impacts, in addition to pro-environmental arguments and logic in research, a</w:t>
      </w:r>
      <w:r w:rsidR="008B1764">
        <w:rPr>
          <w:bCs/>
        </w:rPr>
        <w:t>n</w:t>
      </w:r>
      <w:r w:rsidR="008B1764" w:rsidRPr="00D324D1">
        <w:rPr>
          <w:bCs/>
        </w:rPr>
        <w:t xml:space="preserve"> </w:t>
      </w:r>
      <w:r w:rsidR="005179B2">
        <w:rPr>
          <w:bCs/>
        </w:rPr>
        <w:t>integrative literature</w:t>
      </w:r>
      <w:r w:rsidRPr="00D324D1">
        <w:rPr>
          <w:bCs/>
        </w:rPr>
        <w:t xml:space="preserve"> re</w:t>
      </w:r>
      <w:r w:rsidR="005179B2">
        <w:rPr>
          <w:bCs/>
        </w:rPr>
        <w:t xml:space="preserve">view </w:t>
      </w:r>
      <w:r w:rsidR="008B1764">
        <w:rPr>
          <w:bCs/>
        </w:rPr>
        <w:t xml:space="preserve">is used to </w:t>
      </w:r>
      <w:r w:rsidR="007F7004">
        <w:rPr>
          <w:bCs/>
        </w:rPr>
        <w:t>extract</w:t>
      </w:r>
      <w:r w:rsidRPr="00D324D1">
        <w:rPr>
          <w:bCs/>
        </w:rPr>
        <w:t xml:space="preserve"> </w:t>
      </w:r>
      <w:r w:rsidR="008B1764">
        <w:rPr>
          <w:bCs/>
        </w:rPr>
        <w:t xml:space="preserve">possible </w:t>
      </w:r>
      <w:r w:rsidRPr="00D324D1">
        <w:rPr>
          <w:bCs/>
        </w:rPr>
        <w:t xml:space="preserve">reasons for </w:t>
      </w:r>
      <w:r>
        <w:rPr>
          <w:bCs/>
        </w:rPr>
        <w:t xml:space="preserve">the </w:t>
      </w:r>
      <w:r w:rsidR="007F7004">
        <w:rPr>
          <w:bCs/>
        </w:rPr>
        <w:t>neglect</w:t>
      </w:r>
      <w:r>
        <w:rPr>
          <w:bCs/>
        </w:rPr>
        <w:t xml:space="preserve"> of vegetarianism</w:t>
      </w:r>
      <w:r w:rsidR="007F7004">
        <w:rPr>
          <w:bCs/>
        </w:rPr>
        <w:t xml:space="preserve">. Guided by an inductive coding approach, identification of barriers and bottlenecks to </w:t>
      </w:r>
      <w:r w:rsidRPr="00D324D1">
        <w:rPr>
          <w:bCs/>
        </w:rPr>
        <w:t>behavio</w:t>
      </w:r>
      <w:r w:rsidR="004D5563">
        <w:rPr>
          <w:bCs/>
        </w:rPr>
        <w:t>u</w:t>
      </w:r>
      <w:r w:rsidRPr="00D324D1">
        <w:rPr>
          <w:bCs/>
        </w:rPr>
        <w:t>r</w:t>
      </w:r>
      <w:r>
        <w:rPr>
          <w:bCs/>
        </w:rPr>
        <w:t>al</w:t>
      </w:r>
      <w:r w:rsidRPr="00D324D1">
        <w:rPr>
          <w:bCs/>
        </w:rPr>
        <w:t xml:space="preserve"> change</w:t>
      </w:r>
      <w:r w:rsidR="007F7004">
        <w:rPr>
          <w:bCs/>
        </w:rPr>
        <w:t xml:space="preserve"> are analyzed</w:t>
      </w:r>
      <w:r w:rsidRPr="00D324D1">
        <w:rPr>
          <w:bCs/>
        </w:rPr>
        <w:t>. Moreover, policy recommendations are suggested for shaping pro-environmental behavio</w:t>
      </w:r>
      <w:r w:rsidR="004D5563">
        <w:rPr>
          <w:bCs/>
        </w:rPr>
        <w:t>u</w:t>
      </w:r>
      <w:r w:rsidRPr="00D324D1">
        <w:rPr>
          <w:bCs/>
        </w:rPr>
        <w:t>r</w:t>
      </w:r>
      <w:r>
        <w:rPr>
          <w:bCs/>
        </w:rPr>
        <w:t xml:space="preserve"> through adoption of vegetarianism</w:t>
      </w:r>
      <w:r w:rsidRPr="00D324D1">
        <w:rPr>
          <w:bCs/>
        </w:rPr>
        <w:t xml:space="preserve">. In doing so, this study </w:t>
      </w:r>
      <w:r w:rsidR="005179B2">
        <w:rPr>
          <w:bCs/>
        </w:rPr>
        <w:t>demonstrates</w:t>
      </w:r>
      <w:r w:rsidRPr="00D324D1">
        <w:rPr>
          <w:bCs/>
        </w:rPr>
        <w:t xml:space="preserve"> how the human dimension is crucial in the </w:t>
      </w:r>
      <w:r w:rsidR="00837FD2">
        <w:rPr>
          <w:bCs/>
        </w:rPr>
        <w:t>struggle for</w:t>
      </w:r>
      <w:r w:rsidRPr="00D324D1">
        <w:rPr>
          <w:bCs/>
        </w:rPr>
        <w:t xml:space="preserve"> </w:t>
      </w:r>
      <w:r>
        <w:rPr>
          <w:bCs/>
        </w:rPr>
        <w:t xml:space="preserve">earth system balance. </w:t>
      </w:r>
    </w:p>
    <w:p w14:paraId="27B3E77C" w14:textId="77777777" w:rsidR="00B141DE" w:rsidRDefault="00B141DE"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3BC452B2" w14:textId="77777777" w:rsidR="00B141DE" w:rsidRDefault="00B141DE"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75A5378D" w14:textId="77777777" w:rsidR="00B141DE" w:rsidRDefault="00B141DE"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5E510199" w14:textId="77777777" w:rsidR="00B141DE" w:rsidRDefault="00B141DE"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64B741A4" w14:textId="77777777" w:rsidR="00B141DE" w:rsidRDefault="00B141DE"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655E2278" w14:textId="77777777" w:rsidR="00B141DE" w:rsidRDefault="00B141DE"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675D3307" w14:textId="77777777" w:rsidR="00B141DE" w:rsidRDefault="00B141DE"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7D7B80C9" w14:textId="77777777" w:rsidR="00B141DE" w:rsidRDefault="00B141DE"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060898C8" w14:textId="77777777" w:rsidR="00B141DE" w:rsidRDefault="00B141DE"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2A5231B4" w14:textId="77777777" w:rsidR="00B141DE" w:rsidRPr="006647F2" w:rsidRDefault="00B141DE" w:rsidP="00B141DE">
      <w:pPr>
        <w:spacing w:line="480" w:lineRule="auto"/>
        <w:jc w:val="both"/>
        <w:rPr>
          <w:b/>
          <w:sz w:val="32"/>
          <w:u w:val="single"/>
        </w:rPr>
      </w:pPr>
      <w:r w:rsidRPr="006647F2">
        <w:rPr>
          <w:b/>
          <w:sz w:val="32"/>
          <w:u w:val="single"/>
        </w:rPr>
        <w:lastRenderedPageBreak/>
        <w:t>A</w:t>
      </w:r>
      <w:r>
        <w:rPr>
          <w:b/>
          <w:sz w:val="32"/>
          <w:u w:val="single"/>
        </w:rPr>
        <w:t>cknowledgments</w:t>
      </w:r>
    </w:p>
    <w:p w14:paraId="2E499657" w14:textId="77777777" w:rsidR="00B141DE" w:rsidRDefault="00B141DE" w:rsidP="00B141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r w:rsidRPr="00D324D1">
        <w:rPr>
          <w:bCs/>
        </w:rPr>
        <w:tab/>
      </w:r>
      <w:r>
        <w:rPr>
          <w:bCs/>
        </w:rPr>
        <w:t xml:space="preserve">I would like to gratefully acknowledge Dr. Nathan Young for his exemplary supervision and guidance throughout the synthesis of this Major Research Paper. Likewise, I would like to express my sincere gratitude to Joshua Ramisch for reading and grading my dissertation. I would also like to thank the Institute of the Environment for accepting me into the Master’s of Environmental Sustainability program and for giving me the opportunity to complete a Major Research Topic. </w:t>
      </w:r>
    </w:p>
    <w:p w14:paraId="12D9EA94" w14:textId="77777777" w:rsidR="00B141DE" w:rsidRDefault="00B141DE"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503DC804" w14:textId="77777777" w:rsidR="00F17A27" w:rsidRDefault="00F17A27"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38B90AC9" w14:textId="77777777" w:rsidR="00F17A27" w:rsidRDefault="00F17A27"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2DDF9A30" w14:textId="77777777" w:rsidR="00F17A27" w:rsidRDefault="00F17A27"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762ADCC1" w14:textId="77777777" w:rsidR="00F17A27" w:rsidRDefault="00F17A27"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6563D697" w14:textId="77777777" w:rsidR="00F17A27" w:rsidRDefault="00F17A27"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422C5013" w14:textId="77777777" w:rsidR="00F17A27" w:rsidRDefault="00F17A27"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3908ADFD" w14:textId="77777777" w:rsidR="00F17A27" w:rsidRDefault="00F17A27"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1D078885" w14:textId="77777777" w:rsidR="00F17A27" w:rsidRDefault="00F17A27" w:rsidP="00374D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bCs/>
        </w:rPr>
      </w:pPr>
    </w:p>
    <w:p w14:paraId="25B13F4A" w14:textId="77777777" w:rsidR="00E06D52" w:rsidRDefault="00E06D52" w:rsidP="00F17A27">
      <w:pPr>
        <w:spacing w:line="480" w:lineRule="auto"/>
        <w:jc w:val="both"/>
        <w:rPr>
          <w:b/>
          <w:sz w:val="32"/>
          <w:u w:val="single"/>
        </w:rPr>
      </w:pPr>
    </w:p>
    <w:p w14:paraId="58195A2D" w14:textId="77777777" w:rsidR="00B141DE" w:rsidRDefault="00B141DE" w:rsidP="00F17A27">
      <w:pPr>
        <w:spacing w:line="480" w:lineRule="auto"/>
        <w:jc w:val="both"/>
        <w:rPr>
          <w:b/>
          <w:sz w:val="32"/>
          <w:u w:val="single"/>
        </w:rPr>
      </w:pPr>
    </w:p>
    <w:p w14:paraId="5FA550A1" w14:textId="77777777" w:rsidR="00B141DE" w:rsidRDefault="00B141DE" w:rsidP="00F17A27">
      <w:pPr>
        <w:spacing w:line="480" w:lineRule="auto"/>
        <w:jc w:val="both"/>
        <w:rPr>
          <w:b/>
          <w:sz w:val="32"/>
          <w:u w:val="single"/>
        </w:rPr>
      </w:pPr>
    </w:p>
    <w:p w14:paraId="641319FC" w14:textId="77777777" w:rsidR="00B141DE" w:rsidRDefault="00B141DE" w:rsidP="00F17A27">
      <w:pPr>
        <w:spacing w:line="480" w:lineRule="auto"/>
        <w:jc w:val="both"/>
        <w:rPr>
          <w:b/>
          <w:sz w:val="32"/>
          <w:u w:val="single"/>
        </w:rPr>
      </w:pPr>
    </w:p>
    <w:p w14:paraId="4BD8CF28" w14:textId="77777777" w:rsidR="00B141DE" w:rsidRDefault="00B141DE" w:rsidP="00F17A27">
      <w:pPr>
        <w:spacing w:line="480" w:lineRule="auto"/>
        <w:jc w:val="both"/>
        <w:rPr>
          <w:b/>
          <w:sz w:val="32"/>
          <w:u w:val="single"/>
        </w:rPr>
      </w:pPr>
    </w:p>
    <w:p w14:paraId="3668E771" w14:textId="77777777" w:rsidR="007550E8" w:rsidRDefault="007550E8" w:rsidP="007550E8">
      <w:pPr>
        <w:spacing w:line="480" w:lineRule="auto"/>
        <w:jc w:val="both"/>
        <w:rPr>
          <w:b/>
          <w:sz w:val="32"/>
          <w:u w:val="single"/>
        </w:rPr>
      </w:pPr>
      <w:r>
        <w:rPr>
          <w:b/>
          <w:sz w:val="32"/>
          <w:u w:val="single"/>
        </w:rPr>
        <w:lastRenderedPageBreak/>
        <w:t>Table of Contents</w:t>
      </w:r>
    </w:p>
    <w:p w14:paraId="7183A99F" w14:textId="77777777" w:rsidR="007550E8" w:rsidRPr="00034DBB" w:rsidRDefault="007550E8" w:rsidP="007550E8">
      <w:pPr>
        <w:spacing w:line="360" w:lineRule="auto"/>
        <w:jc w:val="both"/>
        <w:rPr>
          <w:sz w:val="22"/>
          <w:szCs w:val="22"/>
        </w:rPr>
      </w:pPr>
      <w:r w:rsidRPr="00034DBB">
        <w:rPr>
          <w:b/>
          <w:sz w:val="22"/>
          <w:szCs w:val="22"/>
        </w:rPr>
        <w:t>Introduction</w:t>
      </w:r>
      <w:r w:rsidRPr="00034DBB">
        <w:rPr>
          <w:sz w:val="22"/>
          <w:szCs w:val="22"/>
        </w:rPr>
        <w:t>………………………………………………………………………</w:t>
      </w:r>
      <w:r>
        <w:rPr>
          <w:sz w:val="22"/>
          <w:szCs w:val="22"/>
        </w:rPr>
        <w:t>…………..……….......ix</w:t>
      </w:r>
    </w:p>
    <w:p w14:paraId="630F3537" w14:textId="77777777" w:rsidR="007550E8" w:rsidRPr="00034DBB" w:rsidRDefault="007550E8" w:rsidP="007550E8">
      <w:pPr>
        <w:jc w:val="both"/>
        <w:rPr>
          <w:sz w:val="22"/>
          <w:szCs w:val="22"/>
        </w:rPr>
      </w:pPr>
      <w:r w:rsidRPr="00034DBB">
        <w:rPr>
          <w:b/>
          <w:sz w:val="22"/>
          <w:szCs w:val="22"/>
        </w:rPr>
        <w:t>Chapter 1: Scope of the Problem</w:t>
      </w:r>
      <w:r w:rsidRPr="00034DBB">
        <w:rPr>
          <w:sz w:val="22"/>
          <w:szCs w:val="22"/>
        </w:rPr>
        <w:t>…..………………………………</w:t>
      </w:r>
      <w:r>
        <w:rPr>
          <w:sz w:val="22"/>
          <w:szCs w:val="22"/>
        </w:rPr>
        <w:t>……………</w:t>
      </w:r>
      <w:r w:rsidRPr="00034DBB">
        <w:rPr>
          <w:sz w:val="22"/>
          <w:szCs w:val="22"/>
        </w:rPr>
        <w:t>………</w:t>
      </w:r>
      <w:r>
        <w:rPr>
          <w:sz w:val="22"/>
          <w:szCs w:val="22"/>
        </w:rPr>
        <w:t>…</w:t>
      </w:r>
      <w:r w:rsidRPr="00034DBB">
        <w:rPr>
          <w:sz w:val="22"/>
          <w:szCs w:val="22"/>
        </w:rPr>
        <w:t>.……...…..….1</w:t>
      </w:r>
    </w:p>
    <w:p w14:paraId="597973F1" w14:textId="77777777" w:rsidR="007550E8" w:rsidRPr="00034DBB" w:rsidRDefault="007550E8" w:rsidP="007550E8">
      <w:pPr>
        <w:jc w:val="both"/>
        <w:rPr>
          <w:sz w:val="22"/>
          <w:szCs w:val="22"/>
        </w:rPr>
      </w:pPr>
      <w:r w:rsidRPr="00034DBB">
        <w:rPr>
          <w:b/>
          <w:sz w:val="22"/>
          <w:szCs w:val="22"/>
        </w:rPr>
        <w:t>I.</w:t>
      </w:r>
      <w:r w:rsidRPr="00034DBB">
        <w:rPr>
          <w:sz w:val="22"/>
          <w:szCs w:val="22"/>
        </w:rPr>
        <w:t xml:space="preserve"> Environmental impacts of Industrial Agriculture…………………………………………</w:t>
      </w:r>
      <w:r>
        <w:rPr>
          <w:sz w:val="22"/>
          <w:szCs w:val="22"/>
        </w:rPr>
        <w:t>...….</w:t>
      </w:r>
      <w:r w:rsidRPr="00034DBB">
        <w:rPr>
          <w:sz w:val="22"/>
          <w:szCs w:val="22"/>
        </w:rPr>
        <w:t>.…….......1</w:t>
      </w:r>
    </w:p>
    <w:p w14:paraId="2361D326" w14:textId="77777777" w:rsidR="007550E8" w:rsidRPr="00034DBB" w:rsidRDefault="007550E8" w:rsidP="007550E8">
      <w:pPr>
        <w:ind w:firstLine="720"/>
        <w:jc w:val="both"/>
        <w:rPr>
          <w:sz w:val="22"/>
          <w:szCs w:val="22"/>
        </w:rPr>
      </w:pPr>
      <w:r w:rsidRPr="00034DBB">
        <w:rPr>
          <w:i/>
          <w:sz w:val="22"/>
          <w:szCs w:val="22"/>
        </w:rPr>
        <w:t>i. Climate Change</w:t>
      </w:r>
      <w:r w:rsidRPr="00034DBB">
        <w:rPr>
          <w:sz w:val="22"/>
          <w:szCs w:val="22"/>
        </w:rPr>
        <w:t>………………………………………………………………</w:t>
      </w:r>
      <w:r>
        <w:rPr>
          <w:sz w:val="22"/>
          <w:szCs w:val="22"/>
        </w:rPr>
        <w:t>…</w:t>
      </w:r>
      <w:r w:rsidRPr="00034DBB">
        <w:rPr>
          <w:sz w:val="22"/>
          <w:szCs w:val="22"/>
        </w:rPr>
        <w:t>………………..2</w:t>
      </w:r>
    </w:p>
    <w:p w14:paraId="7AEE102C" w14:textId="77777777" w:rsidR="007550E8" w:rsidRPr="00034DBB" w:rsidRDefault="007550E8" w:rsidP="007550E8">
      <w:pPr>
        <w:ind w:firstLine="720"/>
        <w:jc w:val="both"/>
        <w:rPr>
          <w:sz w:val="22"/>
          <w:szCs w:val="22"/>
        </w:rPr>
      </w:pPr>
      <w:r w:rsidRPr="00034DBB">
        <w:rPr>
          <w:i/>
          <w:sz w:val="22"/>
          <w:szCs w:val="22"/>
        </w:rPr>
        <w:t>ii. Land-</w:t>
      </w:r>
      <w:r>
        <w:rPr>
          <w:i/>
          <w:sz w:val="22"/>
          <w:szCs w:val="22"/>
        </w:rPr>
        <w:t>System</w:t>
      </w:r>
      <w:r w:rsidRPr="00034DBB">
        <w:rPr>
          <w:i/>
          <w:sz w:val="22"/>
          <w:szCs w:val="22"/>
        </w:rPr>
        <w:t xml:space="preserve"> Change</w:t>
      </w:r>
      <w:r w:rsidRPr="00034DBB">
        <w:rPr>
          <w:sz w:val="22"/>
          <w:szCs w:val="22"/>
        </w:rPr>
        <w:t>………………………………………………………</w:t>
      </w:r>
      <w:r>
        <w:rPr>
          <w:sz w:val="22"/>
          <w:szCs w:val="22"/>
        </w:rPr>
        <w:t>….…..</w:t>
      </w:r>
      <w:r w:rsidRPr="00034DBB">
        <w:rPr>
          <w:sz w:val="22"/>
          <w:szCs w:val="22"/>
        </w:rPr>
        <w:t>…..……..…..4</w:t>
      </w:r>
    </w:p>
    <w:p w14:paraId="19EF711B" w14:textId="77777777" w:rsidR="007550E8" w:rsidRPr="00034DBB" w:rsidRDefault="007550E8" w:rsidP="007550E8">
      <w:pPr>
        <w:ind w:firstLine="720"/>
        <w:jc w:val="both"/>
        <w:rPr>
          <w:sz w:val="22"/>
          <w:szCs w:val="22"/>
        </w:rPr>
      </w:pPr>
      <w:r w:rsidRPr="00034DBB">
        <w:rPr>
          <w:i/>
          <w:sz w:val="22"/>
          <w:szCs w:val="22"/>
        </w:rPr>
        <w:t>iii. Water Depletion</w:t>
      </w:r>
      <w:r>
        <w:rPr>
          <w:sz w:val="22"/>
          <w:szCs w:val="22"/>
        </w:rPr>
        <w:t>…………………………………………………</w:t>
      </w:r>
      <w:r w:rsidRPr="00034DBB">
        <w:rPr>
          <w:sz w:val="22"/>
          <w:szCs w:val="22"/>
        </w:rPr>
        <w:t>……..…………...…………</w:t>
      </w:r>
      <w:r>
        <w:rPr>
          <w:sz w:val="22"/>
          <w:szCs w:val="22"/>
        </w:rPr>
        <w:t>.</w:t>
      </w:r>
      <w:r w:rsidRPr="00034DBB">
        <w:rPr>
          <w:sz w:val="22"/>
          <w:szCs w:val="22"/>
        </w:rPr>
        <w:t>.5</w:t>
      </w:r>
    </w:p>
    <w:p w14:paraId="11D2DBDF" w14:textId="77777777" w:rsidR="007550E8" w:rsidRPr="00034DBB" w:rsidRDefault="007550E8" w:rsidP="007550E8">
      <w:pPr>
        <w:ind w:firstLine="720"/>
        <w:jc w:val="both"/>
        <w:rPr>
          <w:sz w:val="22"/>
          <w:szCs w:val="22"/>
        </w:rPr>
      </w:pPr>
      <w:r w:rsidRPr="00034DBB">
        <w:rPr>
          <w:i/>
          <w:sz w:val="22"/>
          <w:szCs w:val="22"/>
        </w:rPr>
        <w:t>iv. Mitigation Measures</w:t>
      </w:r>
      <w:r>
        <w:rPr>
          <w:sz w:val="22"/>
          <w:szCs w:val="22"/>
        </w:rPr>
        <w:t>………………………………………………</w:t>
      </w:r>
      <w:r w:rsidRPr="00034DBB">
        <w:rPr>
          <w:sz w:val="22"/>
          <w:szCs w:val="22"/>
        </w:rPr>
        <w:t>………………..………</w:t>
      </w:r>
      <w:r>
        <w:rPr>
          <w:sz w:val="22"/>
          <w:szCs w:val="22"/>
        </w:rPr>
        <w:t>...</w:t>
      </w:r>
      <w:r w:rsidRPr="00034DBB">
        <w:rPr>
          <w:sz w:val="22"/>
          <w:szCs w:val="22"/>
        </w:rPr>
        <w:t>…6</w:t>
      </w:r>
    </w:p>
    <w:p w14:paraId="6149C34A" w14:textId="77777777" w:rsidR="007550E8" w:rsidRPr="00034DBB" w:rsidRDefault="007550E8" w:rsidP="007550E8">
      <w:pPr>
        <w:spacing w:line="360" w:lineRule="auto"/>
        <w:ind w:firstLine="720"/>
        <w:jc w:val="both"/>
        <w:rPr>
          <w:sz w:val="22"/>
          <w:szCs w:val="22"/>
        </w:rPr>
      </w:pPr>
      <w:r w:rsidRPr="00034DBB">
        <w:rPr>
          <w:i/>
          <w:sz w:val="22"/>
          <w:szCs w:val="22"/>
        </w:rPr>
        <w:t>v. Context</w:t>
      </w:r>
      <w:r>
        <w:rPr>
          <w:sz w:val="22"/>
          <w:szCs w:val="22"/>
        </w:rPr>
        <w:t>……………………………………………………</w:t>
      </w:r>
      <w:r w:rsidRPr="00034DBB">
        <w:rPr>
          <w:sz w:val="22"/>
          <w:szCs w:val="22"/>
        </w:rPr>
        <w:t>………….…………………………</w:t>
      </w:r>
      <w:r>
        <w:rPr>
          <w:sz w:val="22"/>
          <w:szCs w:val="22"/>
        </w:rPr>
        <w:t>.</w:t>
      </w:r>
      <w:r w:rsidRPr="00034DBB">
        <w:rPr>
          <w:sz w:val="22"/>
          <w:szCs w:val="22"/>
        </w:rPr>
        <w:t>.7</w:t>
      </w:r>
    </w:p>
    <w:p w14:paraId="65D5E072" w14:textId="77777777" w:rsidR="007550E8" w:rsidRPr="00034DBB" w:rsidRDefault="007550E8" w:rsidP="007550E8">
      <w:pPr>
        <w:jc w:val="both"/>
        <w:rPr>
          <w:sz w:val="22"/>
          <w:szCs w:val="22"/>
        </w:rPr>
      </w:pPr>
      <w:r w:rsidRPr="00034DBB">
        <w:rPr>
          <w:b/>
          <w:sz w:val="22"/>
          <w:szCs w:val="22"/>
        </w:rPr>
        <w:t>II.</w:t>
      </w:r>
      <w:r w:rsidRPr="00034DBB">
        <w:rPr>
          <w:sz w:val="22"/>
          <w:szCs w:val="22"/>
        </w:rPr>
        <w:t xml:space="preserve"> Mitigation of Environmental Impacts Through a Shift</w:t>
      </w:r>
      <w:r>
        <w:rPr>
          <w:sz w:val="22"/>
          <w:szCs w:val="22"/>
        </w:rPr>
        <w:t xml:space="preserve"> to Plant-Based Diets………………………</w:t>
      </w:r>
      <w:r w:rsidRPr="00034DBB">
        <w:rPr>
          <w:sz w:val="22"/>
          <w:szCs w:val="22"/>
        </w:rPr>
        <w:t>..…..8</w:t>
      </w:r>
    </w:p>
    <w:p w14:paraId="59106B33" w14:textId="77777777" w:rsidR="007550E8" w:rsidRDefault="007550E8" w:rsidP="007550E8">
      <w:pPr>
        <w:ind w:firstLine="720"/>
        <w:jc w:val="both"/>
        <w:rPr>
          <w:sz w:val="22"/>
          <w:szCs w:val="22"/>
        </w:rPr>
      </w:pPr>
      <w:r w:rsidRPr="00034DBB">
        <w:rPr>
          <w:i/>
          <w:sz w:val="22"/>
          <w:szCs w:val="22"/>
        </w:rPr>
        <w:t>i. Environmental Benefits</w:t>
      </w:r>
      <w:r w:rsidRPr="00034DBB">
        <w:rPr>
          <w:sz w:val="22"/>
          <w:szCs w:val="22"/>
        </w:rPr>
        <w:t>……………………………………………………….…………</w:t>
      </w:r>
      <w:r>
        <w:rPr>
          <w:sz w:val="22"/>
          <w:szCs w:val="22"/>
        </w:rPr>
        <w:t>…</w:t>
      </w:r>
      <w:r w:rsidRPr="00034DBB">
        <w:rPr>
          <w:sz w:val="22"/>
          <w:szCs w:val="22"/>
        </w:rPr>
        <w:t>….....9</w:t>
      </w:r>
    </w:p>
    <w:p w14:paraId="65ED720B" w14:textId="77777777" w:rsidR="007550E8" w:rsidRPr="00034DBB" w:rsidRDefault="007550E8" w:rsidP="007550E8">
      <w:pPr>
        <w:ind w:firstLine="720"/>
        <w:jc w:val="both"/>
        <w:rPr>
          <w:i/>
          <w:sz w:val="22"/>
          <w:szCs w:val="22"/>
        </w:rPr>
      </w:pPr>
      <w:r>
        <w:rPr>
          <w:i/>
          <w:sz w:val="22"/>
          <w:szCs w:val="22"/>
        </w:rPr>
        <w:t>ii. Limitations</w:t>
      </w:r>
      <w:r w:rsidRPr="00034DBB">
        <w:rPr>
          <w:sz w:val="22"/>
          <w:szCs w:val="22"/>
        </w:rPr>
        <w:t>………………………………………………</w:t>
      </w:r>
      <w:r>
        <w:rPr>
          <w:sz w:val="22"/>
          <w:szCs w:val="22"/>
        </w:rPr>
        <w:t>…………….</w:t>
      </w:r>
      <w:r w:rsidRPr="00034DBB">
        <w:rPr>
          <w:sz w:val="22"/>
          <w:szCs w:val="22"/>
        </w:rPr>
        <w:t>……….………</w:t>
      </w:r>
      <w:r>
        <w:rPr>
          <w:sz w:val="22"/>
          <w:szCs w:val="22"/>
        </w:rPr>
        <w:t>……....11</w:t>
      </w:r>
    </w:p>
    <w:p w14:paraId="613D0D20" w14:textId="77777777" w:rsidR="007550E8" w:rsidRPr="00034DBB" w:rsidRDefault="007550E8" w:rsidP="007550E8">
      <w:pPr>
        <w:spacing w:line="360" w:lineRule="auto"/>
        <w:ind w:firstLine="720"/>
        <w:jc w:val="both"/>
        <w:rPr>
          <w:sz w:val="22"/>
          <w:szCs w:val="22"/>
        </w:rPr>
      </w:pPr>
      <w:r w:rsidRPr="00034DBB">
        <w:rPr>
          <w:i/>
          <w:sz w:val="22"/>
          <w:szCs w:val="22"/>
        </w:rPr>
        <w:t>ii. Trends, Motivations &amp; Barriers to Vegetarianism</w:t>
      </w:r>
      <w:r>
        <w:rPr>
          <w:sz w:val="22"/>
          <w:szCs w:val="22"/>
        </w:rPr>
        <w:t>…………………………………………......13</w:t>
      </w:r>
    </w:p>
    <w:p w14:paraId="7E2D6B80" w14:textId="77777777" w:rsidR="007550E8" w:rsidRPr="00034DBB" w:rsidRDefault="007550E8" w:rsidP="007550E8">
      <w:pPr>
        <w:jc w:val="both"/>
        <w:rPr>
          <w:sz w:val="22"/>
          <w:szCs w:val="22"/>
        </w:rPr>
      </w:pPr>
      <w:r w:rsidRPr="00034DBB">
        <w:rPr>
          <w:b/>
          <w:sz w:val="22"/>
          <w:szCs w:val="22"/>
        </w:rPr>
        <w:t>III.</w:t>
      </w:r>
      <w:r w:rsidRPr="00034DBB">
        <w:rPr>
          <w:sz w:val="22"/>
          <w:szCs w:val="22"/>
        </w:rPr>
        <w:t xml:space="preserve"> Canadian Context…………………………………………</w:t>
      </w:r>
      <w:r>
        <w:rPr>
          <w:sz w:val="22"/>
          <w:szCs w:val="22"/>
        </w:rPr>
        <w:t>……………</w:t>
      </w:r>
      <w:r w:rsidRPr="00034DBB">
        <w:rPr>
          <w:sz w:val="22"/>
          <w:szCs w:val="22"/>
        </w:rPr>
        <w:t>………</w:t>
      </w:r>
      <w:r>
        <w:rPr>
          <w:sz w:val="22"/>
          <w:szCs w:val="22"/>
        </w:rPr>
        <w:t>……..…...…………..15</w:t>
      </w:r>
    </w:p>
    <w:p w14:paraId="2F81F667" w14:textId="77777777" w:rsidR="007550E8" w:rsidRPr="00034DBB" w:rsidRDefault="007550E8" w:rsidP="007550E8">
      <w:pPr>
        <w:ind w:firstLine="720"/>
        <w:jc w:val="both"/>
        <w:rPr>
          <w:sz w:val="22"/>
          <w:szCs w:val="22"/>
        </w:rPr>
      </w:pPr>
      <w:r w:rsidRPr="00034DBB">
        <w:rPr>
          <w:i/>
          <w:sz w:val="22"/>
          <w:szCs w:val="22"/>
        </w:rPr>
        <w:t>i. Agricultural Sector</w:t>
      </w:r>
      <w:r>
        <w:rPr>
          <w:sz w:val="22"/>
          <w:szCs w:val="22"/>
        </w:rPr>
        <w:t>…………………………………</w:t>
      </w:r>
      <w:r w:rsidRPr="00034DBB">
        <w:rPr>
          <w:sz w:val="22"/>
          <w:szCs w:val="22"/>
        </w:rPr>
        <w:t>…………………………</w:t>
      </w:r>
      <w:r>
        <w:rPr>
          <w:sz w:val="22"/>
          <w:szCs w:val="22"/>
        </w:rPr>
        <w:t>…………...……15</w:t>
      </w:r>
    </w:p>
    <w:p w14:paraId="27D68C49" w14:textId="77777777" w:rsidR="007550E8" w:rsidRPr="00034DBB" w:rsidRDefault="007550E8" w:rsidP="007550E8">
      <w:pPr>
        <w:ind w:firstLine="720"/>
        <w:jc w:val="both"/>
        <w:rPr>
          <w:sz w:val="22"/>
          <w:szCs w:val="22"/>
        </w:rPr>
      </w:pPr>
      <w:r w:rsidRPr="00034DBB">
        <w:rPr>
          <w:i/>
          <w:sz w:val="22"/>
          <w:szCs w:val="22"/>
        </w:rPr>
        <w:t>ii. Greenhouse Gas Emissions</w:t>
      </w:r>
      <w:r>
        <w:rPr>
          <w:sz w:val="22"/>
          <w:szCs w:val="22"/>
        </w:rPr>
        <w:t>……………………………..……</w:t>
      </w:r>
      <w:r w:rsidRPr="00034DBB">
        <w:rPr>
          <w:sz w:val="22"/>
          <w:szCs w:val="22"/>
        </w:rPr>
        <w:t>…………………</w:t>
      </w:r>
      <w:r>
        <w:rPr>
          <w:sz w:val="22"/>
          <w:szCs w:val="22"/>
        </w:rPr>
        <w:t>………….......17</w:t>
      </w:r>
    </w:p>
    <w:p w14:paraId="6CD08F34" w14:textId="77777777" w:rsidR="007550E8" w:rsidRPr="00034DBB" w:rsidRDefault="007550E8" w:rsidP="007550E8">
      <w:pPr>
        <w:spacing w:line="360" w:lineRule="auto"/>
        <w:ind w:firstLine="720"/>
        <w:jc w:val="both"/>
        <w:rPr>
          <w:sz w:val="22"/>
          <w:szCs w:val="22"/>
        </w:rPr>
      </w:pPr>
      <w:r w:rsidRPr="00034DBB">
        <w:rPr>
          <w:i/>
          <w:sz w:val="22"/>
          <w:szCs w:val="22"/>
        </w:rPr>
        <w:t>iii. Trends in Consumption</w:t>
      </w:r>
      <w:r>
        <w:rPr>
          <w:sz w:val="22"/>
          <w:szCs w:val="22"/>
        </w:rPr>
        <w:t>…………………………..………</w:t>
      </w:r>
      <w:r w:rsidRPr="00034DBB">
        <w:rPr>
          <w:sz w:val="22"/>
          <w:szCs w:val="22"/>
        </w:rPr>
        <w:t>……………………</w:t>
      </w:r>
      <w:r>
        <w:rPr>
          <w:sz w:val="22"/>
          <w:szCs w:val="22"/>
        </w:rPr>
        <w:t>……...…….....18</w:t>
      </w:r>
    </w:p>
    <w:p w14:paraId="1812B10F" w14:textId="77777777" w:rsidR="007550E8" w:rsidRPr="00034DBB" w:rsidRDefault="007550E8" w:rsidP="007550E8">
      <w:pPr>
        <w:jc w:val="both"/>
        <w:rPr>
          <w:sz w:val="22"/>
          <w:szCs w:val="22"/>
        </w:rPr>
      </w:pPr>
      <w:r w:rsidRPr="00034DBB">
        <w:rPr>
          <w:b/>
          <w:sz w:val="22"/>
          <w:szCs w:val="22"/>
        </w:rPr>
        <w:t>Chapter 2: Barriers to Vegetarianism</w:t>
      </w:r>
      <w:r>
        <w:rPr>
          <w:sz w:val="22"/>
          <w:szCs w:val="22"/>
        </w:rPr>
        <w:t>………….………………………</w:t>
      </w:r>
      <w:r w:rsidRPr="00034DBB">
        <w:rPr>
          <w:sz w:val="22"/>
          <w:szCs w:val="22"/>
        </w:rPr>
        <w:t>……………</w:t>
      </w:r>
      <w:r>
        <w:rPr>
          <w:sz w:val="22"/>
          <w:szCs w:val="22"/>
        </w:rPr>
        <w:t>……………...…..20</w:t>
      </w:r>
    </w:p>
    <w:p w14:paraId="201F46F8" w14:textId="77777777" w:rsidR="007550E8" w:rsidRPr="00034DBB" w:rsidRDefault="007550E8" w:rsidP="007550E8">
      <w:pPr>
        <w:spacing w:line="360" w:lineRule="auto"/>
        <w:jc w:val="both"/>
        <w:rPr>
          <w:sz w:val="22"/>
          <w:szCs w:val="22"/>
        </w:rPr>
      </w:pPr>
      <w:r w:rsidRPr="00034DBB">
        <w:rPr>
          <w:b/>
          <w:sz w:val="22"/>
          <w:szCs w:val="22"/>
        </w:rPr>
        <w:t>I.</w:t>
      </w:r>
      <w:r w:rsidRPr="00034DBB">
        <w:rPr>
          <w:sz w:val="22"/>
          <w:szCs w:val="22"/>
        </w:rPr>
        <w:t xml:space="preserve"> Research Questions &amp; Purpose</w:t>
      </w:r>
      <w:r>
        <w:rPr>
          <w:sz w:val="22"/>
          <w:szCs w:val="22"/>
        </w:rPr>
        <w:t>…………………………………………………………………...……..20</w:t>
      </w:r>
    </w:p>
    <w:p w14:paraId="6AF26C9C" w14:textId="77777777" w:rsidR="007550E8" w:rsidRPr="00034DBB" w:rsidRDefault="007550E8" w:rsidP="007550E8">
      <w:pPr>
        <w:jc w:val="both"/>
        <w:rPr>
          <w:sz w:val="22"/>
          <w:szCs w:val="22"/>
        </w:rPr>
      </w:pPr>
      <w:r w:rsidRPr="00034DBB">
        <w:rPr>
          <w:b/>
          <w:sz w:val="22"/>
          <w:szCs w:val="22"/>
        </w:rPr>
        <w:t>II.</w:t>
      </w:r>
      <w:r w:rsidRPr="00034DBB">
        <w:rPr>
          <w:sz w:val="22"/>
          <w:szCs w:val="22"/>
        </w:rPr>
        <w:t xml:space="preserve"> Design &amp; Methodology………</w:t>
      </w:r>
      <w:r>
        <w:rPr>
          <w:sz w:val="22"/>
          <w:szCs w:val="22"/>
        </w:rPr>
        <w:t>……………….……………………………………………………......20</w:t>
      </w:r>
    </w:p>
    <w:p w14:paraId="713D98AD" w14:textId="77777777" w:rsidR="007550E8" w:rsidRPr="00034DBB" w:rsidRDefault="007550E8" w:rsidP="007550E8">
      <w:pPr>
        <w:ind w:firstLine="720"/>
        <w:jc w:val="both"/>
        <w:rPr>
          <w:sz w:val="22"/>
          <w:szCs w:val="22"/>
        </w:rPr>
      </w:pPr>
      <w:r w:rsidRPr="00034DBB">
        <w:rPr>
          <w:i/>
          <w:sz w:val="22"/>
          <w:szCs w:val="22"/>
        </w:rPr>
        <w:t>i. Why an Integrative Literature Review</w:t>
      </w:r>
      <w:r>
        <w:rPr>
          <w:sz w:val="22"/>
          <w:szCs w:val="22"/>
        </w:rPr>
        <w:t>…...………………………………………………..….....21</w:t>
      </w:r>
    </w:p>
    <w:p w14:paraId="6317165D" w14:textId="77777777" w:rsidR="007550E8" w:rsidRPr="00034DBB" w:rsidRDefault="007550E8" w:rsidP="007550E8">
      <w:pPr>
        <w:spacing w:line="360" w:lineRule="auto"/>
        <w:ind w:firstLine="720"/>
        <w:jc w:val="both"/>
        <w:rPr>
          <w:sz w:val="22"/>
          <w:szCs w:val="22"/>
        </w:rPr>
      </w:pPr>
      <w:r w:rsidRPr="00034DBB">
        <w:rPr>
          <w:i/>
          <w:sz w:val="22"/>
          <w:szCs w:val="22"/>
        </w:rPr>
        <w:t>ii. Methodological Approach</w:t>
      </w:r>
      <w:r w:rsidRPr="00034DBB">
        <w:rPr>
          <w:sz w:val="22"/>
          <w:szCs w:val="22"/>
        </w:rPr>
        <w:t>……</w:t>
      </w:r>
      <w:r>
        <w:rPr>
          <w:sz w:val="22"/>
          <w:szCs w:val="22"/>
        </w:rPr>
        <w:t>……………………..…………………………..……………...22</w:t>
      </w:r>
    </w:p>
    <w:p w14:paraId="07C1CED2" w14:textId="77777777" w:rsidR="007550E8" w:rsidRPr="00034DBB" w:rsidRDefault="007550E8" w:rsidP="007550E8">
      <w:pPr>
        <w:jc w:val="both"/>
        <w:rPr>
          <w:sz w:val="22"/>
          <w:szCs w:val="22"/>
        </w:rPr>
      </w:pPr>
      <w:r w:rsidRPr="00034DBB">
        <w:rPr>
          <w:b/>
          <w:sz w:val="22"/>
          <w:szCs w:val="22"/>
        </w:rPr>
        <w:t>III</w:t>
      </w:r>
      <w:r w:rsidRPr="00034DBB">
        <w:rPr>
          <w:sz w:val="22"/>
          <w:szCs w:val="22"/>
        </w:rPr>
        <w:t>. Results……………….……</w:t>
      </w:r>
      <w:r>
        <w:rPr>
          <w:sz w:val="22"/>
          <w:szCs w:val="22"/>
        </w:rPr>
        <w:t>……………….…………………………………………………….........25</w:t>
      </w:r>
    </w:p>
    <w:p w14:paraId="31280A62" w14:textId="77777777" w:rsidR="007550E8" w:rsidRPr="00034DBB" w:rsidRDefault="007550E8" w:rsidP="007550E8">
      <w:pPr>
        <w:ind w:firstLine="720"/>
        <w:jc w:val="both"/>
        <w:rPr>
          <w:sz w:val="22"/>
          <w:szCs w:val="22"/>
        </w:rPr>
      </w:pPr>
      <w:r w:rsidRPr="00034DBB">
        <w:rPr>
          <w:i/>
          <w:sz w:val="22"/>
          <w:szCs w:val="22"/>
        </w:rPr>
        <w:t>i. Screening of Results</w:t>
      </w:r>
      <w:r w:rsidRPr="00034DBB">
        <w:rPr>
          <w:sz w:val="22"/>
          <w:szCs w:val="22"/>
        </w:rPr>
        <w:t>……..…</w:t>
      </w:r>
      <w:r>
        <w:rPr>
          <w:sz w:val="22"/>
          <w:szCs w:val="22"/>
        </w:rPr>
        <w:t>…………………………...…</w:t>
      </w:r>
      <w:r w:rsidRPr="00034DBB">
        <w:rPr>
          <w:sz w:val="22"/>
          <w:szCs w:val="22"/>
        </w:rPr>
        <w:t>……………………………</w:t>
      </w:r>
      <w:r>
        <w:rPr>
          <w:sz w:val="22"/>
          <w:szCs w:val="22"/>
        </w:rPr>
        <w:t>…….…25</w:t>
      </w:r>
    </w:p>
    <w:p w14:paraId="68231F00" w14:textId="77777777" w:rsidR="007550E8" w:rsidRPr="00034DBB" w:rsidRDefault="007550E8" w:rsidP="007550E8">
      <w:pPr>
        <w:ind w:firstLine="720"/>
        <w:jc w:val="both"/>
        <w:rPr>
          <w:sz w:val="22"/>
          <w:szCs w:val="22"/>
        </w:rPr>
      </w:pPr>
      <w:r w:rsidRPr="00034DBB">
        <w:rPr>
          <w:i/>
          <w:sz w:val="22"/>
          <w:szCs w:val="22"/>
        </w:rPr>
        <w:t>ii. General Characteristics of Studies</w:t>
      </w:r>
      <w:r>
        <w:rPr>
          <w:sz w:val="22"/>
          <w:szCs w:val="22"/>
        </w:rPr>
        <w:t>……..………………...……………………………...….….28</w:t>
      </w:r>
    </w:p>
    <w:p w14:paraId="26693531" w14:textId="77777777" w:rsidR="007550E8" w:rsidRPr="00034DBB" w:rsidRDefault="007550E8" w:rsidP="007550E8">
      <w:pPr>
        <w:spacing w:line="360" w:lineRule="auto"/>
        <w:ind w:firstLine="720"/>
        <w:jc w:val="both"/>
        <w:rPr>
          <w:sz w:val="22"/>
          <w:szCs w:val="22"/>
        </w:rPr>
      </w:pPr>
      <w:r w:rsidRPr="00034DBB">
        <w:rPr>
          <w:i/>
          <w:sz w:val="22"/>
          <w:szCs w:val="22"/>
        </w:rPr>
        <w:lastRenderedPageBreak/>
        <w:t>iii. Data Extraction</w:t>
      </w:r>
      <w:r w:rsidRPr="00034DBB">
        <w:rPr>
          <w:sz w:val="22"/>
          <w:szCs w:val="22"/>
        </w:rPr>
        <w:t>….……..…</w:t>
      </w:r>
      <w:r>
        <w:rPr>
          <w:sz w:val="22"/>
          <w:szCs w:val="22"/>
        </w:rPr>
        <w:t>………………………………………………………...………....29</w:t>
      </w:r>
    </w:p>
    <w:p w14:paraId="2D2A6BBF" w14:textId="77777777" w:rsidR="007550E8" w:rsidRPr="00034DBB" w:rsidRDefault="007550E8" w:rsidP="007550E8">
      <w:pPr>
        <w:jc w:val="both"/>
        <w:rPr>
          <w:sz w:val="22"/>
          <w:szCs w:val="22"/>
        </w:rPr>
      </w:pPr>
      <w:r w:rsidRPr="00034DBB">
        <w:rPr>
          <w:b/>
          <w:sz w:val="22"/>
          <w:szCs w:val="22"/>
        </w:rPr>
        <w:t>IV.</w:t>
      </w:r>
      <w:r w:rsidRPr="00034DBB">
        <w:rPr>
          <w:sz w:val="22"/>
          <w:szCs w:val="22"/>
        </w:rPr>
        <w:t xml:space="preserve"> Discussion……...…….……</w:t>
      </w:r>
      <w:r>
        <w:rPr>
          <w:sz w:val="22"/>
          <w:szCs w:val="22"/>
        </w:rPr>
        <w:t>……………….………………………………………………………….36</w:t>
      </w:r>
    </w:p>
    <w:p w14:paraId="4F745B26" w14:textId="77777777" w:rsidR="007550E8" w:rsidRPr="00034DBB" w:rsidRDefault="007550E8" w:rsidP="007550E8">
      <w:pPr>
        <w:ind w:firstLine="720"/>
        <w:jc w:val="both"/>
        <w:rPr>
          <w:sz w:val="22"/>
          <w:szCs w:val="22"/>
        </w:rPr>
      </w:pPr>
      <w:r w:rsidRPr="00034DBB">
        <w:rPr>
          <w:i/>
          <w:sz w:val="22"/>
          <w:szCs w:val="22"/>
        </w:rPr>
        <w:t xml:space="preserve">i. </w:t>
      </w:r>
      <w:r>
        <w:rPr>
          <w:i/>
          <w:sz w:val="22"/>
          <w:szCs w:val="22"/>
        </w:rPr>
        <w:t>Information Asymmetry</w:t>
      </w:r>
      <w:r>
        <w:rPr>
          <w:sz w:val="22"/>
          <w:szCs w:val="22"/>
        </w:rPr>
        <w:t>………..</w:t>
      </w:r>
      <w:r w:rsidRPr="00034DBB">
        <w:rPr>
          <w:sz w:val="22"/>
          <w:szCs w:val="22"/>
        </w:rPr>
        <w:t>…………………………………………………………</w:t>
      </w:r>
      <w:r>
        <w:rPr>
          <w:sz w:val="22"/>
          <w:szCs w:val="22"/>
        </w:rPr>
        <w:t>…......37</w:t>
      </w:r>
    </w:p>
    <w:p w14:paraId="3DD995B3" w14:textId="77777777" w:rsidR="007550E8" w:rsidRPr="00034DBB" w:rsidRDefault="007550E8" w:rsidP="007550E8">
      <w:pPr>
        <w:ind w:firstLine="720"/>
        <w:jc w:val="both"/>
        <w:rPr>
          <w:sz w:val="22"/>
          <w:szCs w:val="22"/>
        </w:rPr>
      </w:pPr>
      <w:r w:rsidRPr="00034DBB">
        <w:rPr>
          <w:i/>
          <w:sz w:val="22"/>
          <w:szCs w:val="22"/>
        </w:rPr>
        <w:t xml:space="preserve">ii. </w:t>
      </w:r>
      <w:r>
        <w:rPr>
          <w:i/>
          <w:sz w:val="22"/>
          <w:szCs w:val="22"/>
        </w:rPr>
        <w:t>Political Economy</w:t>
      </w:r>
      <w:r>
        <w:rPr>
          <w:sz w:val="22"/>
          <w:szCs w:val="22"/>
        </w:rPr>
        <w:t>…………………</w:t>
      </w:r>
      <w:r w:rsidRPr="00034DBB">
        <w:rPr>
          <w:sz w:val="22"/>
          <w:szCs w:val="22"/>
        </w:rPr>
        <w:t>…………………..</w:t>
      </w:r>
      <w:r>
        <w:rPr>
          <w:sz w:val="22"/>
          <w:szCs w:val="22"/>
        </w:rPr>
        <w:t>………………………………….........40</w:t>
      </w:r>
    </w:p>
    <w:p w14:paraId="5F50C626" w14:textId="77777777" w:rsidR="007550E8" w:rsidRPr="00034DBB" w:rsidRDefault="007550E8" w:rsidP="007550E8">
      <w:pPr>
        <w:ind w:firstLine="720"/>
        <w:jc w:val="both"/>
        <w:rPr>
          <w:sz w:val="22"/>
          <w:szCs w:val="22"/>
        </w:rPr>
      </w:pPr>
      <w:r w:rsidRPr="00034DBB">
        <w:rPr>
          <w:i/>
          <w:sz w:val="22"/>
          <w:szCs w:val="22"/>
        </w:rPr>
        <w:t xml:space="preserve">iii. </w:t>
      </w:r>
      <w:r>
        <w:rPr>
          <w:i/>
          <w:sz w:val="22"/>
          <w:szCs w:val="22"/>
        </w:rPr>
        <w:t>Social Influence</w:t>
      </w:r>
      <w:r>
        <w:rPr>
          <w:sz w:val="22"/>
          <w:szCs w:val="22"/>
        </w:rPr>
        <w:t>…………</w:t>
      </w:r>
      <w:r w:rsidRPr="00034DBB">
        <w:rPr>
          <w:sz w:val="22"/>
          <w:szCs w:val="22"/>
        </w:rPr>
        <w:t>…………….</w:t>
      </w:r>
      <w:r>
        <w:rPr>
          <w:sz w:val="22"/>
          <w:szCs w:val="22"/>
        </w:rPr>
        <w:t>…………………………………………...…………..43</w:t>
      </w:r>
    </w:p>
    <w:p w14:paraId="38CE7CA4" w14:textId="77777777" w:rsidR="007550E8" w:rsidRPr="00034DBB" w:rsidRDefault="007550E8" w:rsidP="007550E8">
      <w:pPr>
        <w:ind w:firstLine="720"/>
        <w:jc w:val="both"/>
        <w:rPr>
          <w:sz w:val="22"/>
          <w:szCs w:val="22"/>
        </w:rPr>
      </w:pPr>
      <w:r w:rsidRPr="00034DBB">
        <w:rPr>
          <w:i/>
          <w:sz w:val="22"/>
          <w:szCs w:val="22"/>
        </w:rPr>
        <w:t xml:space="preserve">iv. </w:t>
      </w:r>
      <w:r>
        <w:rPr>
          <w:i/>
          <w:sz w:val="22"/>
          <w:szCs w:val="22"/>
        </w:rPr>
        <w:t>Cognitive Dissonance</w:t>
      </w:r>
      <w:r>
        <w:rPr>
          <w:sz w:val="22"/>
          <w:szCs w:val="22"/>
        </w:rPr>
        <w:t>…………………………………………………………………..……...45</w:t>
      </w:r>
    </w:p>
    <w:p w14:paraId="64907B70" w14:textId="77777777" w:rsidR="007550E8" w:rsidRPr="00034DBB" w:rsidRDefault="007550E8" w:rsidP="007550E8">
      <w:pPr>
        <w:spacing w:line="360" w:lineRule="auto"/>
        <w:ind w:firstLine="720"/>
        <w:jc w:val="both"/>
        <w:rPr>
          <w:sz w:val="22"/>
          <w:szCs w:val="22"/>
        </w:rPr>
      </w:pPr>
      <w:r w:rsidRPr="00034DBB">
        <w:rPr>
          <w:i/>
          <w:sz w:val="22"/>
          <w:szCs w:val="22"/>
        </w:rPr>
        <w:t xml:space="preserve">v. </w:t>
      </w:r>
      <w:r>
        <w:rPr>
          <w:i/>
          <w:sz w:val="22"/>
          <w:szCs w:val="22"/>
        </w:rPr>
        <w:t>Autonomy</w:t>
      </w:r>
      <w:r>
        <w:rPr>
          <w:sz w:val="22"/>
          <w:szCs w:val="22"/>
        </w:rPr>
        <w:t>………………………………………..……………………….……………………..47</w:t>
      </w:r>
    </w:p>
    <w:p w14:paraId="15DC6C0E" w14:textId="77777777" w:rsidR="007550E8" w:rsidRPr="00034DBB" w:rsidRDefault="007550E8" w:rsidP="007550E8">
      <w:pPr>
        <w:jc w:val="both"/>
        <w:rPr>
          <w:b/>
          <w:sz w:val="22"/>
          <w:szCs w:val="22"/>
        </w:rPr>
      </w:pPr>
      <w:r w:rsidRPr="00034DBB">
        <w:rPr>
          <w:b/>
          <w:sz w:val="22"/>
          <w:szCs w:val="22"/>
        </w:rPr>
        <w:t>Chapter 3: Policy Recommendations</w:t>
      </w:r>
      <w:r w:rsidRPr="00034DBB">
        <w:rPr>
          <w:sz w:val="22"/>
          <w:szCs w:val="22"/>
        </w:rPr>
        <w:t>…...…………………………………………………..…….…</w:t>
      </w:r>
      <w:r>
        <w:rPr>
          <w:sz w:val="22"/>
          <w:szCs w:val="22"/>
        </w:rPr>
        <w:t>......51</w:t>
      </w:r>
    </w:p>
    <w:p w14:paraId="442A0BEF" w14:textId="77777777" w:rsidR="007550E8" w:rsidRPr="00034DBB" w:rsidRDefault="007550E8" w:rsidP="007550E8">
      <w:pPr>
        <w:jc w:val="both"/>
        <w:rPr>
          <w:sz w:val="22"/>
          <w:szCs w:val="22"/>
        </w:rPr>
      </w:pPr>
      <w:r w:rsidRPr="00034DBB">
        <w:rPr>
          <w:b/>
          <w:sz w:val="22"/>
          <w:szCs w:val="22"/>
        </w:rPr>
        <w:t>I.</w:t>
      </w:r>
      <w:r w:rsidRPr="00034DBB">
        <w:rPr>
          <w:sz w:val="22"/>
          <w:szCs w:val="22"/>
        </w:rPr>
        <w:t xml:space="preserve"> Informative Tools………………………………….……………</w:t>
      </w:r>
      <w:r>
        <w:rPr>
          <w:sz w:val="22"/>
          <w:szCs w:val="22"/>
        </w:rPr>
        <w:t>…………………………..……….…..57</w:t>
      </w:r>
    </w:p>
    <w:p w14:paraId="1C18A82B" w14:textId="77777777" w:rsidR="007550E8" w:rsidRPr="00034DBB" w:rsidRDefault="007550E8" w:rsidP="007550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bCs/>
          <w:sz w:val="22"/>
          <w:szCs w:val="22"/>
        </w:rPr>
      </w:pPr>
      <w:r w:rsidRPr="00034DBB">
        <w:rPr>
          <w:i/>
          <w:sz w:val="22"/>
          <w:szCs w:val="22"/>
        </w:rPr>
        <w:tab/>
        <w:t>i. Raising Awareness</w:t>
      </w:r>
      <w:r w:rsidRPr="00034DBB">
        <w:rPr>
          <w:sz w:val="22"/>
          <w:szCs w:val="22"/>
        </w:rPr>
        <w:t>…………………………………</w:t>
      </w:r>
      <w:r>
        <w:rPr>
          <w:sz w:val="22"/>
          <w:szCs w:val="22"/>
        </w:rPr>
        <w:t>……………………………………………..58</w:t>
      </w:r>
    </w:p>
    <w:p w14:paraId="78F83303" w14:textId="77777777" w:rsidR="007550E8" w:rsidRPr="00034DBB" w:rsidRDefault="007550E8" w:rsidP="007550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2"/>
          <w:szCs w:val="22"/>
        </w:rPr>
      </w:pPr>
      <w:r w:rsidRPr="00034DBB">
        <w:rPr>
          <w:i/>
          <w:sz w:val="22"/>
          <w:szCs w:val="22"/>
        </w:rPr>
        <w:tab/>
        <w:t>ii. ‘Nudge’ Motivation</w:t>
      </w:r>
      <w:r w:rsidRPr="00034DBB">
        <w:rPr>
          <w:sz w:val="22"/>
          <w:szCs w:val="22"/>
        </w:rPr>
        <w:t>…………...…………………………………………………..……</w:t>
      </w:r>
      <w:r>
        <w:rPr>
          <w:sz w:val="22"/>
          <w:szCs w:val="22"/>
        </w:rPr>
        <w:t>.………..62</w:t>
      </w:r>
    </w:p>
    <w:p w14:paraId="64C9FF89" w14:textId="77777777" w:rsidR="007550E8" w:rsidRPr="00034DBB" w:rsidRDefault="007550E8" w:rsidP="007550E8">
      <w:pPr>
        <w:jc w:val="both"/>
        <w:rPr>
          <w:sz w:val="22"/>
          <w:szCs w:val="22"/>
        </w:rPr>
      </w:pPr>
      <w:r w:rsidRPr="00034DBB">
        <w:rPr>
          <w:b/>
          <w:sz w:val="22"/>
          <w:szCs w:val="22"/>
        </w:rPr>
        <w:t>II.</w:t>
      </w:r>
      <w:r w:rsidRPr="00034DBB">
        <w:rPr>
          <w:sz w:val="22"/>
          <w:szCs w:val="22"/>
        </w:rPr>
        <w:t xml:space="preserve"> </w:t>
      </w:r>
      <w:r>
        <w:rPr>
          <w:sz w:val="22"/>
          <w:szCs w:val="22"/>
        </w:rPr>
        <w:t>Market-based</w:t>
      </w:r>
      <w:r w:rsidRPr="00034DBB">
        <w:rPr>
          <w:sz w:val="22"/>
          <w:szCs w:val="22"/>
        </w:rPr>
        <w:t>……………………………….……</w:t>
      </w:r>
      <w:r>
        <w:rPr>
          <w:sz w:val="22"/>
          <w:szCs w:val="22"/>
        </w:rPr>
        <w:t>………………………………….…………...……..64</w:t>
      </w:r>
    </w:p>
    <w:p w14:paraId="345D17F1" w14:textId="77777777" w:rsidR="007550E8" w:rsidRPr="00034DBB" w:rsidRDefault="007550E8" w:rsidP="007550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bCs/>
          <w:sz w:val="22"/>
          <w:szCs w:val="22"/>
        </w:rPr>
      </w:pPr>
      <w:r w:rsidRPr="00034DBB">
        <w:rPr>
          <w:i/>
          <w:sz w:val="22"/>
          <w:szCs w:val="22"/>
        </w:rPr>
        <w:tab/>
        <w:t>i. Subsidies</w:t>
      </w:r>
      <w:r w:rsidRPr="00034DBB">
        <w:rPr>
          <w:sz w:val="22"/>
          <w:szCs w:val="22"/>
        </w:rPr>
        <w:t>………………………………………………………………………..…</w:t>
      </w:r>
      <w:r>
        <w:rPr>
          <w:sz w:val="22"/>
          <w:szCs w:val="22"/>
        </w:rPr>
        <w:t>……….…..….64</w:t>
      </w:r>
    </w:p>
    <w:p w14:paraId="726C44FA" w14:textId="77777777" w:rsidR="007550E8" w:rsidRPr="00034DBB" w:rsidRDefault="007550E8" w:rsidP="007550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2"/>
          <w:szCs w:val="22"/>
        </w:rPr>
      </w:pPr>
      <w:r w:rsidRPr="00034DBB">
        <w:rPr>
          <w:i/>
          <w:sz w:val="22"/>
          <w:szCs w:val="22"/>
        </w:rPr>
        <w:tab/>
        <w:t>ii. Meat Taxes</w:t>
      </w:r>
      <w:r w:rsidRPr="00034DBB">
        <w:rPr>
          <w:sz w:val="22"/>
          <w:szCs w:val="22"/>
        </w:rPr>
        <w:t>………………………</w:t>
      </w:r>
      <w:r>
        <w:rPr>
          <w:sz w:val="22"/>
          <w:szCs w:val="22"/>
        </w:rPr>
        <w:t>………………………………………..………….……..........67</w:t>
      </w:r>
    </w:p>
    <w:p w14:paraId="3E9F0F26" w14:textId="77777777" w:rsidR="007550E8" w:rsidRPr="00034DBB" w:rsidRDefault="007550E8" w:rsidP="007550E8">
      <w:pPr>
        <w:jc w:val="both"/>
        <w:rPr>
          <w:sz w:val="22"/>
          <w:szCs w:val="22"/>
        </w:rPr>
      </w:pPr>
      <w:r w:rsidRPr="00034DBB">
        <w:rPr>
          <w:b/>
          <w:sz w:val="22"/>
          <w:szCs w:val="22"/>
        </w:rPr>
        <w:t>III.</w:t>
      </w:r>
      <w:r w:rsidRPr="00034DBB">
        <w:rPr>
          <w:sz w:val="22"/>
          <w:szCs w:val="22"/>
        </w:rPr>
        <w:t xml:space="preserve"> Regulations…………………………….…………………………………………..…….…….</w:t>
      </w:r>
      <w:r>
        <w:rPr>
          <w:sz w:val="22"/>
          <w:szCs w:val="22"/>
        </w:rPr>
        <w:t>...........69</w:t>
      </w:r>
    </w:p>
    <w:p w14:paraId="77150708" w14:textId="77777777" w:rsidR="007550E8" w:rsidRPr="00034DBB" w:rsidRDefault="007550E8" w:rsidP="007550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2"/>
          <w:szCs w:val="22"/>
        </w:rPr>
      </w:pPr>
      <w:r w:rsidRPr="00034DBB">
        <w:rPr>
          <w:i/>
          <w:sz w:val="22"/>
          <w:szCs w:val="22"/>
        </w:rPr>
        <w:tab/>
      </w:r>
    </w:p>
    <w:p w14:paraId="7CBBC320" w14:textId="77777777" w:rsidR="007550E8" w:rsidRDefault="007550E8" w:rsidP="007550E8">
      <w:pPr>
        <w:spacing w:line="360" w:lineRule="auto"/>
        <w:jc w:val="both"/>
        <w:rPr>
          <w:sz w:val="22"/>
          <w:szCs w:val="22"/>
        </w:rPr>
      </w:pPr>
      <w:r w:rsidRPr="00034DBB">
        <w:rPr>
          <w:b/>
          <w:sz w:val="22"/>
          <w:szCs w:val="22"/>
        </w:rPr>
        <w:t>IV.</w:t>
      </w:r>
      <w:r w:rsidRPr="00034DBB">
        <w:rPr>
          <w:sz w:val="22"/>
          <w:szCs w:val="22"/>
        </w:rPr>
        <w:t xml:space="preserve"> Conclusion………………………</w:t>
      </w:r>
      <w:r>
        <w:rPr>
          <w:sz w:val="22"/>
          <w:szCs w:val="22"/>
        </w:rPr>
        <w:t>……………..…………………………………..……….…………71</w:t>
      </w:r>
    </w:p>
    <w:p w14:paraId="4A39A154" w14:textId="77777777" w:rsidR="007550E8" w:rsidRPr="00034DBB" w:rsidRDefault="007550E8" w:rsidP="007550E8">
      <w:pPr>
        <w:spacing w:line="360" w:lineRule="auto"/>
        <w:jc w:val="both"/>
        <w:rPr>
          <w:sz w:val="22"/>
          <w:szCs w:val="22"/>
        </w:rPr>
      </w:pPr>
    </w:p>
    <w:p w14:paraId="1FEEF35A" w14:textId="77777777" w:rsidR="007550E8" w:rsidRDefault="007550E8" w:rsidP="007550E8">
      <w:pPr>
        <w:spacing w:line="480" w:lineRule="auto"/>
        <w:jc w:val="both"/>
        <w:outlineLvl w:val="0"/>
        <w:rPr>
          <w:b/>
          <w:sz w:val="32"/>
          <w:u w:val="single"/>
        </w:rPr>
      </w:pPr>
      <w:r>
        <w:rPr>
          <w:b/>
          <w:sz w:val="32"/>
          <w:u w:val="single"/>
        </w:rPr>
        <w:t>List of Figures</w:t>
      </w:r>
    </w:p>
    <w:p w14:paraId="2CFA8363" w14:textId="77777777" w:rsidR="007550E8" w:rsidRPr="007E3BAF" w:rsidRDefault="007550E8" w:rsidP="007550E8">
      <w:pPr>
        <w:jc w:val="both"/>
        <w:rPr>
          <w:color w:val="000000" w:themeColor="text1"/>
          <w:sz w:val="22"/>
          <w:szCs w:val="22"/>
        </w:rPr>
      </w:pPr>
      <w:r w:rsidRPr="007E3BAF">
        <w:rPr>
          <w:color w:val="000000" w:themeColor="text1"/>
          <w:sz w:val="22"/>
          <w:szCs w:val="22"/>
        </w:rPr>
        <w:t>Figure 1. Per capita consumption (kg protein consumed) of livestock from 1980-2014. Calculated using data provided by Agriculture and Agri-Food Canada. (AAFC, 2014)</w:t>
      </w:r>
      <w:r>
        <w:rPr>
          <w:color w:val="000000" w:themeColor="text1"/>
          <w:sz w:val="22"/>
          <w:szCs w:val="22"/>
        </w:rPr>
        <w:t>……………………………………..19</w:t>
      </w:r>
    </w:p>
    <w:p w14:paraId="218F2F94" w14:textId="77777777" w:rsidR="007550E8" w:rsidRDefault="007550E8" w:rsidP="007550E8"/>
    <w:p w14:paraId="0D21069A" w14:textId="77777777" w:rsidR="007550E8" w:rsidRDefault="007550E8" w:rsidP="007550E8">
      <w:pPr>
        <w:jc w:val="both"/>
        <w:rPr>
          <w:sz w:val="22"/>
          <w:szCs w:val="22"/>
        </w:rPr>
      </w:pPr>
      <w:r>
        <w:rPr>
          <w:sz w:val="22"/>
          <w:szCs w:val="22"/>
        </w:rPr>
        <w:t>Figure 2. Flow diagram of academic literature obtained on the basis of the academic search protocol. The - character, symbolizes articles that were deemed ineligible on the basis of the exclusion criteria, while the + character, symbolizes additional articles that were included from cross-referencing. ……………………26</w:t>
      </w:r>
    </w:p>
    <w:p w14:paraId="47070083" w14:textId="77777777" w:rsidR="007550E8" w:rsidRDefault="007550E8" w:rsidP="007550E8"/>
    <w:p w14:paraId="72AB6EC3" w14:textId="77777777" w:rsidR="007550E8" w:rsidRDefault="007550E8" w:rsidP="007550E8">
      <w:pPr>
        <w:jc w:val="both"/>
        <w:rPr>
          <w:sz w:val="22"/>
          <w:szCs w:val="22"/>
        </w:rPr>
      </w:pPr>
      <w:r>
        <w:rPr>
          <w:sz w:val="22"/>
          <w:szCs w:val="22"/>
        </w:rPr>
        <w:t>Figure 3. Number of academic journal articles assessed for barriers to plant based diets for each of the 15 key search terms in Web of Science and Google Scholar. …………………………………………………27</w:t>
      </w:r>
    </w:p>
    <w:p w14:paraId="35C5327D" w14:textId="77777777" w:rsidR="007550E8" w:rsidRDefault="007550E8" w:rsidP="007550E8"/>
    <w:p w14:paraId="692EC4CB" w14:textId="77777777" w:rsidR="007550E8" w:rsidRDefault="007550E8" w:rsidP="007550E8">
      <w:pPr>
        <w:jc w:val="both"/>
        <w:rPr>
          <w:sz w:val="22"/>
          <w:szCs w:val="22"/>
        </w:rPr>
      </w:pPr>
      <w:r>
        <w:rPr>
          <w:sz w:val="22"/>
          <w:szCs w:val="22"/>
        </w:rPr>
        <w:t>Figure 4. Flow diagram of public webpages obtained on the basis of the public search protocol. The - character, symbolizes articles that were deemed ineligible on the basis of the exclusion criteria, while the + character, symbolizes additional articles that were included from cross-referencing……………………...27</w:t>
      </w:r>
    </w:p>
    <w:p w14:paraId="4240825A" w14:textId="77777777" w:rsidR="007550E8" w:rsidRDefault="007550E8" w:rsidP="007550E8"/>
    <w:p w14:paraId="3FD59209" w14:textId="77777777" w:rsidR="007550E8" w:rsidRPr="00A21CEE" w:rsidRDefault="007550E8" w:rsidP="007550E8">
      <w:pPr>
        <w:spacing w:line="480" w:lineRule="auto"/>
        <w:jc w:val="both"/>
        <w:rPr>
          <w:sz w:val="22"/>
          <w:szCs w:val="22"/>
        </w:rPr>
      </w:pPr>
      <w:r>
        <w:rPr>
          <w:sz w:val="22"/>
          <w:szCs w:val="22"/>
        </w:rPr>
        <w:lastRenderedPageBreak/>
        <w:t>Figure 5. Number of included academic research articles, by year of publication…………………………28</w:t>
      </w:r>
    </w:p>
    <w:p w14:paraId="7F5026DA" w14:textId="77777777" w:rsidR="007550E8" w:rsidRDefault="007550E8" w:rsidP="007550E8">
      <w:pPr>
        <w:jc w:val="both"/>
        <w:outlineLvl w:val="0"/>
        <w:rPr>
          <w:sz w:val="22"/>
          <w:szCs w:val="22"/>
        </w:rPr>
      </w:pPr>
      <w:r>
        <w:rPr>
          <w:sz w:val="22"/>
          <w:szCs w:val="22"/>
        </w:rPr>
        <w:t>Figure 6. Total number of primary articles retrieved from academic journal research for each of the 15 key search terms………………………………………………………………………………………………..30</w:t>
      </w:r>
    </w:p>
    <w:p w14:paraId="40EF7341" w14:textId="77777777" w:rsidR="007550E8" w:rsidRDefault="007550E8" w:rsidP="007550E8">
      <w:pPr>
        <w:jc w:val="both"/>
      </w:pPr>
    </w:p>
    <w:p w14:paraId="3D255A68" w14:textId="77777777" w:rsidR="007550E8" w:rsidRDefault="007550E8" w:rsidP="007550E8">
      <w:pPr>
        <w:jc w:val="both"/>
        <w:rPr>
          <w:sz w:val="22"/>
          <w:szCs w:val="22"/>
        </w:rPr>
      </w:pPr>
      <w:r>
        <w:rPr>
          <w:sz w:val="22"/>
          <w:szCs w:val="22"/>
        </w:rPr>
        <w:t>Figure 7. Proportion of codes detected from primary journal articles, contributing to each of the five major themes, regarding barriers to plant-based diets…………………………………………………………….33</w:t>
      </w:r>
    </w:p>
    <w:p w14:paraId="5D0A20CB" w14:textId="77777777" w:rsidR="007550E8" w:rsidRDefault="007550E8" w:rsidP="007550E8">
      <w:pPr>
        <w:jc w:val="both"/>
        <w:rPr>
          <w:sz w:val="22"/>
          <w:szCs w:val="22"/>
        </w:rPr>
      </w:pPr>
    </w:p>
    <w:p w14:paraId="689903DB" w14:textId="77777777" w:rsidR="007550E8" w:rsidRDefault="007550E8" w:rsidP="007550E8">
      <w:pPr>
        <w:jc w:val="both"/>
        <w:rPr>
          <w:sz w:val="22"/>
          <w:szCs w:val="22"/>
        </w:rPr>
      </w:pPr>
      <w:r>
        <w:rPr>
          <w:sz w:val="22"/>
          <w:szCs w:val="22"/>
        </w:rPr>
        <w:t>Figure 8. Proportion of codes detected from advocacy websites, contributing to each of the five major themes, regarding barriers to plant-based diets…………………………………………………………….33</w:t>
      </w:r>
    </w:p>
    <w:p w14:paraId="5135C8EA" w14:textId="77777777" w:rsidR="007550E8" w:rsidRDefault="007550E8" w:rsidP="007550E8">
      <w:pPr>
        <w:jc w:val="both"/>
        <w:rPr>
          <w:sz w:val="22"/>
          <w:szCs w:val="22"/>
        </w:rPr>
      </w:pPr>
    </w:p>
    <w:p w14:paraId="1769A97A" w14:textId="77777777" w:rsidR="007550E8" w:rsidRDefault="007550E8" w:rsidP="007550E8">
      <w:pPr>
        <w:jc w:val="both"/>
        <w:rPr>
          <w:sz w:val="22"/>
          <w:szCs w:val="22"/>
        </w:rPr>
      </w:pPr>
      <w:r w:rsidRPr="0082292D">
        <w:rPr>
          <w:sz w:val="22"/>
          <w:szCs w:val="22"/>
        </w:rPr>
        <w:t>Figure</w:t>
      </w:r>
      <w:r>
        <w:rPr>
          <w:sz w:val="22"/>
          <w:szCs w:val="22"/>
        </w:rPr>
        <w:t xml:space="preserve"> 9</w:t>
      </w:r>
      <w:r w:rsidRPr="0082292D">
        <w:rPr>
          <w:sz w:val="22"/>
          <w:szCs w:val="22"/>
        </w:rPr>
        <w:t xml:space="preserve">. </w:t>
      </w:r>
      <w:r>
        <w:rPr>
          <w:sz w:val="22"/>
          <w:szCs w:val="22"/>
        </w:rPr>
        <w:t>Number of primary journal articles referencing each of the 7 categories of sociodemographics, that correlate to food consumption behaviour……………………………………………………………36</w:t>
      </w:r>
    </w:p>
    <w:p w14:paraId="4B977972" w14:textId="77777777" w:rsidR="007550E8" w:rsidRDefault="007550E8" w:rsidP="007550E8">
      <w:pPr>
        <w:jc w:val="both"/>
        <w:rPr>
          <w:sz w:val="22"/>
          <w:szCs w:val="22"/>
        </w:rPr>
      </w:pPr>
    </w:p>
    <w:p w14:paraId="0D1AF93D" w14:textId="77777777" w:rsidR="007550E8" w:rsidRPr="009E2087" w:rsidRDefault="007550E8" w:rsidP="007550E8">
      <w:pPr>
        <w:jc w:val="both"/>
        <w:rPr>
          <w:sz w:val="22"/>
          <w:szCs w:val="22"/>
        </w:rPr>
      </w:pPr>
      <w:r>
        <w:rPr>
          <w:sz w:val="22"/>
          <w:szCs w:val="22"/>
        </w:rPr>
        <w:t>Figure 10</w:t>
      </w:r>
      <w:r w:rsidRPr="009E2087">
        <w:rPr>
          <w:sz w:val="22"/>
          <w:szCs w:val="22"/>
        </w:rPr>
        <w:t xml:space="preserve">. </w:t>
      </w:r>
      <w:r>
        <w:rPr>
          <w:sz w:val="22"/>
          <w:szCs w:val="22"/>
        </w:rPr>
        <w:t>Schematic of policy instruments comprising information-based, market-based, and regulatory tools, spread along a continuum of authoritative force from autonomy to control (details on these instruments are given in Table 3). …………………………………………………………………………52</w:t>
      </w:r>
    </w:p>
    <w:p w14:paraId="5ED83F13" w14:textId="77777777" w:rsidR="007550E8" w:rsidRDefault="007550E8" w:rsidP="007550E8"/>
    <w:p w14:paraId="28F8924C" w14:textId="77777777" w:rsidR="007550E8" w:rsidRDefault="007550E8" w:rsidP="007550E8">
      <w:pPr>
        <w:jc w:val="both"/>
        <w:rPr>
          <w:sz w:val="22"/>
          <w:szCs w:val="22"/>
        </w:rPr>
      </w:pPr>
      <w:r>
        <w:rPr>
          <w:sz w:val="22"/>
          <w:szCs w:val="22"/>
        </w:rPr>
        <w:t>Figure 11. Flow diagram of academic literature using the key search term “vegetarian* motivation”, obtained on the basis of the academic search protocol. The - character, symbolizes articles that were deemed ineligible on the basis of the exclusion criteria, while the + character, symbolizes additional articles that were included from cross-referencing. …………………………………………………………………….92</w:t>
      </w:r>
    </w:p>
    <w:p w14:paraId="631131A4" w14:textId="77777777" w:rsidR="007550E8" w:rsidRDefault="007550E8" w:rsidP="007550E8"/>
    <w:p w14:paraId="25AA5E16" w14:textId="77777777" w:rsidR="007550E8" w:rsidRDefault="007550E8" w:rsidP="007550E8">
      <w:pPr>
        <w:jc w:val="both"/>
        <w:rPr>
          <w:sz w:val="22"/>
          <w:szCs w:val="22"/>
        </w:rPr>
      </w:pPr>
      <w:r>
        <w:rPr>
          <w:sz w:val="22"/>
          <w:szCs w:val="22"/>
        </w:rPr>
        <w:t>Figure 12. Flow diagram of academic literature using the key search term “vegetarian* barrier”, obtained on the basis of the academic search protocol. The - character, symbolizes articles that were deemed ineligible on the basis of the exclusion criteria, while the + character, symbolizes additional articles that were included from cross-referencing……………………………………………………………………..93</w:t>
      </w:r>
    </w:p>
    <w:p w14:paraId="13E82EFD" w14:textId="77777777" w:rsidR="007550E8" w:rsidRDefault="007550E8" w:rsidP="007550E8">
      <w:pPr>
        <w:jc w:val="both"/>
        <w:rPr>
          <w:sz w:val="22"/>
          <w:szCs w:val="22"/>
        </w:rPr>
      </w:pPr>
    </w:p>
    <w:p w14:paraId="4D5F4DD7" w14:textId="77777777" w:rsidR="007550E8" w:rsidRDefault="007550E8" w:rsidP="007550E8">
      <w:pPr>
        <w:jc w:val="both"/>
        <w:rPr>
          <w:sz w:val="22"/>
          <w:szCs w:val="22"/>
        </w:rPr>
      </w:pPr>
      <w:r>
        <w:rPr>
          <w:sz w:val="22"/>
          <w:szCs w:val="22"/>
        </w:rPr>
        <w:t>Figure 13. Flow diagram of academic literature using the key search term “vegetarian* environment”, obtained on the basis of the academic search protocol. The - character, symbolizes articles that were deemed ineligible on the basis of the exclusion criteria, while the + character, symbolizes additional articles that were included from cross-referencing……………………………………………………………………..94</w:t>
      </w:r>
    </w:p>
    <w:p w14:paraId="5C3A1835" w14:textId="77777777" w:rsidR="007550E8" w:rsidRDefault="007550E8" w:rsidP="007550E8"/>
    <w:p w14:paraId="3BBF80B2" w14:textId="77777777" w:rsidR="007550E8" w:rsidRDefault="007550E8" w:rsidP="007550E8">
      <w:pPr>
        <w:jc w:val="both"/>
        <w:rPr>
          <w:sz w:val="22"/>
          <w:szCs w:val="22"/>
        </w:rPr>
      </w:pPr>
      <w:r>
        <w:rPr>
          <w:sz w:val="22"/>
          <w:szCs w:val="22"/>
        </w:rPr>
        <w:t>Figure 14. Flow diagram of academic literature using the key search term “influence on consumption”, obtained on the basis of the academic search protocol. The - character, symbolizes articles that were deemed ineligible on the basis of the exclusion criteria, while the + character, symbolizes additional articles that were included from cross-referencing……………………………………………………………………..95</w:t>
      </w:r>
    </w:p>
    <w:p w14:paraId="3CB90588" w14:textId="77777777" w:rsidR="007550E8" w:rsidRDefault="007550E8" w:rsidP="007550E8"/>
    <w:p w14:paraId="2115F638" w14:textId="77777777" w:rsidR="007550E8" w:rsidRDefault="007550E8" w:rsidP="007550E8">
      <w:pPr>
        <w:jc w:val="both"/>
        <w:rPr>
          <w:sz w:val="22"/>
          <w:szCs w:val="22"/>
        </w:rPr>
      </w:pPr>
      <w:r>
        <w:rPr>
          <w:sz w:val="22"/>
          <w:szCs w:val="22"/>
        </w:rPr>
        <w:t xml:space="preserve">Figure 15. Flow diagram of academic literature using the key search term “meat consumption”, obtained on the basis of the academic search protocol. The - character, symbolizes articles that were deemed </w:t>
      </w:r>
      <w:r>
        <w:rPr>
          <w:sz w:val="22"/>
          <w:szCs w:val="22"/>
        </w:rPr>
        <w:lastRenderedPageBreak/>
        <w:t>ineligible on the basis of the exclusion criteria, while the + character, symbolizes additional articles that were included from cross-referencing………………………………………………………………….….96</w:t>
      </w:r>
    </w:p>
    <w:p w14:paraId="62938494" w14:textId="77777777" w:rsidR="007550E8" w:rsidRDefault="007550E8" w:rsidP="007550E8"/>
    <w:p w14:paraId="5052117C" w14:textId="77777777" w:rsidR="007550E8" w:rsidRDefault="007550E8" w:rsidP="007550E8">
      <w:pPr>
        <w:jc w:val="both"/>
        <w:rPr>
          <w:sz w:val="22"/>
          <w:szCs w:val="22"/>
        </w:rPr>
      </w:pPr>
      <w:r>
        <w:rPr>
          <w:sz w:val="22"/>
          <w:szCs w:val="22"/>
        </w:rPr>
        <w:t>Figure 16. Flow diagram of academic literature using the key search term “promotion of vegetarian*”, obtained on the basis of the academic search protocol. The - character, symbolizes articles that were deemed ineligible on the basis of the exclusion criteria, while the + character, symbolizes additional articles that were included from cross-referencing……………………………………………………………………..97</w:t>
      </w:r>
    </w:p>
    <w:p w14:paraId="77759537" w14:textId="77777777" w:rsidR="007550E8" w:rsidRDefault="007550E8" w:rsidP="007550E8"/>
    <w:p w14:paraId="74EA50A5" w14:textId="77777777" w:rsidR="007550E8" w:rsidRDefault="007550E8" w:rsidP="007550E8">
      <w:pPr>
        <w:jc w:val="both"/>
        <w:rPr>
          <w:sz w:val="22"/>
          <w:szCs w:val="22"/>
        </w:rPr>
      </w:pPr>
      <w:r>
        <w:rPr>
          <w:sz w:val="22"/>
          <w:szCs w:val="22"/>
        </w:rPr>
        <w:t>Figure 17. Flow diagram of academic literature using the key search term “environmentally significant consumption”, obtained on the basis of the academic search protocol. The - character, symbolizes articles that were deemed ineligible on the basis of the exclusion criteria, while the + character, symbolizes additional articles that were included from cross-referencing……………………………………………..98</w:t>
      </w:r>
    </w:p>
    <w:p w14:paraId="5C24B8E9" w14:textId="77777777" w:rsidR="007550E8" w:rsidRDefault="007550E8" w:rsidP="007550E8"/>
    <w:p w14:paraId="07D69CF0" w14:textId="77777777" w:rsidR="007550E8" w:rsidRDefault="007550E8" w:rsidP="007550E8">
      <w:pPr>
        <w:jc w:val="both"/>
        <w:rPr>
          <w:sz w:val="22"/>
          <w:szCs w:val="22"/>
        </w:rPr>
      </w:pPr>
      <w:r>
        <w:rPr>
          <w:sz w:val="22"/>
          <w:szCs w:val="22"/>
        </w:rPr>
        <w:t>Figure 18. Flow diagram of academic literature using the key search term “limit vegetarian*”, obtained on the basis of the academic search protocol. The - character, symbolizes articles that were deemed ineligible on the basis of the exclusion criteria, while the + character, symbolizes additional articles that were included from cross-referencing…………………………………………………………………………………….99</w:t>
      </w:r>
    </w:p>
    <w:p w14:paraId="4F4F51F1" w14:textId="77777777" w:rsidR="007550E8" w:rsidRDefault="007550E8" w:rsidP="007550E8"/>
    <w:p w14:paraId="31077194" w14:textId="77777777" w:rsidR="007550E8" w:rsidRDefault="007550E8" w:rsidP="007550E8">
      <w:pPr>
        <w:jc w:val="both"/>
        <w:rPr>
          <w:sz w:val="22"/>
          <w:szCs w:val="22"/>
        </w:rPr>
      </w:pPr>
      <w:r>
        <w:rPr>
          <w:sz w:val="22"/>
          <w:szCs w:val="22"/>
        </w:rPr>
        <w:t>Figure 19. Flow diagram of academic literature using the key search term “obstacle vegetarian*”, obtained on the basis of the academic search protocol. The - character, symbolizes articles that were deemed ineligible on the basis of the exclusion criteria, while the + character, symbolizes additional articles that were included from cross-referencing…………………………………………………………………....100</w:t>
      </w:r>
    </w:p>
    <w:p w14:paraId="059D0B3E" w14:textId="77777777" w:rsidR="007550E8" w:rsidRDefault="007550E8" w:rsidP="007550E8"/>
    <w:p w14:paraId="74C50025" w14:textId="77777777" w:rsidR="007550E8" w:rsidRDefault="007550E8" w:rsidP="007550E8">
      <w:pPr>
        <w:jc w:val="both"/>
        <w:rPr>
          <w:sz w:val="22"/>
          <w:szCs w:val="22"/>
        </w:rPr>
      </w:pPr>
      <w:r>
        <w:rPr>
          <w:sz w:val="22"/>
          <w:szCs w:val="22"/>
        </w:rPr>
        <w:t>Figure 20. Flow diagram of academic literature using the key search term “advertise food”, obtained on the basis of the academic search protocol. The - character, symbolizes articles that were deemed ineligible on the basis of the exclusion criteria, while the + character, symbolizes additional articles that were included from cross-referencing…………………………………………………………………………………...101</w:t>
      </w:r>
    </w:p>
    <w:p w14:paraId="44A3753D" w14:textId="77777777" w:rsidR="007550E8" w:rsidRDefault="007550E8" w:rsidP="007550E8"/>
    <w:p w14:paraId="4DD59148" w14:textId="77777777" w:rsidR="007550E8" w:rsidRDefault="007550E8" w:rsidP="007550E8">
      <w:pPr>
        <w:jc w:val="both"/>
        <w:rPr>
          <w:sz w:val="22"/>
          <w:szCs w:val="22"/>
        </w:rPr>
      </w:pPr>
      <w:r>
        <w:rPr>
          <w:sz w:val="22"/>
          <w:szCs w:val="22"/>
        </w:rPr>
        <w:t>Figure 21. Flow diagram of academic literature using the key search term “reducing meat consumption + government”, obtained on the basis of the academic search protocol. The - character, symbolizes articles that were deemed ineligible on the basis of the exclusion criteria, while the + character, symbolizes additional articles that were included from cross-referencing…………………………………………….102</w:t>
      </w:r>
    </w:p>
    <w:p w14:paraId="1533551F" w14:textId="77777777" w:rsidR="007550E8" w:rsidRDefault="007550E8" w:rsidP="007550E8"/>
    <w:p w14:paraId="6D553131" w14:textId="77777777" w:rsidR="007550E8" w:rsidRDefault="007550E8" w:rsidP="007550E8">
      <w:pPr>
        <w:jc w:val="both"/>
        <w:rPr>
          <w:sz w:val="22"/>
          <w:szCs w:val="22"/>
        </w:rPr>
      </w:pPr>
      <w:r>
        <w:rPr>
          <w:sz w:val="22"/>
          <w:szCs w:val="22"/>
        </w:rPr>
        <w:t>Figure 22. Flow diagram of academic literature using the key search term “consumer characteristics + government”, obtained on the basis of the academic search protocol. The - character, symbolizes articles that were deemed ineligible on the basis of the exclusion criteria, while the + character, symbolizes additional articles that were included from cross-referencing…………………………………………….103</w:t>
      </w:r>
    </w:p>
    <w:p w14:paraId="784D2812" w14:textId="77777777" w:rsidR="007550E8" w:rsidRDefault="007550E8" w:rsidP="007550E8"/>
    <w:p w14:paraId="430743BC" w14:textId="77777777" w:rsidR="007550E8" w:rsidRDefault="007550E8" w:rsidP="007550E8">
      <w:pPr>
        <w:jc w:val="both"/>
        <w:rPr>
          <w:sz w:val="22"/>
          <w:szCs w:val="22"/>
        </w:rPr>
      </w:pPr>
      <w:r>
        <w:rPr>
          <w:sz w:val="22"/>
          <w:szCs w:val="22"/>
        </w:rPr>
        <w:t>Figure 23. Flow diagram of academic literature using the key search term “sustainable + vegan”, obtained on the basis of the academic search protocol. The - character, symbolizes articles that were deemed ineligible on the basis of the exclusion criteria, while the + character, symbolizes additional articles that were included from cross-referencing……………………………………………………………………104</w:t>
      </w:r>
    </w:p>
    <w:p w14:paraId="08BE4D41" w14:textId="77777777" w:rsidR="007550E8" w:rsidRDefault="007550E8" w:rsidP="007550E8"/>
    <w:p w14:paraId="07A674CF" w14:textId="77777777" w:rsidR="007550E8" w:rsidRDefault="007550E8" w:rsidP="007550E8">
      <w:pPr>
        <w:jc w:val="both"/>
        <w:rPr>
          <w:sz w:val="22"/>
          <w:szCs w:val="22"/>
        </w:rPr>
      </w:pPr>
      <w:r>
        <w:rPr>
          <w:sz w:val="22"/>
          <w:szCs w:val="22"/>
        </w:rPr>
        <w:lastRenderedPageBreak/>
        <w:t>Figure 24. Flow diagram of academic literature using the key search term “vegan barrier”, obtained on the basis of the academic search protocol. The - character, symbolizes articles that were deemed ineligible on the basis of the exclusion criteria, while the + character, symbolizes additional articles that were included from cross-referencing…………………………………………………………………………………...105</w:t>
      </w:r>
    </w:p>
    <w:p w14:paraId="17DBD389" w14:textId="77777777" w:rsidR="007550E8" w:rsidRDefault="007550E8" w:rsidP="007550E8"/>
    <w:p w14:paraId="674EFA4C" w14:textId="77777777" w:rsidR="007550E8" w:rsidRDefault="007550E8" w:rsidP="007550E8">
      <w:pPr>
        <w:jc w:val="both"/>
        <w:rPr>
          <w:sz w:val="22"/>
          <w:szCs w:val="22"/>
        </w:rPr>
      </w:pPr>
      <w:r>
        <w:rPr>
          <w:sz w:val="22"/>
          <w:szCs w:val="22"/>
        </w:rPr>
        <w:t>Figure 25. Flow diagram of academic literature using the key search term “sustainable food consumption policy”, obtained on the basis of the academic search protocol. The - character, symbolizes articles that were deemed ineligible on the basis of the exclusion criteria, while the + character, symbolizes additional articles that were included from cross-referencing………………………………………………………106</w:t>
      </w:r>
    </w:p>
    <w:p w14:paraId="5BE5130B" w14:textId="77777777" w:rsidR="007550E8" w:rsidRDefault="007550E8" w:rsidP="007550E8"/>
    <w:p w14:paraId="7E187A3D" w14:textId="77777777" w:rsidR="007550E8" w:rsidRPr="008C6863" w:rsidRDefault="007550E8" w:rsidP="007550E8">
      <w:pPr>
        <w:jc w:val="both"/>
      </w:pPr>
      <w:r>
        <w:t xml:space="preserve">Figure 26. </w:t>
      </w:r>
      <w:r>
        <w:rPr>
          <w:i/>
          <w:sz w:val="22"/>
          <w:szCs w:val="22"/>
        </w:rPr>
        <w:t xml:space="preserve">A </w:t>
      </w:r>
      <w:r>
        <w:rPr>
          <w:i/>
        </w:rPr>
        <w:t>posteriori</w:t>
      </w:r>
      <w:r>
        <w:rPr>
          <w:i/>
          <w:sz w:val="22"/>
          <w:szCs w:val="22"/>
        </w:rPr>
        <w:t xml:space="preserve"> </w:t>
      </w:r>
      <w:r>
        <w:rPr>
          <w:sz w:val="22"/>
          <w:szCs w:val="22"/>
        </w:rPr>
        <w:t>inductive coding scheme (codes-categories-themes) of academic journal articles influencing the theme of autonomy……………………………………………………………………...107</w:t>
      </w:r>
    </w:p>
    <w:p w14:paraId="0C166FEC" w14:textId="77777777" w:rsidR="007550E8" w:rsidRDefault="007550E8" w:rsidP="007550E8">
      <w:pPr>
        <w:jc w:val="both"/>
      </w:pPr>
    </w:p>
    <w:p w14:paraId="53D06AA7" w14:textId="5FDC7B7B" w:rsidR="007550E8" w:rsidRPr="008C6863" w:rsidRDefault="007550E8" w:rsidP="007550E8">
      <w:pPr>
        <w:jc w:val="both"/>
      </w:pPr>
      <w:r>
        <w:t xml:space="preserve">Figure 27. </w:t>
      </w:r>
      <w:r>
        <w:rPr>
          <w:i/>
          <w:sz w:val="22"/>
          <w:szCs w:val="22"/>
        </w:rPr>
        <w:t xml:space="preserve">A </w:t>
      </w:r>
      <w:r>
        <w:rPr>
          <w:i/>
        </w:rPr>
        <w:t>posteriori</w:t>
      </w:r>
      <w:r>
        <w:rPr>
          <w:i/>
          <w:sz w:val="22"/>
          <w:szCs w:val="22"/>
        </w:rPr>
        <w:t xml:space="preserve"> </w:t>
      </w:r>
      <w:r>
        <w:rPr>
          <w:sz w:val="22"/>
          <w:szCs w:val="22"/>
        </w:rPr>
        <w:t>inductive coding scheme (codes-categories-themes) of academic journal articles influencing the theme of cognitive dissonance…………………………………………………….….…107</w:t>
      </w:r>
    </w:p>
    <w:p w14:paraId="7D98722A" w14:textId="77777777" w:rsidR="007550E8" w:rsidRDefault="007550E8" w:rsidP="007550E8">
      <w:pPr>
        <w:jc w:val="both"/>
      </w:pPr>
    </w:p>
    <w:p w14:paraId="5C60ABDE" w14:textId="77ED261F" w:rsidR="007550E8" w:rsidRDefault="007550E8" w:rsidP="007550E8">
      <w:pPr>
        <w:jc w:val="both"/>
      </w:pPr>
      <w:r>
        <w:t xml:space="preserve">Figure 28. </w:t>
      </w:r>
      <w:r>
        <w:rPr>
          <w:i/>
          <w:sz w:val="22"/>
          <w:szCs w:val="22"/>
        </w:rPr>
        <w:t xml:space="preserve">A </w:t>
      </w:r>
      <w:r>
        <w:rPr>
          <w:i/>
        </w:rPr>
        <w:t>posteriori</w:t>
      </w:r>
      <w:r>
        <w:rPr>
          <w:i/>
          <w:sz w:val="22"/>
          <w:szCs w:val="22"/>
        </w:rPr>
        <w:t xml:space="preserve"> </w:t>
      </w:r>
      <w:r>
        <w:rPr>
          <w:sz w:val="22"/>
          <w:szCs w:val="22"/>
        </w:rPr>
        <w:t>inductive coding scheme (codes-categories-themes) of academic journal articles influencing the theme of information asymmetry……………………………………………………..…108</w:t>
      </w:r>
    </w:p>
    <w:p w14:paraId="03AE522C" w14:textId="77777777" w:rsidR="007550E8" w:rsidRDefault="007550E8" w:rsidP="007550E8">
      <w:pPr>
        <w:jc w:val="both"/>
      </w:pPr>
    </w:p>
    <w:p w14:paraId="51931263" w14:textId="67105080" w:rsidR="007550E8" w:rsidRPr="008C6863" w:rsidRDefault="007550E8" w:rsidP="007550E8">
      <w:pPr>
        <w:jc w:val="both"/>
      </w:pPr>
      <w:r>
        <w:t xml:space="preserve">Figure 29. </w:t>
      </w:r>
      <w:r>
        <w:rPr>
          <w:i/>
          <w:sz w:val="22"/>
          <w:szCs w:val="22"/>
        </w:rPr>
        <w:t xml:space="preserve">A </w:t>
      </w:r>
      <w:r>
        <w:rPr>
          <w:i/>
        </w:rPr>
        <w:t>posteriori</w:t>
      </w:r>
      <w:r>
        <w:rPr>
          <w:i/>
          <w:sz w:val="22"/>
          <w:szCs w:val="22"/>
        </w:rPr>
        <w:t xml:space="preserve"> </w:t>
      </w:r>
      <w:r>
        <w:rPr>
          <w:sz w:val="22"/>
          <w:szCs w:val="22"/>
        </w:rPr>
        <w:t>inductive coding scheme (codes-categories-themes) of academic journal articles influencing the theme of social influence………………………………………………………….…….109</w:t>
      </w:r>
    </w:p>
    <w:p w14:paraId="123546D8" w14:textId="77777777" w:rsidR="007550E8" w:rsidRDefault="007550E8" w:rsidP="007550E8">
      <w:pPr>
        <w:jc w:val="both"/>
      </w:pPr>
    </w:p>
    <w:p w14:paraId="20EB8F02" w14:textId="287A0037" w:rsidR="007550E8" w:rsidRPr="008C6863" w:rsidRDefault="007550E8" w:rsidP="007550E8">
      <w:pPr>
        <w:jc w:val="both"/>
      </w:pPr>
      <w:r>
        <w:t xml:space="preserve">Figure 30. </w:t>
      </w:r>
      <w:r>
        <w:rPr>
          <w:i/>
          <w:sz w:val="22"/>
          <w:szCs w:val="22"/>
        </w:rPr>
        <w:t xml:space="preserve">A </w:t>
      </w:r>
      <w:r>
        <w:rPr>
          <w:i/>
        </w:rPr>
        <w:t>posteriori</w:t>
      </w:r>
      <w:r>
        <w:rPr>
          <w:i/>
          <w:sz w:val="22"/>
          <w:szCs w:val="22"/>
        </w:rPr>
        <w:t xml:space="preserve"> </w:t>
      </w:r>
      <w:r>
        <w:rPr>
          <w:sz w:val="22"/>
          <w:szCs w:val="22"/>
        </w:rPr>
        <w:t>inductive coding scheme (codes-categories-themes) of academic journal articles influencing the theme of political economy…………………………………………………….………..111</w:t>
      </w:r>
    </w:p>
    <w:p w14:paraId="07D9FE98" w14:textId="77777777" w:rsidR="007550E8" w:rsidRDefault="007550E8" w:rsidP="007550E8">
      <w:pPr>
        <w:jc w:val="both"/>
      </w:pPr>
    </w:p>
    <w:p w14:paraId="5108CFE7" w14:textId="77777777" w:rsidR="007550E8" w:rsidRDefault="007550E8" w:rsidP="007550E8">
      <w:pPr>
        <w:jc w:val="both"/>
        <w:rPr>
          <w:sz w:val="22"/>
          <w:szCs w:val="22"/>
        </w:rPr>
      </w:pPr>
      <w:r>
        <w:rPr>
          <w:sz w:val="22"/>
          <w:szCs w:val="22"/>
        </w:rPr>
        <w:t xml:space="preserve">Figure 31. </w:t>
      </w:r>
      <w:r>
        <w:rPr>
          <w:i/>
          <w:sz w:val="22"/>
          <w:szCs w:val="22"/>
        </w:rPr>
        <w:t xml:space="preserve">A </w:t>
      </w:r>
      <w:r>
        <w:rPr>
          <w:i/>
        </w:rPr>
        <w:t>posteriori</w:t>
      </w:r>
      <w:r>
        <w:rPr>
          <w:i/>
          <w:sz w:val="22"/>
          <w:szCs w:val="22"/>
        </w:rPr>
        <w:t xml:space="preserve"> </w:t>
      </w:r>
      <w:r>
        <w:rPr>
          <w:sz w:val="22"/>
          <w:szCs w:val="22"/>
        </w:rPr>
        <w:t>inductive coding scheme (codes-categories-themes) underlying the 6 public webpages assessed for barriers to plant based diets……………………………………………………...112</w:t>
      </w:r>
    </w:p>
    <w:p w14:paraId="5A1CC415" w14:textId="77777777" w:rsidR="007550E8" w:rsidRDefault="007550E8" w:rsidP="007550E8"/>
    <w:p w14:paraId="1C9B3A70" w14:textId="77777777" w:rsidR="007550E8" w:rsidRDefault="007550E8" w:rsidP="007550E8">
      <w:pPr>
        <w:spacing w:line="480" w:lineRule="auto"/>
        <w:jc w:val="both"/>
        <w:outlineLvl w:val="0"/>
        <w:rPr>
          <w:b/>
          <w:sz w:val="32"/>
          <w:u w:val="single"/>
        </w:rPr>
      </w:pPr>
    </w:p>
    <w:p w14:paraId="0A1DA83E" w14:textId="77777777" w:rsidR="007550E8" w:rsidRDefault="007550E8" w:rsidP="007550E8">
      <w:pPr>
        <w:spacing w:line="480" w:lineRule="auto"/>
        <w:jc w:val="both"/>
        <w:outlineLvl w:val="0"/>
        <w:rPr>
          <w:b/>
          <w:sz w:val="32"/>
          <w:u w:val="single"/>
        </w:rPr>
      </w:pPr>
    </w:p>
    <w:p w14:paraId="2ECC05ED" w14:textId="77777777" w:rsidR="007550E8" w:rsidRDefault="007550E8" w:rsidP="007550E8">
      <w:pPr>
        <w:spacing w:line="480" w:lineRule="auto"/>
        <w:jc w:val="both"/>
        <w:outlineLvl w:val="0"/>
        <w:rPr>
          <w:b/>
          <w:sz w:val="32"/>
          <w:u w:val="single"/>
        </w:rPr>
      </w:pPr>
    </w:p>
    <w:p w14:paraId="640C1FCD" w14:textId="77777777" w:rsidR="007550E8" w:rsidRDefault="007550E8" w:rsidP="007550E8">
      <w:pPr>
        <w:spacing w:line="480" w:lineRule="auto"/>
        <w:jc w:val="both"/>
        <w:outlineLvl w:val="0"/>
        <w:rPr>
          <w:b/>
          <w:sz w:val="32"/>
          <w:u w:val="single"/>
        </w:rPr>
      </w:pPr>
    </w:p>
    <w:p w14:paraId="402CD8FC" w14:textId="77777777" w:rsidR="007550E8" w:rsidRDefault="007550E8" w:rsidP="007550E8">
      <w:pPr>
        <w:spacing w:line="480" w:lineRule="auto"/>
        <w:jc w:val="both"/>
        <w:outlineLvl w:val="0"/>
        <w:rPr>
          <w:b/>
          <w:sz w:val="32"/>
          <w:u w:val="single"/>
        </w:rPr>
      </w:pPr>
    </w:p>
    <w:p w14:paraId="138D0967" w14:textId="77777777" w:rsidR="007550E8" w:rsidRDefault="007550E8" w:rsidP="007550E8">
      <w:pPr>
        <w:spacing w:line="480" w:lineRule="auto"/>
        <w:jc w:val="both"/>
        <w:outlineLvl w:val="0"/>
        <w:rPr>
          <w:b/>
          <w:sz w:val="32"/>
          <w:u w:val="single"/>
        </w:rPr>
      </w:pPr>
    </w:p>
    <w:p w14:paraId="24AE5D55" w14:textId="77777777" w:rsidR="007550E8" w:rsidRDefault="007550E8" w:rsidP="007550E8">
      <w:pPr>
        <w:spacing w:line="480" w:lineRule="auto"/>
        <w:jc w:val="both"/>
        <w:outlineLvl w:val="0"/>
        <w:rPr>
          <w:b/>
          <w:sz w:val="32"/>
          <w:u w:val="single"/>
        </w:rPr>
      </w:pPr>
    </w:p>
    <w:p w14:paraId="503F4019" w14:textId="77777777" w:rsidR="007550E8" w:rsidRDefault="007550E8" w:rsidP="007550E8">
      <w:pPr>
        <w:spacing w:line="480" w:lineRule="auto"/>
        <w:jc w:val="both"/>
        <w:outlineLvl w:val="0"/>
        <w:rPr>
          <w:b/>
          <w:sz w:val="32"/>
          <w:u w:val="single"/>
        </w:rPr>
      </w:pPr>
    </w:p>
    <w:p w14:paraId="258ADE18" w14:textId="77777777" w:rsidR="007550E8" w:rsidRPr="006647F2" w:rsidRDefault="007550E8" w:rsidP="007550E8">
      <w:pPr>
        <w:spacing w:line="480" w:lineRule="auto"/>
        <w:jc w:val="both"/>
        <w:outlineLvl w:val="0"/>
        <w:rPr>
          <w:sz w:val="32"/>
          <w:u w:val="single"/>
        </w:rPr>
      </w:pPr>
      <w:r>
        <w:rPr>
          <w:b/>
          <w:sz w:val="32"/>
          <w:u w:val="single"/>
        </w:rPr>
        <w:lastRenderedPageBreak/>
        <w:t>List of Tables</w:t>
      </w:r>
    </w:p>
    <w:p w14:paraId="5B76FE7B" w14:textId="480DB04E" w:rsidR="007550E8" w:rsidRDefault="007550E8" w:rsidP="007550E8">
      <w:pPr>
        <w:jc w:val="both"/>
        <w:outlineLvl w:val="0"/>
        <w:rPr>
          <w:sz w:val="22"/>
          <w:szCs w:val="22"/>
        </w:rPr>
      </w:pPr>
      <w:r>
        <w:rPr>
          <w:sz w:val="22"/>
          <w:szCs w:val="22"/>
        </w:rPr>
        <w:t>Table 1. Brief description of key themes identified as barriers to adopting a plant-based diet, including data concerning their frequency with respect to categories, codes, and articles or webpages………….....32</w:t>
      </w:r>
    </w:p>
    <w:p w14:paraId="7F0DA49F" w14:textId="77777777" w:rsidR="007550E8" w:rsidRPr="00656461" w:rsidRDefault="007550E8" w:rsidP="007550E8">
      <w:pPr>
        <w:jc w:val="both"/>
        <w:outlineLvl w:val="0"/>
        <w:rPr>
          <w:sz w:val="22"/>
          <w:szCs w:val="22"/>
        </w:rPr>
      </w:pPr>
    </w:p>
    <w:p w14:paraId="49717633" w14:textId="77777777" w:rsidR="007550E8" w:rsidRDefault="007550E8" w:rsidP="007550E8">
      <w:pPr>
        <w:rPr>
          <w:sz w:val="22"/>
          <w:szCs w:val="22"/>
        </w:rPr>
      </w:pPr>
      <w:r>
        <w:rPr>
          <w:sz w:val="22"/>
          <w:szCs w:val="22"/>
        </w:rPr>
        <w:t>Table 2</w:t>
      </w:r>
      <w:r w:rsidRPr="00B13602">
        <w:rPr>
          <w:sz w:val="22"/>
          <w:szCs w:val="22"/>
        </w:rPr>
        <w:t xml:space="preserve">. </w:t>
      </w:r>
      <w:r>
        <w:rPr>
          <w:sz w:val="22"/>
          <w:szCs w:val="22"/>
        </w:rPr>
        <w:t>Summary of policy instruments and recommendations to combat each of the five barriers to adopting a plant-based diet</w:t>
      </w:r>
      <w:r w:rsidRPr="00E24B60">
        <w:rPr>
          <w:color w:val="000000" w:themeColor="text1"/>
          <w:sz w:val="22"/>
          <w:szCs w:val="22"/>
        </w:rPr>
        <w:t>, and effect pro-environmental change</w:t>
      </w:r>
      <w:r>
        <w:rPr>
          <w:color w:val="000000" w:themeColor="text1"/>
          <w:sz w:val="22"/>
          <w:szCs w:val="22"/>
        </w:rPr>
        <w:t>………………………………………..55</w:t>
      </w:r>
    </w:p>
    <w:p w14:paraId="20D067E8" w14:textId="77777777" w:rsidR="007550E8" w:rsidRPr="00533681" w:rsidRDefault="007550E8" w:rsidP="007550E8">
      <w:pPr>
        <w:rPr>
          <w:sz w:val="22"/>
          <w:szCs w:val="22"/>
        </w:rPr>
      </w:pPr>
    </w:p>
    <w:p w14:paraId="762EFFE7" w14:textId="77777777" w:rsidR="007550E8" w:rsidRDefault="007550E8" w:rsidP="007550E8">
      <w:pPr>
        <w:rPr>
          <w:sz w:val="22"/>
          <w:szCs w:val="22"/>
        </w:rPr>
      </w:pPr>
      <w:r>
        <w:rPr>
          <w:sz w:val="22"/>
          <w:szCs w:val="22"/>
        </w:rPr>
        <w:t>Table 3. Detailed outline of the codes-categories-concepts methodology uncovered from the 111 academic journal articles assessed for barriers to plant-based diets. The context (implicit; explicit) in which the code was stated, the referenced article, and the source are also included…………………….113</w:t>
      </w:r>
    </w:p>
    <w:p w14:paraId="041C2BD8" w14:textId="77777777" w:rsidR="007550E8" w:rsidRDefault="007550E8" w:rsidP="007550E8"/>
    <w:p w14:paraId="47CAB8BD" w14:textId="77777777" w:rsidR="007550E8" w:rsidRDefault="007550E8" w:rsidP="007550E8">
      <w:r>
        <w:t xml:space="preserve"> </w:t>
      </w:r>
    </w:p>
    <w:p w14:paraId="438E9F8A" w14:textId="77777777" w:rsidR="0016217A" w:rsidRDefault="0016217A" w:rsidP="00374D42">
      <w:pPr>
        <w:spacing w:line="480" w:lineRule="auto"/>
        <w:jc w:val="both"/>
        <w:outlineLvl w:val="0"/>
        <w:rPr>
          <w:b/>
          <w:sz w:val="32"/>
          <w:u w:val="single"/>
        </w:rPr>
      </w:pPr>
    </w:p>
    <w:p w14:paraId="471DF823" w14:textId="77777777" w:rsidR="007550E8" w:rsidRDefault="007550E8" w:rsidP="00374D42">
      <w:pPr>
        <w:spacing w:line="480" w:lineRule="auto"/>
        <w:jc w:val="both"/>
        <w:outlineLvl w:val="0"/>
        <w:rPr>
          <w:b/>
          <w:sz w:val="32"/>
          <w:u w:val="single"/>
        </w:rPr>
      </w:pPr>
    </w:p>
    <w:p w14:paraId="63C52982" w14:textId="77777777" w:rsidR="007550E8" w:rsidRDefault="007550E8" w:rsidP="00374D42">
      <w:pPr>
        <w:spacing w:line="480" w:lineRule="auto"/>
        <w:jc w:val="both"/>
        <w:outlineLvl w:val="0"/>
        <w:rPr>
          <w:b/>
          <w:sz w:val="32"/>
          <w:u w:val="single"/>
        </w:rPr>
      </w:pPr>
    </w:p>
    <w:p w14:paraId="1DD6556B" w14:textId="77777777" w:rsidR="007550E8" w:rsidRDefault="007550E8" w:rsidP="00374D42">
      <w:pPr>
        <w:spacing w:line="480" w:lineRule="auto"/>
        <w:jc w:val="both"/>
        <w:outlineLvl w:val="0"/>
        <w:rPr>
          <w:b/>
          <w:sz w:val="32"/>
          <w:u w:val="single"/>
        </w:rPr>
      </w:pPr>
    </w:p>
    <w:p w14:paraId="4297A0A5" w14:textId="77777777" w:rsidR="007550E8" w:rsidRDefault="007550E8" w:rsidP="00374D42">
      <w:pPr>
        <w:spacing w:line="480" w:lineRule="auto"/>
        <w:jc w:val="both"/>
        <w:outlineLvl w:val="0"/>
        <w:rPr>
          <w:b/>
          <w:sz w:val="32"/>
          <w:u w:val="single"/>
        </w:rPr>
      </w:pPr>
    </w:p>
    <w:p w14:paraId="4DFAAB50" w14:textId="77777777" w:rsidR="007550E8" w:rsidRDefault="007550E8" w:rsidP="00374D42">
      <w:pPr>
        <w:spacing w:line="480" w:lineRule="auto"/>
        <w:jc w:val="both"/>
        <w:outlineLvl w:val="0"/>
        <w:rPr>
          <w:b/>
          <w:sz w:val="32"/>
          <w:u w:val="single"/>
        </w:rPr>
      </w:pPr>
    </w:p>
    <w:p w14:paraId="248AFFF2" w14:textId="77777777" w:rsidR="007550E8" w:rsidRDefault="007550E8" w:rsidP="00374D42">
      <w:pPr>
        <w:spacing w:line="480" w:lineRule="auto"/>
        <w:jc w:val="both"/>
        <w:outlineLvl w:val="0"/>
        <w:rPr>
          <w:b/>
          <w:sz w:val="32"/>
          <w:u w:val="single"/>
        </w:rPr>
      </w:pPr>
    </w:p>
    <w:p w14:paraId="03899F44" w14:textId="77777777" w:rsidR="007550E8" w:rsidRDefault="007550E8" w:rsidP="00374D42">
      <w:pPr>
        <w:spacing w:line="480" w:lineRule="auto"/>
        <w:jc w:val="both"/>
        <w:outlineLvl w:val="0"/>
        <w:rPr>
          <w:b/>
          <w:sz w:val="32"/>
          <w:u w:val="single"/>
        </w:rPr>
      </w:pPr>
    </w:p>
    <w:p w14:paraId="51AF9798" w14:textId="77777777" w:rsidR="007550E8" w:rsidRDefault="007550E8" w:rsidP="00374D42">
      <w:pPr>
        <w:spacing w:line="480" w:lineRule="auto"/>
        <w:jc w:val="both"/>
        <w:outlineLvl w:val="0"/>
        <w:rPr>
          <w:b/>
          <w:sz w:val="32"/>
          <w:u w:val="single"/>
        </w:rPr>
      </w:pPr>
    </w:p>
    <w:p w14:paraId="58577C48" w14:textId="77777777" w:rsidR="007550E8" w:rsidRDefault="007550E8" w:rsidP="00374D42">
      <w:pPr>
        <w:spacing w:line="480" w:lineRule="auto"/>
        <w:jc w:val="both"/>
        <w:outlineLvl w:val="0"/>
        <w:rPr>
          <w:b/>
          <w:sz w:val="32"/>
          <w:u w:val="single"/>
        </w:rPr>
      </w:pPr>
    </w:p>
    <w:p w14:paraId="2F47BCBC" w14:textId="77777777" w:rsidR="007550E8" w:rsidRDefault="007550E8" w:rsidP="00374D42">
      <w:pPr>
        <w:spacing w:line="480" w:lineRule="auto"/>
        <w:jc w:val="both"/>
        <w:outlineLvl w:val="0"/>
        <w:rPr>
          <w:b/>
          <w:sz w:val="32"/>
          <w:u w:val="single"/>
        </w:rPr>
      </w:pPr>
    </w:p>
    <w:p w14:paraId="6E204552" w14:textId="77777777" w:rsidR="007550E8" w:rsidRDefault="007550E8" w:rsidP="00374D42">
      <w:pPr>
        <w:spacing w:line="480" w:lineRule="auto"/>
        <w:jc w:val="both"/>
        <w:outlineLvl w:val="0"/>
        <w:rPr>
          <w:b/>
          <w:sz w:val="32"/>
          <w:u w:val="single"/>
        </w:rPr>
      </w:pPr>
    </w:p>
    <w:p w14:paraId="2B4CF305" w14:textId="77777777" w:rsidR="007550E8" w:rsidRDefault="007550E8" w:rsidP="00374D42">
      <w:pPr>
        <w:spacing w:line="480" w:lineRule="auto"/>
        <w:jc w:val="both"/>
        <w:outlineLvl w:val="0"/>
        <w:rPr>
          <w:b/>
          <w:sz w:val="32"/>
          <w:u w:val="single"/>
        </w:rPr>
      </w:pPr>
    </w:p>
    <w:p w14:paraId="519FE16A" w14:textId="77777777" w:rsidR="00374D42" w:rsidRPr="006647F2" w:rsidRDefault="00374D42" w:rsidP="00374D42">
      <w:pPr>
        <w:spacing w:line="480" w:lineRule="auto"/>
        <w:jc w:val="both"/>
        <w:outlineLvl w:val="0"/>
        <w:rPr>
          <w:sz w:val="32"/>
          <w:u w:val="single"/>
        </w:rPr>
      </w:pPr>
      <w:r w:rsidRPr="006647F2">
        <w:rPr>
          <w:b/>
          <w:sz w:val="32"/>
          <w:u w:val="single"/>
        </w:rPr>
        <w:lastRenderedPageBreak/>
        <w:t>Introduction</w:t>
      </w:r>
    </w:p>
    <w:p w14:paraId="7D977825" w14:textId="11709837" w:rsidR="00374D42" w:rsidRPr="00D324D1" w:rsidRDefault="00374D42" w:rsidP="00374D42">
      <w:pPr>
        <w:spacing w:line="480" w:lineRule="auto"/>
        <w:ind w:firstLine="720"/>
        <w:jc w:val="both"/>
        <w:rPr>
          <w:color w:val="000000" w:themeColor="text1"/>
        </w:rPr>
      </w:pPr>
      <w:r w:rsidRPr="00D324D1">
        <w:rPr>
          <w:color w:val="000000" w:themeColor="text1"/>
        </w:rPr>
        <w:t>Evidence suggests that the increasing demand for animal protein worldwide has negative impacts on environmental sustainability, in addition to human health and food security (</w:t>
      </w:r>
      <w:r w:rsidRPr="00D324D1">
        <w:t xml:space="preserve">Steinfeld </w:t>
      </w:r>
      <w:r w:rsidRPr="00D324D1">
        <w:rPr>
          <w:i/>
        </w:rPr>
        <w:t>et al.</w:t>
      </w:r>
      <w:r w:rsidRPr="00D324D1">
        <w:t xml:space="preserve">, 2006; Garnett, 2011; Porter </w:t>
      </w:r>
      <w:r w:rsidRPr="00D324D1">
        <w:rPr>
          <w:i/>
        </w:rPr>
        <w:t>et al.,</w:t>
      </w:r>
      <w:r w:rsidRPr="00D324D1">
        <w:t xml:space="preserve"> 2014; Sabaté &amp; Soret, 2014)</w:t>
      </w:r>
      <w:r w:rsidRPr="00D324D1">
        <w:rPr>
          <w:color w:val="000000" w:themeColor="text1"/>
        </w:rPr>
        <w:t xml:space="preserve">. Several issues include land degradation, water use and greenhouse gas (GHG) emissions, among others (Steinfeld </w:t>
      </w:r>
      <w:r w:rsidRPr="00D324D1">
        <w:rPr>
          <w:i/>
          <w:color w:val="000000" w:themeColor="text1"/>
        </w:rPr>
        <w:t>et al.,</w:t>
      </w:r>
      <w:r w:rsidRPr="00D324D1">
        <w:rPr>
          <w:color w:val="000000" w:themeColor="text1"/>
        </w:rPr>
        <w:t xml:space="preserve"> 2006). Animal-based or omnivorous diets are more GHG-intensive than their vegetarian counterparts (Steinfeld </w:t>
      </w:r>
      <w:r w:rsidRPr="00D324D1">
        <w:rPr>
          <w:i/>
          <w:color w:val="000000" w:themeColor="text1"/>
        </w:rPr>
        <w:t>et al.,</w:t>
      </w:r>
      <w:r w:rsidRPr="00D324D1">
        <w:rPr>
          <w:color w:val="000000" w:themeColor="text1"/>
        </w:rPr>
        <w:t xml:space="preserve"> 2006; Soret </w:t>
      </w:r>
      <w:r w:rsidRPr="00D324D1">
        <w:rPr>
          <w:i/>
          <w:color w:val="000000" w:themeColor="text1"/>
        </w:rPr>
        <w:t>et al.</w:t>
      </w:r>
      <w:r w:rsidRPr="00D324D1">
        <w:rPr>
          <w:color w:val="000000" w:themeColor="text1"/>
        </w:rPr>
        <w:t xml:space="preserve">, 2014; Tilman &amp; Clark, 2014) predominantly </w:t>
      </w:r>
      <w:r w:rsidR="008B0B22">
        <w:rPr>
          <w:color w:val="000000" w:themeColor="text1"/>
        </w:rPr>
        <w:t>due</w:t>
      </w:r>
      <w:r w:rsidRPr="00D324D1">
        <w:rPr>
          <w:color w:val="000000" w:themeColor="text1"/>
        </w:rPr>
        <w:t xml:space="preserve"> to (i) inefficiencies associated with growing crops for animal feed; and (ii) methane emissions </w:t>
      </w:r>
      <w:r>
        <w:rPr>
          <w:color w:val="000000" w:themeColor="text1"/>
        </w:rPr>
        <w:t>attributed to the</w:t>
      </w:r>
      <w:r w:rsidRPr="00D324D1">
        <w:rPr>
          <w:color w:val="000000" w:themeColor="text1"/>
        </w:rPr>
        <w:t xml:space="preserve"> digestive processes of ruminant animals (Steinfeld </w:t>
      </w:r>
      <w:r w:rsidRPr="00D324D1">
        <w:rPr>
          <w:i/>
          <w:color w:val="000000" w:themeColor="text1"/>
        </w:rPr>
        <w:t>et al.,</w:t>
      </w:r>
      <w:r w:rsidRPr="00D324D1">
        <w:rPr>
          <w:color w:val="000000" w:themeColor="text1"/>
        </w:rPr>
        <w:t xml:space="preserve"> 2006). Consequently, the livestock industry alone has major environmental implications that must be addressed. </w:t>
      </w:r>
    </w:p>
    <w:p w14:paraId="36E91F13" w14:textId="49D6DFE1" w:rsidR="00374D42" w:rsidRPr="00D324D1" w:rsidRDefault="00374D42" w:rsidP="00374D42">
      <w:pPr>
        <w:spacing w:line="480" w:lineRule="auto"/>
        <w:ind w:firstLine="720"/>
        <w:jc w:val="both"/>
        <w:rPr>
          <w:color w:val="000000" w:themeColor="text1"/>
        </w:rPr>
      </w:pPr>
      <w:r w:rsidRPr="00D324D1">
        <w:rPr>
          <w:color w:val="000000" w:themeColor="text1"/>
        </w:rPr>
        <w:t xml:space="preserve">Advances in research and technological innovation in industrial agriculture are underway for both mitigation and adaptation to climate change (Steinfeld </w:t>
      </w:r>
      <w:r w:rsidRPr="00D324D1">
        <w:rPr>
          <w:i/>
          <w:color w:val="000000" w:themeColor="text1"/>
        </w:rPr>
        <w:t>et al.,</w:t>
      </w:r>
      <w:r w:rsidRPr="00D324D1">
        <w:rPr>
          <w:color w:val="000000" w:themeColor="text1"/>
        </w:rPr>
        <w:t xml:space="preserve"> 2006; Porter </w:t>
      </w:r>
      <w:r w:rsidRPr="00D324D1">
        <w:rPr>
          <w:i/>
          <w:color w:val="000000" w:themeColor="text1"/>
        </w:rPr>
        <w:t xml:space="preserve">et al., </w:t>
      </w:r>
      <w:r w:rsidRPr="00D324D1">
        <w:rPr>
          <w:color w:val="000000" w:themeColor="text1"/>
        </w:rPr>
        <w:t xml:space="preserve">2014). However, despite these technological advances in </w:t>
      </w:r>
      <w:r>
        <w:rPr>
          <w:color w:val="000000" w:themeColor="text1"/>
        </w:rPr>
        <w:t>commercial agricultural</w:t>
      </w:r>
      <w:r w:rsidRPr="00D324D1">
        <w:rPr>
          <w:color w:val="000000" w:themeColor="text1"/>
        </w:rPr>
        <w:t xml:space="preserve"> production, adoption of new technologies may not achieve sufficient mitigation in a timely manner. Thus, in combination with research and technological innovation, changes in </w:t>
      </w:r>
      <w:r w:rsidR="008B0B22">
        <w:rPr>
          <w:color w:val="000000" w:themeColor="text1"/>
        </w:rPr>
        <w:t xml:space="preserve">individual consumption behaviours </w:t>
      </w:r>
      <w:r w:rsidRPr="00D324D1">
        <w:rPr>
          <w:color w:val="000000" w:themeColor="text1"/>
        </w:rPr>
        <w:t xml:space="preserve">are more likely to promote substantial reductions in GHGs, especially in developed countries (Garnett, 2011; Garnett, 2013) </w:t>
      </w:r>
      <w:r w:rsidR="008B1764">
        <w:rPr>
          <w:color w:val="000000" w:themeColor="text1"/>
        </w:rPr>
        <w:t>that</w:t>
      </w:r>
      <w:r w:rsidR="008B1764" w:rsidRPr="00D324D1">
        <w:rPr>
          <w:color w:val="000000" w:themeColor="text1"/>
        </w:rPr>
        <w:t xml:space="preserve"> </w:t>
      </w:r>
      <w:r w:rsidRPr="00D324D1">
        <w:rPr>
          <w:color w:val="000000" w:themeColor="text1"/>
        </w:rPr>
        <w:t>exhibit the highest rates of meat consumption on a global scale (</w:t>
      </w:r>
      <w:r w:rsidRPr="00D324D1">
        <w:t>FAO, 2013</w:t>
      </w:r>
      <w:r w:rsidRPr="00D324D1">
        <w:rPr>
          <w:color w:val="000000" w:themeColor="text1"/>
        </w:rPr>
        <w:t xml:space="preserve">). </w:t>
      </w:r>
    </w:p>
    <w:p w14:paraId="2859EAA7" w14:textId="767AEBAA" w:rsidR="00374D42" w:rsidRDefault="00374D42" w:rsidP="00374D42">
      <w:pPr>
        <w:spacing w:line="480" w:lineRule="auto"/>
        <w:ind w:firstLine="720"/>
        <w:jc w:val="both"/>
        <w:rPr>
          <w:color w:val="FF0000"/>
        </w:rPr>
      </w:pPr>
      <w:r w:rsidRPr="00D324D1">
        <w:rPr>
          <w:color w:val="000000" w:themeColor="text1"/>
        </w:rPr>
        <w:t xml:space="preserve">In Canada, </w:t>
      </w:r>
      <w:r>
        <w:rPr>
          <w:color w:val="000000" w:themeColor="text1"/>
        </w:rPr>
        <w:t xml:space="preserve">sparse data exists on </w:t>
      </w:r>
      <w:r w:rsidRPr="00D324D1">
        <w:rPr>
          <w:color w:val="000000" w:themeColor="text1"/>
        </w:rPr>
        <w:t>rates of vegetari</w:t>
      </w:r>
      <w:r>
        <w:rPr>
          <w:color w:val="000000" w:themeColor="text1"/>
        </w:rPr>
        <w:t>anism and trends in consumption.</w:t>
      </w:r>
      <w:r w:rsidRPr="00D324D1">
        <w:rPr>
          <w:color w:val="000000" w:themeColor="text1"/>
        </w:rPr>
        <w:t xml:space="preserve"> Only one study has attempted to determine the percentage of vegetarians in Canada, however </w:t>
      </w:r>
      <w:r w:rsidR="008C681D">
        <w:rPr>
          <w:color w:val="000000" w:themeColor="text1"/>
        </w:rPr>
        <w:t xml:space="preserve">self-proclaimed rates of vegetarianism may be exaggerated </w:t>
      </w:r>
      <w:r w:rsidRPr="00D324D1">
        <w:rPr>
          <w:color w:val="000000" w:themeColor="text1"/>
        </w:rPr>
        <w:t xml:space="preserve">and the data are substantially outdated, with the study dating back to 2004 (Ipsos-Reid, 2004). In addition, this study was merely a snapshot in time, and consequently gave no insight into trends associated with vegetarian </w:t>
      </w:r>
      <w:r>
        <w:rPr>
          <w:color w:val="000000" w:themeColor="text1"/>
        </w:rPr>
        <w:t>diets</w:t>
      </w:r>
      <w:r w:rsidRPr="00D324D1">
        <w:rPr>
          <w:color w:val="000000" w:themeColor="text1"/>
        </w:rPr>
        <w:t xml:space="preserve">. </w:t>
      </w:r>
      <w:r w:rsidR="007F7004">
        <w:rPr>
          <w:color w:val="000000" w:themeColor="text1"/>
        </w:rPr>
        <w:lastRenderedPageBreak/>
        <w:t>Per capita a</w:t>
      </w:r>
      <w:r>
        <w:rPr>
          <w:color w:val="000000" w:themeColor="text1"/>
        </w:rPr>
        <w:t xml:space="preserve">nimal protein consumption in Canada is currently (2014) at its lowest point since 1981 (AAFC, 2014), suggesting a shift </w:t>
      </w:r>
      <w:r w:rsidR="001030B1">
        <w:rPr>
          <w:color w:val="000000" w:themeColor="text1"/>
        </w:rPr>
        <w:t>to plant-based, environmentally-</w:t>
      </w:r>
      <w:r>
        <w:rPr>
          <w:color w:val="000000" w:themeColor="text1"/>
        </w:rPr>
        <w:t xml:space="preserve">conscious diets may be somewhat attainable. </w:t>
      </w:r>
    </w:p>
    <w:p w14:paraId="1C8BDED7" w14:textId="4972853D" w:rsidR="00374D42" w:rsidRPr="00D324D1" w:rsidRDefault="00374D42" w:rsidP="000B53DB">
      <w:pPr>
        <w:spacing w:line="480" w:lineRule="auto"/>
        <w:ind w:firstLine="720"/>
        <w:jc w:val="both"/>
        <w:rPr>
          <w:color w:val="000000" w:themeColor="text1"/>
        </w:rPr>
      </w:pPr>
      <w:r>
        <w:t>S</w:t>
      </w:r>
      <w:r w:rsidRPr="00D324D1">
        <w:t>tudies</w:t>
      </w:r>
      <w:r>
        <w:t xml:space="preserve"> have found</w:t>
      </w:r>
      <w:r w:rsidRPr="00D324D1">
        <w:t xml:space="preserve"> </w:t>
      </w:r>
      <w:r>
        <w:t xml:space="preserve">that </w:t>
      </w:r>
      <w:r w:rsidRPr="00D324D1">
        <w:t xml:space="preserve">factors such as human health and animal welfare are more </w:t>
      </w:r>
      <w:r>
        <w:t>commonly cited</w:t>
      </w:r>
      <w:r w:rsidRPr="00D324D1">
        <w:t xml:space="preserve"> as motivations </w:t>
      </w:r>
      <w:r>
        <w:t>for</w:t>
      </w:r>
      <w:r w:rsidRPr="00D324D1">
        <w:t xml:space="preserve"> adopting plant-based consumption habits, in comparison to environmental concern (Beardsworth &amp; Keil, 1991; Krizmanic, 1992; Rozin </w:t>
      </w:r>
      <w:r w:rsidRPr="00D324D1">
        <w:rPr>
          <w:i/>
        </w:rPr>
        <w:t>et al.,</w:t>
      </w:r>
      <w:r w:rsidRPr="00D324D1">
        <w:t xml:space="preserve"> 1997; White et al., 1999; Potts &amp; White, 2008; Fox &amp; Ward, 2008; Hoffman </w:t>
      </w:r>
      <w:r w:rsidRPr="00D324D1">
        <w:rPr>
          <w:i/>
        </w:rPr>
        <w:t>et al.,</w:t>
      </w:r>
      <w:r w:rsidRPr="00D324D1">
        <w:t xml:space="preserve"> 2013). </w:t>
      </w:r>
      <w:r w:rsidR="008B0B22">
        <w:rPr>
          <w:color w:val="000000" w:themeColor="text1"/>
        </w:rPr>
        <w:t>M</w:t>
      </w:r>
      <w:r w:rsidR="00C32599">
        <w:rPr>
          <w:color w:val="000000" w:themeColor="text1"/>
        </w:rPr>
        <w:t xml:space="preserve">ost studies assume the </w:t>
      </w:r>
      <w:r w:rsidR="003E1F1A">
        <w:rPr>
          <w:color w:val="000000" w:themeColor="text1"/>
        </w:rPr>
        <w:t>best way to address this problem is to</w:t>
      </w:r>
      <w:r w:rsidR="00C32599">
        <w:rPr>
          <w:color w:val="000000" w:themeColor="text1"/>
        </w:rPr>
        <w:t xml:space="preserve"> convinc</w:t>
      </w:r>
      <w:r w:rsidR="003E1F1A">
        <w:rPr>
          <w:color w:val="000000" w:themeColor="text1"/>
        </w:rPr>
        <w:t>e</w:t>
      </w:r>
      <w:r w:rsidR="00C32599">
        <w:rPr>
          <w:color w:val="000000" w:themeColor="text1"/>
        </w:rPr>
        <w:t xml:space="preserve"> more people to change their di</w:t>
      </w:r>
      <w:r w:rsidR="008B0B22">
        <w:rPr>
          <w:color w:val="000000" w:themeColor="text1"/>
        </w:rPr>
        <w:t>etary habits</w:t>
      </w:r>
      <w:r w:rsidR="000B53DB">
        <w:rPr>
          <w:color w:val="000000" w:themeColor="text1"/>
        </w:rPr>
        <w:t xml:space="preserve"> (ie. motivation)</w:t>
      </w:r>
      <w:r w:rsidR="008B0B22">
        <w:rPr>
          <w:color w:val="000000" w:themeColor="text1"/>
        </w:rPr>
        <w:t>.</w:t>
      </w:r>
      <w:r w:rsidR="00D83D73">
        <w:rPr>
          <w:color w:val="000000" w:themeColor="text1"/>
        </w:rPr>
        <w:t xml:space="preserve"> </w:t>
      </w:r>
      <w:r w:rsidR="008B0B22">
        <w:rPr>
          <w:color w:val="000000" w:themeColor="text1"/>
        </w:rPr>
        <w:t>H</w:t>
      </w:r>
      <w:r w:rsidR="00D83D73">
        <w:rPr>
          <w:color w:val="000000" w:themeColor="text1"/>
        </w:rPr>
        <w:t>owever</w:t>
      </w:r>
      <w:r w:rsidR="008B0B22">
        <w:rPr>
          <w:color w:val="000000" w:themeColor="text1"/>
        </w:rPr>
        <w:t>,</w:t>
      </w:r>
      <w:r w:rsidR="00D83D73">
        <w:rPr>
          <w:color w:val="000000" w:themeColor="text1"/>
        </w:rPr>
        <w:t xml:space="preserve"> the following analysis</w:t>
      </w:r>
      <w:r w:rsidR="00C32599">
        <w:rPr>
          <w:color w:val="000000" w:themeColor="text1"/>
        </w:rPr>
        <w:t xml:space="preserve"> </w:t>
      </w:r>
      <w:r w:rsidR="008B0B22">
        <w:rPr>
          <w:color w:val="000000" w:themeColor="text1"/>
        </w:rPr>
        <w:t>examines</w:t>
      </w:r>
      <w:r w:rsidR="00C32599">
        <w:rPr>
          <w:color w:val="000000" w:themeColor="text1"/>
        </w:rPr>
        <w:t xml:space="preserve"> what is actively discouraging pro-environmental behavio</w:t>
      </w:r>
      <w:r w:rsidR="004D5563">
        <w:rPr>
          <w:color w:val="000000" w:themeColor="text1"/>
        </w:rPr>
        <w:t>u</w:t>
      </w:r>
      <w:r w:rsidR="00C32599">
        <w:rPr>
          <w:color w:val="000000" w:themeColor="text1"/>
        </w:rPr>
        <w:t xml:space="preserve">ral change. </w:t>
      </w:r>
      <w:r w:rsidR="008B0B22">
        <w:rPr>
          <w:color w:val="000000" w:themeColor="text1"/>
        </w:rPr>
        <w:t>I</w:t>
      </w:r>
      <w:r>
        <w:rPr>
          <w:color w:val="000000" w:themeColor="text1"/>
        </w:rPr>
        <w:t xml:space="preserve">t is important to specify that </w:t>
      </w:r>
      <w:r w:rsidRPr="00662646">
        <w:rPr>
          <w:i/>
          <w:color w:val="000000" w:themeColor="text1"/>
        </w:rPr>
        <w:t>motivation</w:t>
      </w:r>
      <w:r>
        <w:rPr>
          <w:color w:val="000000" w:themeColor="text1"/>
        </w:rPr>
        <w:t xml:space="preserve"> is the reason a person behaves in a particular manner; whereas </w:t>
      </w:r>
      <w:r w:rsidRPr="00662646">
        <w:rPr>
          <w:i/>
          <w:color w:val="000000" w:themeColor="text1"/>
        </w:rPr>
        <w:t>barriers</w:t>
      </w:r>
      <w:r>
        <w:rPr>
          <w:color w:val="000000" w:themeColor="text1"/>
        </w:rPr>
        <w:t xml:space="preserve"> refer to active discouragement that prevent a person from acting in a specific way. Moreover, motivational success is considered to be subsequent to the removal of barriers. </w:t>
      </w:r>
      <w:r w:rsidR="000F3A73">
        <w:rPr>
          <w:color w:val="000000" w:themeColor="text1"/>
        </w:rPr>
        <w:t xml:space="preserve">Motivational attitudes provide only a piece to the puzzle, and </w:t>
      </w:r>
      <w:r w:rsidR="00D83D73">
        <w:rPr>
          <w:color w:val="000000" w:themeColor="text1"/>
        </w:rPr>
        <w:t xml:space="preserve">contrary to the theory of reasoned action, </w:t>
      </w:r>
      <w:r w:rsidR="000F3A73">
        <w:rPr>
          <w:color w:val="000000" w:themeColor="text1"/>
        </w:rPr>
        <w:t xml:space="preserve">attitudes </w:t>
      </w:r>
      <w:r w:rsidR="00D83D73">
        <w:rPr>
          <w:color w:val="000000" w:themeColor="text1"/>
        </w:rPr>
        <w:t xml:space="preserve">themselves </w:t>
      </w:r>
      <w:r w:rsidR="000F3A73">
        <w:rPr>
          <w:color w:val="000000" w:themeColor="text1"/>
        </w:rPr>
        <w:t xml:space="preserve">are </w:t>
      </w:r>
      <w:r w:rsidR="00D83D73">
        <w:rPr>
          <w:color w:val="000000" w:themeColor="text1"/>
        </w:rPr>
        <w:t>poor predictors of</w:t>
      </w:r>
      <w:r w:rsidR="000F3A73">
        <w:rPr>
          <w:color w:val="000000" w:themeColor="text1"/>
        </w:rPr>
        <w:t xml:space="preserve"> behavio</w:t>
      </w:r>
      <w:r w:rsidR="004D5563">
        <w:rPr>
          <w:color w:val="000000" w:themeColor="text1"/>
        </w:rPr>
        <w:t>u</w:t>
      </w:r>
      <w:r w:rsidR="000F3A73">
        <w:rPr>
          <w:color w:val="000000" w:themeColor="text1"/>
        </w:rPr>
        <w:t>ral intention (Vermier &amp; Verbeke, 2006).</w:t>
      </w:r>
      <w:r w:rsidR="000B53DB">
        <w:rPr>
          <w:color w:val="000000" w:themeColor="text1"/>
        </w:rPr>
        <w:t xml:space="preserve"> The importance of the following analysis is timely, considering</w:t>
      </w:r>
      <w:r w:rsidR="000B53DB" w:rsidRPr="00D324D1">
        <w:rPr>
          <w:color w:val="000000" w:themeColor="text1"/>
        </w:rPr>
        <w:t xml:space="preserve"> </w:t>
      </w:r>
      <w:r w:rsidR="000B53DB">
        <w:rPr>
          <w:color w:val="000000" w:themeColor="text1"/>
        </w:rPr>
        <w:t xml:space="preserve">no comprehensive analysis of </w:t>
      </w:r>
      <w:r w:rsidR="000B53DB" w:rsidRPr="00D324D1">
        <w:rPr>
          <w:color w:val="000000" w:themeColor="text1"/>
        </w:rPr>
        <w:t>barriers</w:t>
      </w:r>
      <w:r w:rsidR="000B53DB">
        <w:rPr>
          <w:color w:val="000000" w:themeColor="text1"/>
        </w:rPr>
        <w:t xml:space="preserve"> </w:t>
      </w:r>
      <w:r w:rsidR="000B53DB" w:rsidRPr="00D324D1">
        <w:rPr>
          <w:color w:val="000000" w:themeColor="text1"/>
        </w:rPr>
        <w:t xml:space="preserve">to vegetarianism in </w:t>
      </w:r>
      <w:r w:rsidR="000B53DB">
        <w:rPr>
          <w:color w:val="000000" w:themeColor="text1"/>
        </w:rPr>
        <w:t>developed countries currently exists (</w:t>
      </w:r>
      <w:r w:rsidR="000B53DB">
        <w:t xml:space="preserve">Berg, 2012; Graça </w:t>
      </w:r>
      <w:r w:rsidR="000B53DB" w:rsidRPr="007341A7">
        <w:rPr>
          <w:i/>
        </w:rPr>
        <w:t>et al.,</w:t>
      </w:r>
      <w:r w:rsidR="000B53DB">
        <w:t xml:space="preserve"> 2015</w:t>
      </w:r>
      <w:r w:rsidR="000B53DB">
        <w:rPr>
          <w:color w:val="000000" w:themeColor="text1"/>
        </w:rPr>
        <w:t>).</w:t>
      </w:r>
    </w:p>
    <w:p w14:paraId="24AF553A" w14:textId="23835031" w:rsidR="00C16A20" w:rsidRDefault="00374D42" w:rsidP="00374D42">
      <w:pPr>
        <w:spacing w:line="480" w:lineRule="auto"/>
        <w:ind w:firstLine="720"/>
        <w:jc w:val="both"/>
      </w:pPr>
      <w:r w:rsidRPr="00D324D1">
        <w:t xml:space="preserve">This research </w:t>
      </w:r>
      <w:r>
        <w:t>addresses</w:t>
      </w:r>
      <w:r w:rsidRPr="00D324D1">
        <w:t xml:space="preserve"> three overarching </w:t>
      </w:r>
      <w:r w:rsidR="0041390C">
        <w:t xml:space="preserve">research </w:t>
      </w:r>
      <w:r w:rsidRPr="00D324D1">
        <w:t>questions</w:t>
      </w:r>
      <w:r>
        <w:t xml:space="preserve"> concerning the environmental impacts associated with the livestock industry:</w:t>
      </w:r>
      <w:r w:rsidRPr="00D324D1">
        <w:t xml:space="preserve"> (i) What is the </w:t>
      </w:r>
      <w:r w:rsidR="00C32599">
        <w:t>nature an</w:t>
      </w:r>
      <w:r w:rsidR="00D83D73">
        <w:t>d</w:t>
      </w:r>
      <w:r w:rsidR="00C32599">
        <w:t xml:space="preserve"> scale of the environmental impacts associated with animal agriculture, with a particular focus on Canada</w:t>
      </w:r>
      <w:r w:rsidR="003E1F1A">
        <w:t>?</w:t>
      </w:r>
      <w:r w:rsidR="00C32599">
        <w:t xml:space="preserve">; </w:t>
      </w:r>
      <w:r w:rsidRPr="00D324D1">
        <w:t xml:space="preserve">(ii) What are the barriers to vegetarianism in </w:t>
      </w:r>
      <w:r w:rsidR="00C32599">
        <w:t xml:space="preserve">western </w:t>
      </w:r>
      <w:r w:rsidR="008B0B22">
        <w:t>societies</w:t>
      </w:r>
      <w:r w:rsidRPr="00D324D1">
        <w:t xml:space="preserve">?; and (iii) What are potential policy measures that could be implemented to </w:t>
      </w:r>
      <w:r>
        <w:t>remove</w:t>
      </w:r>
      <w:r w:rsidRPr="00D324D1">
        <w:t xml:space="preserve"> barriers to vegetarianism, and </w:t>
      </w:r>
      <w:r>
        <w:t>invoke</w:t>
      </w:r>
      <w:r w:rsidRPr="00D324D1">
        <w:t xml:space="preserve"> a shift to plant-based diets? </w:t>
      </w:r>
      <w:r w:rsidR="00C16A20">
        <w:t xml:space="preserve">In order to enable an effective transition to dietary </w:t>
      </w:r>
      <w:r w:rsidR="00C16A20">
        <w:lastRenderedPageBreak/>
        <w:t>sustainability, critical barriers must be identified, to subsequently determine potential points for policy intervention (Vinnari &amp; Vinnari, 2013).</w:t>
      </w:r>
    </w:p>
    <w:p w14:paraId="3CF08D3C" w14:textId="4FDF1FFB" w:rsidR="00374D42" w:rsidRDefault="00374D42" w:rsidP="00374D42">
      <w:pPr>
        <w:spacing w:line="480" w:lineRule="auto"/>
        <w:ind w:firstLine="720"/>
        <w:jc w:val="both"/>
      </w:pPr>
      <w:r w:rsidRPr="00D324D1">
        <w:t>The ov</w:t>
      </w:r>
      <w:r>
        <w:t>e</w:t>
      </w:r>
      <w:r w:rsidR="00D83D73">
        <w:t>rall purpose of this research i</w:t>
      </w:r>
      <w:r w:rsidRPr="00D324D1">
        <w:t xml:space="preserve">s to examine barriers to vegetarianism in Canada and Western </w:t>
      </w:r>
      <w:r w:rsidR="008B0B22">
        <w:t>economies</w:t>
      </w:r>
      <w:r w:rsidRPr="00D324D1">
        <w:t xml:space="preserve"> using inductive coding to extract key themes and commonalities found </w:t>
      </w:r>
      <w:r>
        <w:t>in</w:t>
      </w:r>
      <w:r w:rsidRPr="00D324D1">
        <w:t xml:space="preserve"> various sources of literature. </w:t>
      </w:r>
      <w:r w:rsidR="00EF11AF">
        <w:t>This research did not narrow its scope to one expected barrier (</w:t>
      </w:r>
      <w:r w:rsidR="00EF11AF" w:rsidRPr="00152BBF">
        <w:rPr>
          <w:color w:val="000000" w:themeColor="text1"/>
        </w:rPr>
        <w:t>ie. failure to diffuse vegetarianism as a technology, media coverage, behavio</w:t>
      </w:r>
      <w:r w:rsidR="004D5563">
        <w:rPr>
          <w:color w:val="000000" w:themeColor="text1"/>
        </w:rPr>
        <w:t>u</w:t>
      </w:r>
      <w:r w:rsidR="00EF11AF" w:rsidRPr="00152BBF">
        <w:rPr>
          <w:color w:val="000000" w:themeColor="text1"/>
        </w:rPr>
        <w:t>ral factors that shape decisions, or the political economy of the meat industry</w:t>
      </w:r>
      <w:r w:rsidR="00EF11AF">
        <w:t>), as it was a</w:t>
      </w:r>
      <w:r w:rsidR="00D83D73">
        <w:t>nticipated</w:t>
      </w:r>
      <w:r w:rsidR="00EF11AF">
        <w:t xml:space="preserve"> that all or some of these factors could be potential impediments to </w:t>
      </w:r>
      <w:r w:rsidR="001030B1">
        <w:t>embracing vegetarianism</w:t>
      </w:r>
      <w:r w:rsidR="00EF11AF">
        <w:t xml:space="preserve">. </w:t>
      </w:r>
      <w:r w:rsidR="00C830CA">
        <w:rPr>
          <w:color w:val="000000" w:themeColor="text1"/>
        </w:rPr>
        <w:t>To the author’s knowledge, a</w:t>
      </w:r>
      <w:r w:rsidR="00EF11AF" w:rsidRPr="00152BBF">
        <w:rPr>
          <w:color w:val="000000" w:themeColor="text1"/>
        </w:rPr>
        <w:t>s a comprehensive analysis of barriers to adopting a plant-based diet remains uninvestigated</w:t>
      </w:r>
      <w:r w:rsidR="00EF11AF">
        <w:rPr>
          <w:color w:val="000000" w:themeColor="text1"/>
        </w:rPr>
        <w:t xml:space="preserve"> as of 2016, it is necessary</w:t>
      </w:r>
      <w:r w:rsidR="00EF11AF" w:rsidRPr="00152BBF">
        <w:rPr>
          <w:color w:val="000000" w:themeColor="text1"/>
        </w:rPr>
        <w:t xml:space="preserve"> to acquire a complete representation of the issue. </w:t>
      </w:r>
      <w:r w:rsidR="00CB1D0C">
        <w:rPr>
          <w:color w:val="000000" w:themeColor="text1"/>
        </w:rPr>
        <w:t>Likewise, a</w:t>
      </w:r>
      <w:r w:rsidR="00F17A27">
        <w:rPr>
          <w:color w:val="000000" w:themeColor="text1"/>
        </w:rPr>
        <w:t>n</w:t>
      </w:r>
      <w:r w:rsidR="00CB1D0C">
        <w:rPr>
          <w:color w:val="000000" w:themeColor="text1"/>
        </w:rPr>
        <w:t xml:space="preserve"> </w:t>
      </w:r>
      <w:r w:rsidR="00F17A27">
        <w:rPr>
          <w:color w:val="000000" w:themeColor="text1"/>
        </w:rPr>
        <w:t>all-encompassing</w:t>
      </w:r>
      <w:r w:rsidR="00CB1D0C">
        <w:rPr>
          <w:color w:val="000000" w:themeColor="text1"/>
        </w:rPr>
        <w:t xml:space="preserve"> perspective is warranted, as the </w:t>
      </w:r>
      <w:r w:rsidR="00F17A27">
        <w:rPr>
          <w:color w:val="000000" w:themeColor="text1"/>
        </w:rPr>
        <w:t xml:space="preserve">anticipated dietary transition would be on an unprecedented scale, likely encountering </w:t>
      </w:r>
      <w:r w:rsidR="007F7004">
        <w:rPr>
          <w:color w:val="000000" w:themeColor="text1"/>
        </w:rPr>
        <w:t>dietary bottlenecks</w:t>
      </w:r>
      <w:r w:rsidR="00F17A27">
        <w:rPr>
          <w:color w:val="000000" w:themeColor="text1"/>
        </w:rPr>
        <w:t xml:space="preserve"> from individual to institutional levels (Friel </w:t>
      </w:r>
      <w:r w:rsidR="00F17A27" w:rsidRPr="00F17A27">
        <w:rPr>
          <w:i/>
          <w:color w:val="000000" w:themeColor="text1"/>
        </w:rPr>
        <w:t>et al.,</w:t>
      </w:r>
      <w:r w:rsidR="00F17A27">
        <w:rPr>
          <w:color w:val="000000" w:themeColor="text1"/>
        </w:rPr>
        <w:t xml:space="preserve"> 2009; Vinnari &amp; Vinnari, 2013). </w:t>
      </w:r>
      <w:r w:rsidR="009A49FA">
        <w:rPr>
          <w:color w:val="000000" w:themeColor="text1"/>
        </w:rPr>
        <w:t xml:space="preserve">A dietary bottleneck is considered to be a </w:t>
      </w:r>
      <w:r w:rsidR="00340043">
        <w:rPr>
          <w:color w:val="000000" w:themeColor="text1"/>
        </w:rPr>
        <w:t xml:space="preserve">dietary barrier, a point of blockage, that impedes an individual and population transition to adopting plant-based diets. </w:t>
      </w:r>
      <w:r w:rsidRPr="00D324D1">
        <w:t xml:space="preserve">Once identified, suggestions for combatting these impediments in Canada </w:t>
      </w:r>
      <w:r>
        <w:t>are</w:t>
      </w:r>
      <w:r w:rsidRPr="00D324D1">
        <w:t xml:space="preserve"> proposed using policy instruments for the purpose of promoting behavio</w:t>
      </w:r>
      <w:r w:rsidR="004D5563">
        <w:t>u</w:t>
      </w:r>
      <w:r w:rsidRPr="00D324D1">
        <w:t>ral shifts to</w:t>
      </w:r>
      <w:r>
        <w:t xml:space="preserve"> </w:t>
      </w:r>
      <w:r w:rsidRPr="00D324D1">
        <w:t xml:space="preserve">plant-based diets. </w:t>
      </w:r>
    </w:p>
    <w:p w14:paraId="028509B0" w14:textId="77777777" w:rsidR="00E06D52" w:rsidRDefault="00E06D52" w:rsidP="00E06D52">
      <w:pPr>
        <w:spacing w:line="480" w:lineRule="auto"/>
        <w:jc w:val="both"/>
        <w:sectPr w:rsidR="00E06D52" w:rsidSect="00D65F93">
          <w:footerReference w:type="even" r:id="rId8"/>
          <w:footerReference w:type="default" r:id="rId9"/>
          <w:pgSz w:w="12240" w:h="15840"/>
          <w:pgMar w:top="1440" w:right="1440" w:bottom="1440" w:left="1440" w:header="708" w:footer="708" w:gutter="0"/>
          <w:pgNumType w:fmt="lowerRoman"/>
          <w:cols w:space="708"/>
          <w:titlePg/>
          <w:docGrid w:linePitch="360"/>
        </w:sectPr>
      </w:pPr>
    </w:p>
    <w:p w14:paraId="5568DE34" w14:textId="77777777" w:rsidR="00374D42" w:rsidRPr="006647F2" w:rsidRDefault="00374D42" w:rsidP="00374D42">
      <w:pPr>
        <w:spacing w:line="480" w:lineRule="auto"/>
        <w:jc w:val="both"/>
        <w:rPr>
          <w:b/>
          <w:sz w:val="32"/>
          <w:u w:val="single"/>
        </w:rPr>
      </w:pPr>
      <w:r w:rsidRPr="006647F2">
        <w:rPr>
          <w:b/>
          <w:sz w:val="32"/>
          <w:u w:val="single"/>
        </w:rPr>
        <w:lastRenderedPageBreak/>
        <w:t>Chapter 1: Scope of Problem</w:t>
      </w:r>
    </w:p>
    <w:p w14:paraId="33214FD3" w14:textId="77777777" w:rsidR="00374D42" w:rsidRPr="00817547" w:rsidRDefault="00374D42" w:rsidP="00374D42">
      <w:pPr>
        <w:spacing w:line="480" w:lineRule="auto"/>
        <w:jc w:val="both"/>
        <w:rPr>
          <w:b/>
          <w:sz w:val="28"/>
        </w:rPr>
      </w:pPr>
      <w:r>
        <w:rPr>
          <w:b/>
          <w:sz w:val="28"/>
        </w:rPr>
        <w:t>I</w:t>
      </w:r>
      <w:r w:rsidRPr="00817547">
        <w:rPr>
          <w:b/>
          <w:sz w:val="28"/>
        </w:rPr>
        <w:t xml:space="preserve">. Environmental Impacts of Industrial Agriculture </w:t>
      </w:r>
    </w:p>
    <w:p w14:paraId="200030D0" w14:textId="2F2CCE54" w:rsidR="00374D42" w:rsidRDefault="00374D42" w:rsidP="00374D42">
      <w:pPr>
        <w:spacing w:line="480" w:lineRule="auto"/>
        <w:ind w:firstLine="720"/>
        <w:jc w:val="both"/>
      </w:pPr>
      <w:r>
        <w:t xml:space="preserve">The planetary boundary framework proposed by Rockström </w:t>
      </w:r>
      <w:r w:rsidRPr="00D65D47">
        <w:rPr>
          <w:i/>
        </w:rPr>
        <w:t>et al</w:t>
      </w:r>
      <w:r>
        <w:rPr>
          <w:i/>
        </w:rPr>
        <w:t>.</w:t>
      </w:r>
      <w:r>
        <w:t xml:space="preserve"> </w:t>
      </w:r>
      <w:r w:rsidR="0041390C">
        <w:t>(</w:t>
      </w:r>
      <w:r>
        <w:t>2009</w:t>
      </w:r>
      <w:r w:rsidR="0041390C">
        <w:t>)</w:t>
      </w:r>
      <w:r>
        <w:t xml:space="preserve">, outlines the intersection of nine biophysical processes and systems that stabilize the earth system upon which humanity can safely operate. Transgression of planetary boundaries by means of anthropogenic activity can cause irreversible environmental damages that could inadvertently force the earth system into an inhospitable state (Rockström </w:t>
      </w:r>
      <w:r w:rsidRPr="00D65D47">
        <w:rPr>
          <w:i/>
        </w:rPr>
        <w:t>et al.,</w:t>
      </w:r>
      <w:r>
        <w:t xml:space="preserve"> 2009).</w:t>
      </w:r>
      <w:r>
        <w:rPr>
          <w:bCs/>
        </w:rPr>
        <w:t xml:space="preserve"> </w:t>
      </w:r>
      <w:r w:rsidR="00121AC8">
        <w:rPr>
          <w:bCs/>
        </w:rPr>
        <w:t xml:space="preserve">Using this schema, Steffen </w:t>
      </w:r>
      <w:r w:rsidR="00121AC8" w:rsidRPr="008B0B22">
        <w:rPr>
          <w:bCs/>
          <w:i/>
        </w:rPr>
        <w:t>et al.</w:t>
      </w:r>
      <w:r w:rsidR="00121AC8">
        <w:rPr>
          <w:bCs/>
        </w:rPr>
        <w:t xml:space="preserve"> (2015) have concluded that </w:t>
      </w:r>
      <w:r>
        <w:rPr>
          <w:bCs/>
        </w:rPr>
        <w:t>human-induced changes to earth system thresholds have surpassed four out of nine planetary boundaries</w:t>
      </w:r>
      <w:r w:rsidR="00121AC8">
        <w:rPr>
          <w:bCs/>
        </w:rPr>
        <w:t xml:space="preserve">. </w:t>
      </w:r>
      <w:r w:rsidR="006C390D">
        <w:rPr>
          <w:bCs/>
        </w:rPr>
        <w:t>I</w:t>
      </w:r>
      <w:r>
        <w:rPr>
          <w:bCs/>
        </w:rPr>
        <w:t xml:space="preserve">ndustrial agriculture </w:t>
      </w:r>
      <w:r w:rsidR="006C390D">
        <w:rPr>
          <w:bCs/>
        </w:rPr>
        <w:t xml:space="preserve">contributes </w:t>
      </w:r>
      <w:r>
        <w:rPr>
          <w:bCs/>
        </w:rPr>
        <w:t xml:space="preserve">substantially </w:t>
      </w:r>
      <w:r w:rsidR="006C390D">
        <w:rPr>
          <w:bCs/>
        </w:rPr>
        <w:t xml:space="preserve">to </w:t>
      </w:r>
      <w:r>
        <w:rPr>
          <w:bCs/>
        </w:rPr>
        <w:t>all four</w:t>
      </w:r>
      <w:r w:rsidR="006C390D">
        <w:rPr>
          <w:bCs/>
        </w:rPr>
        <w:t xml:space="preserve"> of the surpassed boundaries</w:t>
      </w:r>
      <w:r>
        <w:rPr>
          <w:bCs/>
        </w:rPr>
        <w:t xml:space="preserve">: </w:t>
      </w:r>
      <w:r w:rsidR="006C390D">
        <w:rPr>
          <w:bCs/>
        </w:rPr>
        <w:t>C</w:t>
      </w:r>
      <w:r>
        <w:rPr>
          <w:bCs/>
        </w:rPr>
        <w:t xml:space="preserve">limate change, </w:t>
      </w:r>
      <w:r w:rsidR="006C390D">
        <w:rPr>
          <w:bCs/>
        </w:rPr>
        <w:t>L</w:t>
      </w:r>
      <w:r>
        <w:rPr>
          <w:bCs/>
        </w:rPr>
        <w:t xml:space="preserve">oss of biosphere integrity, </w:t>
      </w:r>
      <w:r w:rsidR="006C390D">
        <w:rPr>
          <w:bCs/>
        </w:rPr>
        <w:t>L</w:t>
      </w:r>
      <w:r>
        <w:rPr>
          <w:bCs/>
        </w:rPr>
        <w:t>and-</w:t>
      </w:r>
      <w:r w:rsidR="006C390D">
        <w:rPr>
          <w:bCs/>
        </w:rPr>
        <w:t xml:space="preserve">system </w:t>
      </w:r>
      <w:r>
        <w:rPr>
          <w:bCs/>
        </w:rPr>
        <w:t xml:space="preserve">change and </w:t>
      </w:r>
      <w:r w:rsidR="006C390D">
        <w:rPr>
          <w:bCs/>
        </w:rPr>
        <w:t>B</w:t>
      </w:r>
      <w:r>
        <w:rPr>
          <w:bCs/>
        </w:rPr>
        <w:t xml:space="preserve">iogeochemical </w:t>
      </w:r>
      <w:r w:rsidR="006C390D">
        <w:rPr>
          <w:bCs/>
        </w:rPr>
        <w:t>flows</w:t>
      </w:r>
      <w:r>
        <w:rPr>
          <w:bCs/>
        </w:rPr>
        <w:t xml:space="preserve"> (</w:t>
      </w:r>
      <w:r w:rsidRPr="00D324D1">
        <w:t xml:space="preserve">WHO, 2005; </w:t>
      </w:r>
      <w:r w:rsidRPr="00D324D1">
        <w:rPr>
          <w:color w:val="000000" w:themeColor="text1"/>
        </w:rPr>
        <w:t xml:space="preserve">Steinfeld </w:t>
      </w:r>
      <w:r w:rsidRPr="00D324D1">
        <w:rPr>
          <w:i/>
          <w:color w:val="000000" w:themeColor="text1"/>
        </w:rPr>
        <w:t>et al.,</w:t>
      </w:r>
      <w:r w:rsidRPr="00D324D1">
        <w:rPr>
          <w:color w:val="000000" w:themeColor="text1"/>
        </w:rPr>
        <w:t xml:space="preserve"> 2006</w:t>
      </w:r>
      <w:r>
        <w:rPr>
          <w:color w:val="000000" w:themeColor="text1"/>
        </w:rPr>
        <w:t xml:space="preserve">; </w:t>
      </w:r>
      <w:r>
        <w:rPr>
          <w:bCs/>
        </w:rPr>
        <w:t xml:space="preserve">Steffen </w:t>
      </w:r>
      <w:r w:rsidRPr="00D65D47">
        <w:rPr>
          <w:bCs/>
          <w:i/>
        </w:rPr>
        <w:t>et al.,</w:t>
      </w:r>
      <w:r>
        <w:rPr>
          <w:bCs/>
        </w:rPr>
        <w:t xml:space="preserve"> 2015). </w:t>
      </w:r>
      <w:r w:rsidRPr="00D324D1">
        <w:t xml:space="preserve">Concurrently, </w:t>
      </w:r>
      <w:r>
        <w:t>transgression of planetary boundaries such as climate change negatively impacts</w:t>
      </w:r>
      <w:r w:rsidRPr="00D324D1">
        <w:t xml:space="preserve"> global food systems (Parry &amp; Ruttan, 1991; Mendelsohn </w:t>
      </w:r>
      <w:r w:rsidRPr="00D324D1">
        <w:rPr>
          <w:i/>
        </w:rPr>
        <w:t>et al.,</w:t>
      </w:r>
      <w:r w:rsidRPr="00D324D1">
        <w:t xml:space="preserve"> 1994; Easterling </w:t>
      </w:r>
      <w:r w:rsidRPr="00D324D1">
        <w:rPr>
          <w:i/>
        </w:rPr>
        <w:t>et al</w:t>
      </w:r>
      <w:r w:rsidRPr="00D324D1">
        <w:t xml:space="preserve">., 2007), thus creating a positive feedback that exacerbates </w:t>
      </w:r>
      <w:r w:rsidR="008B0B22">
        <w:t>the</w:t>
      </w:r>
      <w:r w:rsidRPr="00D324D1">
        <w:t xml:space="preserve"> initial push on the ecosystem. </w:t>
      </w:r>
    </w:p>
    <w:p w14:paraId="425D6943" w14:textId="0E352FB2" w:rsidR="00374D42" w:rsidRDefault="00374D42" w:rsidP="00374D42">
      <w:pPr>
        <w:spacing w:line="480" w:lineRule="auto"/>
        <w:ind w:firstLine="720"/>
        <w:jc w:val="both"/>
      </w:pPr>
      <w:r w:rsidRPr="00D324D1">
        <w:t xml:space="preserve">The </w:t>
      </w:r>
      <w:r>
        <w:t xml:space="preserve">first goal of the international </w:t>
      </w:r>
      <w:r w:rsidRPr="00D324D1">
        <w:t xml:space="preserve">food system </w:t>
      </w:r>
      <w:r>
        <w:t xml:space="preserve">is to feed people effectively on a global scale, while combatting the </w:t>
      </w:r>
      <w:r w:rsidR="008B0B22">
        <w:t xml:space="preserve">wide-ranging </w:t>
      </w:r>
      <w:r w:rsidRPr="00D324D1">
        <w:t xml:space="preserve">environmental </w:t>
      </w:r>
      <w:r>
        <w:t xml:space="preserve">problems associated with food production </w:t>
      </w:r>
      <w:r w:rsidRPr="00D324D1">
        <w:t xml:space="preserve">(Godfray </w:t>
      </w:r>
      <w:r w:rsidRPr="00D324D1">
        <w:rPr>
          <w:i/>
        </w:rPr>
        <w:t>et al.</w:t>
      </w:r>
      <w:r w:rsidRPr="00D324D1">
        <w:t>, 2010; Garnett, 2013)</w:t>
      </w:r>
      <w:r>
        <w:t>. These are significant challenges.</w:t>
      </w:r>
      <w:r w:rsidRPr="00D324D1">
        <w:t xml:space="preserve"> The process of raising animals for human consumption is fundamentally inefficient, with a progressive loss of energy throughout the trophic chain (Pimentel &amp; Pimentel, 2003), conflicting with the optimization of food supply. This highlights the </w:t>
      </w:r>
      <w:r>
        <w:t xml:space="preserve">significance </w:t>
      </w:r>
      <w:r w:rsidRPr="00D324D1">
        <w:t xml:space="preserve">of human </w:t>
      </w:r>
      <w:r>
        <w:t xml:space="preserve">consumption on global food security and environmental degradation, which are inextricably linked </w:t>
      </w:r>
      <w:r w:rsidRPr="00D324D1">
        <w:t xml:space="preserve">(Garnett, 2011; Sabaté &amp; Soret, 2014). </w:t>
      </w:r>
    </w:p>
    <w:p w14:paraId="149C170B" w14:textId="50E13F29" w:rsidR="00374D42" w:rsidRPr="00873B4F" w:rsidRDefault="00374D42" w:rsidP="00374D42">
      <w:pPr>
        <w:spacing w:line="480" w:lineRule="auto"/>
        <w:ind w:firstLine="720"/>
        <w:jc w:val="both"/>
      </w:pPr>
      <w:r w:rsidRPr="00D324D1">
        <w:lastRenderedPageBreak/>
        <w:t>The global food s</w:t>
      </w:r>
      <w:r>
        <w:t>ystem</w:t>
      </w:r>
      <w:r w:rsidRPr="00D324D1">
        <w:t xml:space="preserve"> is essential to our survival, nevertheless it contributes significantly to </w:t>
      </w:r>
      <w:r>
        <w:t>environmental degradation</w:t>
      </w:r>
      <w:r w:rsidRPr="00D324D1">
        <w:t xml:space="preserve"> through elevated GHG emissions, deforestation, </w:t>
      </w:r>
      <w:r>
        <w:t>biodiversity impacts, water depletion</w:t>
      </w:r>
      <w:r w:rsidRPr="00D324D1">
        <w:t xml:space="preserve"> and pollution (WHO, 2005; </w:t>
      </w:r>
      <w:r w:rsidRPr="00D324D1">
        <w:rPr>
          <w:color w:val="000000" w:themeColor="text1"/>
        </w:rPr>
        <w:t xml:space="preserve">Steinfeld </w:t>
      </w:r>
      <w:r w:rsidRPr="00D324D1">
        <w:rPr>
          <w:i/>
          <w:color w:val="000000" w:themeColor="text1"/>
        </w:rPr>
        <w:t>et al.,</w:t>
      </w:r>
      <w:r w:rsidRPr="00D324D1">
        <w:rPr>
          <w:color w:val="000000" w:themeColor="text1"/>
        </w:rPr>
        <w:t xml:space="preserve"> 2006</w:t>
      </w:r>
      <w:r>
        <w:rPr>
          <w:color w:val="000000" w:themeColor="text1"/>
        </w:rPr>
        <w:t xml:space="preserve">; </w:t>
      </w:r>
      <w:r>
        <w:rPr>
          <w:bCs/>
        </w:rPr>
        <w:t xml:space="preserve">Steffen </w:t>
      </w:r>
      <w:r w:rsidRPr="00D65D47">
        <w:rPr>
          <w:bCs/>
          <w:i/>
        </w:rPr>
        <w:t>et al.,</w:t>
      </w:r>
      <w:r>
        <w:rPr>
          <w:bCs/>
        </w:rPr>
        <w:t xml:space="preserve"> 2015</w:t>
      </w:r>
      <w:r>
        <w:t>). For instance, o</w:t>
      </w:r>
      <w:r w:rsidRPr="00D324D1">
        <w:t>n a worldwide basis, agriculture accounts for nearly a third of all GHG emissions (</w:t>
      </w:r>
      <w:r w:rsidRPr="00D324D1">
        <w:rPr>
          <w:color w:val="000000" w:themeColor="text1"/>
        </w:rPr>
        <w:t xml:space="preserve">Vermeulen </w:t>
      </w:r>
      <w:r w:rsidRPr="00D324D1">
        <w:rPr>
          <w:i/>
          <w:color w:val="000000" w:themeColor="text1"/>
        </w:rPr>
        <w:t>et al.,</w:t>
      </w:r>
      <w:r w:rsidRPr="00D324D1">
        <w:rPr>
          <w:color w:val="000000" w:themeColor="text1"/>
        </w:rPr>
        <w:t xml:space="preserve"> 2012</w:t>
      </w:r>
      <w:r w:rsidRPr="00D324D1">
        <w:t>).</w:t>
      </w:r>
      <w:r>
        <w:t xml:space="preserve"> </w:t>
      </w:r>
      <w:r w:rsidRPr="00D324D1">
        <w:t xml:space="preserve">Contribution to environmental </w:t>
      </w:r>
      <w:r>
        <w:t>damages</w:t>
      </w:r>
      <w:r w:rsidRPr="00D324D1">
        <w:t xml:space="preserve"> within the food system is widespread, from production to processing, packaging, distribution, retail, waste and consumption (Garnett, 2008; Godfray </w:t>
      </w:r>
      <w:r w:rsidRPr="00D324D1">
        <w:rPr>
          <w:i/>
        </w:rPr>
        <w:t>et al.</w:t>
      </w:r>
      <w:r w:rsidRPr="00D324D1">
        <w:t xml:space="preserve">, 2010; Garnett, 2013; Porter </w:t>
      </w:r>
      <w:r w:rsidRPr="00D324D1">
        <w:rPr>
          <w:i/>
        </w:rPr>
        <w:t>et al.,</w:t>
      </w:r>
      <w:r w:rsidRPr="00D324D1">
        <w:t xml:space="preserve"> 2014). A whole systems approach is necessary to achieve sufficient mitigation</w:t>
      </w:r>
      <w:r>
        <w:t xml:space="preserve"> of environmental damage</w:t>
      </w:r>
      <w:r w:rsidRPr="00D324D1">
        <w:t xml:space="preserve">. However, the greater part of </w:t>
      </w:r>
      <w:r>
        <w:t>degradation</w:t>
      </w:r>
      <w:r w:rsidRPr="00D324D1">
        <w:t xml:space="preserve"> is inherent to the initial production of food commodities (</w:t>
      </w:r>
      <w:r w:rsidRPr="00D324D1">
        <w:rPr>
          <w:color w:val="000000" w:themeColor="text1"/>
        </w:rPr>
        <w:t>Garnett, 2011</w:t>
      </w:r>
      <w:r w:rsidRPr="00D324D1">
        <w:t>)</w:t>
      </w:r>
      <w:r w:rsidR="00E44ABA">
        <w:t>,</w:t>
      </w:r>
      <w:r w:rsidRPr="00D324D1">
        <w:t xml:space="preserve"> which is intrinsically driven by consumption patterns of the global population. </w:t>
      </w:r>
    </w:p>
    <w:p w14:paraId="432CC375" w14:textId="297E0F1C" w:rsidR="00374D42" w:rsidRDefault="00E44ABA" w:rsidP="00374D42">
      <w:pPr>
        <w:spacing w:line="480" w:lineRule="auto"/>
        <w:ind w:firstLine="720"/>
        <w:jc w:val="both"/>
      </w:pPr>
      <w:r>
        <w:t>O</w:t>
      </w:r>
      <w:r w:rsidR="00374D42">
        <w:t>f the two main agricultural divisions (crop and livestock), t</w:t>
      </w:r>
      <w:r w:rsidR="00374D42" w:rsidRPr="00D324D1">
        <w:t>he livestock sector is under particular scrutiny</w:t>
      </w:r>
      <w:r w:rsidR="00374D42">
        <w:t xml:space="preserve">. </w:t>
      </w:r>
      <w:r>
        <w:rPr>
          <w:color w:val="000000" w:themeColor="text1"/>
        </w:rPr>
        <w:t>E</w:t>
      </w:r>
      <w:r w:rsidR="00374D42" w:rsidRPr="00D324D1">
        <w:rPr>
          <w:color w:val="000000" w:themeColor="text1"/>
        </w:rPr>
        <w:t>vidence from an increasing number of studies suggests that the expanding demand for animal-protein consumption has negative impacts on environmental sustainability</w:t>
      </w:r>
      <w:r w:rsidR="008C681D">
        <w:rPr>
          <w:color w:val="000000" w:themeColor="text1"/>
        </w:rPr>
        <w:t xml:space="preserve"> (Steinfeld </w:t>
      </w:r>
      <w:r w:rsidR="008C681D" w:rsidRPr="008C681D">
        <w:rPr>
          <w:i/>
          <w:color w:val="000000" w:themeColor="text1"/>
        </w:rPr>
        <w:t>et al.,</w:t>
      </w:r>
      <w:r w:rsidR="008C681D">
        <w:rPr>
          <w:color w:val="000000" w:themeColor="text1"/>
        </w:rPr>
        <w:t xml:space="preserve"> 2006; </w:t>
      </w:r>
      <w:r w:rsidR="002D2CB8">
        <w:rPr>
          <w:color w:val="000000" w:themeColor="text1"/>
        </w:rPr>
        <w:t xml:space="preserve">Stehast </w:t>
      </w:r>
      <w:r w:rsidR="002D2CB8" w:rsidRPr="001A3B42">
        <w:rPr>
          <w:i/>
          <w:color w:val="000000" w:themeColor="text1"/>
        </w:rPr>
        <w:t>et al.,</w:t>
      </w:r>
      <w:r w:rsidR="002D2CB8">
        <w:rPr>
          <w:color w:val="000000" w:themeColor="text1"/>
        </w:rPr>
        <w:t xml:space="preserve"> 2009; </w:t>
      </w:r>
      <w:r w:rsidR="003A57C3">
        <w:rPr>
          <w:color w:val="000000" w:themeColor="text1"/>
        </w:rPr>
        <w:t xml:space="preserve">Porter et al., 2014; Sabaté &amp; Soret, 2014; </w:t>
      </w:r>
      <w:r w:rsidR="008C681D">
        <w:rPr>
          <w:bCs/>
        </w:rPr>
        <w:t xml:space="preserve">Steffen </w:t>
      </w:r>
      <w:r w:rsidR="008C681D" w:rsidRPr="00D65D47">
        <w:rPr>
          <w:bCs/>
          <w:i/>
        </w:rPr>
        <w:t>et al.,</w:t>
      </w:r>
      <w:r w:rsidR="008C681D">
        <w:rPr>
          <w:bCs/>
        </w:rPr>
        <w:t xml:space="preserve"> 2015</w:t>
      </w:r>
      <w:r w:rsidR="008C681D">
        <w:rPr>
          <w:color w:val="000000" w:themeColor="text1"/>
        </w:rPr>
        <w:t>)</w:t>
      </w:r>
      <w:r w:rsidR="00374D42">
        <w:rPr>
          <w:color w:val="000000" w:themeColor="text1"/>
        </w:rPr>
        <w:t>.</w:t>
      </w:r>
      <w:r w:rsidR="00374D42" w:rsidRPr="00D324D1">
        <w:rPr>
          <w:color w:val="000000" w:themeColor="text1"/>
        </w:rPr>
        <w:t xml:space="preserve"> </w:t>
      </w:r>
      <w:r w:rsidR="00374D42" w:rsidRPr="00D324D1">
        <w:t xml:space="preserve">Steinfeld </w:t>
      </w:r>
      <w:r w:rsidR="00374D42" w:rsidRPr="00D324D1">
        <w:rPr>
          <w:i/>
        </w:rPr>
        <w:t>et al.</w:t>
      </w:r>
      <w:r w:rsidR="00374D42" w:rsidRPr="00D324D1">
        <w:t xml:space="preserve"> (2006) cites the livestock sector as one of the most substantial contributors to severe environmental issues on local and global scales, as a result of </w:t>
      </w:r>
      <w:r w:rsidR="00374D42">
        <w:t xml:space="preserve">GHG emissions, land degradation, and water use. </w:t>
      </w:r>
      <w:r w:rsidR="00374D42" w:rsidRPr="001D4200">
        <w:t>A common issue tying all three together</w:t>
      </w:r>
      <w:r w:rsidR="00374D42">
        <w:t xml:space="preserve"> refers to the inefficiency of growing crops for animal feed, which also has implications for food security.</w:t>
      </w:r>
    </w:p>
    <w:p w14:paraId="27533DC4" w14:textId="77777777" w:rsidR="00374D42" w:rsidRDefault="00374D42" w:rsidP="00374D42">
      <w:pPr>
        <w:spacing w:line="480" w:lineRule="auto"/>
        <w:ind w:firstLine="720"/>
        <w:jc w:val="both"/>
        <w:rPr>
          <w:color w:val="000000" w:themeColor="text1"/>
        </w:rPr>
      </w:pPr>
    </w:p>
    <w:p w14:paraId="3F754F03" w14:textId="77777777" w:rsidR="00374D42" w:rsidRPr="00817547" w:rsidRDefault="00374D42" w:rsidP="00374D42">
      <w:pPr>
        <w:spacing w:line="480" w:lineRule="auto"/>
        <w:jc w:val="both"/>
        <w:rPr>
          <w:b/>
          <w:i/>
        </w:rPr>
      </w:pPr>
      <w:r>
        <w:rPr>
          <w:b/>
          <w:i/>
        </w:rPr>
        <w:t>i</w:t>
      </w:r>
      <w:r w:rsidRPr="00817547">
        <w:rPr>
          <w:b/>
          <w:i/>
        </w:rPr>
        <w:t>. Climate Change</w:t>
      </w:r>
    </w:p>
    <w:p w14:paraId="1264F285" w14:textId="531C390E" w:rsidR="00374D42" w:rsidRDefault="00374D42" w:rsidP="00374D42">
      <w:pPr>
        <w:spacing w:line="480" w:lineRule="auto"/>
        <w:ind w:firstLine="720"/>
        <w:jc w:val="both"/>
        <w:rPr>
          <w:color w:val="000000" w:themeColor="text1"/>
        </w:rPr>
      </w:pPr>
      <w:r w:rsidRPr="001D4200">
        <w:t>Anthropogenic climate change is a prevalent issue, caused primarily by the emission of greenhouse gases (GHGs) into the atmosphere (IPCC, 1994). Many countries are trying to limit their environmental footprint by reducing prominent GHG emissions (C</w:t>
      </w:r>
      <w:r>
        <w:t>O</w:t>
      </w:r>
      <w:r>
        <w:rPr>
          <w:vertAlign w:val="subscript"/>
        </w:rPr>
        <w:t>2</w:t>
      </w:r>
      <w:r w:rsidRPr="001D4200">
        <w:t>, CH</w:t>
      </w:r>
      <w:r w:rsidRPr="00DE35FA">
        <w:rPr>
          <w:vertAlign w:val="subscript"/>
        </w:rPr>
        <w:t>4</w:t>
      </w:r>
      <w:r w:rsidRPr="001D4200">
        <w:t>, N</w:t>
      </w:r>
      <w:r w:rsidRPr="00DE35FA">
        <w:rPr>
          <w:vertAlign w:val="subscript"/>
        </w:rPr>
        <w:t>2</w:t>
      </w:r>
      <w:r w:rsidRPr="001D4200">
        <w:t xml:space="preserve">O) in many </w:t>
      </w:r>
      <w:r w:rsidRPr="001D4200">
        <w:lastRenderedPageBreak/>
        <w:t>sectors. The global food sector contributes significantly to climate change through elevated GHG emissions, particularly methane (CH</w:t>
      </w:r>
      <w:r w:rsidRPr="00DE35FA">
        <w:rPr>
          <w:vertAlign w:val="subscript"/>
        </w:rPr>
        <w:t>4</w:t>
      </w:r>
      <w:r w:rsidRPr="001D4200">
        <w:t>) and nitrous oxide (N</w:t>
      </w:r>
      <w:r w:rsidRPr="00DE35FA">
        <w:rPr>
          <w:vertAlign w:val="subscript"/>
        </w:rPr>
        <w:t>2</w:t>
      </w:r>
      <w:r>
        <w:t>O) (WHO, 2005). Energy use</w:t>
      </w:r>
      <w:r w:rsidR="0079064A">
        <w:t xml:space="preserve"> (CO</w:t>
      </w:r>
      <w:r w:rsidR="0079064A">
        <w:rPr>
          <w:vertAlign w:val="subscript"/>
        </w:rPr>
        <w:t>2</w:t>
      </w:r>
      <w:r w:rsidR="0079064A">
        <w:t>)</w:t>
      </w:r>
      <w:r>
        <w:t xml:space="preserve"> is a relatively low contributor to agricultural emissions; rather</w:t>
      </w:r>
      <w:r w:rsidR="000508E6">
        <w:t>,</w:t>
      </w:r>
      <w:r>
        <w:t xml:space="preserve"> emissions are dominated by manure (</w:t>
      </w:r>
      <w:r w:rsidRPr="00DE35FA">
        <w:rPr>
          <w:color w:val="000000" w:themeColor="text1"/>
        </w:rPr>
        <w:t>N</w:t>
      </w:r>
      <w:r w:rsidRPr="00DE35FA">
        <w:rPr>
          <w:color w:val="000000" w:themeColor="text1"/>
          <w:vertAlign w:val="subscript"/>
        </w:rPr>
        <w:t>2</w:t>
      </w:r>
      <w:r w:rsidRPr="00DE35FA">
        <w:rPr>
          <w:color w:val="000000" w:themeColor="text1"/>
        </w:rPr>
        <w:t>O</w:t>
      </w:r>
      <w:r>
        <w:t>), fertilizer (</w:t>
      </w:r>
      <w:r w:rsidRPr="00DE35FA">
        <w:rPr>
          <w:color w:val="000000" w:themeColor="text1"/>
        </w:rPr>
        <w:t>N</w:t>
      </w:r>
      <w:r w:rsidRPr="00DE35FA">
        <w:rPr>
          <w:color w:val="000000" w:themeColor="text1"/>
          <w:vertAlign w:val="subscript"/>
        </w:rPr>
        <w:t>2</w:t>
      </w:r>
      <w:r w:rsidRPr="00DE35FA">
        <w:rPr>
          <w:color w:val="000000" w:themeColor="text1"/>
        </w:rPr>
        <w:t>O</w:t>
      </w:r>
      <w:r>
        <w:t>), land-use change (</w:t>
      </w:r>
      <w:r>
        <w:rPr>
          <w:color w:val="000000" w:themeColor="text1"/>
        </w:rPr>
        <w:t>CO</w:t>
      </w:r>
      <w:r>
        <w:rPr>
          <w:color w:val="000000" w:themeColor="text1"/>
          <w:vertAlign w:val="subscript"/>
        </w:rPr>
        <w:t>2</w:t>
      </w:r>
      <w:r>
        <w:t>), and enteric fermentation (</w:t>
      </w:r>
      <w:r w:rsidRPr="00DE35FA">
        <w:rPr>
          <w:color w:val="000000" w:themeColor="text1"/>
        </w:rPr>
        <w:t>CH</w:t>
      </w:r>
      <w:r w:rsidRPr="00DE35FA">
        <w:rPr>
          <w:color w:val="000000" w:themeColor="text1"/>
          <w:vertAlign w:val="subscript"/>
        </w:rPr>
        <w:t>4</w:t>
      </w:r>
      <w:r>
        <w:t xml:space="preserve">) </w:t>
      </w:r>
      <w:r w:rsidRPr="00DE35FA">
        <w:rPr>
          <w:color w:val="000000" w:themeColor="text1"/>
        </w:rPr>
        <w:t xml:space="preserve">(Steinfeld </w:t>
      </w:r>
      <w:r w:rsidRPr="00DE35FA">
        <w:rPr>
          <w:i/>
          <w:color w:val="000000" w:themeColor="text1"/>
        </w:rPr>
        <w:t>et al.,</w:t>
      </w:r>
      <w:r w:rsidRPr="00DE35FA">
        <w:rPr>
          <w:color w:val="000000" w:themeColor="text1"/>
        </w:rPr>
        <w:t xml:space="preserve"> 2006</w:t>
      </w:r>
      <w:r>
        <w:rPr>
          <w:color w:val="000000" w:themeColor="text1"/>
        </w:rPr>
        <w:t xml:space="preserve">; Stehast </w:t>
      </w:r>
      <w:r w:rsidRPr="001A3B42">
        <w:rPr>
          <w:i/>
          <w:color w:val="000000" w:themeColor="text1"/>
        </w:rPr>
        <w:t>et al.,</w:t>
      </w:r>
      <w:r>
        <w:rPr>
          <w:color w:val="000000" w:themeColor="text1"/>
        </w:rPr>
        <w:t xml:space="preserve"> 2009</w:t>
      </w:r>
      <w:r w:rsidRPr="00DE35FA">
        <w:rPr>
          <w:color w:val="000000" w:themeColor="text1"/>
        </w:rPr>
        <w:t>)</w:t>
      </w:r>
      <w:r>
        <w:rPr>
          <w:color w:val="000000" w:themeColor="text1"/>
        </w:rPr>
        <w:t>.</w:t>
      </w:r>
    </w:p>
    <w:p w14:paraId="45B89648" w14:textId="77777777" w:rsidR="00374D42" w:rsidRPr="00B6471B" w:rsidRDefault="00374D42" w:rsidP="00374D42">
      <w:pPr>
        <w:spacing w:line="480" w:lineRule="auto"/>
        <w:ind w:firstLine="720"/>
        <w:jc w:val="both"/>
        <w:rPr>
          <w:lang w:val="en-CA"/>
        </w:rPr>
      </w:pPr>
      <w:r w:rsidRPr="001D4200">
        <w:t xml:space="preserve">On a worldwide basis, </w:t>
      </w:r>
      <w:r w:rsidRPr="008E76A1">
        <w:rPr>
          <w:b/>
          <w:i/>
        </w:rPr>
        <w:t>livestock</w:t>
      </w:r>
      <w:r w:rsidRPr="001D4200">
        <w:t xml:space="preserve"> agriculture accounts for nearly a fifth (18 %) of all GHG emissions.</w:t>
      </w:r>
      <w:r>
        <w:t xml:space="preserve"> To put this into perspective, livestock’s contribution to anthropogenic GHG emissions is greater than the global, energy-intensive transportation sector </w:t>
      </w:r>
      <w:r w:rsidRPr="001D4200">
        <w:t>(</w:t>
      </w:r>
      <w:r w:rsidRPr="001D4200">
        <w:rPr>
          <w:color w:val="000000" w:themeColor="text1"/>
        </w:rPr>
        <w:t xml:space="preserve">Steinfeld </w:t>
      </w:r>
      <w:r w:rsidRPr="001D4200">
        <w:rPr>
          <w:i/>
          <w:color w:val="000000" w:themeColor="text1"/>
        </w:rPr>
        <w:t>et al.,</w:t>
      </w:r>
      <w:r w:rsidRPr="001D4200">
        <w:rPr>
          <w:color w:val="000000" w:themeColor="text1"/>
        </w:rPr>
        <w:t xml:space="preserve"> 2006</w:t>
      </w:r>
      <w:r w:rsidRPr="001D4200">
        <w:t>)</w:t>
      </w:r>
      <w:r>
        <w:t xml:space="preserve">. Moreover, livestock contributes 37 % and 65 % of global </w:t>
      </w:r>
      <w:r w:rsidRPr="001D4200">
        <w:t>CH</w:t>
      </w:r>
      <w:r w:rsidRPr="00DE35FA">
        <w:rPr>
          <w:vertAlign w:val="subscript"/>
        </w:rPr>
        <w:t>4</w:t>
      </w:r>
      <w:r>
        <w:t xml:space="preserve"> and</w:t>
      </w:r>
      <w:r w:rsidRPr="001D4200">
        <w:t xml:space="preserve"> N</w:t>
      </w:r>
      <w:r w:rsidRPr="00DE35FA">
        <w:rPr>
          <w:vertAlign w:val="subscript"/>
        </w:rPr>
        <w:t>2</w:t>
      </w:r>
      <w:r w:rsidRPr="001D4200">
        <w:t>O</w:t>
      </w:r>
      <w:r>
        <w:t xml:space="preserve"> emissions respectively (</w:t>
      </w:r>
      <w:r w:rsidRPr="00DE35FA">
        <w:rPr>
          <w:color w:val="000000" w:themeColor="text1"/>
        </w:rPr>
        <w:t xml:space="preserve">Steinfeld </w:t>
      </w:r>
      <w:r w:rsidRPr="00DE35FA">
        <w:rPr>
          <w:i/>
          <w:color w:val="000000" w:themeColor="text1"/>
        </w:rPr>
        <w:t>et al.,</w:t>
      </w:r>
      <w:r w:rsidRPr="00DE35FA">
        <w:rPr>
          <w:color w:val="000000" w:themeColor="text1"/>
        </w:rPr>
        <w:t xml:space="preserve"> 2006</w:t>
      </w:r>
      <w:r>
        <w:t xml:space="preserve">). </w:t>
      </w:r>
      <w:r>
        <w:rPr>
          <w:color w:val="000000" w:themeColor="text1"/>
        </w:rPr>
        <w:t>Ruminants (ie. cattle,</w:t>
      </w:r>
      <w:r w:rsidRPr="008E76A1">
        <w:rPr>
          <w:color w:val="000000" w:themeColor="text1"/>
        </w:rPr>
        <w:t xml:space="preserve"> sheep) account for a greater share of livestock emissions in comparison to monogastrics (</w:t>
      </w:r>
      <w:r>
        <w:rPr>
          <w:color w:val="000000" w:themeColor="text1"/>
        </w:rPr>
        <w:t xml:space="preserve">ie. </w:t>
      </w:r>
      <w:r w:rsidRPr="008E76A1">
        <w:rPr>
          <w:color w:val="000000" w:themeColor="text1"/>
        </w:rPr>
        <w:t>pigs, poultry)</w:t>
      </w:r>
      <w:r>
        <w:rPr>
          <w:color w:val="000000" w:themeColor="text1"/>
        </w:rPr>
        <w:t xml:space="preserve"> </w:t>
      </w:r>
      <w:r w:rsidRPr="008E76A1">
        <w:rPr>
          <w:color w:val="000000" w:themeColor="text1"/>
        </w:rPr>
        <w:t xml:space="preserve">(Crutzen </w:t>
      </w:r>
      <w:r w:rsidRPr="008E76A1">
        <w:rPr>
          <w:i/>
          <w:color w:val="000000" w:themeColor="text1"/>
        </w:rPr>
        <w:t>et al.,</w:t>
      </w:r>
      <w:r w:rsidRPr="008E76A1">
        <w:rPr>
          <w:color w:val="000000" w:themeColor="text1"/>
        </w:rPr>
        <w:t xml:space="preserve"> 1986</w:t>
      </w:r>
      <w:r>
        <w:rPr>
          <w:color w:val="000000" w:themeColor="text1"/>
        </w:rPr>
        <w:t xml:space="preserve">; Stehast </w:t>
      </w:r>
      <w:r w:rsidRPr="001A3B42">
        <w:rPr>
          <w:i/>
          <w:color w:val="000000" w:themeColor="text1"/>
        </w:rPr>
        <w:t>et al.,</w:t>
      </w:r>
      <w:r>
        <w:rPr>
          <w:color w:val="000000" w:themeColor="text1"/>
        </w:rPr>
        <w:t xml:space="preserve"> 2009</w:t>
      </w:r>
      <w:r w:rsidRPr="008E76A1">
        <w:rPr>
          <w:color w:val="000000" w:themeColor="text1"/>
        </w:rPr>
        <w:t>)</w:t>
      </w:r>
      <w:r>
        <w:rPr>
          <w:color w:val="000000" w:themeColor="text1"/>
        </w:rPr>
        <w:t>. The contrast in emissions among animals is</w:t>
      </w:r>
      <w:r w:rsidRPr="008E76A1">
        <w:rPr>
          <w:color w:val="000000" w:themeColor="text1"/>
        </w:rPr>
        <w:t xml:space="preserve"> mainly affected by enteric ecology, energy expenditure, and body weight, in addition to the quantity and type of feed material</w:t>
      </w:r>
      <w:r>
        <w:rPr>
          <w:color w:val="000000" w:themeColor="text1"/>
        </w:rPr>
        <w:t xml:space="preserve"> necessary for sustenance</w:t>
      </w:r>
      <w:r w:rsidRPr="008E76A1">
        <w:rPr>
          <w:color w:val="000000" w:themeColor="text1"/>
        </w:rPr>
        <w:t xml:space="preserve"> (Crutzen </w:t>
      </w:r>
      <w:r w:rsidRPr="008E76A1">
        <w:rPr>
          <w:i/>
          <w:color w:val="000000" w:themeColor="text1"/>
        </w:rPr>
        <w:t>et al.,</w:t>
      </w:r>
      <w:r w:rsidRPr="008E76A1">
        <w:rPr>
          <w:color w:val="000000" w:themeColor="text1"/>
        </w:rPr>
        <w:t xml:space="preserve"> 1986</w:t>
      </w:r>
      <w:r>
        <w:rPr>
          <w:color w:val="000000" w:themeColor="text1"/>
        </w:rPr>
        <w:t xml:space="preserve">; </w:t>
      </w:r>
      <w:r w:rsidRPr="008E76A1">
        <w:rPr>
          <w:color w:val="000000" w:themeColor="text1"/>
        </w:rPr>
        <w:t xml:space="preserve">Burke and Lashof, 1989; Kulshreshtha </w:t>
      </w:r>
      <w:r w:rsidRPr="008E76A1">
        <w:rPr>
          <w:i/>
          <w:color w:val="000000" w:themeColor="text1"/>
        </w:rPr>
        <w:t>et al.,</w:t>
      </w:r>
      <w:r w:rsidRPr="008E76A1">
        <w:rPr>
          <w:color w:val="000000" w:themeColor="text1"/>
        </w:rPr>
        <w:t xml:space="preserve"> 1999)</w:t>
      </w:r>
      <w:r>
        <w:rPr>
          <w:color w:val="000000" w:themeColor="text1"/>
        </w:rPr>
        <w:t xml:space="preserve">. </w:t>
      </w:r>
    </w:p>
    <w:p w14:paraId="556A2A50" w14:textId="2120CA71" w:rsidR="00374D42" w:rsidRPr="00503795" w:rsidRDefault="00374D42" w:rsidP="00374D42">
      <w:pPr>
        <w:spacing w:line="480" w:lineRule="auto"/>
        <w:ind w:firstLine="720"/>
        <w:jc w:val="both"/>
        <w:rPr>
          <w:lang w:val="en-CA"/>
        </w:rPr>
      </w:pPr>
      <w:r>
        <w:rPr>
          <w:lang w:val="en-CA"/>
        </w:rPr>
        <w:t>In order to combat global warming, it is essential to achieve the national targets identified (Intended Nationally Determined Contributions) at the United Framework Convention on Climat</w:t>
      </w:r>
      <w:r w:rsidR="003C1B07">
        <w:rPr>
          <w:lang w:val="en-CA"/>
        </w:rPr>
        <w:t>e Change’s twenty-first session</w:t>
      </w:r>
      <w:r>
        <w:rPr>
          <w:lang w:val="en-CA"/>
        </w:rPr>
        <w:t xml:space="preserve"> of the Conference of the Parties (COP21). Globally, it was agreed that average temperatures must remain below 2°C warming relative to pre-industrial levels, with efforts to limit warming to 1.5°C (UNFCCC, 2016). Despite having already entered a zone of uncertainty with respect to the planetary boundary of climate change (Steffen </w:t>
      </w:r>
      <w:r w:rsidRPr="00637DF4">
        <w:rPr>
          <w:i/>
          <w:lang w:val="en-CA"/>
        </w:rPr>
        <w:t>et al</w:t>
      </w:r>
      <w:r>
        <w:rPr>
          <w:lang w:val="en-CA"/>
        </w:rPr>
        <w:t xml:space="preserve">., 2015), </w:t>
      </w:r>
      <w:r w:rsidRPr="001174C8">
        <w:rPr>
          <w:lang w:val="en-CA"/>
        </w:rPr>
        <w:t>CO</w:t>
      </w:r>
      <w:r w:rsidRPr="001174C8">
        <w:rPr>
          <w:vertAlign w:val="subscript"/>
          <w:lang w:val="en-CA"/>
        </w:rPr>
        <w:t>2</w:t>
      </w:r>
      <w:r w:rsidRPr="001174C8">
        <w:rPr>
          <w:lang w:val="en-CA"/>
        </w:rPr>
        <w:t xml:space="preserve"> emissions</w:t>
      </w:r>
      <w:r>
        <w:rPr>
          <w:lang w:val="en-CA"/>
        </w:rPr>
        <w:t xml:space="preserve"> must remain below 450ppm to avoid surpassing global warming of 2°C (IPCC, 2014). Consequently, the current emissions trajectory must be substantially reduced (IPCC, 2014). Given that livestock accounts for a fifth of all GHG emissions (</w:t>
      </w:r>
      <w:r w:rsidRPr="001D4200">
        <w:rPr>
          <w:color w:val="000000" w:themeColor="text1"/>
        </w:rPr>
        <w:t xml:space="preserve">Steinfeld </w:t>
      </w:r>
      <w:r w:rsidRPr="001D4200">
        <w:rPr>
          <w:i/>
          <w:color w:val="000000" w:themeColor="text1"/>
        </w:rPr>
        <w:t>et al.,</w:t>
      </w:r>
      <w:r w:rsidRPr="001D4200">
        <w:rPr>
          <w:color w:val="000000" w:themeColor="text1"/>
        </w:rPr>
        <w:t xml:space="preserve"> </w:t>
      </w:r>
      <w:r w:rsidRPr="001D4200">
        <w:rPr>
          <w:color w:val="000000" w:themeColor="text1"/>
        </w:rPr>
        <w:lastRenderedPageBreak/>
        <w:t>2006</w:t>
      </w:r>
      <w:r>
        <w:rPr>
          <w:lang w:val="en-CA"/>
        </w:rPr>
        <w:t xml:space="preserve">), acceleration of technological innovation in the livestock sector is crucial, in combination with considerable changes in public consumption patterns, to mitigate this significant source of emissions (Stehast </w:t>
      </w:r>
      <w:r w:rsidRPr="00A21482">
        <w:rPr>
          <w:i/>
          <w:lang w:val="en-CA"/>
        </w:rPr>
        <w:t>et al.,</w:t>
      </w:r>
      <w:r>
        <w:rPr>
          <w:lang w:val="en-CA"/>
        </w:rPr>
        <w:t xml:space="preserve"> 2009).</w:t>
      </w:r>
    </w:p>
    <w:p w14:paraId="64E616F4" w14:textId="77777777" w:rsidR="00374D42" w:rsidRPr="001D4200" w:rsidRDefault="00374D42" w:rsidP="00374D42">
      <w:pPr>
        <w:spacing w:line="480" w:lineRule="auto"/>
        <w:ind w:firstLine="720"/>
        <w:jc w:val="both"/>
      </w:pPr>
    </w:p>
    <w:p w14:paraId="6A0B6AF3" w14:textId="58CC5541" w:rsidR="00374D42" w:rsidRPr="00817547" w:rsidRDefault="00374D42" w:rsidP="00374D42">
      <w:pPr>
        <w:spacing w:line="480" w:lineRule="auto"/>
        <w:jc w:val="both"/>
        <w:rPr>
          <w:b/>
          <w:i/>
        </w:rPr>
      </w:pPr>
      <w:r>
        <w:rPr>
          <w:b/>
          <w:i/>
        </w:rPr>
        <w:t>ii</w:t>
      </w:r>
      <w:r w:rsidRPr="00817547">
        <w:rPr>
          <w:b/>
          <w:i/>
        </w:rPr>
        <w:t>. Land-</w:t>
      </w:r>
      <w:r w:rsidR="00C81E1F">
        <w:rPr>
          <w:b/>
          <w:i/>
        </w:rPr>
        <w:t>System Change</w:t>
      </w:r>
    </w:p>
    <w:p w14:paraId="5312E416" w14:textId="43B2FAA4" w:rsidR="00374D42" w:rsidRDefault="00374D42" w:rsidP="00374D42">
      <w:pPr>
        <w:spacing w:line="480" w:lineRule="auto"/>
        <w:jc w:val="both"/>
      </w:pPr>
      <w:r>
        <w:rPr>
          <w:i/>
        </w:rPr>
        <w:tab/>
      </w:r>
      <w:r w:rsidR="00C81E1F">
        <w:t>Land-system</w:t>
      </w:r>
      <w:r>
        <w:t xml:space="preserve"> change is fundamentally linked to CO</w:t>
      </w:r>
      <w:r w:rsidRPr="00BE2CC3">
        <w:rPr>
          <w:vertAlign w:val="subscript"/>
        </w:rPr>
        <w:t>2</w:t>
      </w:r>
      <w:r>
        <w:t xml:space="preserve"> emissions, with roughly 6 – 17 % of global emissions attributable to agricultural land-</w:t>
      </w:r>
      <w:r w:rsidR="00A411A6">
        <w:t>system</w:t>
      </w:r>
      <w:r>
        <w:t xml:space="preserve"> change alone (Bellarby </w:t>
      </w:r>
      <w:r w:rsidRPr="00DE35FA">
        <w:rPr>
          <w:i/>
        </w:rPr>
        <w:t>et al.,</w:t>
      </w:r>
      <w:r>
        <w:t xml:space="preserve"> 2008). Degradation of forests for agricultural conversion not only releases GHG emissions into the atmosphere, but also reduces the capacity of the earth to uptake CO</w:t>
      </w:r>
      <w:r w:rsidRPr="009B49E5">
        <w:rPr>
          <w:vertAlign w:val="subscript"/>
        </w:rPr>
        <w:t>2</w:t>
      </w:r>
      <w:r>
        <w:t xml:space="preserve">, thus impacting the climate cycle by eliminating an essential carbon sink (Steinfeld </w:t>
      </w:r>
      <w:r w:rsidRPr="00BD35AD">
        <w:rPr>
          <w:i/>
        </w:rPr>
        <w:t>et al.,</w:t>
      </w:r>
      <w:r>
        <w:t xml:space="preserve"> 2006). </w:t>
      </w:r>
    </w:p>
    <w:p w14:paraId="16C50AD8" w14:textId="77777777" w:rsidR="00374D42" w:rsidRDefault="00374D42" w:rsidP="00374D42">
      <w:pPr>
        <w:spacing w:line="480" w:lineRule="auto"/>
        <w:ind w:firstLine="720"/>
        <w:jc w:val="both"/>
      </w:pPr>
      <w:r>
        <w:t xml:space="preserve">Livestock agricultural land comprises both grazing land and cropland necessary to produce feed for livestock respectively (Steinfeld </w:t>
      </w:r>
      <w:r w:rsidRPr="00BD35AD">
        <w:rPr>
          <w:i/>
        </w:rPr>
        <w:t>et al.,</w:t>
      </w:r>
      <w:r>
        <w:t xml:space="preserve"> 2006). Accordingly, approximately 25 – 26 % (&gt; 33 million km</w:t>
      </w:r>
      <w:r>
        <w:rPr>
          <w:vertAlign w:val="superscript"/>
        </w:rPr>
        <w:t>2</w:t>
      </w:r>
      <w:r>
        <w:t xml:space="preserve">) of global ice-free land surface is used solely for livestock grazing (Asner </w:t>
      </w:r>
      <w:r w:rsidRPr="00BE2CC3">
        <w:rPr>
          <w:i/>
        </w:rPr>
        <w:t>et al.,</w:t>
      </w:r>
      <w:r>
        <w:t xml:space="preserve"> 2004; Steinfeld </w:t>
      </w:r>
      <w:r w:rsidRPr="00BD35AD">
        <w:rPr>
          <w:i/>
        </w:rPr>
        <w:t>et al.,</w:t>
      </w:r>
      <w:r>
        <w:t xml:space="preserve"> 2006; Stehast </w:t>
      </w:r>
      <w:r w:rsidRPr="001A3B42">
        <w:rPr>
          <w:i/>
        </w:rPr>
        <w:t>et al.,</w:t>
      </w:r>
      <w:r>
        <w:t xml:space="preserve"> 2009), with an additional 33 % of total arable land used for feed crop cultivation to feed livestock (Steinfeld </w:t>
      </w:r>
      <w:r w:rsidRPr="00BD35AD">
        <w:rPr>
          <w:i/>
        </w:rPr>
        <w:t>et al.,</w:t>
      </w:r>
      <w:r>
        <w:t xml:space="preserve"> 2006). Consequently, livestock single-handedly account for the most extensive form of anthropogenic land-use in the world (Asner </w:t>
      </w:r>
      <w:r w:rsidRPr="00BE2CC3">
        <w:rPr>
          <w:i/>
        </w:rPr>
        <w:t>et al.,</w:t>
      </w:r>
      <w:r>
        <w:t xml:space="preserve"> 2004; Steinfeld </w:t>
      </w:r>
      <w:r w:rsidRPr="00BD35AD">
        <w:rPr>
          <w:i/>
        </w:rPr>
        <w:t>et al.,</w:t>
      </w:r>
      <w:r>
        <w:t xml:space="preserve"> 2006). In terms of agricultural production, 70 % of total agricultural land is used for animal grazing (Asner </w:t>
      </w:r>
      <w:r w:rsidRPr="00BE2CC3">
        <w:rPr>
          <w:i/>
        </w:rPr>
        <w:t>et al.,</w:t>
      </w:r>
      <w:r>
        <w:t xml:space="preserve"> 2004; Steinfeld </w:t>
      </w:r>
      <w:r w:rsidRPr="00BD35AD">
        <w:rPr>
          <w:i/>
        </w:rPr>
        <w:t>et al.,</w:t>
      </w:r>
      <w:r>
        <w:t xml:space="preserve"> 2006; Stehast </w:t>
      </w:r>
      <w:r w:rsidRPr="001A3B42">
        <w:rPr>
          <w:i/>
        </w:rPr>
        <w:t>et al.,</w:t>
      </w:r>
      <w:r>
        <w:t xml:space="preserve"> 2009), which could be substantially reduced with a global shift away from animal consumption. </w:t>
      </w:r>
    </w:p>
    <w:p w14:paraId="203DB4B2" w14:textId="2158D4C9" w:rsidR="00374D42" w:rsidRPr="00A552B1" w:rsidRDefault="00374D42" w:rsidP="00374D42">
      <w:pPr>
        <w:spacing w:line="480" w:lineRule="auto"/>
        <w:ind w:firstLine="720"/>
        <w:jc w:val="both"/>
      </w:pPr>
      <w:r>
        <w:t>The degradation of pastures and rangeland occupied by livestock exacerbates the environmental impacts associated with land-</w:t>
      </w:r>
      <w:r w:rsidR="00A411A6">
        <w:t>system</w:t>
      </w:r>
      <w:r>
        <w:t xml:space="preserve"> change. Dependent on geographic location and associated climatic factors, degradation of land quality varies substantially. Yet, roughly 20</w:t>
      </w:r>
      <w:r w:rsidR="00A411A6">
        <w:t xml:space="preserve"> </w:t>
      </w:r>
      <w:r>
        <w:lastRenderedPageBreak/>
        <w:t xml:space="preserve">% of pastures and rangeland have deteriorated on a global scale (Steinfeld </w:t>
      </w:r>
      <w:r w:rsidRPr="00BD35AD">
        <w:rPr>
          <w:i/>
        </w:rPr>
        <w:t>et al.,</w:t>
      </w:r>
      <w:r>
        <w:t xml:space="preserve"> 2006). Thus, the cumulative impacts of forest eradication and land degradation have resulted in the loss of a beneficial carbon sink, reducing the global capacity for natural uptake of CO</w:t>
      </w:r>
      <w:r>
        <w:rPr>
          <w:vertAlign w:val="subscript"/>
        </w:rPr>
        <w:t>2</w:t>
      </w:r>
      <w:r>
        <w:t xml:space="preserve"> (Steinfeld </w:t>
      </w:r>
      <w:r w:rsidRPr="00BD35AD">
        <w:rPr>
          <w:i/>
        </w:rPr>
        <w:t>et al.,</w:t>
      </w:r>
      <w:r>
        <w:t xml:space="preserve"> 2006). </w:t>
      </w:r>
    </w:p>
    <w:p w14:paraId="7A49DB4A" w14:textId="45CBC469" w:rsidR="00374D42" w:rsidRDefault="00374D42" w:rsidP="00374D42">
      <w:pPr>
        <w:spacing w:line="480" w:lineRule="auto"/>
        <w:ind w:firstLine="720"/>
        <w:jc w:val="both"/>
      </w:pPr>
      <w:r>
        <w:t>In the United Kingdom, a more centrally focused study found that inclus</w:t>
      </w:r>
      <w:r w:rsidR="00A411A6">
        <w:t>ion of consumption-induced land-</w:t>
      </w:r>
      <w:r>
        <w:t xml:space="preserve">use change increased the environmental footprint of the entire food system by 50 %. Moreover, roughly 75 % of land-use change emissions in the UK were attributable to livestock alone (Audsley </w:t>
      </w:r>
      <w:r w:rsidRPr="009B49E5">
        <w:rPr>
          <w:i/>
        </w:rPr>
        <w:t>et al.,</w:t>
      </w:r>
      <w:r>
        <w:t xml:space="preserve"> 2009). </w:t>
      </w:r>
    </w:p>
    <w:p w14:paraId="7E6EA2C9" w14:textId="7CD54949" w:rsidR="00374D42" w:rsidRPr="00850986" w:rsidRDefault="00374D42" w:rsidP="00374D42">
      <w:pPr>
        <w:spacing w:line="480" w:lineRule="auto"/>
        <w:ind w:firstLine="720"/>
        <w:jc w:val="both"/>
      </w:pPr>
      <w:r>
        <w:t>The world has entered into a land-</w:t>
      </w:r>
      <w:r w:rsidR="00C81E1F">
        <w:t>system</w:t>
      </w:r>
      <w:r>
        <w:t xml:space="preserve"> change planetary boundary of uncertainty, with substantial reductions in original forest cover (Steffen </w:t>
      </w:r>
      <w:r w:rsidRPr="00637DF4">
        <w:rPr>
          <w:i/>
        </w:rPr>
        <w:t>et al.,</w:t>
      </w:r>
      <w:r>
        <w:t xml:space="preserve"> 2015). Consequently, industrial livestock agriculture must be r</w:t>
      </w:r>
      <w:r w:rsidR="00A411A6">
        <w:t>educed to limit further land-system</w:t>
      </w:r>
      <w:r>
        <w:t xml:space="preserve"> change</w:t>
      </w:r>
      <w:r w:rsidR="00A411A6">
        <w:t xml:space="preserve"> and degradation,</w:t>
      </w:r>
      <w:r>
        <w:t xml:space="preserve"> and provide an opportunity for regrowth of a former naturally occurring CO</w:t>
      </w:r>
      <w:r>
        <w:rPr>
          <w:vertAlign w:val="subscript"/>
        </w:rPr>
        <w:t>2</w:t>
      </w:r>
      <w:r>
        <w:t xml:space="preserve"> sink. Likewise, a reduction in livestock agriculture is necessary to achieve the aforementioned targets set forth at COP21 this past year. </w:t>
      </w:r>
    </w:p>
    <w:p w14:paraId="7567F16D" w14:textId="77777777" w:rsidR="00374D42" w:rsidRDefault="00374D42" w:rsidP="00374D42">
      <w:pPr>
        <w:spacing w:line="480" w:lineRule="auto"/>
        <w:jc w:val="both"/>
        <w:rPr>
          <w:i/>
        </w:rPr>
      </w:pPr>
    </w:p>
    <w:p w14:paraId="2FA5DEE8" w14:textId="77777777" w:rsidR="00374D42" w:rsidRPr="00817547" w:rsidRDefault="00374D42" w:rsidP="00374D42">
      <w:pPr>
        <w:spacing w:line="480" w:lineRule="auto"/>
        <w:jc w:val="both"/>
        <w:rPr>
          <w:b/>
          <w:i/>
        </w:rPr>
      </w:pPr>
      <w:r w:rsidRPr="00817547">
        <w:rPr>
          <w:b/>
          <w:i/>
        </w:rPr>
        <w:t>iii. Water Depletion</w:t>
      </w:r>
    </w:p>
    <w:p w14:paraId="09652AF3" w14:textId="44CCD33C" w:rsidR="00374D42" w:rsidRDefault="00374D42" w:rsidP="00374D42">
      <w:pPr>
        <w:spacing w:line="480" w:lineRule="auto"/>
        <w:jc w:val="both"/>
      </w:pPr>
      <w:r>
        <w:tab/>
        <w:t>Water is an integral part of the planet; it forms the basis of social and economic activity, ecosystems, and life itself. Without water, we c</w:t>
      </w:r>
      <w:r w:rsidR="002449A8">
        <w:t>an</w:t>
      </w:r>
      <w:r>
        <w:t xml:space="preserve">not survive. Though global freshwater use is still within its planetary limits (Steffen </w:t>
      </w:r>
      <w:r w:rsidRPr="00243D5B">
        <w:rPr>
          <w:i/>
        </w:rPr>
        <w:t>et al.,</w:t>
      </w:r>
      <w:r>
        <w:t xml:space="preserve"> 2015), there is worry that exponential population growth coupled with anthropogenic reliance on water, will push the freshwater resource past its boundary in many regions. </w:t>
      </w:r>
    </w:p>
    <w:p w14:paraId="092D5664" w14:textId="21F7FF65" w:rsidR="00374D42" w:rsidRDefault="00374D42" w:rsidP="00374D42">
      <w:pPr>
        <w:spacing w:line="480" w:lineRule="auto"/>
        <w:ind w:firstLine="720"/>
        <w:jc w:val="both"/>
      </w:pPr>
      <w:r>
        <w:t>Globally, a</w:t>
      </w:r>
      <w:r w:rsidRPr="004E17B8">
        <w:t xml:space="preserve">griculture consumes 70% of </w:t>
      </w:r>
      <w:r>
        <w:t>anthropogenic fresh</w:t>
      </w:r>
      <w:r w:rsidRPr="004E17B8">
        <w:t>water withdraw</w:t>
      </w:r>
      <w:r>
        <w:t>al</w:t>
      </w:r>
      <w:r w:rsidRPr="004E17B8">
        <w:t xml:space="preserve">s </w:t>
      </w:r>
      <w:r>
        <w:t xml:space="preserve">(WWAP, 2012). However, water requirements vary substantially for differing foods, forage crops for </w:t>
      </w:r>
      <w:r>
        <w:lastRenderedPageBreak/>
        <w:t xml:space="preserve">livestock, and animal consumption directly. </w:t>
      </w:r>
      <w:r>
        <w:rPr>
          <w:lang w:val="en-CA"/>
        </w:rPr>
        <w:t>For comparison purposes, p</w:t>
      </w:r>
      <w:r w:rsidRPr="004E17B8">
        <w:rPr>
          <w:lang w:val="en-CA"/>
        </w:rPr>
        <w:t xml:space="preserve">roduction of 1kg of beef uses 100 times more water than production of 1kg of grain when taking into account forage and grain production for </w:t>
      </w:r>
      <w:r>
        <w:rPr>
          <w:lang w:val="en-CA"/>
        </w:rPr>
        <w:t>ruminant</w:t>
      </w:r>
      <w:r w:rsidRPr="004E17B8">
        <w:rPr>
          <w:lang w:val="en-CA"/>
        </w:rPr>
        <w:t xml:space="preserve"> consumption (Pimentel &amp; Pimentel, 1996</w:t>
      </w:r>
      <w:r w:rsidR="00BE0AE9">
        <w:rPr>
          <w:lang w:val="en-CA"/>
        </w:rPr>
        <w:t>; Pimentel &amp; Pimentel, 2003</w:t>
      </w:r>
      <w:r w:rsidRPr="004E17B8">
        <w:rPr>
          <w:lang w:val="en-CA"/>
        </w:rPr>
        <w:t>)</w:t>
      </w:r>
      <w:r>
        <w:rPr>
          <w:lang w:val="en-CA"/>
        </w:rPr>
        <w:t>. Though comparisons differ according to animal protein, size, and associated crop feed (Pimentel &amp; Pimentel, 2003), it has been suggested ruminants specifically, require exponentially more water in comparison to various grains, beans, and vegetables (Olson-Sawyer, 2013).</w:t>
      </w:r>
    </w:p>
    <w:p w14:paraId="2B57F0F4" w14:textId="1549A48B" w:rsidR="00374D42" w:rsidRDefault="00374D42" w:rsidP="00374D42">
      <w:pPr>
        <w:spacing w:line="480" w:lineRule="auto"/>
        <w:ind w:firstLine="720"/>
        <w:jc w:val="both"/>
        <w:rPr>
          <w:lang w:val="en-CA"/>
        </w:rPr>
      </w:pPr>
      <w:r>
        <w:t xml:space="preserve">It is estimated that if the world were to continue on its current trajectory of meat consumption </w:t>
      </w:r>
      <w:r w:rsidRPr="004E17B8">
        <w:rPr>
          <w:lang w:val="en-CA"/>
        </w:rPr>
        <w:t xml:space="preserve">(animal protein constitutes &gt;20% total calories), </w:t>
      </w:r>
      <w:r w:rsidR="00B666EF">
        <w:rPr>
          <w:lang w:val="en-CA"/>
        </w:rPr>
        <w:t>fresh</w:t>
      </w:r>
      <w:r w:rsidRPr="004E17B8">
        <w:rPr>
          <w:lang w:val="en-CA"/>
        </w:rPr>
        <w:t>water resources will be depleted by</w:t>
      </w:r>
      <w:r w:rsidR="00545ECA">
        <w:rPr>
          <w:lang w:val="en-CA"/>
        </w:rPr>
        <w:t xml:space="preserve"> 2050 (Jägerskog &amp; </w:t>
      </w:r>
      <w:r w:rsidRPr="004E17B8">
        <w:rPr>
          <w:lang w:val="en-CA"/>
        </w:rPr>
        <w:t>Clausen, 2012)</w:t>
      </w:r>
      <w:r>
        <w:rPr>
          <w:lang w:val="en-CA"/>
        </w:rPr>
        <w:t>. Yet, i</w:t>
      </w:r>
      <w:r w:rsidRPr="004E17B8">
        <w:rPr>
          <w:lang w:val="en-CA"/>
        </w:rPr>
        <w:t xml:space="preserve">f consumption of animal protein is limited to 5% of total calories, “there will, </w:t>
      </w:r>
      <w:r>
        <w:rPr>
          <w:lang w:val="en-CA"/>
        </w:rPr>
        <w:t>however, be just enough water” (</w:t>
      </w:r>
      <w:r w:rsidRPr="004E17B8">
        <w:rPr>
          <w:lang w:val="en-CA"/>
        </w:rPr>
        <w:t>Jägerskog &amp; Clausen, 2012</w:t>
      </w:r>
      <w:r>
        <w:rPr>
          <w:lang w:val="en-CA"/>
        </w:rPr>
        <w:t xml:space="preserve">) to remain within the planetary boundary. Furthermore, </w:t>
      </w:r>
      <w:r w:rsidRPr="004E17B8">
        <w:rPr>
          <w:lang w:val="en-CA"/>
        </w:rPr>
        <w:t xml:space="preserve">regional deficits </w:t>
      </w:r>
      <w:r>
        <w:rPr>
          <w:lang w:val="en-CA"/>
        </w:rPr>
        <w:t xml:space="preserve">in water </w:t>
      </w:r>
      <w:r w:rsidRPr="004E17B8">
        <w:rPr>
          <w:lang w:val="en-CA"/>
        </w:rPr>
        <w:t xml:space="preserve">can be overcome with an ethical and organized system of </w:t>
      </w:r>
      <w:r>
        <w:rPr>
          <w:lang w:val="en-CA"/>
        </w:rPr>
        <w:t xml:space="preserve">food </w:t>
      </w:r>
      <w:r w:rsidRPr="004E17B8">
        <w:rPr>
          <w:lang w:val="en-CA"/>
        </w:rPr>
        <w:t>trade</w:t>
      </w:r>
      <w:r>
        <w:rPr>
          <w:lang w:val="en-CA"/>
        </w:rPr>
        <w:t xml:space="preserve"> (</w:t>
      </w:r>
      <w:r w:rsidRPr="004E17B8">
        <w:rPr>
          <w:lang w:val="en-CA"/>
        </w:rPr>
        <w:t>Jägerskog &amp; Clausen, 2012</w:t>
      </w:r>
      <w:r>
        <w:rPr>
          <w:lang w:val="en-CA"/>
        </w:rPr>
        <w:t>).</w:t>
      </w:r>
    </w:p>
    <w:p w14:paraId="67C38413" w14:textId="77777777" w:rsidR="00374D42" w:rsidRDefault="00374D42" w:rsidP="00374D42">
      <w:pPr>
        <w:spacing w:line="480" w:lineRule="auto"/>
        <w:jc w:val="both"/>
        <w:rPr>
          <w:color w:val="000000" w:themeColor="text1"/>
        </w:rPr>
      </w:pPr>
    </w:p>
    <w:p w14:paraId="52AEB906" w14:textId="77777777" w:rsidR="00374D42" w:rsidRPr="00817547" w:rsidRDefault="00374D42" w:rsidP="00374D42">
      <w:pPr>
        <w:spacing w:line="480" w:lineRule="auto"/>
        <w:jc w:val="both"/>
        <w:rPr>
          <w:b/>
          <w:i/>
          <w:color w:val="000000" w:themeColor="text1"/>
        </w:rPr>
      </w:pPr>
      <w:r w:rsidRPr="00817547">
        <w:rPr>
          <w:b/>
          <w:i/>
          <w:color w:val="000000" w:themeColor="text1"/>
        </w:rPr>
        <w:t>iv. Mitigation Measures</w:t>
      </w:r>
    </w:p>
    <w:p w14:paraId="13FCF925" w14:textId="467FF87E" w:rsidR="00374D42" w:rsidRDefault="00374D42" w:rsidP="00374D42">
      <w:pPr>
        <w:spacing w:line="480" w:lineRule="auto"/>
        <w:ind w:firstLine="720"/>
        <w:jc w:val="both"/>
        <w:rPr>
          <w:color w:val="000000" w:themeColor="text1"/>
        </w:rPr>
      </w:pPr>
      <w:r w:rsidRPr="00D324D1">
        <w:rPr>
          <w:color w:val="000000" w:themeColor="text1"/>
        </w:rPr>
        <w:t xml:space="preserve">Substantial research is underway to help mitigate the impact of livestock farming on global warming and other planetary boundaries (Steinfeld </w:t>
      </w:r>
      <w:r w:rsidRPr="00D324D1">
        <w:rPr>
          <w:i/>
          <w:color w:val="000000" w:themeColor="text1"/>
        </w:rPr>
        <w:t>et al.,</w:t>
      </w:r>
      <w:r w:rsidRPr="00D324D1">
        <w:rPr>
          <w:color w:val="000000" w:themeColor="text1"/>
        </w:rPr>
        <w:t xml:space="preserve"> 2006; Porter </w:t>
      </w:r>
      <w:r w:rsidRPr="00D324D1">
        <w:rPr>
          <w:i/>
          <w:color w:val="000000" w:themeColor="text1"/>
        </w:rPr>
        <w:t>et al.,</w:t>
      </w:r>
      <w:r w:rsidRPr="00D324D1">
        <w:rPr>
          <w:color w:val="000000" w:themeColor="text1"/>
        </w:rPr>
        <w:t xml:space="preserve"> 2014). </w:t>
      </w:r>
      <w:r>
        <w:rPr>
          <w:color w:val="000000" w:themeColor="text1"/>
        </w:rPr>
        <w:t>Mitigation measures can be broadly classified into five different categories: enhancing carbon removals, optimizing nutrient use, improving productivity, managing and benefitting from agricultural outputs, and reducing carbon intensity of fuel inputs (Smith et al., 2007; Garnett, 2011). Likewise, e</w:t>
      </w:r>
      <w:r w:rsidRPr="00D324D1">
        <w:rPr>
          <w:color w:val="000000" w:themeColor="text1"/>
        </w:rPr>
        <w:t xml:space="preserve">xamples of solutions to reduce environmental impacts associated with agriculture include </w:t>
      </w:r>
      <w:r w:rsidRPr="001F03A4">
        <w:rPr>
          <w:color w:val="000000" w:themeColor="text1"/>
        </w:rPr>
        <w:t xml:space="preserve">reforestation, </w:t>
      </w:r>
      <w:r w:rsidRPr="001D4200">
        <w:rPr>
          <w:color w:val="000000" w:themeColor="text1"/>
        </w:rPr>
        <w:t>changes in the energy system</w:t>
      </w:r>
      <w:r w:rsidRPr="001D4200">
        <w:rPr>
          <w:color w:val="C00000"/>
        </w:rPr>
        <w:t xml:space="preserve"> </w:t>
      </w:r>
      <w:r w:rsidRPr="001D4200">
        <w:rPr>
          <w:color w:val="101010"/>
        </w:rPr>
        <w:t xml:space="preserve">(Fisher </w:t>
      </w:r>
      <w:r w:rsidRPr="001D4200">
        <w:rPr>
          <w:i/>
          <w:color w:val="101010"/>
        </w:rPr>
        <w:t>et al.,</w:t>
      </w:r>
      <w:r w:rsidRPr="001D4200">
        <w:rPr>
          <w:color w:val="101010"/>
        </w:rPr>
        <w:t xml:space="preserve"> </w:t>
      </w:r>
      <w:r w:rsidRPr="001D4200">
        <w:rPr>
          <w:color w:val="000000" w:themeColor="text1"/>
        </w:rPr>
        <w:t>2007</w:t>
      </w:r>
      <w:r w:rsidRPr="001D4200">
        <w:rPr>
          <w:color w:val="101010"/>
        </w:rPr>
        <w:t xml:space="preserve">; Metz </w:t>
      </w:r>
      <w:r w:rsidRPr="001D4200">
        <w:rPr>
          <w:i/>
          <w:color w:val="101010"/>
        </w:rPr>
        <w:t>et al.,</w:t>
      </w:r>
      <w:r w:rsidRPr="001D4200">
        <w:rPr>
          <w:color w:val="101010"/>
        </w:rPr>
        <w:t xml:space="preserve"> 2007; van Vuuren et </w:t>
      </w:r>
      <w:r w:rsidRPr="001D4200">
        <w:rPr>
          <w:color w:val="000000" w:themeColor="text1"/>
        </w:rPr>
        <w:t>al., 2007)</w:t>
      </w:r>
      <w:r>
        <w:rPr>
          <w:color w:val="000000" w:themeColor="text1"/>
        </w:rPr>
        <w:t xml:space="preserve">, </w:t>
      </w:r>
      <w:r w:rsidRPr="001D4200">
        <w:rPr>
          <w:color w:val="000000" w:themeColor="text1"/>
        </w:rPr>
        <w:t xml:space="preserve">management of livestock diets (including use of supplements) (Beauchemin </w:t>
      </w:r>
      <w:r w:rsidRPr="001D4200">
        <w:rPr>
          <w:i/>
          <w:color w:val="000000" w:themeColor="text1"/>
        </w:rPr>
        <w:t>et al.,</w:t>
      </w:r>
      <w:r w:rsidRPr="001D4200">
        <w:rPr>
          <w:color w:val="000000" w:themeColor="text1"/>
        </w:rPr>
        <w:t xml:space="preserve"> 2007; Porter </w:t>
      </w:r>
      <w:r w:rsidRPr="001D4200">
        <w:rPr>
          <w:i/>
          <w:color w:val="000000" w:themeColor="text1"/>
        </w:rPr>
        <w:t xml:space="preserve">et al., </w:t>
      </w:r>
      <w:r w:rsidRPr="001D4200">
        <w:rPr>
          <w:color w:val="000000" w:themeColor="text1"/>
        </w:rPr>
        <w:t xml:space="preserve">2014), fertilizer selection and manipulation (Dobbie &amp; </w:t>
      </w:r>
      <w:r w:rsidRPr="001D4200">
        <w:rPr>
          <w:color w:val="000000" w:themeColor="text1"/>
        </w:rPr>
        <w:lastRenderedPageBreak/>
        <w:t>Smith, 2003)</w:t>
      </w:r>
      <w:r>
        <w:rPr>
          <w:color w:val="000000" w:themeColor="text1"/>
        </w:rPr>
        <w:t>,</w:t>
      </w:r>
      <w:r w:rsidRPr="001D4200">
        <w:rPr>
          <w:color w:val="000000" w:themeColor="text1"/>
        </w:rPr>
        <w:t xml:space="preserve"> and anaerobic digestion biotechnologies (McAllister </w:t>
      </w:r>
      <w:r w:rsidRPr="001D4200">
        <w:rPr>
          <w:i/>
          <w:color w:val="000000" w:themeColor="text1"/>
        </w:rPr>
        <w:t>et al.,</w:t>
      </w:r>
      <w:r w:rsidRPr="001D4200">
        <w:rPr>
          <w:color w:val="000000" w:themeColor="text1"/>
        </w:rPr>
        <w:t xml:space="preserve"> 1996; Amon </w:t>
      </w:r>
      <w:r w:rsidRPr="001D4200">
        <w:rPr>
          <w:i/>
          <w:color w:val="000000" w:themeColor="text1"/>
        </w:rPr>
        <w:t>et al.,</w:t>
      </w:r>
      <w:r w:rsidRPr="001D4200">
        <w:rPr>
          <w:color w:val="000000" w:themeColor="text1"/>
        </w:rPr>
        <w:t xml:space="preserve"> 2006)</w:t>
      </w:r>
      <w:r w:rsidR="0079064A">
        <w:rPr>
          <w:color w:val="000000" w:themeColor="text1"/>
        </w:rPr>
        <w:t>,</w:t>
      </w:r>
      <w:r>
        <w:rPr>
          <w:color w:val="000000" w:themeColor="text1"/>
        </w:rPr>
        <w:t xml:space="preserve"> to name but a few</w:t>
      </w:r>
      <w:r w:rsidRPr="001D4200">
        <w:rPr>
          <w:color w:val="000000" w:themeColor="text1"/>
        </w:rPr>
        <w:t xml:space="preserve">. </w:t>
      </w:r>
    </w:p>
    <w:p w14:paraId="6AEEAB5F" w14:textId="35256D96" w:rsidR="00374D42" w:rsidRDefault="00374D42" w:rsidP="00374D42">
      <w:pPr>
        <w:spacing w:line="480" w:lineRule="auto"/>
        <w:ind w:firstLine="720"/>
        <w:jc w:val="both"/>
        <w:rPr>
          <w:color w:val="000000" w:themeColor="text1"/>
        </w:rPr>
      </w:pPr>
      <w:r w:rsidRPr="00D324D1">
        <w:rPr>
          <w:color w:val="000000" w:themeColor="text1"/>
        </w:rPr>
        <w:t>However</w:t>
      </w:r>
      <w:r>
        <w:rPr>
          <w:color w:val="000000" w:themeColor="text1"/>
        </w:rPr>
        <w:t>,</w:t>
      </w:r>
      <w:r w:rsidRPr="00D324D1">
        <w:rPr>
          <w:color w:val="000000" w:themeColor="text1"/>
        </w:rPr>
        <w:t xml:space="preserve"> </w:t>
      </w:r>
      <w:r w:rsidR="002D02C4">
        <w:rPr>
          <w:color w:val="000000" w:themeColor="text1"/>
        </w:rPr>
        <w:t xml:space="preserve">many issues </w:t>
      </w:r>
      <w:r w:rsidR="00545ECA">
        <w:rPr>
          <w:color w:val="000000" w:themeColor="text1"/>
        </w:rPr>
        <w:t>arise</w:t>
      </w:r>
      <w:r w:rsidR="002D02C4">
        <w:rPr>
          <w:color w:val="000000" w:themeColor="text1"/>
        </w:rPr>
        <w:t xml:space="preserve"> with relying on technological improvements. First, </w:t>
      </w:r>
      <w:r w:rsidRPr="00D324D1">
        <w:rPr>
          <w:color w:val="000000" w:themeColor="text1"/>
        </w:rPr>
        <w:t xml:space="preserve">development and adoption of these technologies could realistically take years, and even then, </w:t>
      </w:r>
      <w:r>
        <w:rPr>
          <w:color w:val="000000" w:themeColor="text1"/>
        </w:rPr>
        <w:t>will</w:t>
      </w:r>
      <w:r w:rsidRPr="00D324D1">
        <w:rPr>
          <w:color w:val="000000" w:themeColor="text1"/>
        </w:rPr>
        <w:t xml:space="preserve"> not achieve sufficient mitigation</w:t>
      </w:r>
      <w:r>
        <w:rPr>
          <w:color w:val="000000" w:themeColor="text1"/>
        </w:rPr>
        <w:t xml:space="preserve"> to remain within planetary boundaries</w:t>
      </w:r>
      <w:r w:rsidRPr="00D324D1">
        <w:rPr>
          <w:color w:val="000000" w:themeColor="text1"/>
        </w:rPr>
        <w:t xml:space="preserve">. </w:t>
      </w:r>
      <w:r w:rsidR="002D02C4">
        <w:t>Second,</w:t>
      </w:r>
      <w:r w:rsidRPr="00D324D1">
        <w:t xml:space="preserve"> these efforts are focused on-site</w:t>
      </w:r>
      <w:r w:rsidR="00545ECA">
        <w:t xml:space="preserve"> (e.g. energy usage)</w:t>
      </w:r>
      <w:r w:rsidRPr="00D324D1">
        <w:t xml:space="preserve">, and don’t incorporate a whole system approach for effective mitigation (Stewart, 2009; Crosson </w:t>
      </w:r>
      <w:r w:rsidRPr="00D324D1">
        <w:rPr>
          <w:i/>
        </w:rPr>
        <w:t>et al.,</w:t>
      </w:r>
      <w:r w:rsidRPr="00D324D1">
        <w:t xml:space="preserve"> 2011; Nguyen </w:t>
      </w:r>
      <w:r w:rsidRPr="00D324D1">
        <w:rPr>
          <w:i/>
        </w:rPr>
        <w:t>et al.,</w:t>
      </w:r>
      <w:r w:rsidRPr="00D324D1">
        <w:t xml:space="preserve"> 2013), including both onsite and off (Weiske </w:t>
      </w:r>
      <w:r w:rsidRPr="00D324D1">
        <w:rPr>
          <w:i/>
        </w:rPr>
        <w:t>et al.,</w:t>
      </w:r>
      <w:r w:rsidRPr="00D324D1">
        <w:t xml:space="preserve"> 2006), such as</w:t>
      </w:r>
      <w:r w:rsidR="00F06AF7">
        <w:t xml:space="preserve"> the food chain (Garnett, 2011)</w:t>
      </w:r>
      <w:r w:rsidRPr="001D4200">
        <w:t>.</w:t>
      </w:r>
      <w:r>
        <w:t xml:space="preserve"> </w:t>
      </w:r>
      <w:r w:rsidR="002D02C4">
        <w:t>Third, present trends in animal-protein demand are counteracting the improvements of technology</w:t>
      </w:r>
      <w:r w:rsidR="00545ECA">
        <w:t>, as meat consumption i</w:t>
      </w:r>
      <w:r w:rsidR="0079064A">
        <w:t>s increasing</w:t>
      </w:r>
      <w:r w:rsidR="00545ECA">
        <w:t xml:space="preserve"> on a global scale</w:t>
      </w:r>
      <w:r w:rsidR="002D02C4">
        <w:t xml:space="preserve"> (Carlsson-Kanyama, 1998). Thus, </w:t>
      </w:r>
      <w:r w:rsidR="002D02C4">
        <w:rPr>
          <w:color w:val="000000" w:themeColor="text1"/>
        </w:rPr>
        <w:t>i</w:t>
      </w:r>
      <w:r w:rsidRPr="00473D0B">
        <w:rPr>
          <w:color w:val="000000" w:themeColor="text1"/>
        </w:rPr>
        <w:t>n combination with research and technological innovation, avoidance of severe agriculture impacts on the integrity of the earth system are likely only to materialize with changes in individual food consumption</w:t>
      </w:r>
      <w:r w:rsidR="002E7E00">
        <w:rPr>
          <w:color w:val="000000" w:themeColor="text1"/>
        </w:rPr>
        <w:t xml:space="preserve"> </w:t>
      </w:r>
      <w:r>
        <w:rPr>
          <w:color w:val="000000" w:themeColor="text1"/>
        </w:rPr>
        <w:t>(Garnett, 2011;</w:t>
      </w:r>
      <w:r w:rsidRPr="00473D0B">
        <w:rPr>
          <w:color w:val="000000" w:themeColor="text1"/>
        </w:rPr>
        <w:t xml:space="preserve"> Garnett, 2013)</w:t>
      </w:r>
      <w:r w:rsidR="002E7E00">
        <w:rPr>
          <w:color w:val="000000" w:themeColor="text1"/>
        </w:rPr>
        <w:t xml:space="preserve">, </w:t>
      </w:r>
      <w:r w:rsidR="00E77841">
        <w:rPr>
          <w:color w:val="000000" w:themeColor="text1"/>
        </w:rPr>
        <w:t xml:space="preserve">by means of transitioning to locally sourced, </w:t>
      </w:r>
      <w:r w:rsidR="0099665D">
        <w:rPr>
          <w:color w:val="000000" w:themeColor="text1"/>
        </w:rPr>
        <w:t xml:space="preserve">less-industrialized </w:t>
      </w:r>
      <w:r w:rsidR="00E77841">
        <w:rPr>
          <w:color w:val="000000" w:themeColor="text1"/>
        </w:rPr>
        <w:t xml:space="preserve">organic foods, reducing caloric intake and waste, </w:t>
      </w:r>
      <w:r w:rsidR="00F84CD4">
        <w:rPr>
          <w:color w:val="000000" w:themeColor="text1"/>
        </w:rPr>
        <w:t xml:space="preserve">and </w:t>
      </w:r>
      <w:r w:rsidR="00E77841" w:rsidRPr="0079064A">
        <w:rPr>
          <w:b/>
          <w:i/>
          <w:color w:val="000000" w:themeColor="text1"/>
        </w:rPr>
        <w:t>shifting to plant-based diets</w:t>
      </w:r>
      <w:r w:rsidR="00E77841">
        <w:rPr>
          <w:color w:val="000000" w:themeColor="text1"/>
        </w:rPr>
        <w:t xml:space="preserve"> (</w:t>
      </w:r>
      <w:r w:rsidR="00DE37A0">
        <w:rPr>
          <w:color w:val="000000" w:themeColor="text1"/>
        </w:rPr>
        <w:t xml:space="preserve">Duchin, 2005; Foster </w:t>
      </w:r>
      <w:r w:rsidR="00DE37A0" w:rsidRPr="00DE37A0">
        <w:rPr>
          <w:i/>
          <w:color w:val="000000" w:themeColor="text1"/>
        </w:rPr>
        <w:t>et al.,</w:t>
      </w:r>
      <w:r w:rsidR="00DE37A0">
        <w:rPr>
          <w:color w:val="000000" w:themeColor="text1"/>
        </w:rPr>
        <w:t xml:space="preserve"> 2006; </w:t>
      </w:r>
      <w:r w:rsidR="00D04E97">
        <w:rPr>
          <w:color w:val="000000" w:themeColor="text1"/>
        </w:rPr>
        <w:t xml:space="preserve">FAO, 2010; </w:t>
      </w:r>
      <w:r w:rsidR="00DE37A0">
        <w:rPr>
          <w:color w:val="000000" w:themeColor="text1"/>
        </w:rPr>
        <w:t xml:space="preserve">Reisch </w:t>
      </w:r>
      <w:r w:rsidR="00DE37A0" w:rsidRPr="00DE37A0">
        <w:rPr>
          <w:i/>
          <w:color w:val="000000" w:themeColor="text1"/>
        </w:rPr>
        <w:t>et al.,</w:t>
      </w:r>
      <w:r w:rsidR="00DE37A0">
        <w:rPr>
          <w:color w:val="000000" w:themeColor="text1"/>
        </w:rPr>
        <w:t xml:space="preserve"> 2013</w:t>
      </w:r>
      <w:r w:rsidR="00E77841">
        <w:rPr>
          <w:color w:val="000000" w:themeColor="text1"/>
        </w:rPr>
        <w:t>). The latter</w:t>
      </w:r>
      <w:r w:rsidR="002D02C4">
        <w:rPr>
          <w:color w:val="000000" w:themeColor="text1"/>
        </w:rPr>
        <w:t xml:space="preserve"> is the focus of this research, given its greater environmental, </w:t>
      </w:r>
      <w:r w:rsidR="008E3778">
        <w:rPr>
          <w:color w:val="000000" w:themeColor="text1"/>
        </w:rPr>
        <w:t xml:space="preserve">but also </w:t>
      </w:r>
      <w:r w:rsidR="002D02C4">
        <w:rPr>
          <w:color w:val="000000" w:themeColor="text1"/>
        </w:rPr>
        <w:t>personal health, social, and resulting economic benefits (</w:t>
      </w:r>
      <w:r w:rsidR="00D04E97" w:rsidRPr="00D04E97">
        <w:rPr>
          <w:color w:val="000000" w:themeColor="text1"/>
        </w:rPr>
        <w:t xml:space="preserve">Steinfeld </w:t>
      </w:r>
      <w:r w:rsidR="00D04E97" w:rsidRPr="00D04E97">
        <w:rPr>
          <w:i/>
          <w:color w:val="000000" w:themeColor="text1"/>
        </w:rPr>
        <w:t>et al.,</w:t>
      </w:r>
      <w:r w:rsidR="00D04E97" w:rsidRPr="00D04E97">
        <w:rPr>
          <w:color w:val="000000" w:themeColor="text1"/>
        </w:rPr>
        <w:t xml:space="preserve"> 2006; </w:t>
      </w:r>
      <w:r w:rsidR="00D04E97">
        <w:rPr>
          <w:color w:val="000000" w:themeColor="text1"/>
        </w:rPr>
        <w:t>Stehast et al., 2009</w:t>
      </w:r>
      <w:r w:rsidR="0099665D">
        <w:rPr>
          <w:color w:val="000000" w:themeColor="text1"/>
        </w:rPr>
        <w:t xml:space="preserve">; </w:t>
      </w:r>
      <w:r w:rsidR="002D02C4">
        <w:rPr>
          <w:color w:val="000000" w:themeColor="text1"/>
        </w:rPr>
        <w:t xml:space="preserve">McMichael </w:t>
      </w:r>
      <w:r w:rsidR="002D02C4" w:rsidRPr="002D02C4">
        <w:rPr>
          <w:i/>
          <w:color w:val="000000" w:themeColor="text1"/>
        </w:rPr>
        <w:t>et al.,</w:t>
      </w:r>
      <w:r w:rsidR="002D02C4">
        <w:rPr>
          <w:color w:val="000000" w:themeColor="text1"/>
        </w:rPr>
        <w:t xml:space="preserve"> 2007). </w:t>
      </w:r>
    </w:p>
    <w:p w14:paraId="57125132" w14:textId="77777777" w:rsidR="00E06D52" w:rsidRDefault="00E06D52" w:rsidP="00CC3723">
      <w:pPr>
        <w:spacing w:line="480" w:lineRule="auto"/>
        <w:jc w:val="both"/>
        <w:rPr>
          <w:color w:val="000000" w:themeColor="text1"/>
        </w:rPr>
      </w:pPr>
    </w:p>
    <w:p w14:paraId="783C10E2" w14:textId="118F2F51" w:rsidR="00CC3723" w:rsidRPr="00CC3723" w:rsidRDefault="00CC3723" w:rsidP="00CC3723">
      <w:pPr>
        <w:spacing w:line="480" w:lineRule="auto"/>
        <w:jc w:val="both"/>
        <w:rPr>
          <w:b/>
          <w:i/>
          <w:color w:val="000000" w:themeColor="text1"/>
        </w:rPr>
      </w:pPr>
      <w:r>
        <w:rPr>
          <w:b/>
          <w:i/>
          <w:color w:val="000000" w:themeColor="text1"/>
        </w:rPr>
        <w:t>v. Context</w:t>
      </w:r>
    </w:p>
    <w:p w14:paraId="636AFF5E" w14:textId="77777777" w:rsidR="00B53FFA" w:rsidRDefault="00CC3723" w:rsidP="002D02C4">
      <w:pPr>
        <w:spacing w:line="480" w:lineRule="auto"/>
        <w:ind w:firstLine="720"/>
        <w:jc w:val="both"/>
        <w:sectPr w:rsidR="00B53FFA" w:rsidSect="00D65F93">
          <w:footerReference w:type="default" r:id="rId10"/>
          <w:pgSz w:w="12240" w:h="15840"/>
          <w:pgMar w:top="1440" w:right="1440" w:bottom="1440" w:left="1440" w:header="708" w:footer="708" w:gutter="0"/>
          <w:pgNumType w:start="1"/>
          <w:cols w:space="708"/>
          <w:docGrid w:linePitch="360"/>
        </w:sectPr>
      </w:pPr>
      <w:r>
        <w:t>L</w:t>
      </w:r>
      <w:r w:rsidR="002D02C4">
        <w:t xml:space="preserve">ivestock production, and consequently animal protein consumption has been well-established in the literature, especially since the UN’s FAO publication of Livestock’s Long Shadow (Steinfeld </w:t>
      </w:r>
      <w:r w:rsidR="002D02C4" w:rsidRPr="002D02C4">
        <w:rPr>
          <w:i/>
        </w:rPr>
        <w:t>et al.,</w:t>
      </w:r>
      <w:r w:rsidR="002D02C4">
        <w:t xml:space="preserve"> 2006). </w:t>
      </w:r>
      <w:r>
        <w:t xml:space="preserve">However, climate change mitigation policies have focused predominantly on the energy sector, while the agriculture sector has received considerably less </w:t>
      </w:r>
    </w:p>
    <w:p w14:paraId="1A7ECA08" w14:textId="1D69781F" w:rsidR="00545ECA" w:rsidRDefault="00CC3723" w:rsidP="00B53FFA">
      <w:pPr>
        <w:spacing w:line="480" w:lineRule="auto"/>
        <w:jc w:val="both"/>
        <w:rPr>
          <w:color w:val="000000" w:themeColor="text1"/>
        </w:rPr>
      </w:pPr>
      <w:r>
        <w:lastRenderedPageBreak/>
        <w:t xml:space="preserve">attention despite the </w:t>
      </w:r>
      <w:r w:rsidR="002449A8">
        <w:t xml:space="preserve">relatively </w:t>
      </w:r>
      <w:r>
        <w:t>undisputed science</w:t>
      </w:r>
      <w:r w:rsidR="008E3778">
        <w:t xml:space="preserve"> (Stehfast </w:t>
      </w:r>
      <w:r w:rsidR="008E3778" w:rsidRPr="002449A8">
        <w:rPr>
          <w:i/>
        </w:rPr>
        <w:t>et al</w:t>
      </w:r>
      <w:r w:rsidR="008E3778">
        <w:t xml:space="preserve">., 2009; van Dooren </w:t>
      </w:r>
      <w:r w:rsidR="008E3778" w:rsidRPr="002449A8">
        <w:rPr>
          <w:i/>
        </w:rPr>
        <w:t>et al.,</w:t>
      </w:r>
      <w:r w:rsidR="008E3778">
        <w:t xml:space="preserve"> 2014)</w:t>
      </w:r>
      <w:r>
        <w:t xml:space="preserve">. </w:t>
      </w:r>
      <w:r w:rsidR="008E3778">
        <w:t>Though Canada has less proportional emissions from the agricultural sector in comparison to other countries, the lesser fraction is attributed to Canada’s (i) extensive fossil fuel industry</w:t>
      </w:r>
      <w:r w:rsidR="00022019">
        <w:t xml:space="preserve"> (contributing 26% of total emissions)</w:t>
      </w:r>
      <w:r w:rsidR="008E3778">
        <w:t xml:space="preserve">, and (ii) </w:t>
      </w:r>
      <w:r w:rsidR="002449A8">
        <w:t>substantial</w:t>
      </w:r>
      <w:r w:rsidR="008E3778">
        <w:t xml:space="preserve"> animal product imports</w:t>
      </w:r>
      <w:r w:rsidR="00A411A6">
        <w:t>,</w:t>
      </w:r>
      <w:r w:rsidR="00D60CBE">
        <w:t xml:space="preserve"> especially dairy (</w:t>
      </w:r>
      <w:r w:rsidR="00022019">
        <w:t>CDIC</w:t>
      </w:r>
      <w:r w:rsidR="00D60CBE">
        <w:t>, 2015) and red meat (</w:t>
      </w:r>
      <w:r w:rsidR="00022019">
        <w:t>AAFC, 2016</w:t>
      </w:r>
      <w:r w:rsidR="00D60CBE">
        <w:t>)</w:t>
      </w:r>
      <w:r w:rsidR="008E3778">
        <w:t xml:space="preserve">, which are not accounted for within </w:t>
      </w:r>
      <w:r w:rsidR="002449A8">
        <w:t>the national emissions breakdown.</w:t>
      </w:r>
      <w:r w:rsidR="008E3778">
        <w:t xml:space="preserve"> </w:t>
      </w:r>
      <w:r w:rsidR="00CF38E8">
        <w:t>Thus, changes in consumption could</w:t>
      </w:r>
      <w:r w:rsidR="008E3778">
        <w:t xml:space="preserve"> have cross-border effects in environmental mitigation, while </w:t>
      </w:r>
      <w:r w:rsidR="00CF38E8">
        <w:t xml:space="preserve">also providing </w:t>
      </w:r>
      <w:r w:rsidR="008E3778">
        <w:t xml:space="preserve">an example for other countries to follow suit. To further drive the point </w:t>
      </w:r>
      <w:r w:rsidR="00CF38E8">
        <w:t xml:space="preserve">of dietary benefits </w:t>
      </w:r>
      <w:r w:rsidR="008E3778">
        <w:t xml:space="preserve">home, </w:t>
      </w:r>
      <w:r w:rsidR="008E3778" w:rsidRPr="00CF38E8">
        <w:rPr>
          <w:color w:val="000000" w:themeColor="text1"/>
        </w:rPr>
        <w:t>a global transition to plant-based diets could reduce the costs of climate change mitigation by 50%</w:t>
      </w:r>
      <w:r w:rsidR="00324742" w:rsidRPr="00CF38E8">
        <w:rPr>
          <w:color w:val="000000" w:themeColor="text1"/>
        </w:rPr>
        <w:t xml:space="preserve"> </w:t>
      </w:r>
      <w:r w:rsidR="00CF38E8" w:rsidRPr="00CF38E8">
        <w:rPr>
          <w:color w:val="000000" w:themeColor="text1"/>
        </w:rPr>
        <w:t xml:space="preserve">in 2050 </w:t>
      </w:r>
      <w:r w:rsidR="00324742" w:rsidRPr="00CF38E8">
        <w:rPr>
          <w:color w:val="000000" w:themeColor="text1"/>
        </w:rPr>
        <w:t xml:space="preserve">(Stehfast </w:t>
      </w:r>
      <w:r w:rsidR="00324742" w:rsidRPr="00CF38E8">
        <w:rPr>
          <w:i/>
          <w:color w:val="000000" w:themeColor="text1"/>
        </w:rPr>
        <w:t>et al</w:t>
      </w:r>
      <w:r w:rsidR="00324742" w:rsidRPr="00CF38E8">
        <w:rPr>
          <w:color w:val="000000" w:themeColor="text1"/>
        </w:rPr>
        <w:t xml:space="preserve">., 2009; de Boer </w:t>
      </w:r>
      <w:r w:rsidR="00324742" w:rsidRPr="00CF38E8">
        <w:rPr>
          <w:i/>
          <w:color w:val="000000" w:themeColor="text1"/>
        </w:rPr>
        <w:t>et al.,</w:t>
      </w:r>
      <w:r w:rsidR="00324742" w:rsidRPr="00CF38E8">
        <w:rPr>
          <w:color w:val="000000" w:themeColor="text1"/>
        </w:rPr>
        <w:t xml:space="preserve"> 2016)</w:t>
      </w:r>
      <w:r w:rsidR="00951B64" w:rsidRPr="00CF38E8">
        <w:rPr>
          <w:color w:val="000000" w:themeColor="text1"/>
        </w:rPr>
        <w:t xml:space="preserve">, and would save more emissions on an individual level than </w:t>
      </w:r>
      <w:r w:rsidR="00324742" w:rsidRPr="00CF38E8">
        <w:rPr>
          <w:color w:val="000000" w:themeColor="text1"/>
        </w:rPr>
        <w:t>converting</w:t>
      </w:r>
      <w:r w:rsidR="00951B64" w:rsidRPr="00CF38E8">
        <w:rPr>
          <w:color w:val="000000" w:themeColor="text1"/>
        </w:rPr>
        <w:t xml:space="preserve"> to driving an ultra-efficient hybrid (ie. Prius) (Eshel &amp; Martin, 2005). </w:t>
      </w:r>
      <w:r w:rsidR="00CF38E8" w:rsidRPr="00CF38E8">
        <w:rPr>
          <w:color w:val="000000" w:themeColor="text1"/>
        </w:rPr>
        <w:t xml:space="preserve">A more detailed analysis </w:t>
      </w:r>
      <w:r w:rsidR="00CF38E8">
        <w:rPr>
          <w:color w:val="000000" w:themeColor="text1"/>
        </w:rPr>
        <w:t>regarding</w:t>
      </w:r>
      <w:r w:rsidR="00CF38E8" w:rsidRPr="00CF38E8">
        <w:rPr>
          <w:color w:val="000000" w:themeColor="text1"/>
        </w:rPr>
        <w:t xml:space="preserve"> </w:t>
      </w:r>
      <w:r w:rsidR="006E3634">
        <w:rPr>
          <w:color w:val="000000" w:themeColor="text1"/>
        </w:rPr>
        <w:t xml:space="preserve">the bottom up approach of a shift to plant-based diets to mitigate </w:t>
      </w:r>
      <w:r w:rsidR="00CF38E8" w:rsidRPr="00CF38E8">
        <w:rPr>
          <w:color w:val="000000" w:themeColor="text1"/>
        </w:rPr>
        <w:t xml:space="preserve">environmental impacts </w:t>
      </w:r>
      <w:r w:rsidR="006E3634">
        <w:rPr>
          <w:color w:val="000000" w:themeColor="text1"/>
        </w:rPr>
        <w:t xml:space="preserve">of agriculture, </w:t>
      </w:r>
      <w:r w:rsidR="00261AD7">
        <w:rPr>
          <w:color w:val="000000" w:themeColor="text1"/>
        </w:rPr>
        <w:t>follow</w:t>
      </w:r>
      <w:r w:rsidR="00FD5426">
        <w:rPr>
          <w:color w:val="000000" w:themeColor="text1"/>
        </w:rPr>
        <w:t>s.</w:t>
      </w:r>
    </w:p>
    <w:p w14:paraId="3A8C8D37" w14:textId="77777777" w:rsidR="00545ECA" w:rsidRDefault="00545ECA" w:rsidP="00545ECA"/>
    <w:p w14:paraId="0A749329" w14:textId="77777777" w:rsidR="00227240" w:rsidRPr="00545ECA" w:rsidRDefault="00227240" w:rsidP="00545ECA"/>
    <w:p w14:paraId="01C1E4D4" w14:textId="77777777" w:rsidR="00545ECA" w:rsidRPr="00545ECA" w:rsidRDefault="00545ECA" w:rsidP="00545ECA"/>
    <w:p w14:paraId="401BA013" w14:textId="77777777" w:rsidR="00374D42" w:rsidRPr="00817547" w:rsidRDefault="00374D42" w:rsidP="00374D42">
      <w:pPr>
        <w:spacing w:line="480" w:lineRule="auto"/>
        <w:jc w:val="both"/>
        <w:rPr>
          <w:b/>
          <w:sz w:val="28"/>
        </w:rPr>
      </w:pPr>
      <w:r>
        <w:rPr>
          <w:b/>
          <w:sz w:val="28"/>
        </w:rPr>
        <w:t>II</w:t>
      </w:r>
      <w:r w:rsidRPr="00817547">
        <w:rPr>
          <w:b/>
          <w:sz w:val="28"/>
        </w:rPr>
        <w:t>. Mitigation of Environmental Impacts through a Shift to Plant-Based Diets</w:t>
      </w:r>
    </w:p>
    <w:p w14:paraId="74254FD2" w14:textId="77777777" w:rsidR="00B53FFA" w:rsidRDefault="00374D42" w:rsidP="00E06D52">
      <w:pPr>
        <w:spacing w:line="480" w:lineRule="auto"/>
        <w:ind w:firstLine="720"/>
        <w:jc w:val="both"/>
        <w:rPr>
          <w:color w:val="000000" w:themeColor="text1"/>
        </w:rPr>
        <w:sectPr w:rsidR="00B53FFA" w:rsidSect="00D65F93">
          <w:footerReference w:type="default" r:id="rId11"/>
          <w:pgSz w:w="12240" w:h="15840"/>
          <w:pgMar w:top="1440" w:right="1440" w:bottom="1440" w:left="1440" w:header="708" w:footer="708" w:gutter="0"/>
          <w:pgNumType w:start="8"/>
          <w:cols w:space="708"/>
          <w:docGrid w:linePitch="360"/>
        </w:sectPr>
      </w:pPr>
      <w:r w:rsidRPr="00D324D1">
        <w:rPr>
          <w:color w:val="000000" w:themeColor="text1"/>
        </w:rPr>
        <w:t>Evidence suggests that</w:t>
      </w:r>
      <w:r>
        <w:rPr>
          <w:color w:val="000000" w:themeColor="text1"/>
        </w:rPr>
        <w:t xml:space="preserve"> animal-based diets are more environmentally</w:t>
      </w:r>
      <w:r w:rsidRPr="00D324D1">
        <w:rPr>
          <w:color w:val="000000" w:themeColor="text1"/>
        </w:rPr>
        <w:t>-intensive than their vegetarian</w:t>
      </w:r>
      <w:r w:rsidR="00A5344F">
        <w:rPr>
          <w:color w:val="000000" w:themeColor="text1"/>
          <w:vertAlign w:val="superscript"/>
        </w:rPr>
        <w:t>1</w:t>
      </w:r>
      <w:r w:rsidRPr="00D324D1">
        <w:rPr>
          <w:color w:val="000000" w:themeColor="text1"/>
        </w:rPr>
        <w:t xml:space="preserve"> counterparts, predominantly attributed to (i) inefficiencies associated with growing crops for animal feed, and (ii) methane emissions associated with digestive processes of ruminant animals (Steinfeld </w:t>
      </w:r>
      <w:r w:rsidRPr="00D324D1">
        <w:rPr>
          <w:i/>
          <w:color w:val="000000" w:themeColor="text1"/>
        </w:rPr>
        <w:t>et al.,</w:t>
      </w:r>
      <w:r w:rsidRPr="00D324D1">
        <w:rPr>
          <w:color w:val="000000" w:themeColor="text1"/>
        </w:rPr>
        <w:t xml:space="preserve"> 2006). Many studies suggest that dietary change in Western </w:t>
      </w:r>
      <w:r w:rsidR="00BF4FA9">
        <w:rPr>
          <w:color w:val="000000" w:themeColor="text1"/>
        </w:rPr>
        <w:t>societies</w:t>
      </w:r>
      <w:r w:rsidRPr="00D324D1">
        <w:rPr>
          <w:color w:val="000000" w:themeColor="text1"/>
        </w:rPr>
        <w:t xml:space="preserve"> could help to reduce environmental impacts</w:t>
      </w:r>
      <w:r>
        <w:rPr>
          <w:color w:val="000000" w:themeColor="text1"/>
        </w:rPr>
        <w:t xml:space="preserve">, </w:t>
      </w:r>
      <w:r w:rsidR="00A240F3">
        <w:rPr>
          <w:color w:val="000000" w:themeColor="text1"/>
        </w:rPr>
        <w:t>primarily</w:t>
      </w:r>
      <w:r w:rsidRPr="00D324D1">
        <w:rPr>
          <w:color w:val="000000" w:themeColor="text1"/>
        </w:rPr>
        <w:t xml:space="preserve"> </w:t>
      </w:r>
      <w:r>
        <w:rPr>
          <w:color w:val="000000" w:themeColor="text1"/>
        </w:rPr>
        <w:t>GHG emissions</w:t>
      </w:r>
      <w:r w:rsidRPr="00D324D1">
        <w:rPr>
          <w:color w:val="000000" w:themeColor="text1"/>
        </w:rPr>
        <w:t>. D</w:t>
      </w:r>
      <w:r>
        <w:rPr>
          <w:color w:val="000000" w:themeColor="text1"/>
        </w:rPr>
        <w:t xml:space="preserve">eveloped countries </w:t>
      </w:r>
      <w:r w:rsidRPr="00D324D1">
        <w:rPr>
          <w:color w:val="000000" w:themeColor="text1"/>
        </w:rPr>
        <w:t xml:space="preserve">exhibit the highest rates of meat </w:t>
      </w:r>
      <w:r w:rsidR="00152810">
        <w:rPr>
          <w:color w:val="000000" w:themeColor="text1"/>
        </w:rPr>
        <w:t>intake</w:t>
      </w:r>
      <w:r w:rsidRPr="00D324D1">
        <w:rPr>
          <w:color w:val="000000" w:themeColor="text1"/>
        </w:rPr>
        <w:t xml:space="preserve"> </w:t>
      </w:r>
      <w:r w:rsidR="00152810">
        <w:rPr>
          <w:color w:val="000000" w:themeColor="text1"/>
        </w:rPr>
        <w:t xml:space="preserve">and overconsumption </w:t>
      </w:r>
      <w:r w:rsidRPr="00D324D1">
        <w:rPr>
          <w:color w:val="000000" w:themeColor="text1"/>
        </w:rPr>
        <w:t>worldwide (</w:t>
      </w:r>
      <w:r w:rsidRPr="00D324D1">
        <w:t>FAO, 2013</w:t>
      </w:r>
      <w:r w:rsidRPr="00D324D1">
        <w:rPr>
          <w:color w:val="000000" w:themeColor="text1"/>
        </w:rPr>
        <w:t xml:space="preserve">), signifying that dietary modification from diets rich in animal products (Garnett, 2011; Garnett, 2013), to more sustainable plant-based diets (Sabaté &amp; Soret, 2014) could mitigate </w:t>
      </w:r>
      <w:r>
        <w:rPr>
          <w:color w:val="000000" w:themeColor="text1"/>
        </w:rPr>
        <w:t xml:space="preserve">the effects of </w:t>
      </w:r>
    </w:p>
    <w:p w14:paraId="7ED8D67C" w14:textId="24232A95" w:rsidR="00374D42" w:rsidRDefault="00374D42" w:rsidP="00B53FFA">
      <w:pPr>
        <w:spacing w:line="480" w:lineRule="auto"/>
        <w:jc w:val="both"/>
        <w:rPr>
          <w:color w:val="000000" w:themeColor="text1"/>
        </w:rPr>
      </w:pPr>
      <w:r>
        <w:rPr>
          <w:color w:val="000000" w:themeColor="text1"/>
        </w:rPr>
        <w:lastRenderedPageBreak/>
        <w:t>climate change</w:t>
      </w:r>
      <w:r w:rsidRPr="00D324D1">
        <w:rPr>
          <w:color w:val="000000" w:themeColor="text1"/>
        </w:rPr>
        <w:t xml:space="preserve"> </w:t>
      </w:r>
      <w:r>
        <w:rPr>
          <w:color w:val="000000" w:themeColor="text1"/>
        </w:rPr>
        <w:t>from</w:t>
      </w:r>
      <w:r w:rsidRPr="00D324D1">
        <w:rPr>
          <w:color w:val="000000" w:themeColor="text1"/>
        </w:rPr>
        <w:t xml:space="preserve"> GHGs</w:t>
      </w:r>
      <w:r>
        <w:rPr>
          <w:color w:val="000000" w:themeColor="text1"/>
        </w:rPr>
        <w:t xml:space="preserve"> (</w:t>
      </w:r>
      <w:r w:rsidRPr="006A623F">
        <w:rPr>
          <w:color w:val="000000" w:themeColor="text1"/>
        </w:rPr>
        <w:t xml:space="preserve">Aiking </w:t>
      </w:r>
      <w:r w:rsidRPr="006A623F">
        <w:rPr>
          <w:i/>
          <w:color w:val="000000" w:themeColor="text1"/>
        </w:rPr>
        <w:t>et al.,</w:t>
      </w:r>
      <w:r w:rsidRPr="006A623F">
        <w:rPr>
          <w:color w:val="000000" w:themeColor="text1"/>
        </w:rPr>
        <w:t xml:space="preserve"> 2006; McMichael </w:t>
      </w:r>
      <w:r w:rsidRPr="006A623F">
        <w:rPr>
          <w:i/>
          <w:color w:val="000000" w:themeColor="text1"/>
        </w:rPr>
        <w:t>et al.,</w:t>
      </w:r>
      <w:r w:rsidR="00211F55">
        <w:rPr>
          <w:color w:val="000000" w:themeColor="text1"/>
        </w:rPr>
        <w:t xml:space="preserve"> 2007), in addition to food security. </w:t>
      </w:r>
      <w:r w:rsidR="00211F55">
        <w:t xml:space="preserve">Diverting grains from animal intake to direct human consumption would </w:t>
      </w:r>
      <w:r w:rsidR="00FD5426">
        <w:t xml:space="preserve">also </w:t>
      </w:r>
      <w:r w:rsidR="00211F55">
        <w:t>result in an increase in total food protein, albeit relatively small (CAST, 1999). Nevertheless, the benefits of</w:t>
      </w:r>
      <w:r w:rsidR="00211F55" w:rsidRPr="00211F55">
        <w:t xml:space="preserve"> </w:t>
      </w:r>
      <w:r w:rsidR="00211F55">
        <w:t xml:space="preserve">transitioning to a plant-based diet outweigh the </w:t>
      </w:r>
      <w:r w:rsidR="00213FCA">
        <w:t xml:space="preserve">environmental and socio-economic </w:t>
      </w:r>
      <w:r w:rsidR="00211F55">
        <w:t>costs of animal-protein consumption.</w:t>
      </w:r>
      <w:r w:rsidR="006E3634">
        <w:t xml:space="preserve"> </w:t>
      </w:r>
      <w:r w:rsidR="00A240F3">
        <w:rPr>
          <w:color w:val="000000" w:themeColor="text1"/>
        </w:rPr>
        <w:t>Given</w:t>
      </w:r>
      <w:r w:rsidR="006E3634" w:rsidRPr="00BA6791">
        <w:rPr>
          <w:color w:val="000000" w:themeColor="text1"/>
        </w:rPr>
        <w:t xml:space="preserve"> the considerable acknowledgement and </w:t>
      </w:r>
      <w:r w:rsidR="00FD5426">
        <w:rPr>
          <w:color w:val="000000" w:themeColor="text1"/>
        </w:rPr>
        <w:t xml:space="preserve">relatively </w:t>
      </w:r>
      <w:r w:rsidR="006E3634" w:rsidRPr="00BA6791">
        <w:rPr>
          <w:color w:val="000000" w:themeColor="text1"/>
        </w:rPr>
        <w:t xml:space="preserve">undisputed evidence of the contribution of livestock production to </w:t>
      </w:r>
      <w:r w:rsidR="006E3634">
        <w:rPr>
          <w:color w:val="000000" w:themeColor="text1"/>
        </w:rPr>
        <w:t>global issues</w:t>
      </w:r>
      <w:r w:rsidR="006E3634" w:rsidRPr="00BA6791">
        <w:rPr>
          <w:color w:val="000000" w:themeColor="text1"/>
        </w:rPr>
        <w:t>, it is surprising policy has yet to intervene.</w:t>
      </w:r>
      <w:r w:rsidR="005E541C">
        <w:rPr>
          <w:color w:val="000000" w:themeColor="text1"/>
        </w:rPr>
        <w:t xml:space="preserve"> Mitigation of environmental impacts through a shift to plant-based diets is not </w:t>
      </w:r>
      <w:r w:rsidR="00AD7D74">
        <w:rPr>
          <w:color w:val="000000" w:themeColor="text1"/>
        </w:rPr>
        <w:t>unrealistic; increasing concern for the environment and human health in developed economies are two compelling</w:t>
      </w:r>
      <w:r w:rsidR="00A240F3">
        <w:rPr>
          <w:color w:val="000000" w:themeColor="text1"/>
        </w:rPr>
        <w:t>,</w:t>
      </w:r>
      <w:r w:rsidR="00AD7D74">
        <w:rPr>
          <w:color w:val="000000" w:themeColor="text1"/>
        </w:rPr>
        <w:t xml:space="preserve"> empirically based reasons for dietary transition (Duchin, 2005). </w:t>
      </w:r>
    </w:p>
    <w:p w14:paraId="5FA94E3A" w14:textId="77777777" w:rsidR="00374D42" w:rsidRDefault="00374D42" w:rsidP="00374D42">
      <w:pPr>
        <w:spacing w:line="480" w:lineRule="auto"/>
        <w:jc w:val="both"/>
        <w:rPr>
          <w:color w:val="000000" w:themeColor="text1"/>
        </w:rPr>
      </w:pPr>
    </w:p>
    <w:p w14:paraId="7D2AF895" w14:textId="77777777" w:rsidR="00374D42" w:rsidRPr="00817547" w:rsidRDefault="00374D42" w:rsidP="00374D42">
      <w:pPr>
        <w:spacing w:line="480" w:lineRule="auto"/>
        <w:jc w:val="both"/>
        <w:rPr>
          <w:b/>
          <w:i/>
          <w:color w:val="000000" w:themeColor="text1"/>
        </w:rPr>
      </w:pPr>
      <w:r w:rsidRPr="00817547">
        <w:rPr>
          <w:b/>
          <w:i/>
          <w:color w:val="000000" w:themeColor="text1"/>
        </w:rPr>
        <w:t>i. Environmental Benefits</w:t>
      </w:r>
    </w:p>
    <w:p w14:paraId="02D11A9D" w14:textId="77777777" w:rsidR="00F345AF" w:rsidRDefault="009D1C29" w:rsidP="00213FCA">
      <w:pPr>
        <w:spacing w:line="480" w:lineRule="auto"/>
        <w:ind w:firstLine="720"/>
        <w:jc w:val="both"/>
        <w:rPr>
          <w:color w:val="000000" w:themeColor="text1"/>
        </w:rPr>
      </w:pPr>
      <w:r>
        <w:rPr>
          <w:color w:val="000000" w:themeColor="text1"/>
        </w:rPr>
        <w:t xml:space="preserve"> Researchers are increasingly finding that vegetarian or restricted-meat diets are associated with significant reductions in GHGs</w:t>
      </w:r>
      <w:r w:rsidR="00374D42" w:rsidRPr="00D324D1">
        <w:rPr>
          <w:color w:val="000000" w:themeColor="text1"/>
        </w:rPr>
        <w:t xml:space="preserve"> </w:t>
      </w:r>
      <w:r w:rsidR="0025559B">
        <w:rPr>
          <w:color w:val="000000" w:themeColor="text1"/>
        </w:rPr>
        <w:t>(Salonen &amp; Helne, 2012; Hallströ</w:t>
      </w:r>
      <w:r w:rsidR="00374D42" w:rsidRPr="00D324D1">
        <w:rPr>
          <w:color w:val="000000" w:themeColor="text1"/>
        </w:rPr>
        <w:t xml:space="preserve">m </w:t>
      </w:r>
      <w:r w:rsidR="00374D42" w:rsidRPr="00D324D1">
        <w:rPr>
          <w:i/>
          <w:color w:val="000000" w:themeColor="text1"/>
        </w:rPr>
        <w:t>et al.,</w:t>
      </w:r>
      <w:r w:rsidR="00374D42" w:rsidRPr="00D324D1">
        <w:rPr>
          <w:color w:val="000000" w:themeColor="text1"/>
        </w:rPr>
        <w:t xml:space="preserve"> 2014; Masset </w:t>
      </w:r>
      <w:r w:rsidR="00374D42" w:rsidRPr="00D324D1">
        <w:rPr>
          <w:i/>
          <w:color w:val="000000" w:themeColor="text1"/>
        </w:rPr>
        <w:t>et al.,</w:t>
      </w:r>
      <w:r w:rsidR="00374D42" w:rsidRPr="00D324D1">
        <w:rPr>
          <w:color w:val="000000" w:themeColor="text1"/>
        </w:rPr>
        <w:t xml:space="preserve"> 2014; Berady, 2015). </w:t>
      </w:r>
      <w:r>
        <w:rPr>
          <w:color w:val="000000" w:themeColor="text1"/>
        </w:rPr>
        <w:t xml:space="preserve">For example, </w:t>
      </w:r>
      <w:r w:rsidRPr="00D324D1">
        <w:rPr>
          <w:color w:val="000000" w:themeColor="text1"/>
        </w:rPr>
        <w:t xml:space="preserve">a study by Soret </w:t>
      </w:r>
      <w:r w:rsidRPr="00D324D1">
        <w:rPr>
          <w:i/>
          <w:color w:val="000000" w:themeColor="text1"/>
        </w:rPr>
        <w:t>et al.</w:t>
      </w:r>
      <w:r w:rsidRPr="00D324D1">
        <w:rPr>
          <w:color w:val="000000" w:themeColor="text1"/>
        </w:rPr>
        <w:t xml:space="preserve"> (2014) found that a vegetarian diet has 29.</w:t>
      </w:r>
      <w:r>
        <w:rPr>
          <w:color w:val="000000" w:themeColor="text1"/>
        </w:rPr>
        <w:t xml:space="preserve">2% less associated </w:t>
      </w:r>
      <w:r w:rsidRPr="00D324D1">
        <w:rPr>
          <w:color w:val="000000" w:themeColor="text1"/>
        </w:rPr>
        <w:t xml:space="preserve">GHG emissions per day than an omnivorous </w:t>
      </w:r>
      <w:r>
        <w:rPr>
          <w:color w:val="000000" w:themeColor="text1"/>
        </w:rPr>
        <w:t xml:space="preserve">lifestyle. </w:t>
      </w:r>
      <w:r w:rsidR="007F65CB">
        <w:rPr>
          <w:color w:val="000000" w:themeColor="text1"/>
        </w:rPr>
        <w:t xml:space="preserve">Scarborough </w:t>
      </w:r>
      <w:r w:rsidR="007F65CB" w:rsidRPr="00007F3F">
        <w:rPr>
          <w:i/>
          <w:color w:val="000000" w:themeColor="text1"/>
        </w:rPr>
        <w:t>et al.</w:t>
      </w:r>
      <w:r w:rsidR="007F65CB">
        <w:rPr>
          <w:color w:val="000000" w:themeColor="text1"/>
        </w:rPr>
        <w:t xml:space="preserve"> (2014) examined the difference in GHG emissions among vegans, vegetarians, fish-eaters, and meat-eaters, ages 20-79. Using a</w:t>
      </w:r>
      <w:r w:rsidR="0019692A">
        <w:rPr>
          <w:color w:val="000000" w:themeColor="text1"/>
        </w:rPr>
        <w:t xml:space="preserve"> standard 2,000kcal diet</w:t>
      </w:r>
      <w:r w:rsidR="007F65CB">
        <w:rPr>
          <w:color w:val="000000" w:themeColor="text1"/>
        </w:rPr>
        <w:t xml:space="preserve"> adjusted for gender and age, </w:t>
      </w:r>
      <w:r w:rsidR="003A4D74">
        <w:rPr>
          <w:color w:val="000000" w:themeColor="text1"/>
        </w:rPr>
        <w:t xml:space="preserve">individual </w:t>
      </w:r>
      <w:r w:rsidR="007F65CB">
        <w:rPr>
          <w:color w:val="000000" w:themeColor="text1"/>
        </w:rPr>
        <w:t>GHG emissions (kgCO</w:t>
      </w:r>
      <w:r w:rsidR="007F65CB">
        <w:rPr>
          <w:color w:val="000000" w:themeColor="text1"/>
          <w:vertAlign w:val="subscript"/>
        </w:rPr>
        <w:t>2</w:t>
      </w:r>
      <w:r w:rsidR="007F65CB">
        <w:rPr>
          <w:color w:val="000000" w:themeColor="text1"/>
        </w:rPr>
        <w:t xml:space="preserve">e/day) were highest for meat eaters. Emissions declined with lower levels of meat consumption, and accordingly, were lowest for vegans. The study concluded that </w:t>
      </w:r>
      <w:r w:rsidR="003A4D74">
        <w:rPr>
          <w:color w:val="000000" w:themeColor="text1"/>
        </w:rPr>
        <w:t xml:space="preserve">individual </w:t>
      </w:r>
      <w:r w:rsidR="007F65CB">
        <w:rPr>
          <w:color w:val="000000" w:themeColor="text1"/>
        </w:rPr>
        <w:t xml:space="preserve">GHG emissions were roughly twice as high for meat-eaters, in comparison to vegans and vegetarians. </w:t>
      </w:r>
    </w:p>
    <w:p w14:paraId="21228C2F" w14:textId="0FB1A3EA" w:rsidR="00340043" w:rsidRDefault="009D1C29" w:rsidP="00213FCA">
      <w:pPr>
        <w:spacing w:line="480" w:lineRule="auto"/>
        <w:ind w:firstLine="720"/>
        <w:jc w:val="both"/>
        <w:rPr>
          <w:color w:val="000000" w:themeColor="text1"/>
        </w:rPr>
      </w:pPr>
      <w:r>
        <w:rPr>
          <w:color w:val="000000" w:themeColor="text1"/>
        </w:rPr>
        <w:t xml:space="preserve">If all citizens were to shift their diets, it has been </w:t>
      </w:r>
      <w:r w:rsidR="003A4D74">
        <w:rPr>
          <w:color w:val="000000" w:themeColor="text1"/>
        </w:rPr>
        <w:t xml:space="preserve">predicted </w:t>
      </w:r>
      <w:r>
        <w:rPr>
          <w:color w:val="000000" w:themeColor="text1"/>
        </w:rPr>
        <w:t>that</w:t>
      </w:r>
      <w:r w:rsidR="003A4D74">
        <w:rPr>
          <w:color w:val="000000" w:themeColor="text1"/>
        </w:rPr>
        <w:t xml:space="preserve"> emissions </w:t>
      </w:r>
      <w:r>
        <w:rPr>
          <w:color w:val="000000" w:themeColor="text1"/>
        </w:rPr>
        <w:t>would be reduced by</w:t>
      </w:r>
      <w:r w:rsidR="003A4D74">
        <w:rPr>
          <w:color w:val="000000" w:themeColor="text1"/>
        </w:rPr>
        <w:t xml:space="preserve"> </w:t>
      </w:r>
      <w:r w:rsidR="00A75F4D">
        <w:rPr>
          <w:color w:val="000000" w:themeColor="text1"/>
        </w:rPr>
        <w:t xml:space="preserve">29% </w:t>
      </w:r>
      <w:r>
        <w:rPr>
          <w:color w:val="000000" w:themeColor="text1"/>
        </w:rPr>
        <w:t>simply by a</w:t>
      </w:r>
      <w:r w:rsidR="00A75F4D">
        <w:rPr>
          <w:color w:val="000000" w:themeColor="text1"/>
        </w:rPr>
        <w:t>dopti</w:t>
      </w:r>
      <w:r>
        <w:rPr>
          <w:color w:val="000000" w:themeColor="text1"/>
        </w:rPr>
        <w:t>ng</w:t>
      </w:r>
      <w:r w:rsidR="00A75F4D">
        <w:rPr>
          <w:color w:val="000000" w:themeColor="text1"/>
        </w:rPr>
        <w:t xml:space="preserve"> global dietary guidelines</w:t>
      </w:r>
      <w:r w:rsidR="00DE6CDE">
        <w:rPr>
          <w:color w:val="000000" w:themeColor="text1"/>
        </w:rPr>
        <w:t xml:space="preserve"> on healthy eating and responsible </w:t>
      </w:r>
      <w:r w:rsidR="00DE6CDE">
        <w:rPr>
          <w:color w:val="000000" w:themeColor="text1"/>
        </w:rPr>
        <w:lastRenderedPageBreak/>
        <w:t xml:space="preserve">energy intake. Moreover, emissions would be reduced </w:t>
      </w:r>
      <w:r>
        <w:rPr>
          <w:color w:val="000000" w:themeColor="text1"/>
        </w:rPr>
        <w:t xml:space="preserve">by </w:t>
      </w:r>
      <w:r w:rsidR="00A75F4D">
        <w:rPr>
          <w:color w:val="000000" w:themeColor="text1"/>
        </w:rPr>
        <w:t xml:space="preserve">63% through </w:t>
      </w:r>
      <w:r w:rsidR="00DE6CDE">
        <w:rPr>
          <w:color w:val="000000" w:themeColor="text1"/>
        </w:rPr>
        <w:t xml:space="preserve">global </w:t>
      </w:r>
      <w:r w:rsidR="00A75F4D">
        <w:rPr>
          <w:color w:val="000000" w:themeColor="text1"/>
        </w:rPr>
        <w:t>acceptance of vegetarian diet</w:t>
      </w:r>
      <w:r w:rsidR="003A4D74">
        <w:rPr>
          <w:color w:val="000000" w:themeColor="text1"/>
        </w:rPr>
        <w:t>s</w:t>
      </w:r>
      <w:r w:rsidR="00A75F4D">
        <w:rPr>
          <w:color w:val="000000" w:themeColor="text1"/>
        </w:rPr>
        <w:t>, and</w:t>
      </w:r>
      <w:r>
        <w:rPr>
          <w:color w:val="000000" w:themeColor="text1"/>
        </w:rPr>
        <w:t xml:space="preserve"> by</w:t>
      </w:r>
      <w:r w:rsidR="00A75F4D">
        <w:rPr>
          <w:color w:val="000000" w:themeColor="text1"/>
        </w:rPr>
        <w:t xml:space="preserve"> 70% via veganism</w:t>
      </w:r>
      <w:r w:rsidR="003A4D74">
        <w:rPr>
          <w:color w:val="000000" w:themeColor="text1"/>
        </w:rPr>
        <w:t xml:space="preserve"> (Springmann </w:t>
      </w:r>
      <w:r w:rsidR="003A4D74" w:rsidRPr="00A75F4D">
        <w:rPr>
          <w:i/>
          <w:color w:val="000000" w:themeColor="text1"/>
        </w:rPr>
        <w:t>et al.,</w:t>
      </w:r>
      <w:r w:rsidR="003A4D74">
        <w:rPr>
          <w:color w:val="000000" w:themeColor="text1"/>
        </w:rPr>
        <w:t xml:space="preserve"> 2016)</w:t>
      </w:r>
      <w:r w:rsidR="00A75F4D">
        <w:rPr>
          <w:color w:val="000000" w:themeColor="text1"/>
        </w:rPr>
        <w:t>.</w:t>
      </w:r>
      <w:r w:rsidR="0019692A">
        <w:rPr>
          <w:color w:val="000000" w:themeColor="text1"/>
        </w:rPr>
        <w:t xml:space="preserve"> </w:t>
      </w:r>
      <w:r w:rsidR="00DE6CDE">
        <w:rPr>
          <w:color w:val="000000" w:themeColor="text1"/>
        </w:rPr>
        <w:t xml:space="preserve">Though these three scenarios are not realistic on a worldwide level, they </w:t>
      </w:r>
      <w:r w:rsidR="00D54C48">
        <w:rPr>
          <w:color w:val="000000" w:themeColor="text1"/>
        </w:rPr>
        <w:t>demonstrate the range of</w:t>
      </w:r>
      <w:r w:rsidR="00DE6CDE">
        <w:rPr>
          <w:color w:val="000000" w:themeColor="text1"/>
        </w:rPr>
        <w:t xml:space="preserve"> environmental </w:t>
      </w:r>
      <w:r w:rsidR="00D54C48">
        <w:rPr>
          <w:color w:val="000000" w:themeColor="text1"/>
        </w:rPr>
        <w:t>benefits</w:t>
      </w:r>
      <w:r w:rsidR="00DE6CDE">
        <w:rPr>
          <w:color w:val="000000" w:themeColor="text1"/>
        </w:rPr>
        <w:t xml:space="preserve"> </w:t>
      </w:r>
      <w:r w:rsidR="00F345AF">
        <w:rPr>
          <w:color w:val="000000" w:themeColor="text1"/>
        </w:rPr>
        <w:t>of progressively excluding</w:t>
      </w:r>
      <w:r w:rsidR="00D54C48">
        <w:rPr>
          <w:color w:val="000000" w:themeColor="text1"/>
        </w:rPr>
        <w:t xml:space="preserve"> animal-based foods from human consumption. </w:t>
      </w:r>
      <w:r w:rsidR="00340043">
        <w:rPr>
          <w:color w:val="000000" w:themeColor="text1"/>
        </w:rPr>
        <w:t>This analysis suggests that all animal-based diets are damaging to the environment, and a truly plant-based diet (vegan) will be needed to most effectively mitigate agriculture’s ecological impacts. However, a global dietary transition to veganism is</w:t>
      </w:r>
      <w:r w:rsidR="006B5D0F">
        <w:rPr>
          <w:color w:val="000000" w:themeColor="text1"/>
        </w:rPr>
        <w:t xml:space="preserve"> improbable. </w:t>
      </w:r>
      <w:r w:rsidR="0019692A">
        <w:rPr>
          <w:color w:val="000000" w:themeColor="text1"/>
        </w:rPr>
        <w:t>Hence,</w:t>
      </w:r>
      <w:r w:rsidR="006B5D0F">
        <w:rPr>
          <w:color w:val="000000" w:themeColor="text1"/>
        </w:rPr>
        <w:t xml:space="preserve"> this Major Research Paper emphasizes a</w:t>
      </w:r>
      <w:r w:rsidR="0019692A">
        <w:rPr>
          <w:color w:val="000000" w:themeColor="text1"/>
        </w:rPr>
        <w:t xml:space="preserve"> </w:t>
      </w:r>
      <w:r w:rsidR="007E3BAF">
        <w:rPr>
          <w:color w:val="000000" w:themeColor="text1"/>
        </w:rPr>
        <w:t>decrease</w:t>
      </w:r>
      <w:r w:rsidR="0019692A">
        <w:rPr>
          <w:color w:val="000000" w:themeColor="text1"/>
        </w:rPr>
        <w:t xml:space="preserve"> in </w:t>
      </w:r>
      <w:r w:rsidR="003A4D74">
        <w:rPr>
          <w:color w:val="000000" w:themeColor="text1"/>
        </w:rPr>
        <w:t>livestock</w:t>
      </w:r>
      <w:r w:rsidR="0019692A">
        <w:rPr>
          <w:color w:val="000000" w:themeColor="text1"/>
        </w:rPr>
        <w:t xml:space="preserve"> consumption </w:t>
      </w:r>
      <w:r w:rsidR="006B5D0F">
        <w:rPr>
          <w:color w:val="000000" w:themeColor="text1"/>
        </w:rPr>
        <w:t>through plant-based diets more generally, which are</w:t>
      </w:r>
      <w:r w:rsidR="0019692A">
        <w:rPr>
          <w:color w:val="000000" w:themeColor="text1"/>
        </w:rPr>
        <w:t xml:space="preserve"> </w:t>
      </w:r>
      <w:r w:rsidR="003A4D74">
        <w:rPr>
          <w:color w:val="000000" w:themeColor="text1"/>
        </w:rPr>
        <w:t>expected</w:t>
      </w:r>
      <w:r w:rsidR="0019692A">
        <w:rPr>
          <w:color w:val="000000" w:themeColor="text1"/>
        </w:rPr>
        <w:t xml:space="preserve"> to achieve sizable </w:t>
      </w:r>
      <w:r w:rsidR="003A4D74">
        <w:rPr>
          <w:color w:val="000000" w:themeColor="text1"/>
        </w:rPr>
        <w:t xml:space="preserve">emissions reductions </w:t>
      </w:r>
      <w:r w:rsidR="007E3BAF">
        <w:rPr>
          <w:color w:val="000000" w:themeColor="text1"/>
        </w:rPr>
        <w:t>on both individual and</w:t>
      </w:r>
      <w:r w:rsidR="003A4D74">
        <w:rPr>
          <w:color w:val="000000" w:themeColor="text1"/>
        </w:rPr>
        <w:t xml:space="preserve"> global scale</w:t>
      </w:r>
      <w:r w:rsidR="007E3BAF">
        <w:rPr>
          <w:color w:val="000000" w:themeColor="text1"/>
        </w:rPr>
        <w:t>s</w:t>
      </w:r>
      <w:r w:rsidR="003A4D74">
        <w:rPr>
          <w:color w:val="000000" w:themeColor="text1"/>
        </w:rPr>
        <w:t xml:space="preserve">. </w:t>
      </w:r>
    </w:p>
    <w:p w14:paraId="27844209" w14:textId="4568B3F3" w:rsidR="00A75F4D" w:rsidRDefault="009D1C29" w:rsidP="00213FCA">
      <w:pPr>
        <w:spacing w:line="480" w:lineRule="auto"/>
        <w:ind w:firstLine="720"/>
        <w:jc w:val="both"/>
        <w:rPr>
          <w:color w:val="000000" w:themeColor="text1"/>
        </w:rPr>
      </w:pPr>
      <w:r>
        <w:rPr>
          <w:color w:val="000000" w:themeColor="text1"/>
        </w:rPr>
        <w:t xml:space="preserve">Other research suggests that small changes could also have a substantial impact. </w:t>
      </w:r>
      <w:r w:rsidRPr="00D324D1">
        <w:rPr>
          <w:color w:val="000000" w:themeColor="text1"/>
        </w:rPr>
        <w:t xml:space="preserve">Masset </w:t>
      </w:r>
      <w:r w:rsidRPr="00D324D1">
        <w:rPr>
          <w:i/>
          <w:color w:val="000000" w:themeColor="text1"/>
        </w:rPr>
        <w:t>et al</w:t>
      </w:r>
      <w:r w:rsidRPr="00D324D1">
        <w:rPr>
          <w:color w:val="000000" w:themeColor="text1"/>
        </w:rPr>
        <w:t xml:space="preserve">. (2014) suggest that a decrease in consumption-related GHGs by 20% is realistic without jeopardizing nutritional quality and affordability. Achieving this goal would simply require reducing the </w:t>
      </w:r>
      <w:r>
        <w:rPr>
          <w:color w:val="000000" w:themeColor="text1"/>
        </w:rPr>
        <w:t xml:space="preserve">density and </w:t>
      </w:r>
      <w:r w:rsidRPr="00D324D1">
        <w:rPr>
          <w:color w:val="000000" w:themeColor="text1"/>
        </w:rPr>
        <w:t>energy intake of meat products, while increasing the volume of plant-based crops.</w:t>
      </w:r>
    </w:p>
    <w:p w14:paraId="0F827BA3" w14:textId="2CE9F27E" w:rsidR="00033CC5" w:rsidRDefault="00033CC5" w:rsidP="00673B22">
      <w:pPr>
        <w:spacing w:line="480" w:lineRule="auto"/>
        <w:ind w:firstLine="720"/>
        <w:jc w:val="both"/>
        <w:rPr>
          <w:color w:val="000000" w:themeColor="text1"/>
        </w:rPr>
      </w:pPr>
      <w:r>
        <w:rPr>
          <w:color w:val="000000" w:themeColor="text1"/>
        </w:rPr>
        <w:t>Alternatively, Stehfes</w:t>
      </w:r>
      <w:r w:rsidRPr="001D4200">
        <w:rPr>
          <w:color w:val="000000" w:themeColor="text1"/>
        </w:rPr>
        <w:t xml:space="preserve">t </w:t>
      </w:r>
      <w:r w:rsidRPr="001D4200">
        <w:rPr>
          <w:i/>
          <w:color w:val="000000" w:themeColor="text1"/>
        </w:rPr>
        <w:t xml:space="preserve">et al., </w:t>
      </w:r>
      <w:r w:rsidRPr="001D4200">
        <w:rPr>
          <w:color w:val="000000" w:themeColor="text1"/>
        </w:rPr>
        <w:t xml:space="preserve">(2009) used modelling techniques to estimate </w:t>
      </w:r>
      <w:r w:rsidR="007E3BAF">
        <w:rPr>
          <w:color w:val="000000" w:themeColor="text1"/>
        </w:rPr>
        <w:t>livestock</w:t>
      </w:r>
      <w:r w:rsidRPr="001D4200">
        <w:rPr>
          <w:color w:val="000000" w:themeColor="text1"/>
        </w:rPr>
        <w:t xml:space="preserve"> impacts on climate change for various circumstances.  The study modelled different scenarios of GHG emissions with respect to population growth, per capita income</w:t>
      </w:r>
      <w:r>
        <w:rPr>
          <w:color w:val="000000" w:themeColor="text1"/>
        </w:rPr>
        <w:t>,</w:t>
      </w:r>
      <w:r w:rsidRPr="001D4200">
        <w:rPr>
          <w:color w:val="000000" w:themeColor="text1"/>
        </w:rPr>
        <w:t xml:space="preserve"> and the growing demand for meat products worldwide. It was concluded that conversion to low-meat or vegetarian diets would (i) make more land available for carbon uptake by vegetation; and (ii) </w:t>
      </w:r>
      <w:r w:rsidR="00A240F3">
        <w:rPr>
          <w:color w:val="000000" w:themeColor="text1"/>
        </w:rPr>
        <w:t xml:space="preserve">substantially </w:t>
      </w:r>
      <w:r w:rsidRPr="001D4200">
        <w:rPr>
          <w:color w:val="000000" w:themeColor="text1"/>
        </w:rPr>
        <w:t>reduce CH</w:t>
      </w:r>
      <w:r w:rsidRPr="001D4200">
        <w:rPr>
          <w:color w:val="000000" w:themeColor="text1"/>
          <w:vertAlign w:val="subscript"/>
        </w:rPr>
        <w:t>4</w:t>
      </w:r>
      <w:r w:rsidRPr="001D4200">
        <w:rPr>
          <w:color w:val="000000" w:themeColor="text1"/>
        </w:rPr>
        <w:t xml:space="preserve"> and N</w:t>
      </w:r>
      <w:r w:rsidRPr="001D4200">
        <w:rPr>
          <w:color w:val="000000" w:themeColor="text1"/>
          <w:vertAlign w:val="subscript"/>
        </w:rPr>
        <w:t>2</w:t>
      </w:r>
      <w:r w:rsidRPr="001D4200">
        <w:rPr>
          <w:color w:val="000000" w:themeColor="text1"/>
        </w:rPr>
        <w:t>O emissions. In addition to these benef</w:t>
      </w:r>
      <w:r w:rsidR="007E3BAF">
        <w:rPr>
          <w:color w:val="000000" w:themeColor="text1"/>
        </w:rPr>
        <w:t xml:space="preserve">its, it was estimated that </w:t>
      </w:r>
      <w:r w:rsidRPr="001D4200">
        <w:rPr>
          <w:color w:val="000000" w:themeColor="text1"/>
        </w:rPr>
        <w:t>low-intensity diets would simultaneously achieve a 450ppm CO</w:t>
      </w:r>
      <w:r w:rsidRPr="001D4200">
        <w:rPr>
          <w:color w:val="000000" w:themeColor="text1"/>
          <w:vertAlign w:val="subscript"/>
        </w:rPr>
        <w:t>2</w:t>
      </w:r>
      <w:r w:rsidRPr="001D4200">
        <w:rPr>
          <w:color w:val="000000" w:themeColor="text1"/>
        </w:rPr>
        <w:t xml:space="preserve">eq stabilization target (by 2050) at 50% less cost than mitigation policies such as carbon pricing. </w:t>
      </w:r>
      <w:r w:rsidR="00C07C0C" w:rsidRPr="00D324D1">
        <w:rPr>
          <w:color w:val="000000" w:themeColor="text1"/>
        </w:rPr>
        <w:t xml:space="preserve">Plant-based diets have also been found to have </w:t>
      </w:r>
      <w:r w:rsidR="00C07C0C" w:rsidRPr="00D324D1">
        <w:rPr>
          <w:color w:val="000000" w:themeColor="text1"/>
        </w:rPr>
        <w:lastRenderedPageBreak/>
        <w:t>less associated GHG emissions than their omnivorous counterparts in terms of other varying measures including calories, grams of protein and serving size (Tilman &amp; Clark, 2014).</w:t>
      </w:r>
    </w:p>
    <w:p w14:paraId="7360FBF9" w14:textId="77777777" w:rsidR="00386F31" w:rsidRDefault="00386F31" w:rsidP="00386F31">
      <w:pPr>
        <w:spacing w:line="480" w:lineRule="auto"/>
        <w:jc w:val="both"/>
        <w:rPr>
          <w:color w:val="000000" w:themeColor="text1"/>
        </w:rPr>
      </w:pPr>
    </w:p>
    <w:p w14:paraId="6AAF6D13" w14:textId="66F86836" w:rsidR="00386F31" w:rsidRPr="00386F31" w:rsidRDefault="00386F31" w:rsidP="00386F31">
      <w:pPr>
        <w:spacing w:line="480" w:lineRule="auto"/>
        <w:jc w:val="both"/>
        <w:rPr>
          <w:b/>
          <w:i/>
          <w:color w:val="000000" w:themeColor="text1"/>
        </w:rPr>
      </w:pPr>
      <w:r>
        <w:rPr>
          <w:b/>
          <w:i/>
          <w:color w:val="000000" w:themeColor="text1"/>
        </w:rPr>
        <w:t>ii. Limitations</w:t>
      </w:r>
    </w:p>
    <w:p w14:paraId="7A41A51A" w14:textId="3510E750" w:rsidR="00386F31" w:rsidRDefault="00C07C0C" w:rsidP="00386F31">
      <w:pPr>
        <w:spacing w:line="480" w:lineRule="auto"/>
        <w:ind w:firstLine="720"/>
        <w:jc w:val="both"/>
      </w:pPr>
      <w:r>
        <w:rPr>
          <w:color w:val="000000" w:themeColor="text1"/>
        </w:rPr>
        <w:t xml:space="preserve">On the basis of a life-cycle assessment, Baroni </w:t>
      </w:r>
      <w:r w:rsidRPr="00A75F4D">
        <w:rPr>
          <w:i/>
          <w:color w:val="000000" w:themeColor="text1"/>
        </w:rPr>
        <w:t>et al.,</w:t>
      </w:r>
      <w:r>
        <w:rPr>
          <w:color w:val="000000" w:themeColor="text1"/>
        </w:rPr>
        <w:t xml:space="preserve"> (2016) discovered a resource impact reduction of 38% and 62% for a vegetarian and vegan diet, respectively. Likewise, Rejinders &amp; Soret (2003) suggest that the environmental impact of omnivorous meals are 1.5</w:t>
      </w:r>
      <w:r w:rsidR="00A019BB">
        <w:rPr>
          <w:color w:val="000000" w:themeColor="text1"/>
        </w:rPr>
        <w:t xml:space="preserve"> </w:t>
      </w:r>
      <w:r>
        <w:rPr>
          <w:color w:val="000000" w:themeColor="text1"/>
        </w:rPr>
        <w:t>-</w:t>
      </w:r>
      <w:r w:rsidR="00A019BB">
        <w:rPr>
          <w:color w:val="000000" w:themeColor="text1"/>
        </w:rPr>
        <w:t xml:space="preserve"> </w:t>
      </w:r>
      <w:r>
        <w:rPr>
          <w:color w:val="000000" w:themeColor="text1"/>
        </w:rPr>
        <w:t xml:space="preserve">2 times greater than vegetarian alternatives, where meat is replaced by plant protein. </w:t>
      </w:r>
      <w:r w:rsidR="00BC216F">
        <w:rPr>
          <w:color w:val="000000" w:themeColor="text1"/>
        </w:rPr>
        <w:t xml:space="preserve">Lastly, Tom </w:t>
      </w:r>
      <w:r w:rsidR="00BC216F" w:rsidRPr="00BC216F">
        <w:rPr>
          <w:i/>
          <w:color w:val="000000" w:themeColor="text1"/>
        </w:rPr>
        <w:t>et al.,</w:t>
      </w:r>
      <w:r w:rsidR="00BC216F">
        <w:rPr>
          <w:color w:val="000000" w:themeColor="text1"/>
        </w:rPr>
        <w:t xml:space="preserve"> (2015) also con</w:t>
      </w:r>
      <w:r w:rsidR="00A019BB">
        <w:rPr>
          <w:color w:val="000000" w:themeColor="text1"/>
        </w:rPr>
        <w:t>ducted</w:t>
      </w:r>
      <w:r w:rsidR="00BC216F">
        <w:rPr>
          <w:color w:val="000000" w:themeColor="text1"/>
        </w:rPr>
        <w:t xml:space="preserve"> a lifecycle analysis to understand the implications of dietary change for three </w:t>
      </w:r>
      <w:r w:rsidR="00A019BB">
        <w:rPr>
          <w:color w:val="000000" w:themeColor="text1"/>
        </w:rPr>
        <w:t xml:space="preserve">differing </w:t>
      </w:r>
      <w:r w:rsidR="00BC216F">
        <w:rPr>
          <w:color w:val="000000" w:themeColor="text1"/>
        </w:rPr>
        <w:t xml:space="preserve">dietary scenarios within the context of the 2010 USDA Dietary Guidelines. The latter analysis found that resource use and emissions per calorie were higher under </w:t>
      </w:r>
      <w:r w:rsidR="00534C26">
        <w:rPr>
          <w:color w:val="000000" w:themeColor="text1"/>
        </w:rPr>
        <w:t>the recommended guidelines which in</w:t>
      </w:r>
      <w:r w:rsidR="00A019BB">
        <w:rPr>
          <w:color w:val="000000" w:themeColor="text1"/>
        </w:rPr>
        <w:t>corporated</w:t>
      </w:r>
      <w:r w:rsidR="00534C26">
        <w:rPr>
          <w:color w:val="000000" w:themeColor="text1"/>
        </w:rPr>
        <w:t xml:space="preserve"> a greater caloric intake of fruits, vegetables, dairy and seafood. The life-cycle analysis by Tom </w:t>
      </w:r>
      <w:r w:rsidR="00534C26" w:rsidRPr="00534C26">
        <w:rPr>
          <w:i/>
          <w:color w:val="000000" w:themeColor="text1"/>
        </w:rPr>
        <w:t>et al.</w:t>
      </w:r>
      <w:r w:rsidR="00534C26">
        <w:rPr>
          <w:color w:val="000000" w:themeColor="text1"/>
        </w:rPr>
        <w:t xml:space="preserve"> </w:t>
      </w:r>
      <w:r w:rsidR="00C56075">
        <w:rPr>
          <w:color w:val="000000" w:themeColor="text1"/>
        </w:rPr>
        <w:t>(</w:t>
      </w:r>
      <w:r w:rsidR="00534C26">
        <w:rPr>
          <w:color w:val="000000" w:themeColor="text1"/>
        </w:rPr>
        <w:t>2015</w:t>
      </w:r>
      <w:r w:rsidR="00C56075">
        <w:rPr>
          <w:color w:val="000000" w:themeColor="text1"/>
        </w:rPr>
        <w:t>)</w:t>
      </w:r>
      <w:r w:rsidR="00534C26">
        <w:rPr>
          <w:color w:val="000000" w:themeColor="text1"/>
        </w:rPr>
        <w:t xml:space="preserve"> received viral attention for its contradictory </w:t>
      </w:r>
      <w:r w:rsidR="00A019BB">
        <w:rPr>
          <w:color w:val="000000" w:themeColor="text1"/>
        </w:rPr>
        <w:t>results</w:t>
      </w:r>
      <w:r w:rsidR="00534C26">
        <w:rPr>
          <w:color w:val="000000" w:themeColor="text1"/>
        </w:rPr>
        <w:t xml:space="preserve">. </w:t>
      </w:r>
      <w:r w:rsidR="00A019BB">
        <w:rPr>
          <w:color w:val="000000" w:themeColor="text1"/>
        </w:rPr>
        <w:t>Consequently, the study</w:t>
      </w:r>
      <w:r w:rsidR="00534C26">
        <w:rPr>
          <w:color w:val="000000" w:themeColor="text1"/>
        </w:rPr>
        <w:t xml:space="preserve"> has been recently scrutinized by other academics </w:t>
      </w:r>
      <w:r w:rsidR="00A019BB">
        <w:rPr>
          <w:color w:val="000000" w:themeColor="text1"/>
        </w:rPr>
        <w:t>stressing the</w:t>
      </w:r>
      <w:r w:rsidR="00386F31">
        <w:t xml:space="preserve"> many challenges in assessing environmental consequences of differing diet regimens, particularly with respect to quantifiable life-cycle analyses (</w:t>
      </w:r>
      <w:r w:rsidR="00386F31" w:rsidRPr="00534C26">
        <w:t xml:space="preserve">Cucurachi </w:t>
      </w:r>
      <w:r w:rsidR="00386F31" w:rsidRPr="00534C26">
        <w:rPr>
          <w:i/>
        </w:rPr>
        <w:t>et al.,</w:t>
      </w:r>
      <w:r w:rsidR="00386F31" w:rsidRPr="00534C26">
        <w:t xml:space="preserve"> 2016).</w:t>
      </w:r>
      <w:r w:rsidR="00386F31">
        <w:t xml:space="preserve"> </w:t>
      </w:r>
      <w:r w:rsidR="00534C26">
        <w:t xml:space="preserve">Cucurachi </w:t>
      </w:r>
      <w:r w:rsidR="00534C26" w:rsidRPr="00534C26">
        <w:rPr>
          <w:i/>
        </w:rPr>
        <w:t>et al.</w:t>
      </w:r>
      <w:r w:rsidR="00534C26">
        <w:t xml:space="preserve"> (2016) argue that marginal data and operational tools to quantify marginal impacts are infrequently available, and additional research is needed to make </w:t>
      </w:r>
      <w:r w:rsidR="00C56075">
        <w:t xml:space="preserve">accurate, </w:t>
      </w:r>
      <w:r w:rsidR="00534C26">
        <w:t>quantifiable life-cycle comparis</w:t>
      </w:r>
      <w:r w:rsidR="008A48FE">
        <w:t>ons of dietary changes</w:t>
      </w:r>
      <w:r w:rsidR="00C56075">
        <w:t xml:space="preserve">. Specific to the study conducted by Tom </w:t>
      </w:r>
      <w:r w:rsidR="00C56075" w:rsidRPr="00A019BB">
        <w:rPr>
          <w:i/>
        </w:rPr>
        <w:t>et al.</w:t>
      </w:r>
      <w:r w:rsidR="00C56075">
        <w:t xml:space="preserve"> (2015), Cucurachi </w:t>
      </w:r>
      <w:r w:rsidR="00C56075" w:rsidRPr="00A019BB">
        <w:rPr>
          <w:i/>
        </w:rPr>
        <w:t>et al.</w:t>
      </w:r>
      <w:r w:rsidR="00C56075">
        <w:t xml:space="preserve"> (2016) emphasize issues with respect to </w:t>
      </w:r>
      <w:r w:rsidR="00A019BB">
        <w:t>the</w:t>
      </w:r>
      <w:r w:rsidR="00C56075">
        <w:t xml:space="preserve"> use of meta-analyses, and associated standardization, given the varying system boundaries of life cycle analyses.  </w:t>
      </w:r>
    </w:p>
    <w:p w14:paraId="6C6489A6" w14:textId="6E75805B" w:rsidR="00C07C0C" w:rsidRDefault="00A019BB" w:rsidP="00A019BB">
      <w:pPr>
        <w:spacing w:line="480" w:lineRule="auto"/>
        <w:ind w:firstLine="720"/>
        <w:jc w:val="both"/>
        <w:rPr>
          <w:color w:val="000000" w:themeColor="text1"/>
        </w:rPr>
      </w:pPr>
      <w:r>
        <w:rPr>
          <w:color w:val="000000" w:themeColor="text1"/>
        </w:rPr>
        <w:t>It is noteworthy to add</w:t>
      </w:r>
      <w:r w:rsidR="00C07C0C">
        <w:rPr>
          <w:color w:val="000000" w:themeColor="text1"/>
        </w:rPr>
        <w:t xml:space="preserve"> that there are also environmental issues associated with some plant-based foods. For instance, frozen foods, long-distance air transport of exotic foods </w:t>
      </w:r>
      <w:r w:rsidR="00C07C0C">
        <w:rPr>
          <w:color w:val="000000" w:themeColor="text1"/>
        </w:rPr>
        <w:lastRenderedPageBreak/>
        <w:t xml:space="preserve">(Rejinders &amp; Soret, 2003), or pre-washed highly packaged salad greens (Nereng </w:t>
      </w:r>
      <w:r w:rsidR="00C07C0C" w:rsidRPr="00A019BB">
        <w:rPr>
          <w:i/>
          <w:color w:val="000000" w:themeColor="text1"/>
        </w:rPr>
        <w:t>et al.,</w:t>
      </w:r>
      <w:r w:rsidR="00C07C0C">
        <w:rPr>
          <w:color w:val="000000" w:themeColor="text1"/>
        </w:rPr>
        <w:t xml:space="preserve"> 2009) may be more burdensome than consumption of a locally sourced chicken breast. </w:t>
      </w:r>
      <w:r w:rsidR="00C07C0C" w:rsidRPr="00807412">
        <w:rPr>
          <w:color w:val="000000" w:themeColor="text1"/>
        </w:rPr>
        <w:t>Csutora (2012) argues that occasionally, when a behavio</w:t>
      </w:r>
      <w:r w:rsidR="00C07C0C">
        <w:rPr>
          <w:color w:val="000000" w:themeColor="text1"/>
        </w:rPr>
        <w:t>u</w:t>
      </w:r>
      <w:r w:rsidR="00C07C0C" w:rsidRPr="00807412">
        <w:rPr>
          <w:color w:val="000000" w:themeColor="text1"/>
        </w:rPr>
        <w:t>ral change in society is achieved, the resulting observed ecological effect is not what is anticipated. For instance, he suggests that though effective communication and policy instruments could invoke behavio</w:t>
      </w:r>
      <w:r w:rsidR="00C07C0C">
        <w:rPr>
          <w:color w:val="000000" w:themeColor="text1"/>
        </w:rPr>
        <w:t>u</w:t>
      </w:r>
      <w:r w:rsidR="00C07C0C" w:rsidRPr="00807412">
        <w:rPr>
          <w:color w:val="000000" w:themeColor="text1"/>
        </w:rPr>
        <w:t>ral changes in consumers to adopt plant-based diets, their ecological footprint may not change. Examples include substitution of meat products for water and GHG-intensive imported and exotic vegan foods by newly converted vegetarians, which would counteract the shift to vegetarianism. This occurrence is known as the behavio</w:t>
      </w:r>
      <w:r w:rsidR="00C07C0C">
        <w:rPr>
          <w:color w:val="000000" w:themeColor="text1"/>
        </w:rPr>
        <w:t>u</w:t>
      </w:r>
      <w:r w:rsidR="00C07C0C" w:rsidRPr="00807412">
        <w:rPr>
          <w:color w:val="000000" w:themeColor="text1"/>
        </w:rPr>
        <w:t xml:space="preserve">r-impact gap (BIG) problem. </w:t>
      </w:r>
      <w:r w:rsidR="00C07C0C">
        <w:rPr>
          <w:color w:val="000000" w:themeColor="text1"/>
        </w:rPr>
        <w:t>Similarly</w:t>
      </w:r>
      <w:r w:rsidR="00C07C0C" w:rsidRPr="00807412">
        <w:rPr>
          <w:color w:val="000000" w:themeColor="text1"/>
        </w:rPr>
        <w:t xml:space="preserve">, Audsley </w:t>
      </w:r>
      <w:r w:rsidR="00C07C0C" w:rsidRPr="00807412">
        <w:rPr>
          <w:i/>
          <w:color w:val="000000" w:themeColor="text1"/>
        </w:rPr>
        <w:t>et al.</w:t>
      </w:r>
      <w:r w:rsidR="00C07C0C" w:rsidRPr="00807412">
        <w:rPr>
          <w:color w:val="000000" w:themeColor="text1"/>
        </w:rPr>
        <w:t xml:space="preserve"> (2009) also states that </w:t>
      </w:r>
      <w:r w:rsidR="00C07C0C">
        <w:rPr>
          <w:color w:val="000000" w:themeColor="text1"/>
        </w:rPr>
        <w:t>environmental impacts</w:t>
      </w:r>
      <w:r w:rsidR="00C07C0C" w:rsidRPr="00807412">
        <w:rPr>
          <w:color w:val="000000" w:themeColor="text1"/>
        </w:rPr>
        <w:t xml:space="preserve"> will depend greatly upon how consumers compensate for animal-protein, as </w:t>
      </w:r>
      <w:r w:rsidR="00C07C0C">
        <w:rPr>
          <w:color w:val="000000" w:themeColor="text1"/>
        </w:rPr>
        <w:t xml:space="preserve">some meat-alternatives (e.g. soy) </w:t>
      </w:r>
      <w:r w:rsidR="00C07C0C" w:rsidRPr="00807412">
        <w:rPr>
          <w:color w:val="000000" w:themeColor="text1"/>
        </w:rPr>
        <w:t>can actually be more environmentally demanding with respect to the planetary boundary framework. Thus, the shift in consumption to environmentally conscious, plant-based diets must focus on improving vegetable</w:t>
      </w:r>
      <w:r w:rsidR="00C07C0C">
        <w:rPr>
          <w:color w:val="000000" w:themeColor="text1"/>
        </w:rPr>
        <w:t>, cereal, nut, and seed</w:t>
      </w:r>
      <w:r w:rsidR="00C07C0C" w:rsidRPr="00807412">
        <w:rPr>
          <w:color w:val="000000" w:themeColor="text1"/>
        </w:rPr>
        <w:t xml:space="preserve"> intake to uphold sustainability, rather than </w:t>
      </w:r>
      <w:r w:rsidR="00C07C0C">
        <w:rPr>
          <w:color w:val="000000" w:themeColor="text1"/>
        </w:rPr>
        <w:t xml:space="preserve">switching to meat alternatives, and should thus be a consideration when developing policies. </w:t>
      </w:r>
      <w:r w:rsidR="0019692A">
        <w:rPr>
          <w:color w:val="000000" w:themeColor="text1"/>
        </w:rPr>
        <w:t>Regardless, transitioning from animal-based to plant-based diets would substantially aid in mitigating environmental impacts of the food industry.</w:t>
      </w:r>
    </w:p>
    <w:p w14:paraId="15B0E972" w14:textId="642C6333" w:rsidR="00374D42" w:rsidRPr="00227240" w:rsidRDefault="00033CC5" w:rsidP="00227240">
      <w:pPr>
        <w:spacing w:line="480" w:lineRule="auto"/>
        <w:ind w:firstLine="720"/>
        <w:jc w:val="both"/>
        <w:rPr>
          <w:color w:val="000000" w:themeColor="text1"/>
        </w:rPr>
      </w:pPr>
      <w:r>
        <w:rPr>
          <w:color w:val="000000" w:themeColor="text1"/>
        </w:rPr>
        <w:t xml:space="preserve">Elimination of meat and/or dairy products is anticipated to achieve more substantial reductions in GHG emissions in comparison to reducing food waste, eating seasonally, locally, decreasing consumption of foods with low nutritional value (Garnett, 2011; Meier </w:t>
      </w:r>
      <w:r w:rsidRPr="00B4444A">
        <w:rPr>
          <w:i/>
          <w:color w:val="000000" w:themeColor="text1"/>
        </w:rPr>
        <w:t>et al</w:t>
      </w:r>
      <w:r>
        <w:rPr>
          <w:color w:val="000000" w:themeColor="text1"/>
        </w:rPr>
        <w:t>., 2014), and reducing overconsumption of calories (IFPRI, 2016). Though examination of all of these factors are out of the scope of this Major Research Pape</w:t>
      </w:r>
      <w:r w:rsidR="00A240F3">
        <w:rPr>
          <w:color w:val="000000" w:themeColor="text1"/>
        </w:rPr>
        <w:t>r, it is important to emphasize</w:t>
      </w:r>
      <w:r>
        <w:rPr>
          <w:color w:val="000000" w:themeColor="text1"/>
        </w:rPr>
        <w:t xml:space="preserve"> that </w:t>
      </w:r>
      <w:r w:rsidRPr="00A240F3">
        <w:rPr>
          <w:b/>
          <w:i/>
          <w:color w:val="000000" w:themeColor="text1"/>
        </w:rPr>
        <w:t xml:space="preserve">a </w:t>
      </w:r>
      <w:r w:rsidRPr="00A019BB">
        <w:rPr>
          <w:b/>
          <w:i/>
          <w:color w:val="000000" w:themeColor="text1"/>
        </w:rPr>
        <w:lastRenderedPageBreak/>
        <w:t>combination</w:t>
      </w:r>
      <w:r w:rsidRPr="00A019BB">
        <w:rPr>
          <w:b/>
          <w:color w:val="000000" w:themeColor="text1"/>
        </w:rPr>
        <w:t xml:space="preserve"> </w:t>
      </w:r>
      <w:r>
        <w:rPr>
          <w:color w:val="000000" w:themeColor="text1"/>
        </w:rPr>
        <w:t>of these practices would likely achieve a more environmentally sustainable consumption pattern; all of which are dependent upon individual behavio</w:t>
      </w:r>
      <w:r w:rsidR="004D5563">
        <w:rPr>
          <w:color w:val="000000" w:themeColor="text1"/>
        </w:rPr>
        <w:t>u</w:t>
      </w:r>
      <w:r>
        <w:rPr>
          <w:color w:val="000000" w:themeColor="text1"/>
        </w:rPr>
        <w:t xml:space="preserve">r. </w:t>
      </w:r>
    </w:p>
    <w:p w14:paraId="78D0A51D" w14:textId="77777777" w:rsidR="00BD7AEF" w:rsidRDefault="00BD7AEF" w:rsidP="00261AD7">
      <w:pPr>
        <w:spacing w:line="480" w:lineRule="auto"/>
        <w:jc w:val="both"/>
      </w:pPr>
    </w:p>
    <w:p w14:paraId="3EF87EC0" w14:textId="3D772AEF" w:rsidR="00374D42" w:rsidRPr="00D324D1" w:rsidRDefault="00374D42" w:rsidP="00374D42">
      <w:pPr>
        <w:spacing w:line="480" w:lineRule="auto"/>
        <w:jc w:val="both"/>
        <w:rPr>
          <w:b/>
          <w:i/>
        </w:rPr>
      </w:pPr>
      <w:r>
        <w:rPr>
          <w:b/>
          <w:i/>
        </w:rPr>
        <w:t>i</w:t>
      </w:r>
      <w:r w:rsidR="00555AAE">
        <w:rPr>
          <w:b/>
          <w:i/>
        </w:rPr>
        <w:t>i</w:t>
      </w:r>
      <w:r>
        <w:rPr>
          <w:b/>
          <w:i/>
        </w:rPr>
        <w:t>i</w:t>
      </w:r>
      <w:r w:rsidRPr="00D324D1">
        <w:rPr>
          <w:b/>
          <w:i/>
        </w:rPr>
        <w:t>. Trends, Motivations &amp; Barriers to Vegetarianism</w:t>
      </w:r>
    </w:p>
    <w:p w14:paraId="5E235866" w14:textId="5C4D84F5" w:rsidR="00374D42" w:rsidRPr="00D324D1" w:rsidRDefault="00374D42" w:rsidP="00374D42">
      <w:pPr>
        <w:spacing w:line="480" w:lineRule="auto"/>
        <w:ind w:firstLine="720"/>
        <w:jc w:val="both"/>
      </w:pPr>
      <w:r w:rsidRPr="00D324D1">
        <w:t>Despite a recent surge of attention to vegetarianism, the literature base surrounding these challenges is quite small, and has only recently been explored, specifically with regards to motivations for vegetarianism, relationships between dietary patterns and environmental concerns, and barriers to, and potential for behavio</w:t>
      </w:r>
      <w:r w:rsidR="004D5563">
        <w:t>u</w:t>
      </w:r>
      <w:r w:rsidRPr="00D324D1">
        <w:t xml:space="preserve">ral change. Though environmental concern is a critical catalyst of climate-friendly action, it is infrequently considered as a </w:t>
      </w:r>
      <w:r>
        <w:t xml:space="preserve">consumer </w:t>
      </w:r>
      <w:r w:rsidRPr="00D324D1">
        <w:t xml:space="preserve">motivation for adopting vegetarianism (Fransson &amp; Gärling, 1999; Wakefield </w:t>
      </w:r>
      <w:r w:rsidRPr="00D324D1">
        <w:rPr>
          <w:i/>
        </w:rPr>
        <w:t>et al.,</w:t>
      </w:r>
      <w:r w:rsidRPr="00D324D1">
        <w:t xml:space="preserve"> 2006). Surveys conducted in Western countries (USA, UK, Canada, New Zealand) suggest that merely 1-8 % of people become vegetarians based</w:t>
      </w:r>
      <w:r>
        <w:t xml:space="preserve"> solely upon ecological interest</w:t>
      </w:r>
      <w:r w:rsidRPr="00D324D1">
        <w:t xml:space="preserve"> (Beardsworth &amp; Keil, 1991; Krizmanic, 1992; Rozin </w:t>
      </w:r>
      <w:r w:rsidRPr="00D324D1">
        <w:rPr>
          <w:i/>
        </w:rPr>
        <w:t>et al.,</w:t>
      </w:r>
      <w:r w:rsidRPr="00D324D1">
        <w:t xml:space="preserve"> 1997; White et al., 1999; Potts &amp; White, 2008; Fox &amp; Ward, 2008; Hoffman </w:t>
      </w:r>
      <w:r w:rsidRPr="00D324D1">
        <w:rPr>
          <w:i/>
        </w:rPr>
        <w:t>et al.,</w:t>
      </w:r>
      <w:r w:rsidR="002D2FCD">
        <w:t xml:space="preserve"> 2013). Alternatively</w:t>
      </w:r>
      <w:r w:rsidR="009B1877">
        <w:t>, p</w:t>
      </w:r>
      <w:r w:rsidRPr="00D324D1">
        <w:t xml:space="preserve">revalent factors motivating vegetarians include health, ethics and animal rights. </w:t>
      </w:r>
    </w:p>
    <w:p w14:paraId="0D033A4B" w14:textId="0AC1B766" w:rsidR="00374D42" w:rsidRPr="00B20494" w:rsidRDefault="00374D42" w:rsidP="00374D42">
      <w:pPr>
        <w:spacing w:line="480" w:lineRule="auto"/>
        <w:ind w:firstLine="720"/>
        <w:jc w:val="both"/>
        <w:rPr>
          <w:color w:val="000000" w:themeColor="text1"/>
        </w:rPr>
      </w:pPr>
      <w:r w:rsidRPr="00D324D1">
        <w:rPr>
          <w:color w:val="000000" w:themeColor="text1"/>
        </w:rPr>
        <w:t>Similarly, it has been found that people not only differ in their level of environmentally-conscious food behavio</w:t>
      </w:r>
      <w:r w:rsidR="004D5563">
        <w:rPr>
          <w:color w:val="000000" w:themeColor="text1"/>
        </w:rPr>
        <w:t>u</w:t>
      </w:r>
      <w:r w:rsidRPr="00D324D1">
        <w:rPr>
          <w:color w:val="000000" w:themeColor="text1"/>
        </w:rPr>
        <w:t>rs, but also behavio</w:t>
      </w:r>
      <w:r w:rsidR="00213FCA">
        <w:rPr>
          <w:color w:val="000000" w:themeColor="text1"/>
        </w:rPr>
        <w:t>u</w:t>
      </w:r>
      <w:r w:rsidRPr="00D324D1">
        <w:rPr>
          <w:color w:val="000000" w:themeColor="text1"/>
        </w:rPr>
        <w:t xml:space="preserve">r type regarding product choice or curtailment in general (Verain </w:t>
      </w:r>
      <w:r w:rsidRPr="00D324D1">
        <w:rPr>
          <w:i/>
          <w:color w:val="000000" w:themeColor="text1"/>
        </w:rPr>
        <w:t>et al.,</w:t>
      </w:r>
      <w:r w:rsidRPr="00D324D1">
        <w:rPr>
          <w:color w:val="000000" w:themeColor="text1"/>
        </w:rPr>
        <w:t xml:space="preserve"> 2015). Vegetarianism currently ranks low on the list of sustainable practices that individuals participate in, or generally consider for that matter. A study by Griffin &amp; Sobal (2013) </w:t>
      </w:r>
      <w:r>
        <w:rPr>
          <w:color w:val="000000" w:themeColor="text1"/>
        </w:rPr>
        <w:t xml:space="preserve">in upstate New York, </w:t>
      </w:r>
      <w:r w:rsidRPr="00D324D1">
        <w:rPr>
          <w:color w:val="000000" w:themeColor="text1"/>
        </w:rPr>
        <w:t xml:space="preserve">noted that roughly 9.6% of </w:t>
      </w:r>
      <w:r>
        <w:rPr>
          <w:color w:val="000000" w:themeColor="text1"/>
        </w:rPr>
        <w:t xml:space="preserve">randomly selected </w:t>
      </w:r>
      <w:r w:rsidRPr="00D324D1">
        <w:rPr>
          <w:color w:val="000000" w:themeColor="text1"/>
        </w:rPr>
        <w:t xml:space="preserve">survey respondents participated in vegetarianism (ie. meat curtailment) as an environmentally-friendly activity. </w:t>
      </w:r>
      <w:r>
        <w:rPr>
          <w:color w:val="000000" w:themeColor="text1"/>
        </w:rPr>
        <w:t xml:space="preserve">This percentage, though seemingly high, also significantly correlated with food allergies and eating disorders, and should thus be interpreted with caution. </w:t>
      </w:r>
      <w:r w:rsidRPr="00D324D1">
        <w:rPr>
          <w:color w:val="000000" w:themeColor="text1"/>
        </w:rPr>
        <w:t xml:space="preserve">Nonetheless, this figure was </w:t>
      </w:r>
      <w:r w:rsidRPr="00D324D1">
        <w:rPr>
          <w:color w:val="000000" w:themeColor="text1"/>
        </w:rPr>
        <w:lastRenderedPageBreak/>
        <w:t>low in comparison to other ‘sustainable’ activities including visiting farmer</w:t>
      </w:r>
      <w:r w:rsidR="009B1877">
        <w:rPr>
          <w:color w:val="000000" w:themeColor="text1"/>
        </w:rPr>
        <w:t>’</w:t>
      </w:r>
      <w:r w:rsidRPr="00D324D1">
        <w:rPr>
          <w:color w:val="000000" w:themeColor="text1"/>
        </w:rPr>
        <w:t xml:space="preserve">s markets, composting, gardening and purchasing organic groceries. Among vegetarian respondents, plant-based diets were most common among the unmarried, employed, and student populations. Likewise, based on a population-based longitudinal </w:t>
      </w:r>
      <w:r w:rsidR="002D2FCD">
        <w:rPr>
          <w:color w:val="000000" w:themeColor="text1"/>
        </w:rPr>
        <w:t xml:space="preserve">study </w:t>
      </w:r>
      <w:r w:rsidR="00D6194C">
        <w:rPr>
          <w:color w:val="000000" w:themeColor="text1"/>
        </w:rPr>
        <w:t xml:space="preserve">of the Swiss Food Panel (Switzerland), </w:t>
      </w:r>
      <w:r w:rsidRPr="00D324D1">
        <w:rPr>
          <w:color w:val="000000" w:themeColor="text1"/>
        </w:rPr>
        <w:t xml:space="preserve">Siegrist </w:t>
      </w:r>
      <w:r w:rsidRPr="00D324D1">
        <w:rPr>
          <w:i/>
          <w:color w:val="000000" w:themeColor="text1"/>
        </w:rPr>
        <w:t>et al.</w:t>
      </w:r>
      <w:r w:rsidRPr="00D324D1">
        <w:rPr>
          <w:color w:val="000000" w:themeColor="text1"/>
        </w:rPr>
        <w:t xml:space="preserve"> (2015) reported that curtailing meat products was at the low end of perceived environmental benefits of food consumption, with local foods, packaging, import rates, seasonal produce</w:t>
      </w:r>
      <w:r w:rsidR="002D2FCD">
        <w:rPr>
          <w:color w:val="000000" w:themeColor="text1"/>
        </w:rPr>
        <w:t>,</w:t>
      </w:r>
      <w:r w:rsidRPr="00D324D1">
        <w:rPr>
          <w:color w:val="000000" w:themeColor="text1"/>
        </w:rPr>
        <w:t xml:space="preserve"> and organic groceries ranking higher. Lastly, Solonen &amp; Helne (2012) analyzed </w:t>
      </w:r>
      <w:r w:rsidR="00D6194C">
        <w:rPr>
          <w:color w:val="000000" w:themeColor="text1"/>
        </w:rPr>
        <w:t>Finnish university students’</w:t>
      </w:r>
      <w:r w:rsidRPr="00D324D1">
        <w:rPr>
          <w:color w:val="000000" w:themeColor="text1"/>
        </w:rPr>
        <w:t xml:space="preserve"> views on sustainability activities and reported similar results to the abovementioned studies. Out of 36 items assessed in terms of environmental, economic, and social sustainability, respondents ranked vegetarianism as the least important contributor. </w:t>
      </w:r>
      <w:r w:rsidR="00F55F38">
        <w:rPr>
          <w:color w:val="000000" w:themeColor="text1"/>
        </w:rPr>
        <w:t xml:space="preserve">Considering the environmental, personal health, economic, and social benefits of adopting a plant-based diet, this finding is seemingly irrational. </w:t>
      </w:r>
    </w:p>
    <w:p w14:paraId="46175E79" w14:textId="77777777" w:rsidR="00227240" w:rsidRDefault="00374D42" w:rsidP="00227240">
      <w:pPr>
        <w:spacing w:line="480" w:lineRule="auto"/>
        <w:ind w:firstLine="720"/>
        <w:jc w:val="both"/>
        <w:rPr>
          <w:color w:val="000000" w:themeColor="text1"/>
        </w:rPr>
      </w:pPr>
      <w:r w:rsidRPr="00D324D1">
        <w:rPr>
          <w:color w:val="000000" w:themeColor="text1"/>
        </w:rPr>
        <w:t>T</w:t>
      </w:r>
      <w:r w:rsidR="00F55F38">
        <w:rPr>
          <w:color w:val="000000" w:themeColor="text1"/>
        </w:rPr>
        <w:t>hus, t</w:t>
      </w:r>
      <w:r w:rsidRPr="00D324D1">
        <w:rPr>
          <w:color w:val="000000" w:themeColor="text1"/>
        </w:rPr>
        <w:t xml:space="preserve">hese preliminary findings suggest that a lack of knowledge concerning the environmental benefits associated with </w:t>
      </w:r>
      <w:r>
        <w:rPr>
          <w:color w:val="000000" w:themeColor="text1"/>
        </w:rPr>
        <w:t xml:space="preserve">livestock </w:t>
      </w:r>
      <w:r w:rsidRPr="00D324D1">
        <w:rPr>
          <w:color w:val="000000" w:themeColor="text1"/>
        </w:rPr>
        <w:t>curtailment</w:t>
      </w:r>
      <w:r>
        <w:rPr>
          <w:color w:val="000000" w:themeColor="text1"/>
        </w:rPr>
        <w:t xml:space="preserve"> has resulted in a lost opportunity</w:t>
      </w:r>
      <w:r w:rsidRPr="00D324D1">
        <w:rPr>
          <w:color w:val="000000" w:themeColor="text1"/>
        </w:rPr>
        <w:t xml:space="preserve">. </w:t>
      </w:r>
      <w:r>
        <w:rPr>
          <w:color w:val="000000" w:themeColor="text1"/>
        </w:rPr>
        <w:t>E</w:t>
      </w:r>
      <w:r w:rsidRPr="00D324D1">
        <w:rPr>
          <w:color w:val="000000" w:themeColor="text1"/>
        </w:rPr>
        <w:t>vidence suggests that poor supply, habit</w:t>
      </w:r>
      <w:r w:rsidR="00BA6791">
        <w:rPr>
          <w:color w:val="000000" w:themeColor="text1"/>
        </w:rPr>
        <w:t>,</w:t>
      </w:r>
      <w:r w:rsidRPr="00D324D1">
        <w:rPr>
          <w:color w:val="000000" w:themeColor="text1"/>
        </w:rPr>
        <w:t xml:space="preserve"> and moral disengagement may affect curtailment of meat consumption</w:t>
      </w:r>
      <w:r>
        <w:rPr>
          <w:color w:val="000000" w:themeColor="text1"/>
        </w:rPr>
        <w:t xml:space="preserve"> b</w:t>
      </w:r>
      <w:r w:rsidRPr="00D324D1">
        <w:rPr>
          <w:color w:val="000000" w:themeColor="text1"/>
        </w:rPr>
        <w:t xml:space="preserve">ased on </w:t>
      </w:r>
      <w:r>
        <w:rPr>
          <w:color w:val="000000" w:themeColor="text1"/>
        </w:rPr>
        <w:t>the few</w:t>
      </w:r>
      <w:r w:rsidRPr="00D324D1">
        <w:rPr>
          <w:color w:val="000000" w:themeColor="text1"/>
        </w:rPr>
        <w:t xml:space="preserve"> survey-based studies conducted thus far (Zur &amp; Klöckner, 2012; Graça </w:t>
      </w:r>
      <w:r w:rsidRPr="00D324D1">
        <w:rPr>
          <w:i/>
          <w:color w:val="000000" w:themeColor="text1"/>
        </w:rPr>
        <w:t>et al</w:t>
      </w:r>
      <w:r w:rsidRPr="00D324D1">
        <w:rPr>
          <w:color w:val="000000" w:themeColor="text1"/>
        </w:rPr>
        <w:t xml:space="preserve">., 2014; Mäkiniemi &amp; Vainio, 2014). However, barriers to vegetarianism in Western </w:t>
      </w:r>
      <w:r w:rsidR="00072518">
        <w:rPr>
          <w:color w:val="000000" w:themeColor="text1"/>
        </w:rPr>
        <w:t>economies</w:t>
      </w:r>
      <w:r w:rsidRPr="00D324D1">
        <w:rPr>
          <w:color w:val="000000" w:themeColor="text1"/>
        </w:rPr>
        <w:t xml:space="preserve"> have not been explicitly</w:t>
      </w:r>
      <w:r>
        <w:rPr>
          <w:color w:val="000000" w:themeColor="text1"/>
        </w:rPr>
        <w:t xml:space="preserve"> and comprehensively</w:t>
      </w:r>
      <w:r w:rsidR="00DE6758">
        <w:rPr>
          <w:color w:val="000000" w:themeColor="text1"/>
        </w:rPr>
        <w:t xml:space="preserve"> researched. </w:t>
      </w:r>
      <w:r w:rsidR="00DE6758" w:rsidRPr="00BA6791">
        <w:rPr>
          <w:color w:val="000000" w:themeColor="text1"/>
        </w:rPr>
        <w:t>Similar to a cost-benefit analysis, the argument suggests that only when the benefits outweigh the barriers to change, will a behavio</w:t>
      </w:r>
      <w:r w:rsidR="004D5563">
        <w:rPr>
          <w:color w:val="000000" w:themeColor="text1"/>
        </w:rPr>
        <w:t>u</w:t>
      </w:r>
      <w:r w:rsidR="00DE6758" w:rsidRPr="00BA6791">
        <w:rPr>
          <w:color w:val="000000" w:themeColor="text1"/>
        </w:rPr>
        <w:t xml:space="preserve">ral transition occur (Lea &amp; Worsley, 2003). Thus, to enable an effective transition to dietary sustainability, critical </w:t>
      </w:r>
      <w:r w:rsidR="00BF4FA9">
        <w:rPr>
          <w:color w:val="000000" w:themeColor="text1"/>
        </w:rPr>
        <w:t>bottleneck</w:t>
      </w:r>
      <w:r w:rsidR="00DE6758" w:rsidRPr="00BA6791">
        <w:rPr>
          <w:color w:val="000000" w:themeColor="text1"/>
        </w:rPr>
        <w:t>s must be identified, in order to subsequently identify potential points for policy intervention</w:t>
      </w:r>
      <w:r w:rsidR="00BA6791" w:rsidRPr="00BA6791">
        <w:rPr>
          <w:color w:val="000000" w:themeColor="text1"/>
        </w:rPr>
        <w:t xml:space="preserve"> (Vinnari &amp; Vinnari, 2013)</w:t>
      </w:r>
      <w:r w:rsidR="00DE6758" w:rsidRPr="00BA6791">
        <w:rPr>
          <w:color w:val="000000" w:themeColor="text1"/>
        </w:rPr>
        <w:t>.</w:t>
      </w:r>
      <w:r w:rsidR="00CC1A8F">
        <w:rPr>
          <w:color w:val="000000" w:themeColor="text1"/>
        </w:rPr>
        <w:t xml:space="preserve"> </w:t>
      </w:r>
    </w:p>
    <w:p w14:paraId="1FB6F67B" w14:textId="099030EF" w:rsidR="00555AAE" w:rsidRPr="00A411A6" w:rsidRDefault="00CC1A8F" w:rsidP="00227240">
      <w:pPr>
        <w:spacing w:line="480" w:lineRule="auto"/>
        <w:ind w:firstLine="720"/>
        <w:jc w:val="both"/>
        <w:rPr>
          <w:color w:val="000000" w:themeColor="text1"/>
        </w:rPr>
      </w:pPr>
      <w:r w:rsidRPr="00152BBF">
        <w:rPr>
          <w:color w:val="000000" w:themeColor="text1"/>
        </w:rPr>
        <w:lastRenderedPageBreak/>
        <w:t xml:space="preserve">This study examines barriers, broadly construed, rather than specifics, (ie. failure to diffuse vegetarianism as a technology, media coverage, </w:t>
      </w:r>
      <w:r w:rsidR="001C5A18" w:rsidRPr="00152BBF">
        <w:rPr>
          <w:color w:val="000000" w:themeColor="text1"/>
        </w:rPr>
        <w:t>behavio</w:t>
      </w:r>
      <w:r w:rsidR="004D5563">
        <w:rPr>
          <w:color w:val="000000" w:themeColor="text1"/>
        </w:rPr>
        <w:t>u</w:t>
      </w:r>
      <w:r w:rsidR="001C5A18" w:rsidRPr="00152BBF">
        <w:rPr>
          <w:color w:val="000000" w:themeColor="text1"/>
        </w:rPr>
        <w:t xml:space="preserve">ral factors that shape decisions, </w:t>
      </w:r>
      <w:r w:rsidRPr="00152BBF">
        <w:rPr>
          <w:color w:val="000000" w:themeColor="text1"/>
        </w:rPr>
        <w:t>or</w:t>
      </w:r>
      <w:r w:rsidR="00DC3B79" w:rsidRPr="00152BBF">
        <w:rPr>
          <w:color w:val="000000" w:themeColor="text1"/>
        </w:rPr>
        <w:t xml:space="preserve"> the political economy of the meat industry</w:t>
      </w:r>
      <w:r w:rsidRPr="00152BBF">
        <w:rPr>
          <w:color w:val="000000" w:themeColor="text1"/>
        </w:rPr>
        <w:t>) because</w:t>
      </w:r>
      <w:r w:rsidR="001C5A18" w:rsidRPr="00152BBF">
        <w:rPr>
          <w:color w:val="000000" w:themeColor="text1"/>
        </w:rPr>
        <w:t xml:space="preserve"> it is anticipated that some or all of these factors will reveal themselves as </w:t>
      </w:r>
      <w:r w:rsidR="00072518">
        <w:rPr>
          <w:color w:val="000000" w:themeColor="text1"/>
        </w:rPr>
        <w:t>dietary bottlenecks</w:t>
      </w:r>
      <w:r w:rsidR="001C5A18" w:rsidRPr="00152BBF">
        <w:rPr>
          <w:color w:val="000000" w:themeColor="text1"/>
        </w:rPr>
        <w:t xml:space="preserve">, after extensive analysis of the literature. Though the topic is broad in scope, it is important to recognize the central research hypothesis that potentially multiple </w:t>
      </w:r>
      <w:r w:rsidR="00BF4FA9">
        <w:rPr>
          <w:color w:val="000000" w:themeColor="text1"/>
        </w:rPr>
        <w:t>factor</w:t>
      </w:r>
      <w:r w:rsidR="001C5A18" w:rsidRPr="00152BBF">
        <w:rPr>
          <w:color w:val="000000" w:themeColor="text1"/>
        </w:rPr>
        <w:t xml:space="preserve">s are inhibiting the proposed dietary change. </w:t>
      </w:r>
      <w:r w:rsidR="00152BBF" w:rsidRPr="00152BBF">
        <w:rPr>
          <w:color w:val="000000" w:themeColor="text1"/>
        </w:rPr>
        <w:t>As a comprehensive analysis of barriers to adopting a plant-based diet remains u</w:t>
      </w:r>
      <w:r w:rsidR="0068278D">
        <w:rPr>
          <w:color w:val="000000" w:themeColor="text1"/>
        </w:rPr>
        <w:t>ninvestigated, it is essential</w:t>
      </w:r>
      <w:r w:rsidR="00152BBF" w:rsidRPr="00152BBF">
        <w:rPr>
          <w:color w:val="000000" w:themeColor="text1"/>
        </w:rPr>
        <w:t xml:space="preserve"> to get a complete representation of the issue. Future research could then focus on a narrower and more specific approach to each of the identified b</w:t>
      </w:r>
      <w:r w:rsidR="00072518">
        <w:rPr>
          <w:color w:val="000000" w:themeColor="text1"/>
        </w:rPr>
        <w:t>ottlenecks</w:t>
      </w:r>
      <w:r w:rsidR="00152BBF" w:rsidRPr="00152BBF">
        <w:rPr>
          <w:color w:val="000000" w:themeColor="text1"/>
        </w:rPr>
        <w:t xml:space="preserve"> uncovered in this integrative literature review. </w:t>
      </w:r>
    </w:p>
    <w:p w14:paraId="737C812D" w14:textId="77777777" w:rsidR="00227240" w:rsidRDefault="00227240" w:rsidP="00374D42">
      <w:pPr>
        <w:spacing w:line="480" w:lineRule="auto"/>
        <w:jc w:val="both"/>
        <w:rPr>
          <w:b/>
          <w:color w:val="000000" w:themeColor="text1"/>
          <w:sz w:val="28"/>
        </w:rPr>
      </w:pPr>
    </w:p>
    <w:p w14:paraId="353E5074" w14:textId="77777777" w:rsidR="00227240" w:rsidRDefault="00227240" w:rsidP="00374D42">
      <w:pPr>
        <w:spacing w:line="480" w:lineRule="auto"/>
        <w:jc w:val="both"/>
        <w:rPr>
          <w:b/>
          <w:color w:val="000000" w:themeColor="text1"/>
          <w:sz w:val="28"/>
        </w:rPr>
      </w:pPr>
    </w:p>
    <w:p w14:paraId="50E5EF08" w14:textId="77777777" w:rsidR="00374D42" w:rsidRDefault="00374D42" w:rsidP="00374D42">
      <w:pPr>
        <w:spacing w:line="480" w:lineRule="auto"/>
        <w:jc w:val="both"/>
        <w:rPr>
          <w:b/>
          <w:color w:val="000000" w:themeColor="text1"/>
          <w:sz w:val="28"/>
        </w:rPr>
      </w:pPr>
      <w:r>
        <w:rPr>
          <w:b/>
          <w:color w:val="000000" w:themeColor="text1"/>
          <w:sz w:val="28"/>
        </w:rPr>
        <w:t>III</w:t>
      </w:r>
      <w:r w:rsidRPr="008A5755">
        <w:rPr>
          <w:b/>
          <w:color w:val="000000" w:themeColor="text1"/>
          <w:sz w:val="28"/>
        </w:rPr>
        <w:t>. Canadian Context</w:t>
      </w:r>
    </w:p>
    <w:p w14:paraId="200FE644" w14:textId="77777777" w:rsidR="00374D42" w:rsidRDefault="00374D42" w:rsidP="00374D42">
      <w:pPr>
        <w:spacing w:line="480" w:lineRule="auto"/>
        <w:jc w:val="both"/>
        <w:rPr>
          <w:b/>
          <w:i/>
          <w:color w:val="000000" w:themeColor="text1"/>
        </w:rPr>
      </w:pPr>
      <w:r>
        <w:rPr>
          <w:b/>
          <w:i/>
          <w:color w:val="000000" w:themeColor="text1"/>
        </w:rPr>
        <w:t>i. Agricultural Sector</w:t>
      </w:r>
    </w:p>
    <w:p w14:paraId="1D0188CF" w14:textId="77777777" w:rsidR="00374D42" w:rsidRDefault="00374D42" w:rsidP="00374D42">
      <w:pPr>
        <w:spacing w:line="480" w:lineRule="auto"/>
        <w:ind w:firstLine="720"/>
        <w:jc w:val="both"/>
      </w:pPr>
      <w:r w:rsidRPr="00D324D1">
        <w:t>In Canada, the agriculture sector is composed of roughly 205 000 farms (</w:t>
      </w:r>
      <w:r w:rsidRPr="00D324D1">
        <w:rPr>
          <w:color w:val="000000" w:themeColor="text1"/>
        </w:rPr>
        <w:t>Beaulieu, 2014</w:t>
      </w:r>
      <w:r w:rsidRPr="00D324D1">
        <w:t xml:space="preserve">), with Western Canada contributing to the bulk of crop production, and Eastern Canada focusing primarily on livestock (Kulshreshtha </w:t>
      </w:r>
      <w:r w:rsidRPr="00D324D1">
        <w:rPr>
          <w:i/>
        </w:rPr>
        <w:t>et al</w:t>
      </w:r>
      <w:r w:rsidRPr="00D324D1">
        <w:t xml:space="preserve">., 1999). </w:t>
      </w:r>
      <w:r>
        <w:t xml:space="preserve">Despite a complex and integrated supply chain, agricultural production is the foundation of the agriculture and agri-food system in Canada, given the direct relationships with the remainder of the industry (AAFC, 2015a). </w:t>
      </w:r>
    </w:p>
    <w:p w14:paraId="5EEA3953" w14:textId="0E2166BC" w:rsidR="00374D42" w:rsidRDefault="00374D42" w:rsidP="00374D42">
      <w:pPr>
        <w:spacing w:line="480" w:lineRule="auto"/>
        <w:ind w:firstLine="720"/>
        <w:jc w:val="both"/>
      </w:pPr>
      <w:r>
        <w:t>The agriculture and agri-food system (AAFS) comprises a multifaceted supply chain with agricultural producers, suppliers, food processors, retailers, and foodservice providers (AAFC, 2015a). Thus, the integrated supply chain contributes directly and indirectly to GDP and employment rates in Canada (AAFC, 2015a). As an aggregate, the</w:t>
      </w:r>
      <w:r w:rsidRPr="00D324D1">
        <w:t xml:space="preserve"> </w:t>
      </w:r>
      <w:r>
        <w:t xml:space="preserve">complex </w:t>
      </w:r>
      <w:r w:rsidRPr="00D324D1">
        <w:t xml:space="preserve">industry generated </w:t>
      </w:r>
      <w:r w:rsidRPr="00D324D1">
        <w:lastRenderedPageBreak/>
        <w:t>$106.9 billion in</w:t>
      </w:r>
      <w:r>
        <w:t xml:space="preserve"> 2013, or 6.7% of Canada’s GDP, ranking the AAFS as seventh-largest contributor to GDP across sectors.</w:t>
      </w:r>
      <w:r w:rsidRPr="00D324D1">
        <w:t xml:space="preserve"> </w:t>
      </w:r>
      <w:r>
        <w:t xml:space="preserve">Of this contribution, more than 80% of GDP generated by primary agriculture and food processing was attributed to four provinces: Ontario, Quebec, Alberta, Saskatchewan (AAFC, 2015a). </w:t>
      </w:r>
      <w:r w:rsidRPr="00D324D1">
        <w:t xml:space="preserve">The </w:t>
      </w:r>
      <w:r>
        <w:t>a</w:t>
      </w:r>
      <w:r w:rsidRPr="00D324D1">
        <w:t xml:space="preserve">griculture and </w:t>
      </w:r>
      <w:r>
        <w:t>a</w:t>
      </w:r>
      <w:r w:rsidRPr="00D324D1">
        <w:t>gri-</w:t>
      </w:r>
      <w:r>
        <w:t>f</w:t>
      </w:r>
      <w:r w:rsidRPr="00D324D1">
        <w:t>ood industry is an important economic player, employing ov</w:t>
      </w:r>
      <w:r>
        <w:t>er 2.2 million people equaling 12</w:t>
      </w:r>
      <w:r w:rsidRPr="00D324D1">
        <w:t>.3% of all Canadian jobs</w:t>
      </w:r>
      <w:r>
        <w:t xml:space="preserve"> (AAFC, 2015a)</w:t>
      </w:r>
      <w:r w:rsidRPr="00D324D1">
        <w:t xml:space="preserve">. </w:t>
      </w:r>
      <w:r>
        <w:t>Primary agriculture specifically, accounted for 1.3% of Canada’s GDP and 1.6% of all Canadian jobs</w:t>
      </w:r>
      <w:r w:rsidR="00BB1973">
        <w:t xml:space="preserve"> in 2013</w:t>
      </w:r>
      <w:r>
        <w:t xml:space="preserve"> (AAFC, 2015a). </w:t>
      </w:r>
    </w:p>
    <w:p w14:paraId="5AA613F8" w14:textId="1F527827" w:rsidR="00374D42" w:rsidRDefault="00374D42" w:rsidP="00374D42">
      <w:pPr>
        <w:spacing w:line="480" w:lineRule="auto"/>
        <w:ind w:firstLine="720"/>
        <w:jc w:val="both"/>
      </w:pPr>
      <w:r>
        <w:t>As of 2013, Canada was the</w:t>
      </w:r>
      <w:r w:rsidRPr="00D324D1">
        <w:t xml:space="preserve"> fifth largest exporter of agriculture and agri-food products globally, </w:t>
      </w:r>
      <w:r>
        <w:t xml:space="preserve">following the EU, US, Brazil, and China (AAFC, 2015a). With export sales at $46 billion, Canada maintained a 3.5% share of total world agricultural and agri-food exports. Of the $46 billion in exports, animal products accounted for 17.9% (AAFC, 2015a). Moreover, on a volume basis, 65% of hog and pork products, and 46% of cattle and beef products were exported (AAFC, 2015a). Nevertheless, Canada remains a large importer of agriculture and agri-food products, with imports amounting to $34.3 billion in 2013 (AAFC, 2015a). </w:t>
      </w:r>
      <w:r w:rsidR="00934259">
        <w:t>O</w:t>
      </w:r>
      <w:r>
        <w:t xml:space="preserve">ver a quarter (28.8%) all Canadian agriculture and agri-food imports are attributed to plant-based products, specifically fruits and vegetables (AAFC, 2015a). </w:t>
      </w:r>
    </w:p>
    <w:p w14:paraId="65AA2AD5" w14:textId="23D0E010" w:rsidR="00BB1973" w:rsidRPr="00BB1973" w:rsidRDefault="00374D42" w:rsidP="00BB1973">
      <w:pPr>
        <w:spacing w:line="480" w:lineRule="auto"/>
        <w:ind w:firstLine="720"/>
        <w:jc w:val="both"/>
      </w:pPr>
      <w:r>
        <w:t>In 2013, provincial and federal government expenditures of $6.2</w:t>
      </w:r>
      <w:r w:rsidR="00AE0464">
        <w:t xml:space="preserve"> </w:t>
      </w:r>
      <w:r>
        <w:t>billion contributed to 31.2% of agricultural GDP (AAFC, 2015a</w:t>
      </w:r>
      <w:r w:rsidR="00BB1973">
        <w:t>).</w:t>
      </w:r>
      <w:r>
        <w:t xml:space="preserve"> Total government expenditures vary considerably across provinces, however program payments, research, and inspection account for the majority of monetary support across the nation (AAFC, 2015a). Though program support has declined over the last decade, financial subsidies from both levels of government remain substantial.  </w:t>
      </w:r>
    </w:p>
    <w:p w14:paraId="1F309191" w14:textId="77777777" w:rsidR="00BB1973" w:rsidRDefault="00BB1973" w:rsidP="00BB1973">
      <w:pPr>
        <w:spacing w:line="480" w:lineRule="auto"/>
        <w:jc w:val="both"/>
        <w:rPr>
          <w:b/>
          <w:i/>
        </w:rPr>
      </w:pPr>
    </w:p>
    <w:p w14:paraId="32A153B3" w14:textId="77777777" w:rsidR="00227240" w:rsidRDefault="00227240" w:rsidP="00BB1973">
      <w:pPr>
        <w:spacing w:line="480" w:lineRule="auto"/>
        <w:jc w:val="both"/>
        <w:rPr>
          <w:b/>
          <w:i/>
        </w:rPr>
      </w:pPr>
    </w:p>
    <w:p w14:paraId="77B63FF5" w14:textId="654A6E76" w:rsidR="00227240" w:rsidRDefault="00374D42" w:rsidP="00BB1973">
      <w:pPr>
        <w:spacing w:line="480" w:lineRule="auto"/>
        <w:jc w:val="both"/>
        <w:rPr>
          <w:b/>
          <w:i/>
        </w:rPr>
      </w:pPr>
      <w:r>
        <w:rPr>
          <w:b/>
          <w:i/>
        </w:rPr>
        <w:lastRenderedPageBreak/>
        <w:t>ii. Greenhouse Gas Emissions</w:t>
      </w:r>
    </w:p>
    <w:p w14:paraId="5A1D3D62" w14:textId="6FCCEDEF" w:rsidR="00374D42" w:rsidRPr="00BB1973" w:rsidRDefault="00374D42" w:rsidP="00BB1973">
      <w:pPr>
        <w:spacing w:line="480" w:lineRule="auto"/>
        <w:ind w:firstLine="720"/>
        <w:jc w:val="both"/>
        <w:rPr>
          <w:b/>
          <w:i/>
        </w:rPr>
      </w:pPr>
      <w:r w:rsidRPr="001D4200">
        <w:t>In Canada, agriculture accounts for roughly 10 % of national GHG emissions (CO</w:t>
      </w:r>
      <w:r w:rsidRPr="001D4200">
        <w:rPr>
          <w:vertAlign w:val="subscript"/>
        </w:rPr>
        <w:t>2</w:t>
      </w:r>
      <w:r w:rsidRPr="001D4200">
        <w:t>eq)</w:t>
      </w:r>
      <w:r w:rsidR="002449A8">
        <w:t xml:space="preserve"> by economic sector</w:t>
      </w:r>
      <w:r w:rsidRPr="001D4200">
        <w:t>, contributing 27 % and 70 % of total CH</w:t>
      </w:r>
      <w:r w:rsidRPr="001D4200">
        <w:rPr>
          <w:vertAlign w:val="subscript"/>
        </w:rPr>
        <w:t>4</w:t>
      </w:r>
      <w:r w:rsidRPr="001D4200">
        <w:t xml:space="preserve"> and N</w:t>
      </w:r>
      <w:r w:rsidRPr="001D4200">
        <w:rPr>
          <w:vertAlign w:val="subscript"/>
        </w:rPr>
        <w:t>2</w:t>
      </w:r>
      <w:r w:rsidRPr="001D4200">
        <w:t>O emissions respectively, not including the use of fossil fuels, land-use change or indirect emissions from activities such as fertilizer production</w:t>
      </w:r>
      <w:r w:rsidR="002449A8">
        <w:t xml:space="preserve"> and imports</w:t>
      </w:r>
      <w:r w:rsidRPr="001D4200">
        <w:t xml:space="preserve"> (</w:t>
      </w:r>
      <w:r w:rsidRPr="008E76A1">
        <w:rPr>
          <w:color w:val="000000" w:themeColor="text1"/>
        </w:rPr>
        <w:t xml:space="preserve">Kulshreshtha </w:t>
      </w:r>
      <w:r w:rsidRPr="008E76A1">
        <w:rPr>
          <w:i/>
          <w:color w:val="000000" w:themeColor="text1"/>
        </w:rPr>
        <w:t>et al.,</w:t>
      </w:r>
      <w:r w:rsidRPr="008E76A1">
        <w:rPr>
          <w:color w:val="000000" w:themeColor="text1"/>
        </w:rPr>
        <w:t xml:space="preserve"> 1999</w:t>
      </w:r>
      <w:r>
        <w:rPr>
          <w:color w:val="000000" w:themeColor="text1"/>
        </w:rPr>
        <w:t xml:space="preserve">; </w:t>
      </w:r>
      <w:r w:rsidRPr="001D4200">
        <w:t>AAFC, 2000; O’Mara, 2011; Environment Canada, 2015</w:t>
      </w:r>
      <w:r>
        <w:t>;</w:t>
      </w:r>
      <w:r w:rsidRPr="001D4200">
        <w:t>). Likewise, contributing most prominently to total emissions in decreasing order, include enteric fermentation and agriculture soils, manure management and fertilizer use (Beauchemin</w:t>
      </w:r>
      <w:r w:rsidRPr="001D4200">
        <w:rPr>
          <w:i/>
        </w:rPr>
        <w:t>, et al.,</w:t>
      </w:r>
      <w:r w:rsidRPr="001D4200">
        <w:t xml:space="preserve"> 2010; Environment Canada, 2015). The GHG intensity of crop and animal production in Canada dwarfs all other sectors with ratio of 3.1 tonnes of CO</w:t>
      </w:r>
      <w:r w:rsidRPr="001D4200">
        <w:rPr>
          <w:vertAlign w:val="subscript"/>
        </w:rPr>
        <w:t>2</w:t>
      </w:r>
      <w:r w:rsidRPr="001D4200">
        <w:t>eq / $1000 production. To put this into perspective oil and gas extraction has a ratio of 1.4 tonnes of CO</w:t>
      </w:r>
      <w:r w:rsidRPr="001D4200">
        <w:rPr>
          <w:vertAlign w:val="subscript"/>
        </w:rPr>
        <w:t>2</w:t>
      </w:r>
      <w:r w:rsidRPr="001D4200">
        <w:t>eq / $1000 production (Statistics Canada, 2011). This is mostly attributed to the fact that agriculture is CH</w:t>
      </w:r>
      <w:r w:rsidRPr="001D4200">
        <w:rPr>
          <w:vertAlign w:val="subscript"/>
        </w:rPr>
        <w:t>4</w:t>
      </w:r>
      <w:r w:rsidRPr="001D4200">
        <w:t xml:space="preserve"> and N</w:t>
      </w:r>
      <w:r w:rsidRPr="001D4200">
        <w:rPr>
          <w:vertAlign w:val="subscript"/>
        </w:rPr>
        <w:t>2</w:t>
      </w:r>
      <w:r w:rsidRPr="001D4200">
        <w:t>O intensive, which have much higher 100 year global warming potentials (25 and 298 respectively) in comparison to the baseline of CO</w:t>
      </w:r>
      <w:r w:rsidRPr="001D4200">
        <w:rPr>
          <w:vertAlign w:val="subscript"/>
        </w:rPr>
        <w:t>2</w:t>
      </w:r>
      <w:r w:rsidRPr="001D4200">
        <w:t xml:space="preserve"> (Soloman </w:t>
      </w:r>
      <w:r w:rsidRPr="001D4200">
        <w:rPr>
          <w:i/>
        </w:rPr>
        <w:t xml:space="preserve">et al., </w:t>
      </w:r>
      <w:r w:rsidRPr="001D4200">
        <w:rPr>
          <w:color w:val="000000" w:themeColor="text1"/>
        </w:rPr>
        <w:t>2007</w:t>
      </w:r>
      <w:r w:rsidRPr="001D4200">
        <w:t xml:space="preserve">). </w:t>
      </w:r>
    </w:p>
    <w:p w14:paraId="2EC8BC08" w14:textId="77777777" w:rsidR="00374D42" w:rsidRPr="006A1CE2" w:rsidRDefault="00374D42" w:rsidP="00374D42">
      <w:pPr>
        <w:spacing w:line="480" w:lineRule="auto"/>
        <w:ind w:firstLine="720"/>
        <w:jc w:val="both"/>
      </w:pPr>
      <w:r w:rsidRPr="006A1CE2">
        <w:t xml:space="preserve">Though emissions from </w:t>
      </w:r>
      <w:r>
        <w:t xml:space="preserve">agricultural production (livestock, crop, and on-site energy emissions) have increased, reductions in GHGs from land use and land-use change decreased by a greater amount, yielding an 8.1% reduction in absolute emissions from the agricultural sector since 1990 (AAFC, 2015a). Improved land management practices have reduced anthropogenic GHG contributions, while enhancing soil sequestration of carbon. Increasingly, producers are implementing Environmental Farm Plans (EFP), and adopting Beneficial Management Practices (BMPs) to strengthen environmentally friendly practices onsite (AAFC, 2015a). </w:t>
      </w:r>
    </w:p>
    <w:p w14:paraId="65E25A2B" w14:textId="77777777" w:rsidR="00374D42" w:rsidRPr="00D324D1" w:rsidRDefault="00374D42" w:rsidP="00374D42">
      <w:pPr>
        <w:spacing w:line="480" w:lineRule="auto"/>
        <w:jc w:val="both"/>
      </w:pPr>
    </w:p>
    <w:p w14:paraId="7214C088" w14:textId="77777777" w:rsidR="00227240" w:rsidRDefault="00227240" w:rsidP="00374D42">
      <w:pPr>
        <w:spacing w:line="480" w:lineRule="auto"/>
        <w:jc w:val="both"/>
        <w:rPr>
          <w:b/>
          <w:i/>
          <w:color w:val="000000" w:themeColor="text1"/>
        </w:rPr>
      </w:pPr>
    </w:p>
    <w:p w14:paraId="212B1EB0" w14:textId="77777777" w:rsidR="00227240" w:rsidRDefault="00227240" w:rsidP="00374D42">
      <w:pPr>
        <w:spacing w:line="480" w:lineRule="auto"/>
        <w:jc w:val="both"/>
        <w:rPr>
          <w:b/>
          <w:i/>
          <w:color w:val="000000" w:themeColor="text1"/>
        </w:rPr>
      </w:pPr>
    </w:p>
    <w:p w14:paraId="37AA069A" w14:textId="77777777" w:rsidR="00374D42" w:rsidRDefault="00374D42" w:rsidP="00374D42">
      <w:pPr>
        <w:spacing w:line="480" w:lineRule="auto"/>
        <w:jc w:val="both"/>
        <w:rPr>
          <w:b/>
          <w:i/>
          <w:color w:val="000000" w:themeColor="text1"/>
        </w:rPr>
      </w:pPr>
      <w:r>
        <w:rPr>
          <w:b/>
          <w:i/>
          <w:color w:val="000000" w:themeColor="text1"/>
        </w:rPr>
        <w:lastRenderedPageBreak/>
        <w:t>iii. Trends in Consumption</w:t>
      </w:r>
    </w:p>
    <w:p w14:paraId="10CC19C4" w14:textId="50319187" w:rsidR="00374D42" w:rsidRDefault="00A86E3C" w:rsidP="00374D42">
      <w:pPr>
        <w:spacing w:line="480" w:lineRule="auto"/>
        <w:ind w:firstLine="720"/>
        <w:jc w:val="both"/>
        <w:rPr>
          <w:color w:val="000000" w:themeColor="text1"/>
        </w:rPr>
      </w:pPr>
      <w:r>
        <w:t xml:space="preserve">Examining trends in consumption is important to develop a sense regarding how vegetarianism is (or is not) resonating with consumers. Ultimately, it has been found that </w:t>
      </w:r>
      <w:r w:rsidR="00213FCA">
        <w:t xml:space="preserve">many citizens do not exhibit </w:t>
      </w:r>
      <w:r>
        <w:t>c</w:t>
      </w:r>
      <w:r w:rsidR="00374D42" w:rsidRPr="00D324D1">
        <w:t xml:space="preserve">limate-friendly food consumption.  </w:t>
      </w:r>
      <w:r w:rsidR="00374D42" w:rsidRPr="00D324D1">
        <w:rPr>
          <w:color w:val="000000" w:themeColor="text1"/>
        </w:rPr>
        <w:t xml:space="preserve">As of the last documented study conducted in Canada, rates of vegetarianism remain quite low, at 3% of the population (Ipsos-Reid, 2004). </w:t>
      </w:r>
      <w:r w:rsidR="00AE0464">
        <w:rPr>
          <w:color w:val="000000" w:themeColor="text1"/>
        </w:rPr>
        <w:t>As mentioned earlier, h</w:t>
      </w:r>
      <w:r w:rsidR="00213FCA">
        <w:rPr>
          <w:color w:val="000000" w:themeColor="text1"/>
        </w:rPr>
        <w:t xml:space="preserve">owever, the study is outdated </w:t>
      </w:r>
      <w:r w:rsidR="00374D42" w:rsidRPr="00D324D1">
        <w:rPr>
          <w:color w:val="000000" w:themeColor="text1"/>
        </w:rPr>
        <w:t>and reveal</w:t>
      </w:r>
      <w:r w:rsidR="00AE0464">
        <w:rPr>
          <w:color w:val="000000" w:themeColor="text1"/>
        </w:rPr>
        <w:t>s</w:t>
      </w:r>
      <w:r w:rsidR="00374D42" w:rsidRPr="00D324D1">
        <w:rPr>
          <w:color w:val="000000" w:themeColor="text1"/>
        </w:rPr>
        <w:t xml:space="preserve"> no </w:t>
      </w:r>
      <w:r w:rsidR="00AE0464">
        <w:rPr>
          <w:color w:val="000000" w:themeColor="text1"/>
        </w:rPr>
        <w:t>longitudinal</w:t>
      </w:r>
      <w:r w:rsidR="00374D42" w:rsidRPr="00D324D1">
        <w:rPr>
          <w:color w:val="000000" w:themeColor="text1"/>
        </w:rPr>
        <w:t xml:space="preserve"> trends that could correlate to the documented increase in attention to environmental issues and recent influx of publications, documentaries and media outlining the vast array of problems pertaining to animal agriculture (Steinfeld </w:t>
      </w:r>
      <w:r w:rsidR="00374D42" w:rsidRPr="00D324D1">
        <w:rPr>
          <w:i/>
          <w:color w:val="000000" w:themeColor="text1"/>
        </w:rPr>
        <w:t>et al.,</w:t>
      </w:r>
      <w:r w:rsidR="00374D42" w:rsidRPr="00D324D1">
        <w:rPr>
          <w:color w:val="000000" w:themeColor="text1"/>
        </w:rPr>
        <w:t xml:space="preserve"> 2006; </w:t>
      </w:r>
      <w:r w:rsidR="00374D42" w:rsidRPr="00D324D1">
        <w:rPr>
          <w:rFonts w:eastAsia="Arial Unicode MS"/>
          <w:color w:val="000000" w:themeColor="text1"/>
        </w:rPr>
        <w:t>Andersen &amp; Kuhn, 2014</w:t>
      </w:r>
      <w:r w:rsidR="00374D42" w:rsidRPr="00D324D1">
        <w:rPr>
          <w:color w:val="000000" w:themeColor="text1"/>
        </w:rPr>
        <w:t xml:space="preserve">). </w:t>
      </w:r>
      <w:r w:rsidR="007341A7">
        <w:rPr>
          <w:color w:val="000000" w:themeColor="text1"/>
        </w:rPr>
        <w:t xml:space="preserve">Regardless, this percentage is too low to combat the environmental issues associated with the agricultural industry. Given the environmental benefits of a plant-based diet, the greater the proportion of the population who practices sustainable consumption, the better. </w:t>
      </w:r>
    </w:p>
    <w:p w14:paraId="01052330" w14:textId="59F7C702" w:rsidR="00374D42" w:rsidRPr="00D324D1" w:rsidRDefault="00374D42" w:rsidP="00374D42">
      <w:pPr>
        <w:spacing w:line="480" w:lineRule="auto"/>
        <w:ind w:firstLine="720"/>
        <w:jc w:val="both"/>
        <w:rPr>
          <w:color w:val="FF0000"/>
        </w:rPr>
      </w:pPr>
      <w:r>
        <w:rPr>
          <w:color w:val="000000" w:themeColor="text1"/>
        </w:rPr>
        <w:t xml:space="preserve">Agriculture and Agri-Food Canada further provide insight to consumption habits in Canada through data (1981-present) concerning per capita consumption of animal products (Figure 1). The amount of animal protein consumed (kg consumption) is currently at an all-time low despite fluctuations per protein source (AAFC, 2014), suggesting a further decrease in animal-protein </w:t>
      </w:r>
      <w:r w:rsidR="007E03CA">
        <w:rPr>
          <w:color w:val="000000" w:themeColor="text1"/>
        </w:rPr>
        <w:t>consumption may be obtainable. Since 1980, r</w:t>
      </w:r>
      <w:r w:rsidR="00D13E2E">
        <w:rPr>
          <w:color w:val="000000" w:themeColor="text1"/>
        </w:rPr>
        <w:t>eductions in beef</w:t>
      </w:r>
      <w:r w:rsidR="007E03CA">
        <w:rPr>
          <w:color w:val="000000" w:themeColor="text1"/>
        </w:rPr>
        <w:t xml:space="preserve"> (-32%)</w:t>
      </w:r>
      <w:r w:rsidR="00D13E2E">
        <w:rPr>
          <w:color w:val="000000" w:themeColor="text1"/>
        </w:rPr>
        <w:t xml:space="preserve"> and pork</w:t>
      </w:r>
      <w:r w:rsidR="007E03CA">
        <w:rPr>
          <w:color w:val="000000" w:themeColor="text1"/>
        </w:rPr>
        <w:t xml:space="preserve"> (-36%)</w:t>
      </w:r>
      <w:r w:rsidR="00D13E2E">
        <w:rPr>
          <w:color w:val="000000" w:themeColor="text1"/>
        </w:rPr>
        <w:t xml:space="preserve"> have counteracted the increase in consumption of poultry</w:t>
      </w:r>
      <w:r w:rsidR="007E03CA">
        <w:rPr>
          <w:color w:val="000000" w:themeColor="text1"/>
        </w:rPr>
        <w:t xml:space="preserve"> (+34%). Reductions are predominantly due to an aging population, concerned with the health impacts of red meat, and increased prices for both beef and pork (Conference Board of Canada, 2015). </w:t>
      </w:r>
      <w:r w:rsidR="007465EC">
        <w:rPr>
          <w:color w:val="000000" w:themeColor="text1"/>
        </w:rPr>
        <w:t>Despite this trend in consumption, however, demand for animal products is considered to be on the rise, suggesting a strong willingness to pay under certain conditions (FCC, 2015)</w:t>
      </w:r>
      <w:r w:rsidR="00D13E2E">
        <w:rPr>
          <w:color w:val="000000" w:themeColor="text1"/>
        </w:rPr>
        <w:t xml:space="preserve">, ultimately contradicting </w:t>
      </w:r>
      <w:r w:rsidR="007E03CA">
        <w:rPr>
          <w:color w:val="000000" w:themeColor="text1"/>
        </w:rPr>
        <w:t>the apparent</w:t>
      </w:r>
      <w:r w:rsidR="00D13E2E">
        <w:rPr>
          <w:color w:val="000000" w:themeColor="text1"/>
        </w:rPr>
        <w:t xml:space="preserve"> shift to </w:t>
      </w:r>
      <w:r w:rsidR="007E03CA">
        <w:rPr>
          <w:color w:val="000000" w:themeColor="text1"/>
        </w:rPr>
        <w:t>lower meat consumption</w:t>
      </w:r>
      <w:r w:rsidR="00D13E2E">
        <w:rPr>
          <w:color w:val="000000" w:themeColor="text1"/>
        </w:rPr>
        <w:t xml:space="preserve">. </w:t>
      </w:r>
    </w:p>
    <w:p w14:paraId="3D2397A5" w14:textId="77777777" w:rsidR="00374D42" w:rsidRDefault="00374D42" w:rsidP="00374D42">
      <w:pPr>
        <w:spacing w:line="480" w:lineRule="auto"/>
        <w:jc w:val="both"/>
        <w:rPr>
          <w:color w:val="FF0000"/>
        </w:rPr>
      </w:pPr>
      <w:r>
        <w:rPr>
          <w:noProof/>
        </w:rPr>
        <w:lastRenderedPageBreak/>
        <w:drawing>
          <wp:inline distT="0" distB="0" distL="0" distR="0" wp14:anchorId="25754183" wp14:editId="1E5F0B05">
            <wp:extent cx="5995035" cy="3071055"/>
            <wp:effectExtent l="0" t="0" r="0" b="254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97D590E" w14:textId="77777777" w:rsidR="00374D42" w:rsidRPr="007E3BAF" w:rsidRDefault="00374D42" w:rsidP="00374D42">
      <w:pPr>
        <w:jc w:val="both"/>
        <w:rPr>
          <w:color w:val="000000" w:themeColor="text1"/>
          <w:sz w:val="22"/>
          <w:szCs w:val="22"/>
        </w:rPr>
      </w:pPr>
      <w:r w:rsidRPr="007E3BAF">
        <w:rPr>
          <w:color w:val="000000" w:themeColor="text1"/>
          <w:sz w:val="22"/>
          <w:szCs w:val="22"/>
        </w:rPr>
        <w:t>Figure 1. Per capita consumption (kg protein consumed) of livestock from 1980-2014. Calculated using data provided by Agriculture and Agri-Food Canada. (AAFC, 2014).</w:t>
      </w:r>
    </w:p>
    <w:p w14:paraId="78CE314B" w14:textId="77777777" w:rsidR="00374D42" w:rsidRDefault="00374D42" w:rsidP="00374D42">
      <w:pPr>
        <w:jc w:val="both"/>
        <w:rPr>
          <w:color w:val="000000" w:themeColor="text1"/>
        </w:rPr>
      </w:pPr>
    </w:p>
    <w:p w14:paraId="69CDF896" w14:textId="77777777" w:rsidR="00B53FFA" w:rsidRDefault="00B53FFA" w:rsidP="00374D42">
      <w:pPr>
        <w:jc w:val="both"/>
        <w:rPr>
          <w:color w:val="000000" w:themeColor="text1"/>
        </w:rPr>
      </w:pPr>
    </w:p>
    <w:p w14:paraId="1DC67EEA" w14:textId="77777777" w:rsidR="00B53FFA" w:rsidRDefault="00B53FFA" w:rsidP="00374D42">
      <w:pPr>
        <w:jc w:val="both"/>
        <w:rPr>
          <w:color w:val="000000" w:themeColor="text1"/>
        </w:rPr>
      </w:pPr>
    </w:p>
    <w:p w14:paraId="194607D4" w14:textId="77777777" w:rsidR="00374D42" w:rsidRDefault="00374D42" w:rsidP="00374D42">
      <w:pPr>
        <w:jc w:val="both"/>
        <w:rPr>
          <w:color w:val="000000" w:themeColor="text1"/>
        </w:rPr>
      </w:pPr>
    </w:p>
    <w:p w14:paraId="2EA713FA" w14:textId="77777777" w:rsidR="00374D42" w:rsidRDefault="00374D42" w:rsidP="00374D42">
      <w:pPr>
        <w:spacing w:line="480" w:lineRule="auto"/>
        <w:ind w:firstLine="720"/>
        <w:jc w:val="both"/>
      </w:pPr>
      <w:r>
        <w:t>Canadian household expenditures on food and non-alcoholic beverages averaged $7,738, 26% of which was attributable to animal products. Total agricultural sales increased in all commodities from 2003-2013 (AAFC, 2015a). Nevertheless, the share of market receipts from red meat, dairy, and poultry and eggs declined by 8.2%, 3.9%, and 0.9% respectively over the same time frame, mostly due to a substantial increase in the commodity share of grains and oilseeds (AAFC, 2015a).</w:t>
      </w:r>
    </w:p>
    <w:p w14:paraId="5AB62DFE" w14:textId="25F2C029" w:rsidR="00374D42" w:rsidRDefault="00374D42" w:rsidP="00374D42">
      <w:pPr>
        <w:spacing w:line="480" w:lineRule="auto"/>
        <w:ind w:firstLine="720"/>
        <w:jc w:val="both"/>
        <w:rPr>
          <w:color w:val="000000" w:themeColor="text1"/>
        </w:rPr>
      </w:pPr>
      <w:r w:rsidRPr="005A1BE5">
        <w:rPr>
          <w:color w:val="000000" w:themeColor="text1"/>
        </w:rPr>
        <w:t xml:space="preserve">In conclusion, consumption trends from data provided by AAFC, help to summarize the state of the industrial livestock agricultural problem in Canada. Given the declining trend of animal protein consumption in Canada, </w:t>
      </w:r>
      <w:r w:rsidR="007E3BAF">
        <w:rPr>
          <w:color w:val="000000" w:themeColor="text1"/>
        </w:rPr>
        <w:t>coercive policy reductions</w:t>
      </w:r>
      <w:r>
        <w:rPr>
          <w:color w:val="000000" w:themeColor="text1"/>
        </w:rPr>
        <w:t xml:space="preserve"> </w:t>
      </w:r>
      <w:r w:rsidRPr="005A1BE5">
        <w:rPr>
          <w:color w:val="000000" w:themeColor="text1"/>
        </w:rPr>
        <w:t xml:space="preserve">may be accepted by the general public. Currently, however, the livestock industry remains robust. </w:t>
      </w:r>
    </w:p>
    <w:p w14:paraId="2982A126" w14:textId="77777777" w:rsidR="007341A7" w:rsidRPr="005A1BE5" w:rsidRDefault="007341A7" w:rsidP="00374D42">
      <w:pPr>
        <w:spacing w:line="480" w:lineRule="auto"/>
        <w:ind w:firstLine="720"/>
        <w:jc w:val="both"/>
        <w:rPr>
          <w:color w:val="000000" w:themeColor="text1"/>
        </w:rPr>
      </w:pPr>
    </w:p>
    <w:p w14:paraId="71006604" w14:textId="77777777" w:rsidR="009D15D6" w:rsidRPr="006647F2" w:rsidRDefault="009D15D6" w:rsidP="009D15D6">
      <w:pPr>
        <w:spacing w:line="480" w:lineRule="auto"/>
        <w:jc w:val="both"/>
        <w:rPr>
          <w:b/>
          <w:color w:val="000000" w:themeColor="text1"/>
          <w:sz w:val="32"/>
          <w:u w:val="single"/>
        </w:rPr>
      </w:pPr>
      <w:r w:rsidRPr="006647F2">
        <w:rPr>
          <w:b/>
          <w:color w:val="000000" w:themeColor="text1"/>
          <w:sz w:val="32"/>
          <w:u w:val="single"/>
        </w:rPr>
        <w:lastRenderedPageBreak/>
        <w:t>Chapter 2: Barriers to Vegetarianism</w:t>
      </w:r>
    </w:p>
    <w:p w14:paraId="3756A5A2" w14:textId="77777777" w:rsidR="009D15D6" w:rsidRPr="008A5755" w:rsidRDefault="009D15D6" w:rsidP="009D15D6">
      <w:pPr>
        <w:spacing w:line="480" w:lineRule="auto"/>
        <w:jc w:val="both"/>
        <w:rPr>
          <w:b/>
          <w:color w:val="000000" w:themeColor="text1"/>
          <w:sz w:val="28"/>
        </w:rPr>
      </w:pPr>
      <w:r>
        <w:rPr>
          <w:b/>
          <w:color w:val="000000" w:themeColor="text1"/>
          <w:sz w:val="28"/>
        </w:rPr>
        <w:t>I</w:t>
      </w:r>
      <w:r w:rsidRPr="008A5755">
        <w:rPr>
          <w:b/>
          <w:color w:val="000000" w:themeColor="text1"/>
          <w:sz w:val="28"/>
        </w:rPr>
        <w:t>. Research Questions &amp; Purpose</w:t>
      </w:r>
    </w:p>
    <w:p w14:paraId="121D0D33" w14:textId="062FB729" w:rsidR="009D15D6" w:rsidRPr="00D324D1" w:rsidRDefault="00213FCA" w:rsidP="009D15D6">
      <w:pPr>
        <w:spacing w:line="480" w:lineRule="auto"/>
        <w:ind w:firstLine="720"/>
        <w:jc w:val="both"/>
      </w:pPr>
      <w:r>
        <w:t>Chapters two and three focus on the latter</w:t>
      </w:r>
      <w:r w:rsidR="009D15D6" w:rsidRPr="00D324D1">
        <w:t xml:space="preserve"> research questions</w:t>
      </w:r>
      <w:r w:rsidR="009D15D6">
        <w:t xml:space="preserve"> </w:t>
      </w:r>
      <w:r w:rsidR="00374452">
        <w:t xml:space="preserve">of dietary </w:t>
      </w:r>
      <w:r w:rsidR="00C81E1F">
        <w:t>transition</w:t>
      </w:r>
      <w:r w:rsidR="009D15D6" w:rsidRPr="00D324D1">
        <w:t xml:space="preserve">: </w:t>
      </w:r>
      <w:r w:rsidR="009D15D6">
        <w:t>(</w:t>
      </w:r>
      <w:r w:rsidR="009D15D6" w:rsidRPr="00D324D1">
        <w:t>i) What are the barriers to ve</w:t>
      </w:r>
      <w:r w:rsidR="009D15D6">
        <w:t>getarianism in Canada?; and (ii</w:t>
      </w:r>
      <w:r w:rsidR="009D15D6" w:rsidRPr="00D324D1">
        <w:t xml:space="preserve">) What are potential policy measures that could be implemented to </w:t>
      </w:r>
      <w:r w:rsidR="009D15D6">
        <w:t>remove the</w:t>
      </w:r>
      <w:r w:rsidR="009D15D6" w:rsidRPr="00D324D1">
        <w:t xml:space="preserve"> barriers to vegetarianism, and invoke a shift to plant-based diets? </w:t>
      </w:r>
    </w:p>
    <w:p w14:paraId="7F900CBB" w14:textId="564F0279" w:rsidR="009D15D6" w:rsidRPr="00592151" w:rsidRDefault="009D15D6" w:rsidP="00261AD7">
      <w:pPr>
        <w:spacing w:line="480" w:lineRule="auto"/>
        <w:ind w:firstLine="720"/>
        <w:jc w:val="both"/>
        <w:rPr>
          <w:b/>
          <w:sz w:val="32"/>
          <w:u w:val="single"/>
        </w:rPr>
      </w:pPr>
      <w:r w:rsidRPr="00D324D1">
        <w:t xml:space="preserve">The </w:t>
      </w:r>
      <w:r>
        <w:t xml:space="preserve">primary </w:t>
      </w:r>
      <w:r w:rsidRPr="00D324D1">
        <w:t xml:space="preserve">purpose of this </w:t>
      </w:r>
      <w:r>
        <w:t>research is</w:t>
      </w:r>
      <w:r w:rsidRPr="00D324D1">
        <w:t xml:space="preserve"> to fill a gap</w:t>
      </w:r>
      <w:r w:rsidR="007341A7">
        <w:t xml:space="preserve"> (</w:t>
      </w:r>
      <w:r w:rsidR="0098077C">
        <w:t>Berg, 2012</w:t>
      </w:r>
      <w:r w:rsidR="00D10904">
        <w:t xml:space="preserve">; </w:t>
      </w:r>
      <w:r w:rsidR="007341A7">
        <w:t xml:space="preserve">Graça </w:t>
      </w:r>
      <w:r w:rsidR="007341A7" w:rsidRPr="007341A7">
        <w:rPr>
          <w:i/>
        </w:rPr>
        <w:t>et al.,</w:t>
      </w:r>
      <w:r w:rsidR="007341A7">
        <w:t xml:space="preserve"> 2015)</w:t>
      </w:r>
      <w:r w:rsidRPr="00D324D1">
        <w:t xml:space="preserve"> in the literature with respect to barriers to vegetarianism</w:t>
      </w:r>
      <w:r w:rsidR="00915D89">
        <w:t xml:space="preserve">, with a policy emphasis on Canada. </w:t>
      </w:r>
      <w:r>
        <w:t>This research aims</w:t>
      </w:r>
      <w:r w:rsidRPr="00D324D1">
        <w:t xml:space="preserve"> to examine the </w:t>
      </w:r>
      <w:r w:rsidR="00BF4FA9">
        <w:t>bottleneck</w:t>
      </w:r>
      <w:r w:rsidRPr="00D324D1">
        <w:t xml:space="preserve">s to vegetarianism in Canada and Western </w:t>
      </w:r>
      <w:r w:rsidR="00682648">
        <w:t>societies</w:t>
      </w:r>
      <w:r w:rsidRPr="00D324D1">
        <w:t xml:space="preserve"> using </w:t>
      </w:r>
      <w:r w:rsidR="00653EFE">
        <w:t xml:space="preserve">an </w:t>
      </w:r>
      <w:r>
        <w:rPr>
          <w:i/>
        </w:rPr>
        <w:t xml:space="preserve">a posteriori </w:t>
      </w:r>
      <w:r w:rsidRPr="00D324D1">
        <w:t xml:space="preserve">inductive coding </w:t>
      </w:r>
      <w:r>
        <w:t xml:space="preserve">scheme </w:t>
      </w:r>
      <w:r w:rsidRPr="00D324D1">
        <w:t xml:space="preserve">to extract key themes and commonalities found throughout various sources of </w:t>
      </w:r>
      <w:r w:rsidR="00261AD7">
        <w:t>research</w:t>
      </w:r>
      <w:r w:rsidRPr="003D7920">
        <w:rPr>
          <w:color w:val="000000" w:themeColor="text1"/>
        </w:rPr>
        <w:t xml:space="preserve">. </w:t>
      </w:r>
      <w:r w:rsidR="00B65320">
        <w:rPr>
          <w:color w:val="000000" w:themeColor="text1"/>
        </w:rPr>
        <w:t>The inductive coding approach is useful to determine the frequency and prevalence of dietary bottlenecks unveiled throughout the literature. The quantitative component of analyzing the frequency of barriers, contributes a concrete analysis for comparison, while improving replicability and limiting subjectivity</w:t>
      </w:r>
      <w:r w:rsidR="00227240">
        <w:rPr>
          <w:color w:val="000000" w:themeColor="text1"/>
        </w:rPr>
        <w:t xml:space="preserve"> of the study</w:t>
      </w:r>
      <w:r w:rsidR="00B65320">
        <w:rPr>
          <w:color w:val="000000" w:themeColor="text1"/>
        </w:rPr>
        <w:t xml:space="preserve">, in comparison to a solely qualitative approach. </w:t>
      </w:r>
      <w:r w:rsidR="00C262BC" w:rsidRPr="00D324D1">
        <w:t xml:space="preserve">The study </w:t>
      </w:r>
      <w:r w:rsidR="00C262BC">
        <w:t>concludes</w:t>
      </w:r>
      <w:r w:rsidR="00C262BC" w:rsidRPr="00D324D1">
        <w:t xml:space="preserve"> with </w:t>
      </w:r>
      <w:r w:rsidR="00C262BC">
        <w:t xml:space="preserve">recommendations of </w:t>
      </w:r>
      <w:r w:rsidR="00C262BC" w:rsidRPr="00D324D1">
        <w:t xml:space="preserve">potential policy measures that </w:t>
      </w:r>
      <w:r w:rsidR="00C262BC">
        <w:t>could</w:t>
      </w:r>
      <w:r w:rsidR="00C262BC" w:rsidRPr="00D324D1">
        <w:t xml:space="preserve"> be implemented to </w:t>
      </w:r>
      <w:r w:rsidR="00C262BC">
        <w:t xml:space="preserve">overcome the identified barriers and </w:t>
      </w:r>
      <w:r w:rsidR="00C262BC" w:rsidRPr="00D324D1">
        <w:t>promote behavio</w:t>
      </w:r>
      <w:r w:rsidR="004D5563">
        <w:t>u</w:t>
      </w:r>
      <w:r w:rsidR="00227240">
        <w:t>ral change</w:t>
      </w:r>
      <w:r w:rsidR="00C262BC" w:rsidRPr="00D324D1">
        <w:t xml:space="preserve"> to more environmentally-</w:t>
      </w:r>
      <w:r w:rsidR="00C262BC">
        <w:t>conscious diets.</w:t>
      </w:r>
    </w:p>
    <w:p w14:paraId="54454C68" w14:textId="77777777" w:rsidR="009D15D6" w:rsidRDefault="009D15D6" w:rsidP="009D15D6">
      <w:pPr>
        <w:spacing w:line="480" w:lineRule="auto"/>
        <w:jc w:val="both"/>
        <w:outlineLvl w:val="0"/>
        <w:rPr>
          <w:rFonts w:ascii="Arial Narrow" w:hAnsi="Arial Narrow" w:cs="Helvetica"/>
          <w:color w:val="000000"/>
          <w:sz w:val="22"/>
          <w:szCs w:val="28"/>
        </w:rPr>
      </w:pPr>
    </w:p>
    <w:p w14:paraId="01910FF8" w14:textId="7E8BBF7B" w:rsidR="009D15D6" w:rsidRPr="008A5755" w:rsidRDefault="009D15D6" w:rsidP="009D15D6">
      <w:pPr>
        <w:spacing w:line="480" w:lineRule="auto"/>
        <w:jc w:val="both"/>
        <w:outlineLvl w:val="0"/>
        <w:rPr>
          <w:sz w:val="28"/>
        </w:rPr>
      </w:pPr>
      <w:r>
        <w:rPr>
          <w:b/>
          <w:sz w:val="28"/>
        </w:rPr>
        <w:t xml:space="preserve">II. </w:t>
      </w:r>
      <w:r w:rsidR="00EB283B">
        <w:rPr>
          <w:b/>
          <w:sz w:val="28"/>
        </w:rPr>
        <w:t>Design &amp;</w:t>
      </w:r>
      <w:r w:rsidRPr="008A5755">
        <w:rPr>
          <w:b/>
          <w:sz w:val="28"/>
        </w:rPr>
        <w:t xml:space="preserve"> Methodology</w:t>
      </w:r>
      <w:r w:rsidRPr="008A5755">
        <w:rPr>
          <w:sz w:val="28"/>
        </w:rPr>
        <w:t xml:space="preserve"> </w:t>
      </w:r>
    </w:p>
    <w:p w14:paraId="68E00D5F" w14:textId="765901F4" w:rsidR="009D15D6" w:rsidRDefault="00FD241D" w:rsidP="009D15D6">
      <w:pPr>
        <w:spacing w:line="480" w:lineRule="auto"/>
        <w:ind w:firstLine="720"/>
        <w:jc w:val="both"/>
      </w:pPr>
      <w:r>
        <w:t>This</w:t>
      </w:r>
      <w:r w:rsidR="009D15D6">
        <w:t xml:space="preserve"> research</w:t>
      </w:r>
      <w:r w:rsidR="009D15D6" w:rsidRPr="00D324D1">
        <w:t xml:space="preserve"> </w:t>
      </w:r>
      <w:r w:rsidR="00424EF3">
        <w:t>combined</w:t>
      </w:r>
      <w:r w:rsidR="009D15D6" w:rsidRPr="00D324D1">
        <w:t xml:space="preserve"> the results of </w:t>
      </w:r>
      <w:r w:rsidR="009D15D6">
        <w:t>multiple</w:t>
      </w:r>
      <w:r w:rsidR="009D15D6" w:rsidRPr="00D324D1">
        <w:t xml:space="preserve"> studies to appropriately identify barriers to vegetarianism in Canada and Western </w:t>
      </w:r>
      <w:r w:rsidR="00BF4FA9">
        <w:t>economies</w:t>
      </w:r>
      <w:r w:rsidR="009D15D6" w:rsidRPr="00D324D1">
        <w:t>, in an environ</w:t>
      </w:r>
      <w:r w:rsidR="009D15D6">
        <w:t>mental context. M</w:t>
      </w:r>
      <w:r w:rsidR="009D15D6" w:rsidRPr="00D324D1">
        <w:t xml:space="preserve">ethodology for this study </w:t>
      </w:r>
      <w:r>
        <w:t>consisted</w:t>
      </w:r>
      <w:r w:rsidR="009D15D6" w:rsidRPr="00D324D1">
        <w:t xml:space="preserve"> of a </w:t>
      </w:r>
      <w:r w:rsidR="009D15D6">
        <w:t>rigorous integrative literature</w:t>
      </w:r>
      <w:r w:rsidR="009D15D6" w:rsidRPr="00D324D1">
        <w:t xml:space="preserve"> review</w:t>
      </w:r>
      <w:r w:rsidR="009D15D6">
        <w:t xml:space="preserve">, </w:t>
      </w:r>
      <w:r w:rsidR="009D15D6" w:rsidRPr="00473536">
        <w:rPr>
          <w:color w:val="000000" w:themeColor="text1"/>
        </w:rPr>
        <w:t xml:space="preserve">as outlined by Torraco (2005). </w:t>
      </w:r>
      <w:r w:rsidR="009D15D6" w:rsidRPr="00D324D1">
        <w:lastRenderedPageBreak/>
        <w:t>This approach offer</w:t>
      </w:r>
      <w:r>
        <w:t>ed</w:t>
      </w:r>
      <w:r w:rsidR="009D15D6" w:rsidRPr="00D324D1">
        <w:t xml:space="preserve"> a </w:t>
      </w:r>
      <w:r w:rsidR="009D15D6">
        <w:t>rigorous analysis</w:t>
      </w:r>
      <w:r w:rsidR="009D15D6" w:rsidRPr="00D324D1">
        <w:t xml:space="preserve"> of the literature, </w:t>
      </w:r>
      <w:r w:rsidR="009D15D6">
        <w:t xml:space="preserve">synthesizing findings across studies with the goal of producing novel results. </w:t>
      </w:r>
    </w:p>
    <w:p w14:paraId="0C723ED8" w14:textId="77777777" w:rsidR="00B65320" w:rsidRDefault="00B65320" w:rsidP="009D15D6">
      <w:pPr>
        <w:spacing w:line="480" w:lineRule="auto"/>
        <w:jc w:val="both"/>
      </w:pPr>
    </w:p>
    <w:p w14:paraId="70F5CC04" w14:textId="77777777" w:rsidR="009D15D6" w:rsidRPr="00D71399" w:rsidRDefault="009D15D6" w:rsidP="009D15D6">
      <w:pPr>
        <w:spacing w:line="480" w:lineRule="auto"/>
        <w:jc w:val="both"/>
        <w:rPr>
          <w:b/>
          <w:i/>
        </w:rPr>
      </w:pPr>
      <w:r>
        <w:rPr>
          <w:b/>
          <w:i/>
        </w:rPr>
        <w:t xml:space="preserve">i. </w:t>
      </w:r>
      <w:r w:rsidRPr="00D71399">
        <w:rPr>
          <w:b/>
          <w:i/>
        </w:rPr>
        <w:t>Why a</w:t>
      </w:r>
      <w:r>
        <w:rPr>
          <w:b/>
          <w:i/>
        </w:rPr>
        <w:t>n Integrative</w:t>
      </w:r>
      <w:r w:rsidRPr="00D71399">
        <w:rPr>
          <w:b/>
          <w:i/>
        </w:rPr>
        <w:t xml:space="preserve"> </w:t>
      </w:r>
      <w:r>
        <w:rPr>
          <w:b/>
          <w:i/>
        </w:rPr>
        <w:t>Literature</w:t>
      </w:r>
      <w:r w:rsidRPr="00D71399">
        <w:rPr>
          <w:b/>
          <w:i/>
        </w:rPr>
        <w:t xml:space="preserve"> Review?</w:t>
      </w:r>
    </w:p>
    <w:p w14:paraId="20A0B210" w14:textId="3DE0CF8F" w:rsidR="009D15D6" w:rsidRDefault="009D15D6" w:rsidP="009D15D6">
      <w:pPr>
        <w:spacing w:line="480" w:lineRule="auto"/>
        <w:ind w:firstLine="720"/>
        <w:jc w:val="both"/>
      </w:pPr>
      <w:r>
        <w:t>An integrative literature review is a form of research that reviews and organizes a wide array of information in a coherent manner, to distill data and generate novel outcomes. A comprehensive literature review is of relevance for identifying barriers to vegetarianism for a number of reasons (Torraco, 2005). First, barriers to vegetarianism in Western societies are poorly examined, given the question is essentially uninvestigated and research has yet to systematically consider all available literature relating to consumer dietary behavio</w:t>
      </w:r>
      <w:r w:rsidR="004D5563">
        <w:t>u</w:t>
      </w:r>
      <w:r>
        <w:t xml:space="preserve">r. Consequently, as a new topic, the research area could profit from a holistic conceptualization and integration of literature to date (Torraco, 2005). Second, the need for policy intervention, and the potential for policy development is considerable if sufficient and integrated evidence is provided. Third, the complexity and broadness of the research question requires a more comprehensive approach. Last, addressing this question is essential for the future direction of prospective research. </w:t>
      </w:r>
    </w:p>
    <w:p w14:paraId="4FDBC5FC" w14:textId="24484F42" w:rsidR="009D15D6" w:rsidRPr="00851C73" w:rsidRDefault="00FE60FC" w:rsidP="00851C73">
      <w:pPr>
        <w:spacing w:line="480" w:lineRule="auto"/>
        <w:ind w:firstLine="720"/>
        <w:jc w:val="both"/>
        <w:rPr>
          <w:color w:val="C00000"/>
        </w:rPr>
      </w:pPr>
      <w:r>
        <w:t>I</w:t>
      </w:r>
      <w:r w:rsidR="009D15D6">
        <w:t xml:space="preserve">ntegrative literature reviews are </w:t>
      </w:r>
      <w:r>
        <w:t xml:space="preserve">useful </w:t>
      </w:r>
      <w:r w:rsidR="009D15D6">
        <w:t xml:space="preserve">for compiling data to more appropriately grasp general conclusions. Single studies, although highly valuable and designed with more inferential power, may not portray the full breadth of the issue. Rather, by examining a number of studies, covering a large geographical area, time span and population, synthesized outcomes can be more </w:t>
      </w:r>
      <w:r w:rsidR="009A1665">
        <w:t>advantageous (Patau</w:t>
      </w:r>
      <w:r w:rsidR="00290FED">
        <w:t>sso, 2013)</w:t>
      </w:r>
      <w:r w:rsidR="009D15D6">
        <w:t xml:space="preserve">. In addition, because of its transparent nature, inclusion and exclusion of citations are made explicit. Rigorous, integrative literature reviews are highly valuable, in providing a critical analysis of existing research, and formulating novel knowledge </w:t>
      </w:r>
      <w:r w:rsidR="009D15D6">
        <w:lastRenderedPageBreak/>
        <w:t xml:space="preserve">(Torraco, 2005). </w:t>
      </w:r>
      <w:r w:rsidR="00851C73" w:rsidRPr="00851C73">
        <w:rPr>
          <w:color w:val="000000" w:themeColor="text1"/>
        </w:rPr>
        <w:t xml:space="preserve">However, qualitative methods sometimes lack social acceptance in research, predominantly due to a lack of systematic methodology that can bridge qualitative and quantitative realms (Boyatzis, 1998). This integrative literature review </w:t>
      </w:r>
      <w:r w:rsidR="00781713">
        <w:rPr>
          <w:color w:val="000000" w:themeColor="text1"/>
        </w:rPr>
        <w:t>uses</w:t>
      </w:r>
      <w:r w:rsidR="00851C73" w:rsidRPr="00851C73">
        <w:rPr>
          <w:color w:val="000000" w:themeColor="text1"/>
        </w:rPr>
        <w:t xml:space="preserve"> inductive coding to demonstrate logical consistency, a high degree of clarity, and rigorous thematic </w:t>
      </w:r>
      <w:r w:rsidR="00653EFE" w:rsidRPr="00851C73">
        <w:rPr>
          <w:color w:val="000000" w:themeColor="text1"/>
        </w:rPr>
        <w:t>evaluation</w:t>
      </w:r>
      <w:r w:rsidR="00851C73" w:rsidRPr="00851C73">
        <w:rPr>
          <w:color w:val="000000" w:themeColor="text1"/>
        </w:rPr>
        <w:t xml:space="preserve"> in its approach</w:t>
      </w:r>
      <w:r w:rsidR="00653EFE">
        <w:rPr>
          <w:color w:val="000000" w:themeColor="text1"/>
        </w:rPr>
        <w:t>, while bridging qualitative and quantitative realms via frequency analysis</w:t>
      </w:r>
      <w:r w:rsidR="00851C73" w:rsidRPr="00851C73">
        <w:rPr>
          <w:color w:val="000000" w:themeColor="text1"/>
        </w:rPr>
        <w:t>. Likewise, thematic inductive coding was applied to minimize subjectivity and facilitate replicability of results</w:t>
      </w:r>
      <w:r w:rsidR="005D4ED4">
        <w:rPr>
          <w:color w:val="000000" w:themeColor="text1"/>
        </w:rPr>
        <w:t>, through organization of the data to develop themes</w:t>
      </w:r>
      <w:r w:rsidR="00851C73" w:rsidRPr="00851C73">
        <w:rPr>
          <w:color w:val="000000" w:themeColor="text1"/>
        </w:rPr>
        <w:t xml:space="preserve"> (Boyatzis, 1998</w:t>
      </w:r>
      <w:r w:rsidR="00227240">
        <w:rPr>
          <w:color w:val="000000" w:themeColor="text1"/>
        </w:rPr>
        <w:t>) of</w:t>
      </w:r>
      <w:r w:rsidR="005D4ED4">
        <w:rPr>
          <w:color w:val="000000" w:themeColor="text1"/>
        </w:rPr>
        <w:t xml:space="preserve"> barriers to plant-based diets. </w:t>
      </w:r>
    </w:p>
    <w:p w14:paraId="3D473AE6" w14:textId="77777777" w:rsidR="009D15D6" w:rsidRDefault="009D15D6" w:rsidP="009D15D6">
      <w:pPr>
        <w:spacing w:line="480" w:lineRule="auto"/>
        <w:ind w:firstLine="720"/>
        <w:jc w:val="both"/>
      </w:pPr>
      <w:r>
        <w:t>However, like most studies, reviews are vulnerable to methodological biases</w:t>
      </w:r>
      <w:r w:rsidRPr="00C242D2">
        <w:t xml:space="preserve"> </w:t>
      </w:r>
      <w:r>
        <w:t xml:space="preserve">(Petticrew &amp; Roberts, 2006). Inexorably, reviews are reflective of the biases and issues of the incorporated information (Crowther &amp; Cook, 2007). The integrative literature review may miss out on important insights, simply by means of the inclusion criteria, or the exclusion of novel unpublished data. Despite considerable effort to maintain objectivity, it is likely reviewer bias will be incorporated. </w:t>
      </w:r>
    </w:p>
    <w:p w14:paraId="70AB6809" w14:textId="77777777" w:rsidR="009D15D6" w:rsidRDefault="009D15D6" w:rsidP="009D15D6">
      <w:pPr>
        <w:spacing w:line="480" w:lineRule="auto"/>
        <w:ind w:firstLine="720"/>
        <w:jc w:val="both"/>
      </w:pPr>
    </w:p>
    <w:p w14:paraId="7AC32357" w14:textId="77777777" w:rsidR="009D15D6" w:rsidRDefault="009D15D6" w:rsidP="009D15D6"/>
    <w:p w14:paraId="2B2FCD66" w14:textId="77777777" w:rsidR="009D15D6" w:rsidRDefault="009D15D6" w:rsidP="009D15D6">
      <w:pPr>
        <w:spacing w:line="480" w:lineRule="auto"/>
        <w:jc w:val="both"/>
        <w:rPr>
          <w:b/>
          <w:i/>
        </w:rPr>
      </w:pPr>
      <w:r>
        <w:rPr>
          <w:b/>
          <w:i/>
        </w:rPr>
        <w:t>ii. Methodological Approach</w:t>
      </w:r>
    </w:p>
    <w:p w14:paraId="63E78138" w14:textId="77777777" w:rsidR="009D15D6" w:rsidRDefault="009D15D6" w:rsidP="009D15D6">
      <w:pPr>
        <w:spacing w:line="480" w:lineRule="auto"/>
        <w:jc w:val="both"/>
        <w:rPr>
          <w:i/>
          <w:u w:val="single"/>
        </w:rPr>
      </w:pPr>
      <w:r w:rsidRPr="0082292D">
        <w:rPr>
          <w:i/>
          <w:u w:val="single"/>
        </w:rPr>
        <w:t>Search Protocol</w:t>
      </w:r>
    </w:p>
    <w:p w14:paraId="018F4E9B" w14:textId="77777777" w:rsidR="00656FA6" w:rsidRDefault="00656FA6" w:rsidP="009D15D6">
      <w:pPr>
        <w:spacing w:line="480" w:lineRule="auto"/>
        <w:jc w:val="both"/>
        <w:rPr>
          <w:i/>
          <w:u w:val="single"/>
        </w:rPr>
      </w:pPr>
    </w:p>
    <w:p w14:paraId="43551FE7" w14:textId="77777777" w:rsidR="009D15D6" w:rsidRPr="005357EE" w:rsidRDefault="009D15D6" w:rsidP="009D15D6">
      <w:pPr>
        <w:spacing w:line="480" w:lineRule="auto"/>
        <w:jc w:val="both"/>
        <w:rPr>
          <w:i/>
        </w:rPr>
      </w:pPr>
      <w:r>
        <w:rPr>
          <w:i/>
        </w:rPr>
        <w:t>Academic Search Protocol</w:t>
      </w:r>
    </w:p>
    <w:p w14:paraId="33B5C399" w14:textId="279A7D96" w:rsidR="009D15D6" w:rsidRDefault="006E329E" w:rsidP="009D15D6">
      <w:pPr>
        <w:spacing w:line="480" w:lineRule="auto"/>
        <w:ind w:firstLine="720"/>
        <w:jc w:val="both"/>
      </w:pPr>
      <w:r>
        <w:t>Database searches we</w:t>
      </w:r>
      <w:r w:rsidR="009D15D6">
        <w:t>re</w:t>
      </w:r>
      <w:r w:rsidR="009D15D6" w:rsidRPr="00D324D1">
        <w:t xml:space="preserve"> </w:t>
      </w:r>
      <w:r w:rsidR="009D15D6">
        <w:t>conducted</w:t>
      </w:r>
      <w:r w:rsidR="009D15D6" w:rsidRPr="00D324D1">
        <w:t xml:space="preserve"> </w:t>
      </w:r>
      <w:r w:rsidR="00912D48">
        <w:t xml:space="preserve">in February, 2016 </w:t>
      </w:r>
      <w:r w:rsidR="009D15D6" w:rsidRPr="00D324D1">
        <w:t xml:space="preserve">to retrieve </w:t>
      </w:r>
      <w:r w:rsidR="009D15D6">
        <w:t xml:space="preserve">relevant </w:t>
      </w:r>
      <w:r w:rsidR="009D15D6" w:rsidRPr="00D324D1">
        <w:t xml:space="preserve">research articles. </w:t>
      </w:r>
      <w:r w:rsidR="009D15D6">
        <w:t>The</w:t>
      </w:r>
      <w:r w:rsidR="007359C4">
        <w:t xml:space="preserve"> comprehensive approach included</w:t>
      </w:r>
      <w:r w:rsidR="009D15D6">
        <w:t xml:space="preserve"> the following 15 key search terms</w:t>
      </w:r>
      <w:r w:rsidR="009D15D6" w:rsidRPr="00D324D1">
        <w:t>: vegetarian</w:t>
      </w:r>
      <w:r w:rsidR="009D15D6">
        <w:t xml:space="preserve">* motivation, </w:t>
      </w:r>
      <w:r w:rsidR="009D15D6" w:rsidRPr="00D324D1">
        <w:t>vegetarian</w:t>
      </w:r>
      <w:r w:rsidR="009D15D6">
        <w:t xml:space="preserve">* barrier, </w:t>
      </w:r>
      <w:r w:rsidR="009D15D6" w:rsidRPr="00D324D1">
        <w:t>vegetarian</w:t>
      </w:r>
      <w:r w:rsidR="009D15D6">
        <w:t>*</w:t>
      </w:r>
      <w:r w:rsidR="009D15D6" w:rsidRPr="00D324D1">
        <w:t xml:space="preserve"> </w:t>
      </w:r>
      <w:r w:rsidR="009D15D6">
        <w:t xml:space="preserve">environment*, promotion of vegetarian*, influences on consumption, meat consumption, environmentally significant consumption, limit vegetarian*, </w:t>
      </w:r>
      <w:r w:rsidR="009D15D6">
        <w:lastRenderedPageBreak/>
        <w:t>obstacle vegetarian*, advertise* food, reducing meat consumption + government, consumer characteristi</w:t>
      </w:r>
      <w:r w:rsidR="005A3795">
        <w:t>cs + vegetarian*, sustainable +</w:t>
      </w:r>
      <w:r w:rsidR="009D15D6">
        <w:t xml:space="preserve"> vegan</w:t>
      </w:r>
      <w:r w:rsidR="00912D48">
        <w:t>*</w:t>
      </w:r>
      <w:r w:rsidR="009D15D6">
        <w:t>, vegan</w:t>
      </w:r>
      <w:r w:rsidR="00912D48">
        <w:t>*</w:t>
      </w:r>
      <w:r w:rsidR="009D15D6">
        <w:t xml:space="preserve"> barrier, and sustainable food consumption policy.</w:t>
      </w:r>
      <w:r w:rsidR="009D15D6" w:rsidRPr="00D324D1">
        <w:t xml:space="preserve"> </w:t>
      </w:r>
      <w:r w:rsidR="00C461B9">
        <w:t xml:space="preserve">Identical search terms were not used </w:t>
      </w:r>
      <w:r w:rsidR="005A3795">
        <w:t>for vegetarian* and vegan</w:t>
      </w:r>
      <w:r w:rsidR="00227240">
        <w:t xml:space="preserve"> in an effort</w:t>
      </w:r>
      <w:r w:rsidR="005A3795">
        <w:t xml:space="preserve"> to reduce redundancy, as </w:t>
      </w:r>
      <w:r w:rsidR="00227240">
        <w:t>both search terms generated identical</w:t>
      </w:r>
      <w:r w:rsidR="005A3795">
        <w:t xml:space="preserve"> articles. </w:t>
      </w:r>
      <w:r w:rsidR="00AC5563">
        <w:t xml:space="preserve">Literature </w:t>
      </w:r>
      <w:r>
        <w:t>wa</w:t>
      </w:r>
      <w:r w:rsidR="009D15D6">
        <w:t xml:space="preserve">s accessed through Web of Science for the former 14 key search terms, and Google Scholar for “sustainable food consumption policy”, given the policy basis of the latter search criteria. </w:t>
      </w:r>
      <w:r w:rsidR="009D15D6" w:rsidRPr="00D324D1">
        <w:t>R</w:t>
      </w:r>
      <w:r w:rsidR="009D15D6">
        <w:t>etrieved r</w:t>
      </w:r>
      <w:r w:rsidR="009D15D6" w:rsidRPr="00D324D1">
        <w:t>esearch articles include</w:t>
      </w:r>
      <w:r w:rsidR="007359C4">
        <w:t>d</w:t>
      </w:r>
      <w:r w:rsidR="009D15D6" w:rsidRPr="00D324D1">
        <w:t xml:space="preserve"> primary, secondary and conceptual works. </w:t>
      </w:r>
      <w:r w:rsidR="00B420BB">
        <w:t>Retrieved articles</w:t>
      </w:r>
      <w:r w:rsidR="009D15D6" w:rsidRPr="00D324D1">
        <w:t xml:space="preserve"> </w:t>
      </w:r>
      <w:r>
        <w:t>we</w:t>
      </w:r>
      <w:r w:rsidR="00AC5563">
        <w:t xml:space="preserve">re </w:t>
      </w:r>
      <w:r w:rsidR="009D15D6" w:rsidRPr="00D324D1">
        <w:t>from a diverse ar</w:t>
      </w:r>
      <w:r w:rsidR="009D15D6">
        <w:t>ray</w:t>
      </w:r>
      <w:r w:rsidR="009D15D6" w:rsidRPr="00D324D1">
        <w:t xml:space="preserve"> of (i) sources, including journal articles, </w:t>
      </w:r>
      <w:r w:rsidR="009D15D6">
        <w:t>and conference proceedings;</w:t>
      </w:r>
      <w:r w:rsidR="009D15D6" w:rsidRPr="00D324D1">
        <w:t xml:space="preserve"> and (ii) fields, namely science, sociology, psychology and policy. Refere</w:t>
      </w:r>
      <w:r>
        <w:t>nce lists of relevant articles we</w:t>
      </w:r>
      <w:r w:rsidR="009D15D6">
        <w:t>re</w:t>
      </w:r>
      <w:r w:rsidR="009D15D6" w:rsidRPr="00D324D1">
        <w:t xml:space="preserve"> also </w:t>
      </w:r>
      <w:r w:rsidR="009D15D6">
        <w:t xml:space="preserve">examined, determining additional highly relevant and useful articles for inclusion. </w:t>
      </w:r>
    </w:p>
    <w:p w14:paraId="4CEDB4CF" w14:textId="4DCA9B8B" w:rsidR="00E105EB" w:rsidRDefault="009D15D6" w:rsidP="009D15D6">
      <w:pPr>
        <w:spacing w:line="480" w:lineRule="auto"/>
        <w:ind w:firstLine="720"/>
        <w:jc w:val="both"/>
      </w:pPr>
      <w:r>
        <w:t>In an effort to minimize the potential for extensive contribution of irrelevant literature through Web of Science only the fir</w:t>
      </w:r>
      <w:r w:rsidR="006E329E">
        <w:t>st 50 items (per search term) we</w:t>
      </w:r>
      <w:r>
        <w:t>re examined for relevance to the topic. Likewise, only the fir</w:t>
      </w:r>
      <w:r w:rsidR="007359C4">
        <w:t>st 20 items (per search term) we</w:t>
      </w:r>
      <w:r>
        <w:t xml:space="preserve">re examined for relevance through Google Scholar, as a saturation point was reached, in which further reading did not lead to new </w:t>
      </w:r>
      <w:r w:rsidR="007359C4">
        <w:t>information. Consequently, it wa</w:t>
      </w:r>
      <w:r>
        <w:t xml:space="preserve">s anticipated that the search would yield 770 articles for examination. </w:t>
      </w:r>
      <w:r w:rsidR="007359C4">
        <w:t>Though 770 articles a</w:t>
      </w:r>
      <w:r w:rsidR="00E105EB">
        <w:t xml:space="preserve">re </w:t>
      </w:r>
      <w:r w:rsidR="007359C4">
        <w:t xml:space="preserve">considered to be </w:t>
      </w:r>
      <w:r w:rsidR="00E105EB">
        <w:t>lesser in comparison t</w:t>
      </w:r>
      <w:r w:rsidR="007359C4">
        <w:t>o other studies, a limitation wa</w:t>
      </w:r>
      <w:r w:rsidR="00E105EB">
        <w:t xml:space="preserve">s needed given the two-month timeline for the </w:t>
      </w:r>
      <w:r w:rsidR="004C3909">
        <w:t xml:space="preserve">current </w:t>
      </w:r>
      <w:r w:rsidR="00E105EB">
        <w:t>research. In addition, m</w:t>
      </w:r>
      <w:r w:rsidR="00AC5563">
        <w:t>any of the search terms generate</w:t>
      </w:r>
      <w:r w:rsidR="007359C4">
        <w:t>d</w:t>
      </w:r>
      <w:r w:rsidR="00E105EB">
        <w:t xml:space="preserve"> few</w:t>
      </w:r>
      <w:r w:rsidR="00AC5563">
        <w:t xml:space="preserve"> a</w:t>
      </w:r>
      <w:r w:rsidR="00B420BB">
        <w:t>rticles</w:t>
      </w:r>
      <w:r w:rsidR="007359C4">
        <w:t xml:space="preserve"> and thus</w:t>
      </w:r>
      <w:r w:rsidR="00B420BB">
        <w:t>,</w:t>
      </w:r>
      <w:r w:rsidR="007359C4">
        <w:t xml:space="preserve"> the quota wa</w:t>
      </w:r>
      <w:r w:rsidR="00E105EB">
        <w:t>s not considered to limit the outcomes of the analysis.</w:t>
      </w:r>
    </w:p>
    <w:p w14:paraId="5F1DA6E3" w14:textId="096425AE" w:rsidR="009D15D6" w:rsidRDefault="00E105EB" w:rsidP="009D15D6">
      <w:pPr>
        <w:spacing w:line="480" w:lineRule="auto"/>
        <w:ind w:firstLine="720"/>
        <w:jc w:val="both"/>
      </w:pPr>
      <w:r>
        <w:t>A</w:t>
      </w:r>
      <w:r w:rsidR="009D15D6">
        <w:t>s the search fell short of the aforementioned quotas</w:t>
      </w:r>
      <w:r w:rsidR="00C262BC">
        <w:t>, the key search terms generate</w:t>
      </w:r>
      <w:r w:rsidR="007359C4">
        <w:t>d</w:t>
      </w:r>
      <w:r w:rsidR="009D15D6">
        <w:t xml:space="preserve"> only 46</w:t>
      </w:r>
      <w:r w:rsidR="007359C4">
        <w:t>0 articles for examination. It wa</w:t>
      </w:r>
      <w:r w:rsidR="009D15D6">
        <w:t>s assumed that th</w:t>
      </w:r>
      <w:r w:rsidR="00C262BC">
        <w:t>ese boundaries fully encompass</w:t>
      </w:r>
      <w:r w:rsidR="007359C4">
        <w:t>ed</w:t>
      </w:r>
      <w:r w:rsidR="009D15D6">
        <w:t xml:space="preserve"> the scope of the question at hand, and </w:t>
      </w:r>
      <w:r w:rsidR="00C262BC">
        <w:t>without</w:t>
      </w:r>
      <w:r w:rsidR="009D15D6">
        <w:t xml:space="preserve"> alter</w:t>
      </w:r>
      <w:r w:rsidR="00C262BC">
        <w:t>ing</w:t>
      </w:r>
      <w:r w:rsidR="009D15D6">
        <w:t xml:space="preserve"> study outcomes. Furthermore, it is believed that a saturation point was reached, in which further reading would not have led to new </w:t>
      </w:r>
      <w:r w:rsidR="009D15D6">
        <w:lastRenderedPageBreak/>
        <w:t>information. Further acknowledg</w:t>
      </w:r>
      <w:r w:rsidR="00C262BC">
        <w:t>ed research constraints include</w:t>
      </w:r>
      <w:r w:rsidR="009D15D6">
        <w:t xml:space="preserve"> consideration of items only conducted in western countries that were available online, and in English. </w:t>
      </w:r>
    </w:p>
    <w:p w14:paraId="0F98384C" w14:textId="5AF3B9C3" w:rsidR="009D15D6" w:rsidRDefault="009D15D6" w:rsidP="009D15D6">
      <w:pPr>
        <w:spacing w:line="480" w:lineRule="auto"/>
        <w:ind w:firstLine="720"/>
        <w:jc w:val="both"/>
      </w:pPr>
      <w:r>
        <w:t xml:space="preserve">Throughout this review, both explicit </w:t>
      </w:r>
      <w:r w:rsidR="00FE60FC">
        <w:t xml:space="preserve">and implicit </w:t>
      </w:r>
      <w:r>
        <w:t xml:space="preserve">barriers to plant-based diets </w:t>
      </w:r>
      <w:r w:rsidR="00C37F61">
        <w:t>we</w:t>
      </w:r>
      <w:r>
        <w:t>re examined. Explicit</w:t>
      </w:r>
      <w:r w:rsidR="0014798E">
        <w:t xml:space="preserve"> (manifest-level)</w:t>
      </w:r>
      <w:r w:rsidR="00C37F61">
        <w:t xml:space="preserve"> barriers a</w:t>
      </w:r>
      <w:r>
        <w:t>re de</w:t>
      </w:r>
      <w:r w:rsidR="00C262BC">
        <w:t>fined as dietary hur</w:t>
      </w:r>
      <w:r w:rsidR="00C37F61">
        <w:t>dles that we</w:t>
      </w:r>
      <w:r>
        <w:t>re clearly stated from the literature</w:t>
      </w:r>
      <w:r w:rsidR="0014798E">
        <w:t xml:space="preserve"> (Boyatzis, 1998)</w:t>
      </w:r>
      <w:r>
        <w:t>. Alternatively, implicit</w:t>
      </w:r>
      <w:r w:rsidR="0014798E">
        <w:t xml:space="preserve"> (latent-level)</w:t>
      </w:r>
      <w:r w:rsidR="00C262BC">
        <w:t xml:space="preserve"> barriers a</w:t>
      </w:r>
      <w:r>
        <w:t>re co</w:t>
      </w:r>
      <w:r w:rsidR="00C37F61">
        <w:t>nsidered to be obstacles that we</w:t>
      </w:r>
      <w:r>
        <w:t>re u</w:t>
      </w:r>
      <w:r w:rsidR="00C262BC">
        <w:t xml:space="preserve">nderlying the literature, but </w:t>
      </w:r>
      <w:r>
        <w:t>not clearly stated</w:t>
      </w:r>
      <w:r w:rsidR="0014798E">
        <w:t xml:space="preserve"> (Boyatzis, 1998)</w:t>
      </w:r>
      <w:r>
        <w:t xml:space="preserve">. </w:t>
      </w:r>
    </w:p>
    <w:p w14:paraId="6B86722E" w14:textId="77777777" w:rsidR="00C262BC" w:rsidRDefault="00C262BC" w:rsidP="009D15D6">
      <w:pPr>
        <w:spacing w:line="480" w:lineRule="auto"/>
        <w:jc w:val="both"/>
        <w:rPr>
          <w:i/>
        </w:rPr>
      </w:pPr>
    </w:p>
    <w:p w14:paraId="6D391A9F" w14:textId="77777777" w:rsidR="009D15D6" w:rsidRDefault="009D15D6" w:rsidP="009D15D6">
      <w:pPr>
        <w:spacing w:line="480" w:lineRule="auto"/>
        <w:jc w:val="both"/>
        <w:rPr>
          <w:i/>
        </w:rPr>
      </w:pPr>
      <w:r>
        <w:rPr>
          <w:i/>
        </w:rPr>
        <w:t>Public Search Protocol</w:t>
      </w:r>
    </w:p>
    <w:p w14:paraId="42BF2991" w14:textId="5CA778CA" w:rsidR="009D15D6" w:rsidRDefault="009D15D6" w:rsidP="009D15D6">
      <w:pPr>
        <w:spacing w:line="480" w:lineRule="auto"/>
        <w:jc w:val="both"/>
      </w:pPr>
      <w:r>
        <w:tab/>
        <w:t xml:space="preserve">Database searches in Google Chrome </w:t>
      </w:r>
      <w:r w:rsidR="00AC5563">
        <w:t>strive</w:t>
      </w:r>
      <w:r w:rsidR="00C37F61">
        <w:t>d</w:t>
      </w:r>
      <w:r>
        <w:t xml:space="preserve"> </w:t>
      </w:r>
      <w:r w:rsidR="00A5344F">
        <w:t>to give a sense of publicly available information, beyond th</w:t>
      </w:r>
      <w:r w:rsidR="00AC5563">
        <w:t xml:space="preserve">e </w:t>
      </w:r>
      <w:r w:rsidR="00C37F61">
        <w:t>scholarly literature. Searches we</w:t>
      </w:r>
      <w:r w:rsidR="00A5344F">
        <w:t xml:space="preserve">re conducted </w:t>
      </w:r>
      <w:r>
        <w:t>in an incognito format, to eliminate the use of cookies, browsing, and d</w:t>
      </w:r>
      <w:r w:rsidR="00B420BB">
        <w:t>ownloading history</w:t>
      </w:r>
      <w:r w:rsidR="00AC5563">
        <w:t xml:space="preserve"> </w:t>
      </w:r>
      <w:r w:rsidR="00B420BB">
        <w:t>that</w:t>
      </w:r>
      <w:r w:rsidR="00AC5563">
        <w:t xml:space="preserve"> could</w:t>
      </w:r>
      <w:r>
        <w:t xml:space="preserve"> hinder replicability of the study methods. Unfortunately, use of the aforementioned key search terms did not yield useful information. As a result, only two key search terms </w:t>
      </w:r>
      <w:r w:rsidR="00C37F61">
        <w:t>we</w:t>
      </w:r>
      <w:r>
        <w:t>re considered for the non-academic search protocol: vegetarian motivation and vegetarian barrier. For each of these key search</w:t>
      </w:r>
      <w:r w:rsidR="00C37F61">
        <w:t xml:space="preserve"> terms, the first 30 webpages we</w:t>
      </w:r>
      <w:r>
        <w:t xml:space="preserve">re examined for relevance to the topic, resulting in a total of 60 webpages </w:t>
      </w:r>
      <w:r w:rsidR="00AC5563">
        <w:t>with</w:t>
      </w:r>
      <w:r>
        <w:t xml:space="preserve"> </w:t>
      </w:r>
      <w:r w:rsidR="00B420BB">
        <w:t xml:space="preserve">the </w:t>
      </w:r>
      <w:r>
        <w:t>potential to be incorporated into the literature rev</w:t>
      </w:r>
      <w:r w:rsidR="00C37F61">
        <w:t>iew. However, the search yielded</w:t>
      </w:r>
      <w:r>
        <w:t xml:space="preserve"> only 6 articles of use, including advocacy and news webpages. </w:t>
      </w:r>
    </w:p>
    <w:p w14:paraId="3AAA776B" w14:textId="6C87FE9B" w:rsidR="009D15D6" w:rsidRDefault="009D15D6" w:rsidP="009D15D6">
      <w:pPr>
        <w:spacing w:line="480" w:lineRule="auto"/>
        <w:jc w:val="both"/>
      </w:pPr>
      <w:r>
        <w:tab/>
        <w:t>The public s</w:t>
      </w:r>
      <w:r w:rsidR="00C37F61">
        <w:t>earch protocol also incorporated</w:t>
      </w:r>
      <w:r w:rsidR="00B420BB">
        <w:t xml:space="preserve"> two phrases</w:t>
      </w:r>
      <w:r>
        <w:t xml:space="preserve"> to acquire a general understanding of wha</w:t>
      </w:r>
      <w:r w:rsidR="00B420BB">
        <w:t>t curious citizens may discover</w:t>
      </w:r>
      <w:r>
        <w:t xml:space="preserve"> if they were to look to the internet for answers regarding vegetarianism. The two catch ph</w:t>
      </w:r>
      <w:r w:rsidR="00AC5563">
        <w:t>rases comprise</w:t>
      </w:r>
      <w:r w:rsidR="00C37F61">
        <w:t>d</w:t>
      </w:r>
      <w:r>
        <w:t xml:space="preserve">: “vegetarian [vegan] diet better for the environment”, and “why should I eat a plant-based diet”. For each search </w:t>
      </w:r>
      <w:r w:rsidR="00C37F61">
        <w:t>phrase, the first 50 webpages we</w:t>
      </w:r>
      <w:r>
        <w:t xml:space="preserve">re examined for trends.   </w:t>
      </w:r>
    </w:p>
    <w:p w14:paraId="6F2CD493" w14:textId="77777777" w:rsidR="009D15D6" w:rsidRPr="00233B97" w:rsidRDefault="009D15D6" w:rsidP="009D15D6">
      <w:pPr>
        <w:spacing w:line="480" w:lineRule="auto"/>
        <w:jc w:val="both"/>
        <w:outlineLvl w:val="0"/>
        <w:rPr>
          <w:b/>
          <w:sz w:val="28"/>
        </w:rPr>
      </w:pPr>
      <w:r>
        <w:rPr>
          <w:b/>
          <w:sz w:val="28"/>
        </w:rPr>
        <w:lastRenderedPageBreak/>
        <w:t>III. Results</w:t>
      </w:r>
    </w:p>
    <w:p w14:paraId="25E3F581" w14:textId="77777777" w:rsidR="009D15D6" w:rsidRPr="00233B97" w:rsidRDefault="009D15D6" w:rsidP="009D15D6">
      <w:pPr>
        <w:spacing w:line="480" w:lineRule="auto"/>
        <w:jc w:val="both"/>
        <w:rPr>
          <w:b/>
          <w:i/>
        </w:rPr>
      </w:pPr>
      <w:r w:rsidRPr="00233B97">
        <w:rPr>
          <w:b/>
          <w:i/>
        </w:rPr>
        <w:t>i. Screening of Results</w:t>
      </w:r>
    </w:p>
    <w:p w14:paraId="354E1122" w14:textId="1BEC86B4" w:rsidR="009D15D6" w:rsidRDefault="009D15D6" w:rsidP="009D15D6">
      <w:pPr>
        <w:spacing w:line="480" w:lineRule="auto"/>
        <w:ind w:firstLine="720"/>
        <w:jc w:val="both"/>
      </w:pPr>
      <w:r>
        <w:t>The initial literature search</w:t>
      </w:r>
      <w:r w:rsidR="00CB19EE">
        <w:t xml:space="preserve"> yielded</w:t>
      </w:r>
      <w:r>
        <w:t xml:space="preserve"> 520 articles from the database searches including </w:t>
      </w:r>
      <w:r w:rsidR="005A12CB">
        <w:t xml:space="preserve">460 </w:t>
      </w:r>
      <w:r>
        <w:t>journal articles from Web of Science (n = 440) and Google Scholar (n = 20)</w:t>
      </w:r>
      <w:r w:rsidR="00D32C31">
        <w:t xml:space="preserve"> (Figure 2)</w:t>
      </w:r>
      <w:r>
        <w:t>, in addition to advocacy websites from Google Chrome (n = 60)</w:t>
      </w:r>
      <w:r w:rsidR="00D32C31">
        <w:t xml:space="preserve"> (Figure 4)</w:t>
      </w:r>
      <w:r>
        <w:t>. After screening the title, key words and abstract of retrieved articles according to date (1980 - 2016), language (English), source (reputable organization, journal articles, etc.), location of study (exclusion of developing countries) and relevance of topic (</w:t>
      </w:r>
      <w:r w:rsidRPr="00E458F8">
        <w:rPr>
          <w:color w:val="000000" w:themeColor="text1"/>
        </w:rPr>
        <w:t>consumer dietary behavio</w:t>
      </w:r>
      <w:r w:rsidR="004D5563">
        <w:rPr>
          <w:color w:val="000000" w:themeColor="text1"/>
        </w:rPr>
        <w:t>u</w:t>
      </w:r>
      <w:r w:rsidRPr="00E458F8">
        <w:rPr>
          <w:color w:val="000000" w:themeColor="text1"/>
        </w:rPr>
        <w:t>r and influences)</w:t>
      </w:r>
      <w:r w:rsidR="00301116">
        <w:rPr>
          <w:color w:val="000000" w:themeColor="text1"/>
        </w:rPr>
        <w:t>, 129</w:t>
      </w:r>
      <w:r>
        <w:rPr>
          <w:color w:val="000000" w:themeColor="text1"/>
        </w:rPr>
        <w:t xml:space="preserve"> academic</w:t>
      </w:r>
      <w:r w:rsidR="00AC5563">
        <w:rPr>
          <w:color w:val="000000" w:themeColor="text1"/>
        </w:rPr>
        <w:t xml:space="preserve"> journal articles require</w:t>
      </w:r>
      <w:r w:rsidR="00645244">
        <w:rPr>
          <w:color w:val="000000" w:themeColor="text1"/>
        </w:rPr>
        <w:t>d</w:t>
      </w:r>
      <w:r>
        <w:rPr>
          <w:color w:val="000000" w:themeColor="text1"/>
        </w:rPr>
        <w:t xml:space="preserve"> full text review, in addition to 10 advocacy websites. Following the full text review, 27 academic journal articles and 4 advocacy websites were excluded as a result of irrelevance</w:t>
      </w:r>
      <w:r>
        <w:t xml:space="preserve"> and duplication</w:t>
      </w:r>
      <w:r>
        <w:rPr>
          <w:color w:val="000000" w:themeColor="text1"/>
        </w:rPr>
        <w:t xml:space="preserve">, yet 9 supplementary academic journal articles were added from reference lists of the identified articles. Out of </w:t>
      </w:r>
      <w:r w:rsidR="00645244">
        <w:rPr>
          <w:color w:val="000000" w:themeColor="text1"/>
        </w:rPr>
        <w:t>the in</w:t>
      </w:r>
      <w:r w:rsidR="00301116">
        <w:rPr>
          <w:color w:val="000000" w:themeColor="text1"/>
        </w:rPr>
        <w:t>itial 520 articles, 117</w:t>
      </w:r>
      <w:r w:rsidR="00645244">
        <w:rPr>
          <w:color w:val="000000" w:themeColor="text1"/>
        </w:rPr>
        <w:t xml:space="preserve"> we</w:t>
      </w:r>
      <w:r>
        <w:rPr>
          <w:color w:val="000000" w:themeColor="text1"/>
        </w:rPr>
        <w:t>re used in the lit</w:t>
      </w:r>
      <w:r w:rsidR="00342AB4">
        <w:rPr>
          <w:color w:val="000000" w:themeColor="text1"/>
        </w:rPr>
        <w:t>erature review analysis, 111</w:t>
      </w:r>
      <w:r>
        <w:rPr>
          <w:color w:val="000000" w:themeColor="text1"/>
        </w:rPr>
        <w:t xml:space="preserve"> of which derived from academic journal articles, with 6 from advocacy websites. </w:t>
      </w:r>
      <w:r>
        <w:t xml:space="preserve">The inclusion and exclusion of articles from the literature review are summarized below for academic research articles (Figure 2), and the corresponding number of articles assessed for each key search term (Figure 3), in addition to advocacy websites (Figure 4). See Appendix 1 for flow diagrams pertaining to each of the individual search terms. </w:t>
      </w:r>
    </w:p>
    <w:p w14:paraId="0EF412D5" w14:textId="77777777" w:rsidR="009D15D6" w:rsidRDefault="009D15D6" w:rsidP="009D15D6">
      <w:pPr>
        <w:spacing w:line="480" w:lineRule="auto"/>
        <w:ind w:firstLine="720"/>
        <w:jc w:val="both"/>
      </w:pPr>
    </w:p>
    <w:p w14:paraId="448321D0" w14:textId="77777777" w:rsidR="009D15D6" w:rsidRDefault="009D15D6" w:rsidP="009D15D6">
      <w:pPr>
        <w:spacing w:line="480" w:lineRule="auto"/>
        <w:ind w:firstLine="720"/>
        <w:jc w:val="both"/>
      </w:pPr>
    </w:p>
    <w:p w14:paraId="75B4F762" w14:textId="77777777" w:rsidR="009D15D6" w:rsidRDefault="009D15D6" w:rsidP="009D15D6">
      <w:pPr>
        <w:spacing w:line="480" w:lineRule="auto"/>
        <w:ind w:firstLine="720"/>
        <w:jc w:val="both"/>
      </w:pPr>
    </w:p>
    <w:p w14:paraId="3A836E1A" w14:textId="77777777" w:rsidR="009D15D6" w:rsidRDefault="009D15D6" w:rsidP="009E2087">
      <w:pPr>
        <w:jc w:val="both"/>
        <w:rPr>
          <w:rFonts w:ascii="Arial Narrow" w:hAnsi="Arial Narrow" w:cs="Arial Narrow"/>
          <w:sz w:val="22"/>
          <w:szCs w:val="22"/>
        </w:rPr>
      </w:pPr>
      <w:r>
        <w:rPr>
          <w:rFonts w:ascii="Arial Narrow" w:hAnsi="Arial Narrow" w:cs="Arial Narrow"/>
          <w:noProof/>
          <w:sz w:val="22"/>
          <w:szCs w:val="22"/>
        </w:rPr>
        <w:lastRenderedPageBreak/>
        <w:drawing>
          <wp:inline distT="0" distB="0" distL="0" distR="0" wp14:anchorId="1EE83FBF" wp14:editId="2813B4FA">
            <wp:extent cx="6109335" cy="4457385"/>
            <wp:effectExtent l="0" t="0" r="12065" b="0"/>
            <wp:docPr id="12" name="Picture 12" descr="../Documents/UOttawa/MRP/Results/All.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cuments/UOttawa/MRP/Results/All.pdf"/>
                    <pic:cNvPicPr>
                      <a:picLocks noChangeAspect="1" noChangeArrowheads="1"/>
                    </pic:cNvPicPr>
                  </pic:nvPicPr>
                  <pic:blipFill rotWithShape="1">
                    <a:blip r:embed="rId13">
                      <a:extLst>
                        <a:ext uri="{28A0092B-C50C-407E-A947-70E740481C1C}">
                          <a14:useLocalDpi xmlns:a14="http://schemas.microsoft.com/office/drawing/2010/main" val="0"/>
                        </a:ext>
                      </a:extLst>
                    </a:blip>
                    <a:srcRect l="3145" t="7422" r="11057" b="9185"/>
                    <a:stretch/>
                  </pic:blipFill>
                  <pic:spPr bwMode="auto">
                    <a:xfrm>
                      <a:off x="0" y="0"/>
                      <a:ext cx="6134016" cy="4475392"/>
                    </a:xfrm>
                    <a:prstGeom prst="rect">
                      <a:avLst/>
                    </a:prstGeom>
                    <a:noFill/>
                    <a:ln>
                      <a:noFill/>
                    </a:ln>
                    <a:extLst>
                      <a:ext uri="{53640926-AAD7-44D8-BBD7-CCE9431645EC}">
                        <a14:shadowObscured xmlns:a14="http://schemas.microsoft.com/office/drawing/2010/main"/>
                      </a:ext>
                    </a:extLst>
                  </pic:spPr>
                </pic:pic>
              </a:graphicData>
            </a:graphic>
          </wp:inline>
        </w:drawing>
      </w:r>
    </w:p>
    <w:p w14:paraId="76AC91AC" w14:textId="2109B436" w:rsidR="009D15D6" w:rsidRDefault="009D15D6" w:rsidP="009D15D6">
      <w:pPr>
        <w:jc w:val="both"/>
        <w:rPr>
          <w:sz w:val="22"/>
          <w:szCs w:val="22"/>
        </w:rPr>
      </w:pPr>
      <w:r>
        <w:rPr>
          <w:sz w:val="22"/>
          <w:szCs w:val="22"/>
        </w:rPr>
        <w:t xml:space="preserve">Figure 2. Flow diagram of academic literature obtained on the basis of the academic search protocol. The - character, symbolizes articles that were deemed ineligible on the basis of the exclusion criteria, while the + character, symbolizes additional articles that were included from cross-referencing. </w:t>
      </w:r>
    </w:p>
    <w:p w14:paraId="0C53480C" w14:textId="77777777" w:rsidR="009E2087" w:rsidRDefault="009E2087" w:rsidP="009D15D6">
      <w:pPr>
        <w:jc w:val="both"/>
        <w:rPr>
          <w:sz w:val="22"/>
          <w:szCs w:val="22"/>
        </w:rPr>
      </w:pPr>
    </w:p>
    <w:p w14:paraId="71FFB253" w14:textId="77777777" w:rsidR="009E2087" w:rsidRDefault="009E2087" w:rsidP="009D15D6">
      <w:pPr>
        <w:jc w:val="both"/>
        <w:rPr>
          <w:sz w:val="22"/>
          <w:szCs w:val="22"/>
        </w:rPr>
      </w:pPr>
    </w:p>
    <w:p w14:paraId="1C8B1F79" w14:textId="77777777" w:rsidR="009E2087" w:rsidRDefault="009E2087" w:rsidP="009D15D6">
      <w:pPr>
        <w:jc w:val="both"/>
        <w:rPr>
          <w:sz w:val="22"/>
          <w:szCs w:val="22"/>
        </w:rPr>
      </w:pPr>
    </w:p>
    <w:p w14:paraId="7968FC4E" w14:textId="77777777" w:rsidR="009E2087" w:rsidRDefault="009E2087" w:rsidP="009D15D6">
      <w:pPr>
        <w:jc w:val="both"/>
        <w:rPr>
          <w:sz w:val="22"/>
          <w:szCs w:val="22"/>
        </w:rPr>
      </w:pPr>
    </w:p>
    <w:p w14:paraId="555D746F" w14:textId="77777777" w:rsidR="009D15D6" w:rsidRDefault="009D15D6" w:rsidP="009D15D6">
      <w:pPr>
        <w:jc w:val="both"/>
        <w:rPr>
          <w:sz w:val="22"/>
          <w:szCs w:val="22"/>
        </w:rPr>
      </w:pPr>
    </w:p>
    <w:p w14:paraId="7D48B763" w14:textId="77777777" w:rsidR="009D15D6" w:rsidRDefault="009D15D6" w:rsidP="009D15D6">
      <w:pPr>
        <w:spacing w:line="480" w:lineRule="auto"/>
        <w:jc w:val="both"/>
        <w:rPr>
          <w:b/>
          <w:i/>
        </w:rPr>
      </w:pPr>
      <w:r>
        <w:rPr>
          <w:noProof/>
        </w:rPr>
        <w:lastRenderedPageBreak/>
        <w:drawing>
          <wp:inline distT="0" distB="0" distL="0" distR="0" wp14:anchorId="57A94BEA" wp14:editId="00D8E9B9">
            <wp:extent cx="5880735" cy="2631440"/>
            <wp:effectExtent l="0" t="0" r="12065" b="1016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9B054D6" w14:textId="77777777" w:rsidR="009D15D6" w:rsidRDefault="009D15D6" w:rsidP="009D15D6">
      <w:pPr>
        <w:jc w:val="both"/>
        <w:rPr>
          <w:sz w:val="22"/>
          <w:szCs w:val="22"/>
        </w:rPr>
      </w:pPr>
      <w:r>
        <w:rPr>
          <w:sz w:val="22"/>
          <w:szCs w:val="22"/>
        </w:rPr>
        <w:t xml:space="preserve">Figure 3. Number of academic journal articles assessed for barriers to plant based diets for each of the 15 key search terms in Web of Science and Google Scholar. </w:t>
      </w:r>
    </w:p>
    <w:p w14:paraId="2CB389F5" w14:textId="77777777" w:rsidR="009D15D6" w:rsidRDefault="009D15D6" w:rsidP="009D15D6">
      <w:pPr>
        <w:jc w:val="both"/>
        <w:rPr>
          <w:sz w:val="22"/>
          <w:szCs w:val="22"/>
        </w:rPr>
      </w:pPr>
    </w:p>
    <w:p w14:paraId="7EC04B46" w14:textId="77777777" w:rsidR="009D15D6" w:rsidRDefault="009D15D6" w:rsidP="009D15D6">
      <w:pPr>
        <w:jc w:val="both"/>
        <w:rPr>
          <w:sz w:val="22"/>
          <w:szCs w:val="22"/>
        </w:rPr>
      </w:pPr>
    </w:p>
    <w:p w14:paraId="3214C360" w14:textId="77777777" w:rsidR="009D15D6" w:rsidRDefault="009D15D6" w:rsidP="009D15D6">
      <w:pPr>
        <w:jc w:val="both"/>
        <w:rPr>
          <w:sz w:val="22"/>
          <w:szCs w:val="22"/>
        </w:rPr>
      </w:pPr>
      <w:r w:rsidRPr="00E512B3">
        <w:rPr>
          <w:i/>
          <w:noProof/>
        </w:rPr>
        <w:drawing>
          <wp:inline distT="0" distB="0" distL="0" distR="0" wp14:anchorId="5C7428D3" wp14:editId="605DF84F">
            <wp:extent cx="5906135" cy="4051496"/>
            <wp:effectExtent l="0" t="0" r="12065" b="12700"/>
            <wp:docPr id="18" name="Picture 18" descr="../Documents/UOttawa/MRP/Results/Google%20Search.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cuments/UOttawa/MRP/Results/Google%20Search.pdf"/>
                    <pic:cNvPicPr>
                      <a:picLocks noChangeAspect="1" noChangeArrowheads="1"/>
                    </pic:cNvPicPr>
                  </pic:nvPicPr>
                  <pic:blipFill rotWithShape="1">
                    <a:blip r:embed="rId15">
                      <a:extLst>
                        <a:ext uri="{28A0092B-C50C-407E-A947-70E740481C1C}">
                          <a14:useLocalDpi xmlns:a14="http://schemas.microsoft.com/office/drawing/2010/main" val="0"/>
                        </a:ext>
                      </a:extLst>
                    </a:blip>
                    <a:srcRect l="3126" t="9679" r="11097" b="11926"/>
                    <a:stretch/>
                  </pic:blipFill>
                  <pic:spPr bwMode="auto">
                    <a:xfrm>
                      <a:off x="0" y="0"/>
                      <a:ext cx="5920648" cy="4061452"/>
                    </a:xfrm>
                    <a:prstGeom prst="rect">
                      <a:avLst/>
                    </a:prstGeom>
                    <a:noFill/>
                    <a:ln>
                      <a:noFill/>
                    </a:ln>
                    <a:extLst>
                      <a:ext uri="{53640926-AAD7-44D8-BBD7-CCE9431645EC}">
                        <a14:shadowObscured xmlns:a14="http://schemas.microsoft.com/office/drawing/2010/main"/>
                      </a:ext>
                    </a:extLst>
                  </pic:spPr>
                </pic:pic>
              </a:graphicData>
            </a:graphic>
          </wp:inline>
        </w:drawing>
      </w:r>
    </w:p>
    <w:p w14:paraId="619818F5" w14:textId="77777777" w:rsidR="009D15D6" w:rsidRDefault="009D15D6" w:rsidP="009D15D6">
      <w:pPr>
        <w:jc w:val="both"/>
        <w:rPr>
          <w:sz w:val="22"/>
          <w:szCs w:val="22"/>
        </w:rPr>
      </w:pPr>
    </w:p>
    <w:p w14:paraId="23025C1A" w14:textId="77777777" w:rsidR="009D15D6" w:rsidRDefault="009D15D6" w:rsidP="009D15D6">
      <w:pPr>
        <w:jc w:val="both"/>
        <w:rPr>
          <w:sz w:val="22"/>
          <w:szCs w:val="22"/>
        </w:rPr>
      </w:pPr>
      <w:r>
        <w:rPr>
          <w:sz w:val="22"/>
          <w:szCs w:val="22"/>
        </w:rPr>
        <w:t>Figure 4. Flow diagram of public webpages obtained on the basis of the public search protocol. The - character, symbolizes articles that were deemed ineligible on the basis of the exclusion criteria, while the + character, symbolizes additional articles that were included from cross-referencing.</w:t>
      </w:r>
    </w:p>
    <w:p w14:paraId="2C9416E8" w14:textId="77777777" w:rsidR="009D15D6" w:rsidRPr="000C79C8" w:rsidRDefault="009D15D6" w:rsidP="009D15D6">
      <w:pPr>
        <w:spacing w:line="480" w:lineRule="auto"/>
        <w:jc w:val="both"/>
        <w:rPr>
          <w:b/>
          <w:i/>
        </w:rPr>
      </w:pPr>
      <w:r w:rsidRPr="000C79C8">
        <w:rPr>
          <w:b/>
          <w:i/>
        </w:rPr>
        <w:lastRenderedPageBreak/>
        <w:t>ii. General Characteristics of Studies</w:t>
      </w:r>
    </w:p>
    <w:p w14:paraId="383F6DC8" w14:textId="77777777" w:rsidR="00B420BB" w:rsidRDefault="00645244" w:rsidP="009D15D6">
      <w:pPr>
        <w:spacing w:line="480" w:lineRule="auto"/>
        <w:jc w:val="both"/>
      </w:pPr>
      <w:r>
        <w:tab/>
        <w:t>There wa</w:t>
      </w:r>
      <w:r w:rsidR="009D15D6">
        <w:t xml:space="preserve">s considerable variation among the included academic research in terms of source, year, and context of potential </w:t>
      </w:r>
      <w:r w:rsidR="00BF4FA9">
        <w:t>dietary bottlenecks</w:t>
      </w:r>
      <w:r w:rsidR="00AC5563">
        <w:t>. Journal articles include</w:t>
      </w:r>
      <w:r>
        <w:t>d</w:t>
      </w:r>
      <w:r w:rsidR="009D15D6">
        <w:t xml:space="preserve"> predominantly research articles (n = 84), in addition to syntheses (n = 25), symposiums (n = 2), case studies (n = 1), and commenta</w:t>
      </w:r>
      <w:r>
        <w:t>ries (n = 1). Few studies regarding</w:t>
      </w:r>
      <w:r w:rsidR="009D15D6">
        <w:t xml:space="preserve"> dietary consumption behavio</w:t>
      </w:r>
      <w:r w:rsidR="004D5563">
        <w:t>u</w:t>
      </w:r>
      <w:r w:rsidR="009D15D6">
        <w:t>r, and barriers to plant-based diets were conducted in the 1990s, and early 2000s (Figure 5). However, the number of studies investigating consumption patterns has increased substantially in the past 5 years, as plant-based consumption research has become highly topical, given the environmental benefits of a dietary shift</w:t>
      </w:r>
      <w:r w:rsidR="00AC5563">
        <w:t xml:space="preserve">. </w:t>
      </w:r>
    </w:p>
    <w:p w14:paraId="47C5EBEE" w14:textId="218DA1F0" w:rsidR="009D15D6" w:rsidRDefault="00AC5563" w:rsidP="00B420BB">
      <w:pPr>
        <w:spacing w:line="480" w:lineRule="auto"/>
        <w:ind w:firstLine="720"/>
        <w:jc w:val="both"/>
      </w:pPr>
      <w:r>
        <w:t>In addition, studies contain</w:t>
      </w:r>
      <w:r w:rsidR="00645244">
        <w:t>ed</w:t>
      </w:r>
      <w:r w:rsidR="009D15D6">
        <w:t xml:space="preserve"> explicit and/or implicit barriers to plant-based diets, or more generally, changes in dietary behavio</w:t>
      </w:r>
      <w:r w:rsidR="004D5563">
        <w:t>u</w:t>
      </w:r>
      <w:r w:rsidR="009D15D6">
        <w:t xml:space="preserve">r. As such, the </w:t>
      </w:r>
      <w:r w:rsidR="000C79C8">
        <w:t>framework</w:t>
      </w:r>
      <w:r w:rsidR="009D15D6">
        <w:t xml:space="preserve"> of the studies </w:t>
      </w:r>
      <w:r w:rsidR="00645244">
        <w:t>wa</w:t>
      </w:r>
      <w:r>
        <w:t xml:space="preserve">s </w:t>
      </w:r>
      <w:r w:rsidR="009D15D6">
        <w:t>not evaluated, but rather the context of the</w:t>
      </w:r>
      <w:r w:rsidR="00645244">
        <w:t xml:space="preserve"> coded material in each study wa</w:t>
      </w:r>
      <w:r w:rsidR="009D15D6">
        <w:t>s</w:t>
      </w:r>
      <w:r w:rsidR="00645244">
        <w:t xml:space="preserve"> examined.  Overall, 370 codes we</w:t>
      </w:r>
      <w:r w:rsidR="009D15D6">
        <w:t>re considered to be</w:t>
      </w:r>
      <w:r w:rsidR="00645244">
        <w:t xml:space="preserve"> explicitly stated, whilst 172 we</w:t>
      </w:r>
      <w:r w:rsidR="009D15D6">
        <w:t xml:space="preserve">re implicitly inferred from the literature. </w:t>
      </w:r>
    </w:p>
    <w:p w14:paraId="0EF8E4E0" w14:textId="77777777" w:rsidR="009D15D6" w:rsidRDefault="009D15D6" w:rsidP="009D15D6">
      <w:pPr>
        <w:spacing w:line="480" w:lineRule="auto"/>
        <w:jc w:val="both"/>
      </w:pPr>
    </w:p>
    <w:p w14:paraId="7D712FED" w14:textId="77777777" w:rsidR="009D15D6" w:rsidRDefault="009D15D6" w:rsidP="009D15D6">
      <w:pPr>
        <w:spacing w:line="480" w:lineRule="auto"/>
        <w:jc w:val="both"/>
      </w:pPr>
      <w:r>
        <w:rPr>
          <w:noProof/>
        </w:rPr>
        <w:drawing>
          <wp:inline distT="0" distB="0" distL="0" distR="0" wp14:anchorId="45204FF4" wp14:editId="03A820EE">
            <wp:extent cx="5880735" cy="2288540"/>
            <wp:effectExtent l="0" t="0" r="12065"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A488D08" w14:textId="467BC3E9" w:rsidR="009D15D6" w:rsidRPr="00A21CEE" w:rsidRDefault="009D15D6" w:rsidP="009D15D6">
      <w:pPr>
        <w:spacing w:line="480" w:lineRule="auto"/>
        <w:jc w:val="both"/>
        <w:rPr>
          <w:sz w:val="22"/>
          <w:szCs w:val="22"/>
        </w:rPr>
      </w:pPr>
      <w:r>
        <w:rPr>
          <w:sz w:val="22"/>
          <w:szCs w:val="22"/>
        </w:rPr>
        <w:t>Figure 5. Number of included academic research articles, by year of publication.</w:t>
      </w:r>
    </w:p>
    <w:p w14:paraId="4C576883" w14:textId="77777777" w:rsidR="009D15D6" w:rsidRDefault="009D15D6" w:rsidP="009D15D6">
      <w:pPr>
        <w:spacing w:line="480" w:lineRule="auto"/>
        <w:jc w:val="both"/>
        <w:rPr>
          <w:i/>
          <w:u w:val="single"/>
        </w:rPr>
      </w:pPr>
    </w:p>
    <w:p w14:paraId="50514620" w14:textId="77777777" w:rsidR="009D15D6" w:rsidRPr="00233B97" w:rsidRDefault="009D15D6" w:rsidP="009D15D6">
      <w:pPr>
        <w:spacing w:line="480" w:lineRule="auto"/>
        <w:jc w:val="both"/>
        <w:rPr>
          <w:b/>
          <w:i/>
        </w:rPr>
      </w:pPr>
      <w:r>
        <w:rPr>
          <w:b/>
          <w:i/>
        </w:rPr>
        <w:lastRenderedPageBreak/>
        <w:t xml:space="preserve">iii. </w:t>
      </w:r>
      <w:r w:rsidRPr="00233B97">
        <w:rPr>
          <w:b/>
          <w:i/>
        </w:rPr>
        <w:t>Data Extraction</w:t>
      </w:r>
    </w:p>
    <w:p w14:paraId="7954BAEF" w14:textId="1A1BF08E" w:rsidR="007B4DE4" w:rsidRDefault="009D15D6" w:rsidP="00301116">
      <w:pPr>
        <w:spacing w:line="480" w:lineRule="auto"/>
        <w:ind w:firstLine="720"/>
        <w:jc w:val="both"/>
        <w:rPr>
          <w:color w:val="000000" w:themeColor="text1"/>
        </w:rPr>
      </w:pPr>
      <w:r w:rsidRPr="00D324D1">
        <w:t xml:space="preserve">Gathered </w:t>
      </w:r>
      <w:r>
        <w:t>information</w:t>
      </w:r>
      <w:r w:rsidRPr="00D324D1">
        <w:t xml:space="preserve"> </w:t>
      </w:r>
      <w:r w:rsidR="00645244">
        <w:t>wa</w:t>
      </w:r>
      <w:r>
        <w:t>s</w:t>
      </w:r>
      <w:r w:rsidRPr="00D324D1">
        <w:t xml:space="preserve"> evaluated using </w:t>
      </w:r>
      <w:r w:rsidRPr="00B72A0F">
        <w:rPr>
          <w:i/>
        </w:rPr>
        <w:t>a posteriori</w:t>
      </w:r>
      <w:r>
        <w:t xml:space="preserve"> </w:t>
      </w:r>
      <w:r w:rsidRPr="00D324D1">
        <w:t xml:space="preserve">inductive coding </w:t>
      </w:r>
      <w:r>
        <w:t xml:space="preserve">scheme </w:t>
      </w:r>
      <w:r w:rsidRPr="00D324D1">
        <w:t xml:space="preserve">to identify key themes and commonalities within the literature that </w:t>
      </w:r>
      <w:r>
        <w:t xml:space="preserve">explicitly and/or implicitly </w:t>
      </w:r>
      <w:r w:rsidRPr="00D324D1">
        <w:t>suggest</w:t>
      </w:r>
      <w:r>
        <w:t>ed</w:t>
      </w:r>
      <w:r w:rsidRPr="00D324D1">
        <w:t xml:space="preserve"> possible barriers to </w:t>
      </w:r>
      <w:r>
        <w:t>plant-based diets</w:t>
      </w:r>
      <w:r w:rsidR="002860B2">
        <w:t>, as an outcome of the aforementioned search and screening criteria including both primary and grey literature</w:t>
      </w:r>
      <w:r w:rsidRPr="00D324D1">
        <w:t xml:space="preserve">. </w:t>
      </w:r>
      <w:r>
        <w:rPr>
          <w:color w:val="000000" w:themeColor="text1"/>
        </w:rPr>
        <w:t xml:space="preserve">This conceptual classification of constructs </w:t>
      </w:r>
      <w:r w:rsidR="00645244">
        <w:rPr>
          <w:color w:val="000000" w:themeColor="text1"/>
        </w:rPr>
        <w:t>wa</w:t>
      </w:r>
      <w:r>
        <w:rPr>
          <w:color w:val="000000" w:themeColor="text1"/>
        </w:rPr>
        <w:t>s used to uncover core themes evident in the literature and facilitate clear outcomes in relation to the research questions (Thomas, 2006), creating the foundation for novel theorization (Doty &amp; Glick, 1994</w:t>
      </w:r>
      <w:r w:rsidR="00AC5563">
        <w:rPr>
          <w:color w:val="000000" w:themeColor="text1"/>
        </w:rPr>
        <w:t>). Individual themes constitute</w:t>
      </w:r>
      <w:r w:rsidR="00645244">
        <w:rPr>
          <w:color w:val="000000" w:themeColor="text1"/>
        </w:rPr>
        <w:t>d</w:t>
      </w:r>
      <w:r>
        <w:rPr>
          <w:color w:val="000000" w:themeColor="text1"/>
        </w:rPr>
        <w:t xml:space="preserve"> the unit of analysis for this literature review. Thus, a code</w:t>
      </w:r>
      <w:r w:rsidR="00645244">
        <w:rPr>
          <w:color w:val="000000" w:themeColor="text1"/>
        </w:rPr>
        <w:t xml:space="preserve"> wa</w:t>
      </w:r>
      <w:r w:rsidR="00AC5563">
        <w:rPr>
          <w:color w:val="000000" w:themeColor="text1"/>
        </w:rPr>
        <w:t>s</w:t>
      </w:r>
      <w:r>
        <w:rPr>
          <w:color w:val="000000" w:themeColor="text1"/>
        </w:rPr>
        <w:t xml:space="preserve"> assigned to a</w:t>
      </w:r>
      <w:r w:rsidR="00050E3C">
        <w:rPr>
          <w:color w:val="000000" w:themeColor="text1"/>
        </w:rPr>
        <w:t>n excerpt of</w:t>
      </w:r>
      <w:r>
        <w:rPr>
          <w:color w:val="000000" w:themeColor="text1"/>
        </w:rPr>
        <w:t xml:space="preserve"> text of ranging from an entire article, to a paragraph or phrase, representing the expression of an idea as a theme (Minichiello </w:t>
      </w:r>
      <w:r w:rsidRPr="0002299A">
        <w:rPr>
          <w:i/>
          <w:color w:val="000000" w:themeColor="text1"/>
        </w:rPr>
        <w:t>et al.,</w:t>
      </w:r>
      <w:r>
        <w:rPr>
          <w:color w:val="000000" w:themeColor="text1"/>
        </w:rPr>
        <w:t xml:space="preserve"> 1990;</w:t>
      </w:r>
      <w:r w:rsidRPr="00E91F76">
        <w:rPr>
          <w:color w:val="000000" w:themeColor="text1"/>
        </w:rPr>
        <w:t xml:space="preserve"> </w:t>
      </w:r>
      <w:r>
        <w:rPr>
          <w:color w:val="000000" w:themeColor="text1"/>
        </w:rPr>
        <w:t>Zhang &amp; Wildemuth, 2010)</w:t>
      </w:r>
      <w:r w:rsidR="00645244">
        <w:rPr>
          <w:color w:val="000000" w:themeColor="text1"/>
        </w:rPr>
        <w:t>. The coding method followed</w:t>
      </w:r>
      <w:r>
        <w:rPr>
          <w:color w:val="000000" w:themeColor="text1"/>
        </w:rPr>
        <w:t xml:space="preserve"> the three-step codes-categories-concepts strategy (Lich</w:t>
      </w:r>
      <w:r w:rsidR="00B420BB">
        <w:rPr>
          <w:color w:val="000000" w:themeColor="text1"/>
        </w:rPr>
        <w:t xml:space="preserve">tman, 2013); </w:t>
      </w:r>
      <w:r w:rsidR="00F07D79">
        <w:rPr>
          <w:color w:val="000000" w:themeColor="text1"/>
        </w:rPr>
        <w:t>sources</w:t>
      </w:r>
      <w:r w:rsidR="00B420BB">
        <w:rPr>
          <w:color w:val="000000" w:themeColor="text1"/>
        </w:rPr>
        <w:t xml:space="preserve"> we</w:t>
      </w:r>
      <w:r>
        <w:rPr>
          <w:color w:val="000000" w:themeColor="text1"/>
        </w:rPr>
        <w:t xml:space="preserve">re first read to generate a large number of </w:t>
      </w:r>
      <w:r w:rsidR="003A161E">
        <w:rPr>
          <w:color w:val="000000" w:themeColor="text1"/>
        </w:rPr>
        <w:t xml:space="preserve">differing </w:t>
      </w:r>
      <w:r>
        <w:rPr>
          <w:color w:val="000000" w:themeColor="text1"/>
        </w:rPr>
        <w:t>content code</w:t>
      </w:r>
      <w:r w:rsidR="00D95D60">
        <w:rPr>
          <w:color w:val="000000" w:themeColor="text1"/>
        </w:rPr>
        <w:t>s (</w:t>
      </w:r>
      <w:r w:rsidR="00D95D60" w:rsidRPr="003A161E">
        <w:rPr>
          <w:color w:val="000000" w:themeColor="text1"/>
        </w:rPr>
        <w:t>n = 213</w:t>
      </w:r>
      <w:r w:rsidR="00A86A63">
        <w:rPr>
          <w:color w:val="000000" w:themeColor="text1"/>
        </w:rPr>
        <w:t>), from a total of 542</w:t>
      </w:r>
      <w:r>
        <w:rPr>
          <w:color w:val="000000" w:themeColor="text1"/>
        </w:rPr>
        <w:t xml:space="preserve"> coded </w:t>
      </w:r>
      <w:r w:rsidR="00F07D79">
        <w:rPr>
          <w:color w:val="000000" w:themeColor="text1"/>
        </w:rPr>
        <w:t>items</w:t>
      </w:r>
      <w:r>
        <w:rPr>
          <w:color w:val="000000" w:themeColor="text1"/>
        </w:rPr>
        <w:t xml:space="preserve"> (F</w:t>
      </w:r>
      <w:r w:rsidR="00645244">
        <w:rPr>
          <w:color w:val="000000" w:themeColor="text1"/>
        </w:rPr>
        <w:t>igure 6). Second, these codes we</w:t>
      </w:r>
      <w:r>
        <w:rPr>
          <w:color w:val="000000" w:themeColor="text1"/>
        </w:rPr>
        <w:t>r</w:t>
      </w:r>
      <w:r w:rsidR="005D3862">
        <w:rPr>
          <w:color w:val="000000" w:themeColor="text1"/>
        </w:rPr>
        <w:t>e sorted into categories (n = 20</w:t>
      </w:r>
      <w:r>
        <w:rPr>
          <w:color w:val="000000" w:themeColor="text1"/>
        </w:rPr>
        <w:t>) by eliminating overlap and redu</w:t>
      </w:r>
      <w:r w:rsidR="00645244">
        <w:rPr>
          <w:color w:val="000000" w:themeColor="text1"/>
        </w:rPr>
        <w:t>ndancy. Third, the categories we</w:t>
      </w:r>
      <w:r>
        <w:rPr>
          <w:color w:val="000000" w:themeColor="text1"/>
        </w:rPr>
        <w:t xml:space="preserve">re themselves arranged into concepts or </w:t>
      </w:r>
      <w:r w:rsidR="00792D7B">
        <w:rPr>
          <w:color w:val="000000" w:themeColor="text1"/>
        </w:rPr>
        <w:t xml:space="preserve">what are henceforth referred to as </w:t>
      </w:r>
      <w:r w:rsidR="003A161E">
        <w:rPr>
          <w:color w:val="000000" w:themeColor="text1"/>
        </w:rPr>
        <w:t>overarching t</w:t>
      </w:r>
      <w:r>
        <w:rPr>
          <w:color w:val="000000" w:themeColor="text1"/>
        </w:rPr>
        <w:t>hemes (n = 5) rel</w:t>
      </w:r>
      <w:r w:rsidR="00F5054D">
        <w:rPr>
          <w:color w:val="000000" w:themeColor="text1"/>
        </w:rPr>
        <w:t>evant to the research questions</w:t>
      </w:r>
      <w:r w:rsidR="008606C0">
        <w:rPr>
          <w:color w:val="000000" w:themeColor="text1"/>
        </w:rPr>
        <w:t>, namely “</w:t>
      </w:r>
      <w:r w:rsidR="003A161E">
        <w:rPr>
          <w:color w:val="000000" w:themeColor="text1"/>
        </w:rPr>
        <w:t>A</w:t>
      </w:r>
      <w:r w:rsidR="008606C0" w:rsidRPr="007635BD">
        <w:rPr>
          <w:color w:val="000000" w:themeColor="text1"/>
        </w:rPr>
        <w:t>utonomy</w:t>
      </w:r>
      <w:r w:rsidR="008606C0">
        <w:rPr>
          <w:color w:val="000000" w:themeColor="text1"/>
        </w:rPr>
        <w:t>”</w:t>
      </w:r>
      <w:r w:rsidR="008606C0" w:rsidRPr="007635BD">
        <w:rPr>
          <w:color w:val="000000" w:themeColor="text1"/>
        </w:rPr>
        <w:t xml:space="preserve">, </w:t>
      </w:r>
      <w:r w:rsidR="008606C0">
        <w:rPr>
          <w:color w:val="000000" w:themeColor="text1"/>
        </w:rPr>
        <w:t>“</w:t>
      </w:r>
      <w:r w:rsidR="003A161E">
        <w:rPr>
          <w:color w:val="000000" w:themeColor="text1"/>
        </w:rPr>
        <w:t>Cognitive D</w:t>
      </w:r>
      <w:r w:rsidR="008606C0" w:rsidRPr="007635BD">
        <w:rPr>
          <w:color w:val="000000" w:themeColor="text1"/>
        </w:rPr>
        <w:t>issonance</w:t>
      </w:r>
      <w:r w:rsidR="008606C0">
        <w:rPr>
          <w:color w:val="000000" w:themeColor="text1"/>
        </w:rPr>
        <w:t>”</w:t>
      </w:r>
      <w:r w:rsidR="008606C0" w:rsidRPr="007635BD">
        <w:rPr>
          <w:color w:val="000000" w:themeColor="text1"/>
        </w:rPr>
        <w:t xml:space="preserve">, </w:t>
      </w:r>
      <w:r w:rsidR="008606C0">
        <w:rPr>
          <w:color w:val="000000" w:themeColor="text1"/>
        </w:rPr>
        <w:t>“</w:t>
      </w:r>
      <w:r w:rsidR="003A161E">
        <w:rPr>
          <w:color w:val="000000" w:themeColor="text1"/>
        </w:rPr>
        <w:t>I</w:t>
      </w:r>
      <w:r w:rsidR="008606C0" w:rsidRPr="007635BD">
        <w:rPr>
          <w:color w:val="000000" w:themeColor="text1"/>
        </w:rPr>
        <w:t>nformation</w:t>
      </w:r>
      <w:r w:rsidR="003A161E">
        <w:rPr>
          <w:color w:val="000000" w:themeColor="text1"/>
        </w:rPr>
        <w:t xml:space="preserve"> Asymmetry”, “Political Economy”, and “Social I</w:t>
      </w:r>
      <w:r w:rsidR="008606C0">
        <w:rPr>
          <w:color w:val="000000" w:themeColor="text1"/>
        </w:rPr>
        <w:t>nfluences”</w:t>
      </w:r>
      <w:r w:rsidR="00FF0A8D">
        <w:rPr>
          <w:color w:val="000000" w:themeColor="text1"/>
        </w:rPr>
        <w:t xml:space="preserve"> (Table 1</w:t>
      </w:r>
      <w:r w:rsidR="007755A2">
        <w:rPr>
          <w:color w:val="000000" w:themeColor="text1"/>
        </w:rPr>
        <w:t>)</w:t>
      </w:r>
      <w:r w:rsidRPr="007635BD">
        <w:rPr>
          <w:color w:val="000000" w:themeColor="text1"/>
        </w:rPr>
        <w:t xml:space="preserve">. </w:t>
      </w:r>
      <w:r w:rsidR="002255C7">
        <w:rPr>
          <w:color w:val="000000" w:themeColor="text1"/>
        </w:rPr>
        <w:t xml:space="preserve">Consequently, themes were inductively identified by combining codes, and subsequently categories in a logical and organic fashion. This </w:t>
      </w:r>
      <w:r w:rsidR="002255C7">
        <w:rPr>
          <w:i/>
        </w:rPr>
        <w:t xml:space="preserve">a posteriori </w:t>
      </w:r>
      <w:r w:rsidR="002255C7" w:rsidRPr="00D324D1">
        <w:t xml:space="preserve">inductive coding </w:t>
      </w:r>
      <w:r w:rsidR="00F5054D">
        <w:t xml:space="preserve">technique aimed to </w:t>
      </w:r>
      <w:r w:rsidR="00F07D79">
        <w:t>uncover limitations</w:t>
      </w:r>
      <w:r w:rsidR="00F5054D">
        <w:t xml:space="preserve"> that may not have been prevalent in</w:t>
      </w:r>
      <w:r w:rsidR="003A161E">
        <w:t xml:space="preserve"> the initial literature review </w:t>
      </w:r>
      <w:r w:rsidR="003A161E">
        <w:rPr>
          <w:color w:val="000000" w:themeColor="text1"/>
        </w:rPr>
        <w:t>(see IV. Discussion for further description and analysis).</w:t>
      </w:r>
      <w:r w:rsidR="00F674F5">
        <w:rPr>
          <w:color w:val="000000" w:themeColor="text1"/>
        </w:rPr>
        <w:t xml:space="preserve"> It should be noted that there was some overlap of codes fitting into multiple categories, given their context in the literature. However, the overlapping code-category pairs were eventually incorporated into the same theme. </w:t>
      </w:r>
    </w:p>
    <w:p w14:paraId="1D40EB25" w14:textId="77777777" w:rsidR="007B4DE4" w:rsidRDefault="007B4DE4" w:rsidP="007B4DE4">
      <w:pPr>
        <w:jc w:val="both"/>
        <w:outlineLvl w:val="0"/>
        <w:rPr>
          <w:sz w:val="22"/>
          <w:szCs w:val="22"/>
        </w:rPr>
      </w:pPr>
      <w:r>
        <w:rPr>
          <w:noProof/>
        </w:rPr>
        <w:lastRenderedPageBreak/>
        <w:drawing>
          <wp:inline distT="0" distB="0" distL="0" distR="0" wp14:anchorId="653EDB35" wp14:editId="35DE92C7">
            <wp:extent cx="5943600" cy="3089275"/>
            <wp:effectExtent l="0" t="0" r="0" b="9525"/>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E89BDAF" w14:textId="1799D40B" w:rsidR="007B4DE4" w:rsidRDefault="007B4DE4" w:rsidP="007B4DE4">
      <w:pPr>
        <w:jc w:val="both"/>
        <w:outlineLvl w:val="0"/>
        <w:rPr>
          <w:sz w:val="22"/>
          <w:szCs w:val="22"/>
        </w:rPr>
      </w:pPr>
      <w:r>
        <w:rPr>
          <w:sz w:val="22"/>
          <w:szCs w:val="22"/>
        </w:rPr>
        <w:t xml:space="preserve">Figure 6. Total number of </w:t>
      </w:r>
      <w:r w:rsidR="0013488E">
        <w:rPr>
          <w:sz w:val="22"/>
          <w:szCs w:val="22"/>
        </w:rPr>
        <w:t>primary articles</w:t>
      </w:r>
      <w:r>
        <w:rPr>
          <w:sz w:val="22"/>
          <w:szCs w:val="22"/>
        </w:rPr>
        <w:t xml:space="preserve"> retrieved from academic </w:t>
      </w:r>
      <w:r w:rsidR="0013488E">
        <w:rPr>
          <w:sz w:val="22"/>
          <w:szCs w:val="22"/>
        </w:rPr>
        <w:t>journal research</w:t>
      </w:r>
      <w:r>
        <w:rPr>
          <w:sz w:val="22"/>
          <w:szCs w:val="22"/>
        </w:rPr>
        <w:t xml:space="preserve"> for each of the 15 key search terms.</w:t>
      </w:r>
    </w:p>
    <w:p w14:paraId="70C3A940" w14:textId="77777777" w:rsidR="007B4DE4" w:rsidRDefault="007B4DE4" w:rsidP="007B4DE4">
      <w:pPr>
        <w:spacing w:line="480" w:lineRule="auto"/>
        <w:jc w:val="both"/>
        <w:rPr>
          <w:color w:val="000000" w:themeColor="text1"/>
        </w:rPr>
      </w:pPr>
    </w:p>
    <w:p w14:paraId="42946367" w14:textId="77777777" w:rsidR="007B4DE4" w:rsidRDefault="007B4DE4" w:rsidP="007B4DE4">
      <w:pPr>
        <w:spacing w:line="480" w:lineRule="auto"/>
        <w:jc w:val="both"/>
        <w:rPr>
          <w:color w:val="000000" w:themeColor="text1"/>
        </w:rPr>
      </w:pPr>
    </w:p>
    <w:p w14:paraId="58FC1FFA" w14:textId="7D5F1317" w:rsidR="009D15D6" w:rsidRDefault="00FF0A8D" w:rsidP="00FF0A8D">
      <w:pPr>
        <w:spacing w:line="480" w:lineRule="auto"/>
        <w:ind w:firstLine="720"/>
        <w:jc w:val="both"/>
        <w:rPr>
          <w:color w:val="000000" w:themeColor="text1"/>
        </w:rPr>
      </w:pPr>
      <w:r>
        <w:rPr>
          <w:color w:val="000000" w:themeColor="text1"/>
        </w:rPr>
        <w:t xml:space="preserve">Using the methodological framework of inductive coding (Thomas, 2006), the process of data analysis evolved through constant comparative examination. This methodical approach to the literature review was meant to minimize subjectivity, aid in accurate classification, and ensure replicability of the research. In summary, the inductive coding approach organized the data into digestible parts for simplification and extraction of important concepts (Thomas, 2006). A visual representation of the codes-categories-concepts framework is documented in Appendix 2. </w:t>
      </w:r>
      <w:r w:rsidR="007635BD" w:rsidRPr="007635BD">
        <w:t>A detailed outline of the three-step codes-categories-</w:t>
      </w:r>
      <w:r w:rsidR="00CA226F">
        <w:t>themes</w:t>
      </w:r>
      <w:r w:rsidR="007635BD" w:rsidRPr="007635BD">
        <w:t xml:space="preserve"> </w:t>
      </w:r>
      <w:r w:rsidR="00A11404">
        <w:t>strategy uncovered from the 111</w:t>
      </w:r>
      <w:r w:rsidR="007635BD" w:rsidRPr="007635BD">
        <w:t xml:space="preserve"> academic journal articles assessed for barriers to plant-based diets is documented </w:t>
      </w:r>
      <w:r w:rsidR="00301116">
        <w:t xml:space="preserve">in Appendix 3 (Table 3). </w:t>
      </w:r>
      <w:r w:rsidR="007635BD" w:rsidRPr="007635BD">
        <w:t>The context (implicit; explic</w:t>
      </w:r>
      <w:r w:rsidR="00AC5563">
        <w:t>it) in which the code i</w:t>
      </w:r>
      <w:r w:rsidR="00232543">
        <w:t>s stated</w:t>
      </w:r>
      <w:r w:rsidR="007635BD" w:rsidRPr="007635BD">
        <w:t>, the referenced article, and the source are also included.</w:t>
      </w:r>
      <w:r w:rsidR="007635BD">
        <w:t xml:space="preserve"> </w:t>
      </w:r>
    </w:p>
    <w:p w14:paraId="7479F8C1" w14:textId="225C98E0" w:rsidR="00423A8D" w:rsidRDefault="008606C0" w:rsidP="00FF0A8D">
      <w:pPr>
        <w:spacing w:line="480" w:lineRule="auto"/>
        <w:ind w:firstLine="720"/>
        <w:jc w:val="both"/>
        <w:rPr>
          <w:color w:val="000000" w:themeColor="text1"/>
        </w:rPr>
      </w:pPr>
      <w:r>
        <w:rPr>
          <w:color w:val="000000" w:themeColor="text1"/>
        </w:rPr>
        <w:t>A</w:t>
      </w:r>
      <w:r w:rsidR="00FF0A8D">
        <w:rPr>
          <w:color w:val="000000" w:themeColor="text1"/>
        </w:rPr>
        <w:t>cademic journal a</w:t>
      </w:r>
      <w:r>
        <w:rPr>
          <w:color w:val="000000" w:themeColor="text1"/>
        </w:rPr>
        <w:t>rt</w:t>
      </w:r>
      <w:r w:rsidR="00BF7DB3">
        <w:rPr>
          <w:color w:val="000000" w:themeColor="text1"/>
        </w:rPr>
        <w:t>icles contained between 1 and 18</w:t>
      </w:r>
      <w:r>
        <w:rPr>
          <w:color w:val="000000" w:themeColor="text1"/>
        </w:rPr>
        <w:t xml:space="preserve"> codes</w:t>
      </w:r>
      <w:r w:rsidR="00792D7B">
        <w:rPr>
          <w:color w:val="000000" w:themeColor="text1"/>
        </w:rPr>
        <w:t xml:space="preserve"> </w:t>
      </w:r>
      <w:r>
        <w:rPr>
          <w:color w:val="000000" w:themeColor="text1"/>
        </w:rPr>
        <w:t>(average 4</w:t>
      </w:r>
      <w:r w:rsidR="00BF7DB3">
        <w:rPr>
          <w:color w:val="000000" w:themeColor="text1"/>
        </w:rPr>
        <w:t>.88 +/- standard deviation of 3.82</w:t>
      </w:r>
      <w:r>
        <w:rPr>
          <w:color w:val="000000" w:themeColor="text1"/>
        </w:rPr>
        <w:t xml:space="preserve">), which </w:t>
      </w:r>
      <w:r w:rsidR="00E0796A">
        <w:rPr>
          <w:color w:val="000000" w:themeColor="text1"/>
        </w:rPr>
        <w:t>grouped into an average of 2.19</w:t>
      </w:r>
      <w:r w:rsidR="00F674F5">
        <w:rPr>
          <w:color w:val="000000" w:themeColor="text1"/>
        </w:rPr>
        <w:t xml:space="preserve"> t</w:t>
      </w:r>
      <w:r w:rsidR="00E0796A">
        <w:rPr>
          <w:color w:val="000000" w:themeColor="text1"/>
        </w:rPr>
        <w:t>hemes (+/-1.23</w:t>
      </w:r>
      <w:r>
        <w:rPr>
          <w:color w:val="000000" w:themeColor="text1"/>
        </w:rPr>
        <w:t xml:space="preserve">).  </w:t>
      </w:r>
      <w:r w:rsidR="00E0796A">
        <w:rPr>
          <w:color w:val="000000" w:themeColor="text1"/>
        </w:rPr>
        <w:t>Five</w:t>
      </w:r>
      <w:r w:rsidRPr="004210F6">
        <w:rPr>
          <w:color w:val="000000" w:themeColor="text1"/>
        </w:rPr>
        <w:t xml:space="preserve"> articles</w:t>
      </w:r>
      <w:r w:rsidR="002B299F" w:rsidRPr="004210F6">
        <w:rPr>
          <w:color w:val="000000" w:themeColor="text1"/>
        </w:rPr>
        <w:t xml:space="preserve"> </w:t>
      </w:r>
      <w:r w:rsidR="002B299F" w:rsidRPr="004210F6">
        <w:rPr>
          <w:color w:val="000000" w:themeColor="text1"/>
        </w:rPr>
        <w:lastRenderedPageBreak/>
        <w:t xml:space="preserve">(Beverland, 2014; Graça </w:t>
      </w:r>
      <w:r w:rsidR="002B299F" w:rsidRPr="003A161E">
        <w:rPr>
          <w:i/>
          <w:color w:val="000000" w:themeColor="text1"/>
        </w:rPr>
        <w:t>et al.</w:t>
      </w:r>
      <w:r w:rsidR="002B299F" w:rsidRPr="004210F6">
        <w:rPr>
          <w:color w:val="000000" w:themeColor="text1"/>
        </w:rPr>
        <w:t xml:space="preserve">, 2015; Hirschler, 2011; Lorenzoni </w:t>
      </w:r>
      <w:r w:rsidR="002B299F" w:rsidRPr="003A161E">
        <w:rPr>
          <w:i/>
          <w:color w:val="000000" w:themeColor="text1"/>
        </w:rPr>
        <w:t>et al.</w:t>
      </w:r>
      <w:r w:rsidR="002B299F" w:rsidRPr="004210F6">
        <w:rPr>
          <w:color w:val="000000" w:themeColor="text1"/>
        </w:rPr>
        <w:t>, 2007; Vinnari &amp; Vinnari, 2013</w:t>
      </w:r>
      <w:r w:rsidR="004210F6" w:rsidRPr="004210F6">
        <w:rPr>
          <w:color w:val="000000" w:themeColor="text1"/>
        </w:rPr>
        <w:t>)</w:t>
      </w:r>
      <w:r w:rsidRPr="004210F6">
        <w:rPr>
          <w:color w:val="000000" w:themeColor="text1"/>
        </w:rPr>
        <w:t xml:space="preserve"> </w:t>
      </w:r>
      <w:r w:rsidR="003A161E">
        <w:rPr>
          <w:color w:val="000000" w:themeColor="text1"/>
        </w:rPr>
        <w:t>contained</w:t>
      </w:r>
      <w:r w:rsidRPr="004210F6">
        <w:rPr>
          <w:color w:val="000000" w:themeColor="text1"/>
        </w:rPr>
        <w:t xml:space="preserve"> all five </w:t>
      </w:r>
      <w:r w:rsidR="003A161E">
        <w:rPr>
          <w:color w:val="000000" w:themeColor="text1"/>
        </w:rPr>
        <w:t>of the identified themes,</w:t>
      </w:r>
      <w:r>
        <w:rPr>
          <w:color w:val="000000" w:themeColor="text1"/>
        </w:rPr>
        <w:t xml:space="preserve"> while 45 had </w:t>
      </w:r>
      <w:r w:rsidR="003A161E">
        <w:rPr>
          <w:color w:val="000000" w:themeColor="text1"/>
        </w:rPr>
        <w:t>codes</w:t>
      </w:r>
      <w:r w:rsidR="007755A2">
        <w:rPr>
          <w:color w:val="000000" w:themeColor="text1"/>
        </w:rPr>
        <w:t xml:space="preserve"> </w:t>
      </w:r>
      <w:r w:rsidR="00FF0A8D">
        <w:rPr>
          <w:color w:val="000000" w:themeColor="text1"/>
        </w:rPr>
        <w:t>contributed to merely</w:t>
      </w:r>
      <w:r w:rsidR="003A161E">
        <w:rPr>
          <w:color w:val="000000" w:themeColor="text1"/>
        </w:rPr>
        <w:t xml:space="preserve"> a single t</w:t>
      </w:r>
      <w:r>
        <w:rPr>
          <w:color w:val="000000" w:themeColor="text1"/>
        </w:rPr>
        <w:t>heme.</w:t>
      </w:r>
      <w:r w:rsidR="003A161E">
        <w:rPr>
          <w:color w:val="000000" w:themeColor="text1"/>
        </w:rPr>
        <w:t xml:space="preserve">  “Information A</w:t>
      </w:r>
      <w:r w:rsidR="00046C52">
        <w:rPr>
          <w:color w:val="000000" w:themeColor="text1"/>
        </w:rPr>
        <w:t>symmetry” wa</w:t>
      </w:r>
      <w:r w:rsidR="003A161E">
        <w:rPr>
          <w:color w:val="000000" w:themeColor="text1"/>
        </w:rPr>
        <w:t>s the most frequently observed t</w:t>
      </w:r>
      <w:r w:rsidR="00046C52">
        <w:rPr>
          <w:color w:val="000000" w:themeColor="text1"/>
        </w:rPr>
        <w:t>heme (n</w:t>
      </w:r>
      <w:r w:rsidR="00F07D79">
        <w:rPr>
          <w:color w:val="000000" w:themeColor="text1"/>
        </w:rPr>
        <w:t xml:space="preserve"> </w:t>
      </w:r>
      <w:r w:rsidR="00046C52">
        <w:rPr>
          <w:color w:val="000000" w:themeColor="text1"/>
        </w:rPr>
        <w:t>=</w:t>
      </w:r>
      <w:r w:rsidR="00F07D79">
        <w:rPr>
          <w:color w:val="000000" w:themeColor="text1"/>
        </w:rPr>
        <w:t xml:space="preserve"> </w:t>
      </w:r>
      <w:r w:rsidR="00046C52">
        <w:rPr>
          <w:color w:val="000000" w:themeColor="text1"/>
        </w:rPr>
        <w:t xml:space="preserve">68 articles), </w:t>
      </w:r>
      <w:r w:rsidR="007755A2">
        <w:rPr>
          <w:color w:val="000000" w:themeColor="text1"/>
        </w:rPr>
        <w:t>which covered issues related to lack of education or information, judgmental heuristics</w:t>
      </w:r>
      <w:r w:rsidR="00F674F5">
        <w:rPr>
          <w:color w:val="000000" w:themeColor="text1"/>
        </w:rPr>
        <w:t xml:space="preserve"> </w:t>
      </w:r>
      <w:r w:rsidR="003A161E">
        <w:rPr>
          <w:color w:val="000000" w:themeColor="text1"/>
        </w:rPr>
        <w:t>(see IV. Discussion for further description)</w:t>
      </w:r>
      <w:r w:rsidR="007755A2">
        <w:rPr>
          <w:color w:val="000000" w:themeColor="text1"/>
        </w:rPr>
        <w:t>, and flawed perceptions of plant-based diets.  The oth</w:t>
      </w:r>
      <w:r w:rsidR="003A161E">
        <w:rPr>
          <w:color w:val="000000" w:themeColor="text1"/>
        </w:rPr>
        <w:t>er t</w:t>
      </w:r>
      <w:r w:rsidR="007755A2">
        <w:rPr>
          <w:color w:val="000000" w:themeColor="text1"/>
        </w:rPr>
        <w:t xml:space="preserve">hemes were </w:t>
      </w:r>
      <w:r w:rsidR="003A161E">
        <w:rPr>
          <w:color w:val="000000" w:themeColor="text1"/>
        </w:rPr>
        <w:t>“Political Economy” (n=58), and “Social I</w:t>
      </w:r>
      <w:r w:rsidR="00046C52">
        <w:rPr>
          <w:color w:val="000000" w:themeColor="text1"/>
        </w:rPr>
        <w:t>nfluence” (n=55), with “A</w:t>
      </w:r>
      <w:r w:rsidR="00E0796A">
        <w:rPr>
          <w:color w:val="000000" w:themeColor="text1"/>
        </w:rPr>
        <w:t>utonomy” (n=30</w:t>
      </w:r>
      <w:r w:rsidR="003A161E">
        <w:rPr>
          <w:color w:val="000000" w:themeColor="text1"/>
        </w:rPr>
        <w:t>) and “Cognitive D</w:t>
      </w:r>
      <w:r w:rsidR="00046C52">
        <w:rPr>
          <w:color w:val="000000" w:themeColor="text1"/>
        </w:rPr>
        <w:t>issonance” (n=3</w:t>
      </w:r>
      <w:r w:rsidR="00F07D79">
        <w:rPr>
          <w:color w:val="000000" w:themeColor="text1"/>
        </w:rPr>
        <w:t xml:space="preserve">2) the </w:t>
      </w:r>
      <w:r w:rsidR="003A161E">
        <w:rPr>
          <w:color w:val="000000" w:themeColor="text1"/>
        </w:rPr>
        <w:t>least frequent t</w:t>
      </w:r>
      <w:r w:rsidR="00F07D79">
        <w:rPr>
          <w:color w:val="000000" w:themeColor="text1"/>
        </w:rPr>
        <w:t xml:space="preserve">hemes. </w:t>
      </w:r>
      <w:r w:rsidR="003A161E">
        <w:rPr>
          <w:color w:val="000000" w:themeColor="text1"/>
        </w:rPr>
        <w:t>Of the 19 c</w:t>
      </w:r>
      <w:r w:rsidR="00046C52">
        <w:rPr>
          <w:color w:val="000000" w:themeColor="text1"/>
        </w:rPr>
        <w:t xml:space="preserve">ategories, the most frequently observed were </w:t>
      </w:r>
      <w:r w:rsidR="003A161E">
        <w:rPr>
          <w:color w:val="000000" w:themeColor="text1"/>
        </w:rPr>
        <w:t>judgmental heuristics</w:t>
      </w:r>
      <w:r w:rsidR="00046C52">
        <w:rPr>
          <w:color w:val="000000" w:themeColor="text1"/>
        </w:rPr>
        <w:t xml:space="preserve"> (n=99), </w:t>
      </w:r>
      <w:r w:rsidR="003A161E">
        <w:rPr>
          <w:color w:val="000000" w:themeColor="text1"/>
        </w:rPr>
        <w:t>m</w:t>
      </w:r>
      <w:r w:rsidR="006A2AFF">
        <w:rPr>
          <w:color w:val="000000" w:themeColor="text1"/>
        </w:rPr>
        <w:t>arketing</w:t>
      </w:r>
      <w:r w:rsidR="003A161E">
        <w:rPr>
          <w:color w:val="000000" w:themeColor="text1"/>
        </w:rPr>
        <w:t xml:space="preserve"> (n=55), s</w:t>
      </w:r>
      <w:r w:rsidR="00046C52">
        <w:rPr>
          <w:color w:val="000000" w:themeColor="text1"/>
        </w:rPr>
        <w:t>ocial desirability (n = 37)</w:t>
      </w:r>
      <w:r w:rsidR="003A161E">
        <w:rPr>
          <w:color w:val="000000" w:themeColor="text1"/>
        </w:rPr>
        <w:t>, moral disengagement (n=36), and intrinsic motivation</w:t>
      </w:r>
      <w:r w:rsidR="006A2AFF">
        <w:rPr>
          <w:color w:val="000000" w:themeColor="text1"/>
        </w:rPr>
        <w:t xml:space="preserve"> (n=27).</w:t>
      </w:r>
    </w:p>
    <w:p w14:paraId="412CB6F3" w14:textId="77777777" w:rsidR="00C83939" w:rsidRDefault="00C83939" w:rsidP="00C83939">
      <w:pPr>
        <w:spacing w:line="480" w:lineRule="auto"/>
        <w:jc w:val="both"/>
        <w:outlineLvl w:val="0"/>
        <w:rPr>
          <w:color w:val="000000" w:themeColor="text1"/>
        </w:rPr>
      </w:pPr>
    </w:p>
    <w:p w14:paraId="6B7358AC" w14:textId="77777777" w:rsidR="00C83939" w:rsidRDefault="00C83939" w:rsidP="00C83939">
      <w:pPr>
        <w:spacing w:line="480" w:lineRule="auto"/>
        <w:jc w:val="both"/>
        <w:outlineLvl w:val="0"/>
        <w:rPr>
          <w:color w:val="000000" w:themeColor="text1"/>
        </w:rPr>
      </w:pPr>
    </w:p>
    <w:p w14:paraId="431DBADE" w14:textId="77777777" w:rsidR="00C83939" w:rsidRDefault="00C83939" w:rsidP="00C83939">
      <w:pPr>
        <w:spacing w:line="480" w:lineRule="auto"/>
        <w:jc w:val="both"/>
        <w:outlineLvl w:val="0"/>
        <w:rPr>
          <w:color w:val="000000" w:themeColor="text1"/>
        </w:rPr>
      </w:pPr>
    </w:p>
    <w:p w14:paraId="66969E34" w14:textId="77777777" w:rsidR="00C83939" w:rsidRDefault="00C83939" w:rsidP="00C83939">
      <w:pPr>
        <w:spacing w:line="480" w:lineRule="auto"/>
        <w:jc w:val="both"/>
        <w:outlineLvl w:val="0"/>
        <w:rPr>
          <w:color w:val="000000" w:themeColor="text1"/>
        </w:rPr>
      </w:pPr>
    </w:p>
    <w:p w14:paraId="3B401CA3" w14:textId="77777777" w:rsidR="00C83939" w:rsidRDefault="00C83939" w:rsidP="00C83939">
      <w:pPr>
        <w:spacing w:line="480" w:lineRule="auto"/>
        <w:jc w:val="both"/>
        <w:outlineLvl w:val="0"/>
        <w:rPr>
          <w:color w:val="000000" w:themeColor="text1"/>
        </w:rPr>
      </w:pPr>
    </w:p>
    <w:p w14:paraId="25977AB3" w14:textId="77777777" w:rsidR="00C83939" w:rsidRDefault="00C83939" w:rsidP="00C83939">
      <w:pPr>
        <w:spacing w:line="480" w:lineRule="auto"/>
        <w:jc w:val="both"/>
        <w:outlineLvl w:val="0"/>
        <w:rPr>
          <w:color w:val="000000" w:themeColor="text1"/>
        </w:rPr>
      </w:pPr>
    </w:p>
    <w:p w14:paraId="3F4AE491" w14:textId="77777777" w:rsidR="00C83939" w:rsidRDefault="00C83939" w:rsidP="00C83939">
      <w:pPr>
        <w:spacing w:line="480" w:lineRule="auto"/>
        <w:jc w:val="both"/>
        <w:outlineLvl w:val="0"/>
        <w:rPr>
          <w:color w:val="000000" w:themeColor="text1"/>
        </w:rPr>
      </w:pPr>
    </w:p>
    <w:p w14:paraId="372F69B7" w14:textId="77777777" w:rsidR="00C83939" w:rsidRDefault="00C83939" w:rsidP="00C83939">
      <w:pPr>
        <w:spacing w:line="480" w:lineRule="auto"/>
        <w:jc w:val="both"/>
        <w:outlineLvl w:val="0"/>
        <w:rPr>
          <w:color w:val="000000" w:themeColor="text1"/>
        </w:rPr>
      </w:pPr>
    </w:p>
    <w:p w14:paraId="30F75F8F" w14:textId="77777777" w:rsidR="00C83939" w:rsidRDefault="00C83939" w:rsidP="00C83939">
      <w:pPr>
        <w:spacing w:line="480" w:lineRule="auto"/>
        <w:jc w:val="both"/>
        <w:outlineLvl w:val="0"/>
        <w:rPr>
          <w:color w:val="000000" w:themeColor="text1"/>
        </w:rPr>
      </w:pPr>
    </w:p>
    <w:p w14:paraId="5DA3345E" w14:textId="77777777" w:rsidR="00C83939" w:rsidRDefault="00C83939" w:rsidP="00C83939">
      <w:pPr>
        <w:spacing w:line="480" w:lineRule="auto"/>
        <w:jc w:val="both"/>
        <w:outlineLvl w:val="0"/>
        <w:rPr>
          <w:color w:val="000000" w:themeColor="text1"/>
        </w:rPr>
        <w:sectPr w:rsidR="00C83939" w:rsidSect="00D65F93">
          <w:footerReference w:type="default" r:id="rId18"/>
          <w:pgSz w:w="12240" w:h="15840"/>
          <w:pgMar w:top="1440" w:right="1440" w:bottom="1440" w:left="1440" w:header="708" w:footer="708" w:gutter="0"/>
          <w:cols w:space="708"/>
          <w:docGrid w:linePitch="360"/>
        </w:sectPr>
      </w:pPr>
    </w:p>
    <w:p w14:paraId="31FF5E56" w14:textId="20EC3FE9" w:rsidR="005527E4" w:rsidRDefault="00FF0A8D" w:rsidP="009D15D6">
      <w:pPr>
        <w:jc w:val="both"/>
        <w:outlineLvl w:val="0"/>
        <w:rPr>
          <w:sz w:val="22"/>
          <w:szCs w:val="22"/>
        </w:rPr>
      </w:pPr>
      <w:r>
        <w:rPr>
          <w:sz w:val="22"/>
          <w:szCs w:val="22"/>
        </w:rPr>
        <w:lastRenderedPageBreak/>
        <w:t>Table 1</w:t>
      </w:r>
      <w:r w:rsidR="009D15D6">
        <w:rPr>
          <w:sz w:val="22"/>
          <w:szCs w:val="22"/>
        </w:rPr>
        <w:t xml:space="preserve">. </w:t>
      </w:r>
      <w:r w:rsidR="005527E4">
        <w:rPr>
          <w:sz w:val="22"/>
          <w:szCs w:val="22"/>
        </w:rPr>
        <w:t>Brief description of key themes identified as barriers to adopting a plant-based diet</w:t>
      </w:r>
      <w:r w:rsidR="00A77B53">
        <w:rPr>
          <w:sz w:val="22"/>
          <w:szCs w:val="22"/>
        </w:rPr>
        <w:t>, including data concerning their frequency</w:t>
      </w:r>
      <w:r w:rsidR="005527E4">
        <w:rPr>
          <w:sz w:val="22"/>
          <w:szCs w:val="22"/>
        </w:rPr>
        <w:t xml:space="preserve"> </w:t>
      </w:r>
      <w:r w:rsidR="00A77B53">
        <w:rPr>
          <w:sz w:val="22"/>
          <w:szCs w:val="22"/>
        </w:rPr>
        <w:t xml:space="preserve">with respect to </w:t>
      </w:r>
      <w:r>
        <w:rPr>
          <w:sz w:val="22"/>
          <w:szCs w:val="22"/>
        </w:rPr>
        <w:t>categories, codes, and articles.</w:t>
      </w:r>
    </w:p>
    <w:p w14:paraId="2AD9BFE0" w14:textId="77777777" w:rsidR="00D73FE2" w:rsidRDefault="00D73FE2" w:rsidP="009D15D6">
      <w:pPr>
        <w:jc w:val="both"/>
        <w:outlineLvl w:val="0"/>
        <w:rPr>
          <w:sz w:val="22"/>
          <w:szCs w:val="22"/>
        </w:rPr>
      </w:pPr>
    </w:p>
    <w:tbl>
      <w:tblPr>
        <w:tblStyle w:val="TableGrid"/>
        <w:tblW w:w="1328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6"/>
        <w:gridCol w:w="3799"/>
        <w:gridCol w:w="4803"/>
        <w:gridCol w:w="1157"/>
        <w:gridCol w:w="1108"/>
        <w:gridCol w:w="913"/>
      </w:tblGrid>
      <w:tr w:rsidR="00D73FE2" w14:paraId="397911D9" w14:textId="59D55127" w:rsidTr="00D73FE2">
        <w:tc>
          <w:tcPr>
            <w:tcW w:w="1506" w:type="dxa"/>
            <w:tcBorders>
              <w:top w:val="single" w:sz="4" w:space="0" w:color="auto"/>
              <w:bottom w:val="single" w:sz="4" w:space="0" w:color="auto"/>
            </w:tcBorders>
          </w:tcPr>
          <w:p w14:paraId="3A149D56" w14:textId="75D355AD" w:rsidR="0013488E" w:rsidRDefault="0013488E" w:rsidP="00B42E4A">
            <w:pPr>
              <w:rPr>
                <w:sz w:val="22"/>
                <w:szCs w:val="22"/>
              </w:rPr>
            </w:pPr>
            <w:r>
              <w:rPr>
                <w:sz w:val="22"/>
                <w:szCs w:val="22"/>
              </w:rPr>
              <w:t>Theme</w:t>
            </w:r>
          </w:p>
        </w:tc>
        <w:tc>
          <w:tcPr>
            <w:tcW w:w="3799" w:type="dxa"/>
            <w:tcBorders>
              <w:top w:val="single" w:sz="4" w:space="0" w:color="auto"/>
              <w:bottom w:val="single" w:sz="4" w:space="0" w:color="auto"/>
            </w:tcBorders>
          </w:tcPr>
          <w:p w14:paraId="43E4BED0" w14:textId="77777777" w:rsidR="0013488E" w:rsidRDefault="0013488E" w:rsidP="00B42E4A">
            <w:pPr>
              <w:rPr>
                <w:sz w:val="22"/>
                <w:szCs w:val="22"/>
              </w:rPr>
            </w:pPr>
            <w:r>
              <w:rPr>
                <w:sz w:val="22"/>
                <w:szCs w:val="22"/>
              </w:rPr>
              <w:t>Description</w:t>
            </w:r>
          </w:p>
        </w:tc>
        <w:tc>
          <w:tcPr>
            <w:tcW w:w="4803" w:type="dxa"/>
            <w:tcBorders>
              <w:top w:val="single" w:sz="4" w:space="0" w:color="auto"/>
              <w:bottom w:val="single" w:sz="4" w:space="0" w:color="auto"/>
            </w:tcBorders>
          </w:tcPr>
          <w:p w14:paraId="1D013239" w14:textId="534C03B4" w:rsidR="0013488E" w:rsidRDefault="0013488E" w:rsidP="00B42E4A">
            <w:pPr>
              <w:rPr>
                <w:sz w:val="22"/>
                <w:szCs w:val="22"/>
              </w:rPr>
            </w:pPr>
            <w:r>
              <w:rPr>
                <w:sz w:val="22"/>
                <w:szCs w:val="22"/>
              </w:rPr>
              <w:t>Explanation</w:t>
            </w:r>
          </w:p>
        </w:tc>
        <w:tc>
          <w:tcPr>
            <w:tcW w:w="1157" w:type="dxa"/>
            <w:tcBorders>
              <w:top w:val="single" w:sz="4" w:space="0" w:color="auto"/>
              <w:bottom w:val="single" w:sz="4" w:space="0" w:color="auto"/>
            </w:tcBorders>
          </w:tcPr>
          <w:p w14:paraId="542FED60" w14:textId="741D9A37" w:rsidR="0013488E" w:rsidRDefault="0013488E" w:rsidP="00D73FE2">
            <w:pPr>
              <w:jc w:val="right"/>
              <w:rPr>
                <w:sz w:val="22"/>
                <w:szCs w:val="22"/>
              </w:rPr>
            </w:pPr>
            <w:r>
              <w:rPr>
                <w:sz w:val="22"/>
                <w:szCs w:val="22"/>
              </w:rPr>
              <w:t>Categories</w:t>
            </w:r>
          </w:p>
        </w:tc>
        <w:tc>
          <w:tcPr>
            <w:tcW w:w="1108" w:type="dxa"/>
            <w:tcBorders>
              <w:top w:val="single" w:sz="4" w:space="0" w:color="auto"/>
              <w:bottom w:val="single" w:sz="4" w:space="0" w:color="auto"/>
            </w:tcBorders>
          </w:tcPr>
          <w:p w14:paraId="459CDA94" w14:textId="052E89FB" w:rsidR="0013488E" w:rsidRDefault="0013488E" w:rsidP="00D73FE2">
            <w:pPr>
              <w:jc w:val="right"/>
              <w:rPr>
                <w:sz w:val="22"/>
                <w:szCs w:val="22"/>
              </w:rPr>
            </w:pPr>
            <w:r>
              <w:rPr>
                <w:sz w:val="22"/>
                <w:szCs w:val="22"/>
              </w:rPr>
              <w:t>Codes</w:t>
            </w:r>
          </w:p>
        </w:tc>
        <w:tc>
          <w:tcPr>
            <w:tcW w:w="913" w:type="dxa"/>
            <w:tcBorders>
              <w:top w:val="single" w:sz="4" w:space="0" w:color="auto"/>
              <w:bottom w:val="single" w:sz="4" w:space="0" w:color="auto"/>
            </w:tcBorders>
          </w:tcPr>
          <w:p w14:paraId="679729B8" w14:textId="5DB67EE9" w:rsidR="0013488E" w:rsidRDefault="0013488E" w:rsidP="00D73FE2">
            <w:pPr>
              <w:jc w:val="right"/>
              <w:rPr>
                <w:sz w:val="22"/>
                <w:szCs w:val="22"/>
              </w:rPr>
            </w:pPr>
            <w:r>
              <w:rPr>
                <w:sz w:val="22"/>
                <w:szCs w:val="22"/>
              </w:rPr>
              <w:t xml:space="preserve">Articles </w:t>
            </w:r>
          </w:p>
        </w:tc>
      </w:tr>
      <w:tr w:rsidR="00D73FE2" w14:paraId="5BFADE20" w14:textId="2D286EE8" w:rsidTr="00D73FE2">
        <w:tc>
          <w:tcPr>
            <w:tcW w:w="1506" w:type="dxa"/>
            <w:tcBorders>
              <w:top w:val="single" w:sz="4" w:space="0" w:color="auto"/>
              <w:bottom w:val="nil"/>
            </w:tcBorders>
          </w:tcPr>
          <w:p w14:paraId="7E16F178" w14:textId="77777777" w:rsidR="0013488E" w:rsidRDefault="0013488E" w:rsidP="00B42E4A">
            <w:pPr>
              <w:rPr>
                <w:b/>
                <w:sz w:val="22"/>
                <w:szCs w:val="22"/>
              </w:rPr>
            </w:pPr>
            <w:r w:rsidRPr="00257DE9">
              <w:rPr>
                <w:b/>
                <w:sz w:val="22"/>
                <w:szCs w:val="22"/>
              </w:rPr>
              <w:t>Autonomy</w:t>
            </w:r>
          </w:p>
          <w:p w14:paraId="74AE74F7" w14:textId="51F485D4" w:rsidR="0013488E" w:rsidRPr="00257DE9" w:rsidRDefault="0013488E" w:rsidP="00257DE9">
            <w:pPr>
              <w:rPr>
                <w:sz w:val="22"/>
                <w:szCs w:val="22"/>
              </w:rPr>
            </w:pPr>
            <w:r>
              <w:rPr>
                <w:sz w:val="22"/>
                <w:szCs w:val="22"/>
              </w:rPr>
              <w:t>[Individual]</w:t>
            </w:r>
          </w:p>
        </w:tc>
        <w:tc>
          <w:tcPr>
            <w:tcW w:w="3799" w:type="dxa"/>
            <w:tcBorders>
              <w:top w:val="single" w:sz="4" w:space="0" w:color="auto"/>
              <w:bottom w:val="nil"/>
            </w:tcBorders>
          </w:tcPr>
          <w:p w14:paraId="63CA1E57" w14:textId="4AF7E9AA" w:rsidR="0013488E" w:rsidRDefault="0013488E" w:rsidP="00410727">
            <w:pPr>
              <w:rPr>
                <w:sz w:val="22"/>
                <w:szCs w:val="22"/>
              </w:rPr>
            </w:pPr>
            <w:r>
              <w:rPr>
                <w:sz w:val="22"/>
                <w:szCs w:val="22"/>
              </w:rPr>
              <w:t xml:space="preserve">A theoretical concept that promotes self-determined choice, and regulation of one’s self (Deci &amp; Ryan, 1987). </w:t>
            </w:r>
          </w:p>
        </w:tc>
        <w:tc>
          <w:tcPr>
            <w:tcW w:w="4803" w:type="dxa"/>
            <w:tcBorders>
              <w:top w:val="single" w:sz="4" w:space="0" w:color="auto"/>
              <w:bottom w:val="nil"/>
            </w:tcBorders>
          </w:tcPr>
          <w:p w14:paraId="18B36E3F" w14:textId="77777777" w:rsidR="0013488E" w:rsidRDefault="0013488E" w:rsidP="00410727">
            <w:pPr>
              <w:rPr>
                <w:sz w:val="22"/>
                <w:szCs w:val="22"/>
              </w:rPr>
            </w:pPr>
            <w:r>
              <w:rPr>
                <w:i/>
                <w:sz w:val="22"/>
                <w:szCs w:val="22"/>
              </w:rPr>
              <w:t xml:space="preserve">Unwillingness to change </w:t>
            </w:r>
            <w:r>
              <w:rPr>
                <w:sz w:val="22"/>
                <w:szCs w:val="22"/>
              </w:rPr>
              <w:t>diet</w:t>
            </w:r>
          </w:p>
          <w:p w14:paraId="3699254E" w14:textId="77777777" w:rsidR="0013488E" w:rsidRDefault="0013488E" w:rsidP="00410727">
            <w:pPr>
              <w:rPr>
                <w:sz w:val="22"/>
                <w:szCs w:val="22"/>
              </w:rPr>
            </w:pPr>
          </w:p>
          <w:p w14:paraId="0FED9856" w14:textId="665BA1BF" w:rsidR="0013488E" w:rsidRPr="003C1DF2" w:rsidRDefault="0013488E" w:rsidP="00410727">
            <w:pPr>
              <w:rPr>
                <w:i/>
                <w:sz w:val="22"/>
                <w:szCs w:val="22"/>
              </w:rPr>
            </w:pPr>
            <w:r>
              <w:rPr>
                <w:i/>
                <w:sz w:val="22"/>
                <w:szCs w:val="22"/>
              </w:rPr>
              <w:t xml:space="preserve">Intrinsic values </w:t>
            </w:r>
            <w:r>
              <w:rPr>
                <w:sz w:val="22"/>
                <w:szCs w:val="22"/>
              </w:rPr>
              <w:t>representing</w:t>
            </w:r>
            <w:r w:rsidRPr="003C1DF2">
              <w:rPr>
                <w:sz w:val="22"/>
                <w:szCs w:val="22"/>
              </w:rPr>
              <w:t xml:space="preserve"> an affective connection towards meat</w:t>
            </w:r>
          </w:p>
        </w:tc>
        <w:tc>
          <w:tcPr>
            <w:tcW w:w="1157" w:type="dxa"/>
            <w:tcBorders>
              <w:top w:val="single" w:sz="4" w:space="0" w:color="auto"/>
              <w:bottom w:val="nil"/>
            </w:tcBorders>
          </w:tcPr>
          <w:p w14:paraId="4C52ED61" w14:textId="52D705D6" w:rsidR="0013488E" w:rsidRPr="0013488E" w:rsidRDefault="00EC5D44" w:rsidP="00D73FE2">
            <w:pPr>
              <w:jc w:val="right"/>
              <w:rPr>
                <w:sz w:val="22"/>
                <w:szCs w:val="22"/>
              </w:rPr>
            </w:pPr>
            <w:r>
              <w:rPr>
                <w:sz w:val="22"/>
                <w:szCs w:val="22"/>
              </w:rPr>
              <w:t>2</w:t>
            </w:r>
          </w:p>
        </w:tc>
        <w:tc>
          <w:tcPr>
            <w:tcW w:w="1108" w:type="dxa"/>
            <w:tcBorders>
              <w:top w:val="single" w:sz="4" w:space="0" w:color="auto"/>
              <w:bottom w:val="nil"/>
            </w:tcBorders>
          </w:tcPr>
          <w:p w14:paraId="453D1E44" w14:textId="19284F47" w:rsidR="0013488E" w:rsidRPr="0013488E" w:rsidRDefault="00A77B53" w:rsidP="00D73FE2">
            <w:pPr>
              <w:jc w:val="right"/>
              <w:rPr>
                <w:sz w:val="22"/>
                <w:szCs w:val="22"/>
              </w:rPr>
            </w:pPr>
            <w:r>
              <w:rPr>
                <w:sz w:val="22"/>
                <w:szCs w:val="22"/>
              </w:rPr>
              <w:t>1</w:t>
            </w:r>
            <w:r w:rsidR="006237FD">
              <w:rPr>
                <w:sz w:val="22"/>
                <w:szCs w:val="22"/>
              </w:rPr>
              <w:t>2</w:t>
            </w:r>
          </w:p>
        </w:tc>
        <w:tc>
          <w:tcPr>
            <w:tcW w:w="913" w:type="dxa"/>
            <w:tcBorders>
              <w:top w:val="single" w:sz="4" w:space="0" w:color="auto"/>
              <w:bottom w:val="nil"/>
            </w:tcBorders>
          </w:tcPr>
          <w:p w14:paraId="033385D0" w14:textId="7EA13CE1" w:rsidR="0013488E" w:rsidRPr="0013488E" w:rsidRDefault="00A77B53" w:rsidP="00D73FE2">
            <w:pPr>
              <w:jc w:val="right"/>
              <w:rPr>
                <w:sz w:val="22"/>
                <w:szCs w:val="22"/>
              </w:rPr>
            </w:pPr>
            <w:r>
              <w:rPr>
                <w:sz w:val="22"/>
                <w:szCs w:val="22"/>
              </w:rPr>
              <w:t>3</w:t>
            </w:r>
            <w:r w:rsidR="00E0796A">
              <w:rPr>
                <w:sz w:val="22"/>
                <w:szCs w:val="22"/>
              </w:rPr>
              <w:t>0</w:t>
            </w:r>
          </w:p>
        </w:tc>
      </w:tr>
      <w:tr w:rsidR="00D73FE2" w14:paraId="30B607C3" w14:textId="6AA133A2" w:rsidTr="00D73FE2">
        <w:tc>
          <w:tcPr>
            <w:tcW w:w="1506" w:type="dxa"/>
            <w:tcBorders>
              <w:top w:val="nil"/>
            </w:tcBorders>
          </w:tcPr>
          <w:p w14:paraId="0037C45E" w14:textId="77777777" w:rsidR="0013488E" w:rsidRPr="00257DE9" w:rsidRDefault="0013488E" w:rsidP="00B42E4A">
            <w:pPr>
              <w:rPr>
                <w:b/>
                <w:sz w:val="22"/>
                <w:szCs w:val="22"/>
              </w:rPr>
            </w:pPr>
          </w:p>
        </w:tc>
        <w:tc>
          <w:tcPr>
            <w:tcW w:w="3799" w:type="dxa"/>
            <w:tcBorders>
              <w:top w:val="nil"/>
            </w:tcBorders>
          </w:tcPr>
          <w:p w14:paraId="767501D1" w14:textId="77777777" w:rsidR="0013488E" w:rsidRDefault="0013488E" w:rsidP="00410727">
            <w:pPr>
              <w:rPr>
                <w:sz w:val="22"/>
                <w:szCs w:val="22"/>
              </w:rPr>
            </w:pPr>
          </w:p>
        </w:tc>
        <w:tc>
          <w:tcPr>
            <w:tcW w:w="4803" w:type="dxa"/>
            <w:tcBorders>
              <w:top w:val="nil"/>
            </w:tcBorders>
          </w:tcPr>
          <w:p w14:paraId="01D3AD8F" w14:textId="77777777" w:rsidR="0013488E" w:rsidRDefault="0013488E" w:rsidP="00410727">
            <w:pPr>
              <w:rPr>
                <w:sz w:val="22"/>
                <w:szCs w:val="22"/>
              </w:rPr>
            </w:pPr>
          </w:p>
        </w:tc>
        <w:tc>
          <w:tcPr>
            <w:tcW w:w="1157" w:type="dxa"/>
            <w:tcBorders>
              <w:top w:val="nil"/>
            </w:tcBorders>
          </w:tcPr>
          <w:p w14:paraId="7CAA69DE" w14:textId="7CFA31B4" w:rsidR="0013488E" w:rsidRPr="0013488E" w:rsidRDefault="0013488E" w:rsidP="00D73FE2">
            <w:pPr>
              <w:jc w:val="right"/>
              <w:rPr>
                <w:sz w:val="22"/>
                <w:szCs w:val="22"/>
              </w:rPr>
            </w:pPr>
          </w:p>
        </w:tc>
        <w:tc>
          <w:tcPr>
            <w:tcW w:w="1108" w:type="dxa"/>
            <w:tcBorders>
              <w:top w:val="nil"/>
            </w:tcBorders>
          </w:tcPr>
          <w:p w14:paraId="3A9507E3" w14:textId="77777777" w:rsidR="0013488E" w:rsidRPr="0013488E" w:rsidRDefault="0013488E" w:rsidP="00D73FE2">
            <w:pPr>
              <w:jc w:val="right"/>
              <w:rPr>
                <w:sz w:val="22"/>
                <w:szCs w:val="22"/>
              </w:rPr>
            </w:pPr>
          </w:p>
        </w:tc>
        <w:tc>
          <w:tcPr>
            <w:tcW w:w="913" w:type="dxa"/>
            <w:tcBorders>
              <w:top w:val="nil"/>
            </w:tcBorders>
          </w:tcPr>
          <w:p w14:paraId="4546BB19" w14:textId="77777777" w:rsidR="0013488E" w:rsidRPr="0013488E" w:rsidRDefault="0013488E" w:rsidP="00D73FE2">
            <w:pPr>
              <w:jc w:val="right"/>
              <w:rPr>
                <w:sz w:val="22"/>
                <w:szCs w:val="22"/>
              </w:rPr>
            </w:pPr>
          </w:p>
        </w:tc>
      </w:tr>
      <w:tr w:rsidR="00D73FE2" w14:paraId="7EB0B2C9" w14:textId="4584987B" w:rsidTr="00D73FE2">
        <w:trPr>
          <w:trHeight w:val="1006"/>
        </w:trPr>
        <w:tc>
          <w:tcPr>
            <w:tcW w:w="1506" w:type="dxa"/>
          </w:tcPr>
          <w:p w14:paraId="616B5252" w14:textId="77777777" w:rsidR="0013488E" w:rsidRDefault="0013488E" w:rsidP="00B42E4A">
            <w:pPr>
              <w:rPr>
                <w:b/>
                <w:sz w:val="22"/>
                <w:szCs w:val="22"/>
              </w:rPr>
            </w:pPr>
            <w:r w:rsidRPr="00257DE9">
              <w:rPr>
                <w:b/>
                <w:sz w:val="22"/>
                <w:szCs w:val="22"/>
              </w:rPr>
              <w:t>Cognitive Dissonance</w:t>
            </w:r>
          </w:p>
          <w:p w14:paraId="42284864" w14:textId="6D41FC63" w:rsidR="0013488E" w:rsidRPr="00257DE9" w:rsidRDefault="0013488E" w:rsidP="00B42E4A">
            <w:pPr>
              <w:rPr>
                <w:b/>
                <w:sz w:val="22"/>
                <w:szCs w:val="22"/>
              </w:rPr>
            </w:pPr>
            <w:r>
              <w:rPr>
                <w:sz w:val="22"/>
                <w:szCs w:val="22"/>
              </w:rPr>
              <w:t>[Individual]</w:t>
            </w:r>
          </w:p>
        </w:tc>
        <w:tc>
          <w:tcPr>
            <w:tcW w:w="3799" w:type="dxa"/>
          </w:tcPr>
          <w:p w14:paraId="1E6E0B35" w14:textId="5DF9CECB" w:rsidR="0013488E" w:rsidRDefault="0013488E" w:rsidP="00410727">
            <w:pPr>
              <w:rPr>
                <w:sz w:val="22"/>
                <w:szCs w:val="22"/>
              </w:rPr>
            </w:pPr>
            <w:r>
              <w:rPr>
                <w:sz w:val="22"/>
                <w:szCs w:val="22"/>
              </w:rPr>
              <w:t xml:space="preserve">Contradictory and inconsistent thoughts and actions, as relating to behavioural </w:t>
            </w:r>
            <w:r w:rsidRPr="00E55A6F">
              <w:rPr>
                <w:sz w:val="22"/>
                <w:szCs w:val="22"/>
              </w:rPr>
              <w:t>decisions (Festinger, 1957).</w:t>
            </w:r>
            <w:r>
              <w:rPr>
                <w:sz w:val="22"/>
                <w:szCs w:val="22"/>
              </w:rPr>
              <w:t xml:space="preserve"> </w:t>
            </w:r>
          </w:p>
        </w:tc>
        <w:tc>
          <w:tcPr>
            <w:tcW w:w="4803" w:type="dxa"/>
          </w:tcPr>
          <w:p w14:paraId="109F0FFD" w14:textId="482F2F99" w:rsidR="0013488E" w:rsidRPr="009A5196" w:rsidRDefault="0013488E" w:rsidP="00410727">
            <w:pPr>
              <w:rPr>
                <w:sz w:val="22"/>
                <w:szCs w:val="22"/>
              </w:rPr>
            </w:pPr>
            <w:r>
              <w:rPr>
                <w:i/>
                <w:sz w:val="22"/>
                <w:szCs w:val="22"/>
              </w:rPr>
              <w:t xml:space="preserve">Inconsistent thoughts and actions </w:t>
            </w:r>
            <w:r>
              <w:rPr>
                <w:sz w:val="22"/>
                <w:szCs w:val="22"/>
              </w:rPr>
              <w:t>for the environment, animal welfare, and meat consumption; represented through moral disengagement, denial, and dementalization</w:t>
            </w:r>
          </w:p>
        </w:tc>
        <w:tc>
          <w:tcPr>
            <w:tcW w:w="1157" w:type="dxa"/>
          </w:tcPr>
          <w:p w14:paraId="5FD8F3CA" w14:textId="5B7F5CA0" w:rsidR="0013488E" w:rsidRPr="0013488E" w:rsidRDefault="00DF30E0" w:rsidP="00D73FE2">
            <w:pPr>
              <w:jc w:val="right"/>
              <w:rPr>
                <w:sz w:val="22"/>
                <w:szCs w:val="22"/>
              </w:rPr>
            </w:pPr>
            <w:r>
              <w:rPr>
                <w:sz w:val="22"/>
                <w:szCs w:val="22"/>
              </w:rPr>
              <w:t>3</w:t>
            </w:r>
          </w:p>
        </w:tc>
        <w:tc>
          <w:tcPr>
            <w:tcW w:w="1108" w:type="dxa"/>
          </w:tcPr>
          <w:p w14:paraId="2C8E9A8A" w14:textId="696B5D90" w:rsidR="0013488E" w:rsidRPr="0013488E" w:rsidRDefault="00A77B53" w:rsidP="00D73FE2">
            <w:pPr>
              <w:jc w:val="right"/>
              <w:rPr>
                <w:sz w:val="22"/>
                <w:szCs w:val="22"/>
              </w:rPr>
            </w:pPr>
            <w:r>
              <w:rPr>
                <w:sz w:val="22"/>
                <w:szCs w:val="22"/>
              </w:rPr>
              <w:t>22</w:t>
            </w:r>
          </w:p>
        </w:tc>
        <w:tc>
          <w:tcPr>
            <w:tcW w:w="913" w:type="dxa"/>
          </w:tcPr>
          <w:p w14:paraId="0ADA7DD4" w14:textId="14D1D769" w:rsidR="0013488E" w:rsidRPr="0013488E" w:rsidRDefault="00A77B53" w:rsidP="00D73FE2">
            <w:pPr>
              <w:jc w:val="right"/>
              <w:rPr>
                <w:sz w:val="22"/>
                <w:szCs w:val="22"/>
              </w:rPr>
            </w:pPr>
            <w:r>
              <w:rPr>
                <w:sz w:val="22"/>
                <w:szCs w:val="22"/>
              </w:rPr>
              <w:t>32</w:t>
            </w:r>
          </w:p>
        </w:tc>
      </w:tr>
      <w:tr w:rsidR="00D73FE2" w14:paraId="302DD3F0" w14:textId="7B19EB01" w:rsidTr="00D73FE2">
        <w:tc>
          <w:tcPr>
            <w:tcW w:w="1506" w:type="dxa"/>
          </w:tcPr>
          <w:p w14:paraId="330E58CD" w14:textId="77777777" w:rsidR="0013488E" w:rsidRPr="00257DE9" w:rsidRDefault="0013488E" w:rsidP="00B42E4A">
            <w:pPr>
              <w:rPr>
                <w:b/>
                <w:sz w:val="22"/>
                <w:szCs w:val="22"/>
              </w:rPr>
            </w:pPr>
          </w:p>
        </w:tc>
        <w:tc>
          <w:tcPr>
            <w:tcW w:w="3799" w:type="dxa"/>
          </w:tcPr>
          <w:p w14:paraId="48718B83" w14:textId="77777777" w:rsidR="0013488E" w:rsidRDefault="0013488E" w:rsidP="00410727">
            <w:pPr>
              <w:rPr>
                <w:sz w:val="22"/>
                <w:szCs w:val="22"/>
              </w:rPr>
            </w:pPr>
          </w:p>
        </w:tc>
        <w:tc>
          <w:tcPr>
            <w:tcW w:w="4803" w:type="dxa"/>
          </w:tcPr>
          <w:p w14:paraId="4701EEAA" w14:textId="77777777" w:rsidR="0013488E" w:rsidRDefault="0013488E" w:rsidP="00410727">
            <w:pPr>
              <w:rPr>
                <w:sz w:val="22"/>
                <w:szCs w:val="22"/>
              </w:rPr>
            </w:pPr>
          </w:p>
        </w:tc>
        <w:tc>
          <w:tcPr>
            <w:tcW w:w="1157" w:type="dxa"/>
          </w:tcPr>
          <w:p w14:paraId="1A0ECAC5" w14:textId="3BF747A6" w:rsidR="0013488E" w:rsidRPr="0013488E" w:rsidRDefault="0013488E" w:rsidP="00D73FE2">
            <w:pPr>
              <w:jc w:val="right"/>
              <w:rPr>
                <w:sz w:val="22"/>
                <w:szCs w:val="22"/>
              </w:rPr>
            </w:pPr>
          </w:p>
        </w:tc>
        <w:tc>
          <w:tcPr>
            <w:tcW w:w="1108" w:type="dxa"/>
          </w:tcPr>
          <w:p w14:paraId="15870283" w14:textId="77777777" w:rsidR="0013488E" w:rsidRPr="0013488E" w:rsidRDefault="0013488E" w:rsidP="00D73FE2">
            <w:pPr>
              <w:jc w:val="right"/>
              <w:rPr>
                <w:sz w:val="22"/>
                <w:szCs w:val="22"/>
              </w:rPr>
            </w:pPr>
          </w:p>
        </w:tc>
        <w:tc>
          <w:tcPr>
            <w:tcW w:w="913" w:type="dxa"/>
          </w:tcPr>
          <w:p w14:paraId="2C598006" w14:textId="77777777" w:rsidR="0013488E" w:rsidRPr="0013488E" w:rsidRDefault="0013488E" w:rsidP="00D73FE2">
            <w:pPr>
              <w:jc w:val="right"/>
              <w:rPr>
                <w:sz w:val="22"/>
                <w:szCs w:val="22"/>
              </w:rPr>
            </w:pPr>
          </w:p>
        </w:tc>
      </w:tr>
      <w:tr w:rsidR="00D73FE2" w14:paraId="1D995EE2" w14:textId="009126FF" w:rsidTr="00D73FE2">
        <w:tc>
          <w:tcPr>
            <w:tcW w:w="1506" w:type="dxa"/>
          </w:tcPr>
          <w:p w14:paraId="177C51B0" w14:textId="77777777" w:rsidR="0013488E" w:rsidRDefault="0013488E" w:rsidP="00B42E4A">
            <w:pPr>
              <w:rPr>
                <w:b/>
                <w:sz w:val="22"/>
                <w:szCs w:val="22"/>
              </w:rPr>
            </w:pPr>
            <w:r w:rsidRPr="00257DE9">
              <w:rPr>
                <w:b/>
                <w:sz w:val="22"/>
                <w:szCs w:val="22"/>
              </w:rPr>
              <w:t>Information Asymmetry</w:t>
            </w:r>
          </w:p>
          <w:p w14:paraId="5BC7D49C" w14:textId="0C52FBE8" w:rsidR="0013488E" w:rsidRPr="00257DE9" w:rsidRDefault="0013488E" w:rsidP="00257DE9">
            <w:pPr>
              <w:rPr>
                <w:b/>
                <w:sz w:val="22"/>
                <w:szCs w:val="22"/>
              </w:rPr>
            </w:pPr>
            <w:r>
              <w:rPr>
                <w:sz w:val="22"/>
                <w:szCs w:val="22"/>
              </w:rPr>
              <w:t>[Social]</w:t>
            </w:r>
          </w:p>
        </w:tc>
        <w:tc>
          <w:tcPr>
            <w:tcW w:w="3799" w:type="dxa"/>
          </w:tcPr>
          <w:p w14:paraId="1C344DCC" w14:textId="35843667" w:rsidR="0013488E" w:rsidRDefault="0013488E" w:rsidP="00BB0735">
            <w:pPr>
              <w:rPr>
                <w:sz w:val="22"/>
                <w:szCs w:val="22"/>
              </w:rPr>
            </w:pPr>
            <w:r>
              <w:rPr>
                <w:sz w:val="22"/>
                <w:szCs w:val="22"/>
              </w:rPr>
              <w:t xml:space="preserve">The influence of unbalanced information on sub-optimal decision making, with respect to the environmental and socioeconomic considerations of food selection for consumption (Dompere, 2014). </w:t>
            </w:r>
          </w:p>
        </w:tc>
        <w:tc>
          <w:tcPr>
            <w:tcW w:w="4803" w:type="dxa"/>
          </w:tcPr>
          <w:p w14:paraId="2E927EFE" w14:textId="5B7D0BF2" w:rsidR="0013488E" w:rsidRDefault="0013488E" w:rsidP="00410727">
            <w:pPr>
              <w:rPr>
                <w:sz w:val="22"/>
                <w:szCs w:val="22"/>
              </w:rPr>
            </w:pPr>
            <w:r w:rsidRPr="00410727">
              <w:rPr>
                <w:i/>
                <w:sz w:val="22"/>
                <w:szCs w:val="22"/>
              </w:rPr>
              <w:t>Lack of knowledge</w:t>
            </w:r>
            <w:r>
              <w:rPr>
                <w:sz w:val="22"/>
                <w:szCs w:val="22"/>
              </w:rPr>
              <w:t xml:space="preserve"> concerning the consequences of meat consumption</w:t>
            </w:r>
          </w:p>
          <w:p w14:paraId="4405A335" w14:textId="77777777" w:rsidR="0013488E" w:rsidRDefault="0013488E" w:rsidP="00410727">
            <w:pPr>
              <w:rPr>
                <w:sz w:val="22"/>
                <w:szCs w:val="22"/>
              </w:rPr>
            </w:pPr>
          </w:p>
          <w:p w14:paraId="03065A46" w14:textId="77777777" w:rsidR="0013488E" w:rsidRDefault="0013488E" w:rsidP="00410727">
            <w:pPr>
              <w:rPr>
                <w:sz w:val="22"/>
                <w:szCs w:val="22"/>
              </w:rPr>
            </w:pPr>
            <w:r w:rsidRPr="00410727">
              <w:rPr>
                <w:i/>
                <w:sz w:val="22"/>
                <w:szCs w:val="22"/>
              </w:rPr>
              <w:t>Lack of information</w:t>
            </w:r>
            <w:r>
              <w:rPr>
                <w:sz w:val="22"/>
                <w:szCs w:val="22"/>
              </w:rPr>
              <w:t xml:space="preserve"> regarding nutritional necessity, and the costs of a plant-based diet; ill-informed perceptions</w:t>
            </w:r>
          </w:p>
          <w:p w14:paraId="27531294" w14:textId="77777777" w:rsidR="0013488E" w:rsidRDefault="0013488E" w:rsidP="00410727">
            <w:pPr>
              <w:rPr>
                <w:sz w:val="22"/>
                <w:szCs w:val="22"/>
              </w:rPr>
            </w:pPr>
          </w:p>
          <w:p w14:paraId="2ABA0389" w14:textId="22738016" w:rsidR="0013488E" w:rsidRPr="003C1DF2" w:rsidRDefault="0013488E" w:rsidP="003C1DF2">
            <w:pPr>
              <w:rPr>
                <w:sz w:val="22"/>
                <w:szCs w:val="22"/>
              </w:rPr>
            </w:pPr>
            <w:r>
              <w:rPr>
                <w:i/>
                <w:sz w:val="22"/>
                <w:szCs w:val="22"/>
              </w:rPr>
              <w:t xml:space="preserve">Judgmental heuristics </w:t>
            </w:r>
            <w:r>
              <w:rPr>
                <w:sz w:val="22"/>
                <w:szCs w:val="22"/>
              </w:rPr>
              <w:t xml:space="preserve">that result in sub-optimal decision-making </w:t>
            </w:r>
          </w:p>
        </w:tc>
        <w:tc>
          <w:tcPr>
            <w:tcW w:w="1157" w:type="dxa"/>
          </w:tcPr>
          <w:p w14:paraId="5662D21B" w14:textId="72FA7F71" w:rsidR="0013488E" w:rsidRPr="0013488E" w:rsidRDefault="00DF30E0" w:rsidP="00D73FE2">
            <w:pPr>
              <w:jc w:val="right"/>
              <w:rPr>
                <w:sz w:val="22"/>
                <w:szCs w:val="22"/>
              </w:rPr>
            </w:pPr>
            <w:r>
              <w:rPr>
                <w:sz w:val="22"/>
                <w:szCs w:val="22"/>
              </w:rPr>
              <w:t>5</w:t>
            </w:r>
          </w:p>
        </w:tc>
        <w:tc>
          <w:tcPr>
            <w:tcW w:w="1108" w:type="dxa"/>
          </w:tcPr>
          <w:p w14:paraId="55623FC7" w14:textId="56F15665" w:rsidR="0013488E" w:rsidRPr="0013488E" w:rsidRDefault="00A77B53" w:rsidP="00D73FE2">
            <w:pPr>
              <w:jc w:val="right"/>
              <w:rPr>
                <w:sz w:val="22"/>
                <w:szCs w:val="22"/>
              </w:rPr>
            </w:pPr>
            <w:r>
              <w:rPr>
                <w:sz w:val="22"/>
                <w:szCs w:val="22"/>
              </w:rPr>
              <w:t>55</w:t>
            </w:r>
          </w:p>
        </w:tc>
        <w:tc>
          <w:tcPr>
            <w:tcW w:w="913" w:type="dxa"/>
          </w:tcPr>
          <w:p w14:paraId="5B91BCAF" w14:textId="5141A418" w:rsidR="0013488E" w:rsidRPr="0013488E" w:rsidRDefault="00A77B53" w:rsidP="00D73FE2">
            <w:pPr>
              <w:jc w:val="right"/>
              <w:rPr>
                <w:sz w:val="22"/>
                <w:szCs w:val="22"/>
              </w:rPr>
            </w:pPr>
            <w:r>
              <w:rPr>
                <w:sz w:val="22"/>
                <w:szCs w:val="22"/>
              </w:rPr>
              <w:t>68</w:t>
            </w:r>
          </w:p>
        </w:tc>
      </w:tr>
      <w:tr w:rsidR="00D73FE2" w14:paraId="7951285B" w14:textId="01005A53" w:rsidTr="00D73FE2">
        <w:tc>
          <w:tcPr>
            <w:tcW w:w="1506" w:type="dxa"/>
          </w:tcPr>
          <w:p w14:paraId="60CC97A0" w14:textId="77777777" w:rsidR="0013488E" w:rsidRPr="00257DE9" w:rsidRDefault="0013488E" w:rsidP="00B42E4A">
            <w:pPr>
              <w:rPr>
                <w:b/>
                <w:sz w:val="22"/>
                <w:szCs w:val="22"/>
              </w:rPr>
            </w:pPr>
          </w:p>
        </w:tc>
        <w:tc>
          <w:tcPr>
            <w:tcW w:w="3799" w:type="dxa"/>
          </w:tcPr>
          <w:p w14:paraId="23E1B82F" w14:textId="77777777" w:rsidR="0013488E" w:rsidRDefault="0013488E" w:rsidP="00410727">
            <w:pPr>
              <w:rPr>
                <w:sz w:val="22"/>
                <w:szCs w:val="22"/>
              </w:rPr>
            </w:pPr>
          </w:p>
        </w:tc>
        <w:tc>
          <w:tcPr>
            <w:tcW w:w="4803" w:type="dxa"/>
          </w:tcPr>
          <w:p w14:paraId="25639B7F" w14:textId="77777777" w:rsidR="0013488E" w:rsidRPr="00410727" w:rsidRDefault="0013488E" w:rsidP="00410727">
            <w:pPr>
              <w:rPr>
                <w:i/>
                <w:sz w:val="22"/>
                <w:szCs w:val="22"/>
              </w:rPr>
            </w:pPr>
          </w:p>
        </w:tc>
        <w:tc>
          <w:tcPr>
            <w:tcW w:w="1157" w:type="dxa"/>
          </w:tcPr>
          <w:p w14:paraId="6860AB0D" w14:textId="77777777" w:rsidR="0013488E" w:rsidRPr="0013488E" w:rsidRDefault="0013488E" w:rsidP="00D73FE2">
            <w:pPr>
              <w:jc w:val="right"/>
              <w:rPr>
                <w:sz w:val="22"/>
                <w:szCs w:val="22"/>
              </w:rPr>
            </w:pPr>
          </w:p>
        </w:tc>
        <w:tc>
          <w:tcPr>
            <w:tcW w:w="1108" w:type="dxa"/>
          </w:tcPr>
          <w:p w14:paraId="61ACE970" w14:textId="77777777" w:rsidR="0013488E" w:rsidRPr="0013488E" w:rsidRDefault="0013488E" w:rsidP="00D73FE2">
            <w:pPr>
              <w:jc w:val="right"/>
              <w:rPr>
                <w:sz w:val="22"/>
                <w:szCs w:val="22"/>
              </w:rPr>
            </w:pPr>
          </w:p>
        </w:tc>
        <w:tc>
          <w:tcPr>
            <w:tcW w:w="913" w:type="dxa"/>
          </w:tcPr>
          <w:p w14:paraId="0595CB71" w14:textId="77777777" w:rsidR="0013488E" w:rsidRPr="0013488E" w:rsidRDefault="0013488E" w:rsidP="00D73FE2">
            <w:pPr>
              <w:jc w:val="right"/>
              <w:rPr>
                <w:sz w:val="22"/>
                <w:szCs w:val="22"/>
              </w:rPr>
            </w:pPr>
          </w:p>
        </w:tc>
      </w:tr>
      <w:tr w:rsidR="00D73FE2" w14:paraId="4E2DABEC" w14:textId="5EAA64C0" w:rsidTr="00D73FE2">
        <w:tc>
          <w:tcPr>
            <w:tcW w:w="1506" w:type="dxa"/>
          </w:tcPr>
          <w:p w14:paraId="0D1E5F1A" w14:textId="77777777" w:rsidR="0013488E" w:rsidRDefault="0013488E" w:rsidP="00B42E4A">
            <w:pPr>
              <w:rPr>
                <w:b/>
                <w:sz w:val="22"/>
                <w:szCs w:val="22"/>
              </w:rPr>
            </w:pPr>
            <w:r w:rsidRPr="00257DE9">
              <w:rPr>
                <w:b/>
                <w:sz w:val="22"/>
                <w:szCs w:val="22"/>
              </w:rPr>
              <w:t>Political Economy</w:t>
            </w:r>
          </w:p>
          <w:p w14:paraId="1FD9BA6D" w14:textId="61332270" w:rsidR="0013488E" w:rsidRPr="00257DE9" w:rsidRDefault="0013488E" w:rsidP="00B42E4A">
            <w:pPr>
              <w:rPr>
                <w:b/>
                <w:sz w:val="22"/>
                <w:szCs w:val="22"/>
              </w:rPr>
            </w:pPr>
            <w:r>
              <w:rPr>
                <w:sz w:val="22"/>
                <w:szCs w:val="22"/>
              </w:rPr>
              <w:t>[Social]</w:t>
            </w:r>
          </w:p>
        </w:tc>
        <w:tc>
          <w:tcPr>
            <w:tcW w:w="3799" w:type="dxa"/>
          </w:tcPr>
          <w:p w14:paraId="7ED1B585" w14:textId="6ED4CD4C" w:rsidR="0013488E" w:rsidRDefault="0013488E" w:rsidP="00410727">
            <w:pPr>
              <w:rPr>
                <w:sz w:val="22"/>
                <w:szCs w:val="22"/>
              </w:rPr>
            </w:pPr>
            <w:r>
              <w:rPr>
                <w:sz w:val="22"/>
                <w:szCs w:val="22"/>
              </w:rPr>
              <w:t xml:space="preserve">The relationship between individuals and society as influenced by the interplay among politics and the economics of the agricultural </w:t>
            </w:r>
            <w:r w:rsidRPr="00DB17AC">
              <w:rPr>
                <w:sz w:val="22"/>
                <w:szCs w:val="22"/>
              </w:rPr>
              <w:t xml:space="preserve">industry (Jevons, 1871; Encyclopedia Britannica, 2016). </w:t>
            </w:r>
          </w:p>
        </w:tc>
        <w:tc>
          <w:tcPr>
            <w:tcW w:w="4803" w:type="dxa"/>
          </w:tcPr>
          <w:p w14:paraId="3325FE70" w14:textId="77777777" w:rsidR="0013488E" w:rsidRDefault="0013488E" w:rsidP="00410727">
            <w:pPr>
              <w:rPr>
                <w:sz w:val="22"/>
                <w:szCs w:val="22"/>
              </w:rPr>
            </w:pPr>
            <w:r w:rsidRPr="00410727">
              <w:rPr>
                <w:i/>
                <w:sz w:val="22"/>
                <w:szCs w:val="22"/>
              </w:rPr>
              <w:t>Lack of political action</w:t>
            </w:r>
            <w:r>
              <w:rPr>
                <w:sz w:val="22"/>
                <w:szCs w:val="22"/>
              </w:rPr>
              <w:t xml:space="preserve"> in guiding sustainable consumption patterns</w:t>
            </w:r>
          </w:p>
          <w:p w14:paraId="70EEDE91" w14:textId="77777777" w:rsidR="0013488E" w:rsidRDefault="0013488E" w:rsidP="00410727">
            <w:pPr>
              <w:rPr>
                <w:sz w:val="22"/>
                <w:szCs w:val="22"/>
              </w:rPr>
            </w:pPr>
          </w:p>
          <w:p w14:paraId="073012E2" w14:textId="7A4C07DB" w:rsidR="0013488E" w:rsidRPr="00257DE9" w:rsidRDefault="0013488E" w:rsidP="00410727">
            <w:pPr>
              <w:rPr>
                <w:sz w:val="22"/>
                <w:szCs w:val="22"/>
              </w:rPr>
            </w:pPr>
            <w:r>
              <w:rPr>
                <w:i/>
                <w:sz w:val="22"/>
                <w:szCs w:val="22"/>
              </w:rPr>
              <w:t xml:space="preserve">Lack of industry action </w:t>
            </w:r>
            <w:r>
              <w:rPr>
                <w:sz w:val="22"/>
                <w:szCs w:val="22"/>
              </w:rPr>
              <w:t>in promoting plant-based alternatives; asymmetric marketing; industry lock-in</w:t>
            </w:r>
          </w:p>
        </w:tc>
        <w:tc>
          <w:tcPr>
            <w:tcW w:w="1157" w:type="dxa"/>
          </w:tcPr>
          <w:p w14:paraId="0EE62051" w14:textId="5999EAB5" w:rsidR="0013488E" w:rsidRPr="0013488E" w:rsidRDefault="00DF30E0" w:rsidP="00D73FE2">
            <w:pPr>
              <w:jc w:val="right"/>
              <w:rPr>
                <w:sz w:val="22"/>
                <w:szCs w:val="22"/>
              </w:rPr>
            </w:pPr>
            <w:r>
              <w:rPr>
                <w:sz w:val="22"/>
                <w:szCs w:val="22"/>
              </w:rPr>
              <w:t>5</w:t>
            </w:r>
          </w:p>
        </w:tc>
        <w:tc>
          <w:tcPr>
            <w:tcW w:w="1108" w:type="dxa"/>
          </w:tcPr>
          <w:p w14:paraId="0C7383CD" w14:textId="038C4EEA" w:rsidR="0013488E" w:rsidRPr="0013488E" w:rsidRDefault="00A77B53" w:rsidP="00D73FE2">
            <w:pPr>
              <w:jc w:val="right"/>
              <w:rPr>
                <w:sz w:val="22"/>
                <w:szCs w:val="22"/>
              </w:rPr>
            </w:pPr>
            <w:r>
              <w:rPr>
                <w:sz w:val="22"/>
                <w:szCs w:val="22"/>
              </w:rPr>
              <w:t>81</w:t>
            </w:r>
          </w:p>
        </w:tc>
        <w:tc>
          <w:tcPr>
            <w:tcW w:w="913" w:type="dxa"/>
          </w:tcPr>
          <w:p w14:paraId="49E7EFA6" w14:textId="5E411B76" w:rsidR="0013488E" w:rsidRPr="0013488E" w:rsidRDefault="00A77B53" w:rsidP="00D73FE2">
            <w:pPr>
              <w:jc w:val="right"/>
              <w:rPr>
                <w:sz w:val="22"/>
                <w:szCs w:val="22"/>
              </w:rPr>
            </w:pPr>
            <w:r>
              <w:rPr>
                <w:sz w:val="22"/>
                <w:szCs w:val="22"/>
              </w:rPr>
              <w:t>58</w:t>
            </w:r>
          </w:p>
        </w:tc>
      </w:tr>
      <w:tr w:rsidR="00D73FE2" w14:paraId="7311ECA9" w14:textId="61E1A259" w:rsidTr="00D73FE2">
        <w:tc>
          <w:tcPr>
            <w:tcW w:w="1506" w:type="dxa"/>
          </w:tcPr>
          <w:p w14:paraId="56978B41" w14:textId="77777777" w:rsidR="0013488E" w:rsidRPr="00257DE9" w:rsidRDefault="0013488E" w:rsidP="00B42E4A">
            <w:pPr>
              <w:rPr>
                <w:b/>
                <w:sz w:val="22"/>
                <w:szCs w:val="22"/>
              </w:rPr>
            </w:pPr>
          </w:p>
        </w:tc>
        <w:tc>
          <w:tcPr>
            <w:tcW w:w="3799" w:type="dxa"/>
          </w:tcPr>
          <w:p w14:paraId="0EC6266A" w14:textId="77777777" w:rsidR="0013488E" w:rsidRDefault="0013488E" w:rsidP="00410727">
            <w:pPr>
              <w:rPr>
                <w:sz w:val="22"/>
                <w:szCs w:val="22"/>
              </w:rPr>
            </w:pPr>
          </w:p>
        </w:tc>
        <w:tc>
          <w:tcPr>
            <w:tcW w:w="4803" w:type="dxa"/>
          </w:tcPr>
          <w:p w14:paraId="62BC7644" w14:textId="77777777" w:rsidR="0013488E" w:rsidRPr="00410727" w:rsidRDefault="0013488E" w:rsidP="00410727">
            <w:pPr>
              <w:rPr>
                <w:i/>
                <w:sz w:val="22"/>
                <w:szCs w:val="22"/>
              </w:rPr>
            </w:pPr>
          </w:p>
        </w:tc>
        <w:tc>
          <w:tcPr>
            <w:tcW w:w="1157" w:type="dxa"/>
          </w:tcPr>
          <w:p w14:paraId="1AFAB116" w14:textId="77777777" w:rsidR="0013488E" w:rsidRPr="0013488E" w:rsidRDefault="0013488E" w:rsidP="00D73FE2">
            <w:pPr>
              <w:jc w:val="right"/>
              <w:rPr>
                <w:sz w:val="22"/>
                <w:szCs w:val="22"/>
              </w:rPr>
            </w:pPr>
          </w:p>
        </w:tc>
        <w:tc>
          <w:tcPr>
            <w:tcW w:w="1108" w:type="dxa"/>
          </w:tcPr>
          <w:p w14:paraId="39D15877" w14:textId="77777777" w:rsidR="0013488E" w:rsidRPr="0013488E" w:rsidRDefault="0013488E" w:rsidP="00D73FE2">
            <w:pPr>
              <w:jc w:val="right"/>
              <w:rPr>
                <w:sz w:val="22"/>
                <w:szCs w:val="22"/>
              </w:rPr>
            </w:pPr>
          </w:p>
        </w:tc>
        <w:tc>
          <w:tcPr>
            <w:tcW w:w="913" w:type="dxa"/>
          </w:tcPr>
          <w:p w14:paraId="281E1184" w14:textId="77777777" w:rsidR="0013488E" w:rsidRPr="0013488E" w:rsidRDefault="0013488E" w:rsidP="00D73FE2">
            <w:pPr>
              <w:jc w:val="right"/>
              <w:rPr>
                <w:sz w:val="22"/>
                <w:szCs w:val="22"/>
              </w:rPr>
            </w:pPr>
          </w:p>
        </w:tc>
      </w:tr>
      <w:tr w:rsidR="00D73FE2" w14:paraId="44C7F15B" w14:textId="2492BEFC" w:rsidTr="00D73FE2">
        <w:tc>
          <w:tcPr>
            <w:tcW w:w="1506" w:type="dxa"/>
          </w:tcPr>
          <w:p w14:paraId="01BD1329" w14:textId="77777777" w:rsidR="0013488E" w:rsidRDefault="0013488E" w:rsidP="00B42E4A">
            <w:pPr>
              <w:rPr>
                <w:b/>
                <w:sz w:val="22"/>
                <w:szCs w:val="22"/>
              </w:rPr>
            </w:pPr>
            <w:r w:rsidRPr="00257DE9">
              <w:rPr>
                <w:b/>
                <w:sz w:val="22"/>
                <w:szCs w:val="22"/>
              </w:rPr>
              <w:t>Social Influence</w:t>
            </w:r>
          </w:p>
          <w:p w14:paraId="49295945" w14:textId="4D94B1A8" w:rsidR="0013488E" w:rsidRPr="00257DE9" w:rsidRDefault="0013488E" w:rsidP="00B42E4A">
            <w:pPr>
              <w:rPr>
                <w:b/>
                <w:sz w:val="22"/>
                <w:szCs w:val="22"/>
              </w:rPr>
            </w:pPr>
            <w:r>
              <w:rPr>
                <w:sz w:val="22"/>
                <w:szCs w:val="22"/>
              </w:rPr>
              <w:t>[Social]</w:t>
            </w:r>
          </w:p>
        </w:tc>
        <w:tc>
          <w:tcPr>
            <w:tcW w:w="3799" w:type="dxa"/>
          </w:tcPr>
          <w:p w14:paraId="5252926B" w14:textId="537F216E" w:rsidR="0013488E" w:rsidRDefault="0013488E" w:rsidP="008B0923">
            <w:pPr>
              <w:rPr>
                <w:sz w:val="22"/>
                <w:szCs w:val="22"/>
              </w:rPr>
            </w:pPr>
            <w:r>
              <w:rPr>
                <w:sz w:val="22"/>
                <w:szCs w:val="22"/>
              </w:rPr>
              <w:t xml:space="preserve">The effect of others on one’s emotions, and resulting behavioural actions, as influenced through peer pressure, and conformity (Asch, 1961; </w:t>
            </w:r>
            <w:r>
              <w:t>Latané, 1981</w:t>
            </w:r>
            <w:r>
              <w:rPr>
                <w:sz w:val="22"/>
                <w:szCs w:val="22"/>
              </w:rPr>
              <w:t xml:space="preserve">). </w:t>
            </w:r>
          </w:p>
        </w:tc>
        <w:tc>
          <w:tcPr>
            <w:tcW w:w="4803" w:type="dxa"/>
          </w:tcPr>
          <w:p w14:paraId="74D4CF19" w14:textId="77777777" w:rsidR="0013488E" w:rsidRDefault="0013488E" w:rsidP="00410727">
            <w:pPr>
              <w:rPr>
                <w:sz w:val="22"/>
                <w:szCs w:val="22"/>
              </w:rPr>
            </w:pPr>
            <w:r>
              <w:rPr>
                <w:i/>
                <w:sz w:val="22"/>
                <w:szCs w:val="22"/>
              </w:rPr>
              <w:t>Social norms and expectations</w:t>
            </w:r>
            <w:r>
              <w:rPr>
                <w:sz w:val="22"/>
                <w:szCs w:val="22"/>
              </w:rPr>
              <w:t xml:space="preserve"> to consume to meat</w:t>
            </w:r>
          </w:p>
          <w:p w14:paraId="4EBD966D" w14:textId="77777777" w:rsidR="0013488E" w:rsidRDefault="0013488E" w:rsidP="00410727">
            <w:pPr>
              <w:rPr>
                <w:sz w:val="22"/>
                <w:szCs w:val="22"/>
              </w:rPr>
            </w:pPr>
          </w:p>
          <w:p w14:paraId="750EC943" w14:textId="00279DE5" w:rsidR="0013488E" w:rsidRPr="003C1DF2" w:rsidRDefault="0013488E" w:rsidP="00410727">
            <w:pPr>
              <w:rPr>
                <w:sz w:val="22"/>
                <w:szCs w:val="22"/>
              </w:rPr>
            </w:pPr>
            <w:r>
              <w:rPr>
                <w:i/>
                <w:sz w:val="22"/>
                <w:szCs w:val="22"/>
              </w:rPr>
              <w:t xml:space="preserve">Social criticism and alienation </w:t>
            </w:r>
            <w:r>
              <w:rPr>
                <w:sz w:val="22"/>
                <w:szCs w:val="22"/>
              </w:rPr>
              <w:t>of vegetarians</w:t>
            </w:r>
          </w:p>
        </w:tc>
        <w:tc>
          <w:tcPr>
            <w:tcW w:w="1157" w:type="dxa"/>
          </w:tcPr>
          <w:p w14:paraId="21A690A4" w14:textId="1CAABE1B" w:rsidR="0013488E" w:rsidRPr="0013488E" w:rsidRDefault="00DF30E0" w:rsidP="00D73FE2">
            <w:pPr>
              <w:jc w:val="right"/>
              <w:rPr>
                <w:sz w:val="22"/>
                <w:szCs w:val="22"/>
              </w:rPr>
            </w:pPr>
            <w:r>
              <w:rPr>
                <w:sz w:val="22"/>
                <w:szCs w:val="22"/>
              </w:rPr>
              <w:t>5</w:t>
            </w:r>
          </w:p>
        </w:tc>
        <w:tc>
          <w:tcPr>
            <w:tcW w:w="1108" w:type="dxa"/>
          </w:tcPr>
          <w:p w14:paraId="1B9F9094" w14:textId="38BC21E7" w:rsidR="0013488E" w:rsidRPr="0013488E" w:rsidRDefault="00A77B53" w:rsidP="00D73FE2">
            <w:pPr>
              <w:jc w:val="right"/>
              <w:rPr>
                <w:sz w:val="22"/>
                <w:szCs w:val="22"/>
              </w:rPr>
            </w:pPr>
            <w:r>
              <w:rPr>
                <w:sz w:val="22"/>
                <w:szCs w:val="22"/>
              </w:rPr>
              <w:t>39</w:t>
            </w:r>
          </w:p>
        </w:tc>
        <w:tc>
          <w:tcPr>
            <w:tcW w:w="913" w:type="dxa"/>
          </w:tcPr>
          <w:p w14:paraId="2CB58EB5" w14:textId="02C7698B" w:rsidR="0013488E" w:rsidRPr="0013488E" w:rsidRDefault="00A77B53" w:rsidP="00D73FE2">
            <w:pPr>
              <w:jc w:val="right"/>
              <w:rPr>
                <w:sz w:val="22"/>
                <w:szCs w:val="22"/>
              </w:rPr>
            </w:pPr>
            <w:r>
              <w:rPr>
                <w:sz w:val="22"/>
                <w:szCs w:val="22"/>
              </w:rPr>
              <w:t>55</w:t>
            </w:r>
          </w:p>
        </w:tc>
      </w:tr>
    </w:tbl>
    <w:p w14:paraId="60D3726E" w14:textId="77777777" w:rsidR="00D73FE2" w:rsidRDefault="00D73FE2" w:rsidP="009D15D6">
      <w:pPr>
        <w:jc w:val="both"/>
        <w:outlineLvl w:val="0"/>
        <w:rPr>
          <w:sz w:val="22"/>
          <w:szCs w:val="22"/>
        </w:rPr>
        <w:sectPr w:rsidR="00D73FE2" w:rsidSect="00D73FE2">
          <w:pgSz w:w="15840" w:h="12240" w:orient="landscape"/>
          <w:pgMar w:top="1440" w:right="1440" w:bottom="1440" w:left="1440" w:header="708" w:footer="708" w:gutter="0"/>
          <w:cols w:space="708"/>
          <w:docGrid w:linePitch="360"/>
        </w:sectPr>
      </w:pPr>
    </w:p>
    <w:p w14:paraId="5F2EA3A4" w14:textId="4BD873D4" w:rsidR="009D15D6" w:rsidRPr="00D73FE2" w:rsidRDefault="00645244" w:rsidP="00D73FE2">
      <w:pPr>
        <w:spacing w:line="480" w:lineRule="auto"/>
        <w:ind w:firstLine="720"/>
        <w:jc w:val="both"/>
        <w:outlineLvl w:val="0"/>
      </w:pPr>
      <w:r>
        <w:lastRenderedPageBreak/>
        <w:t>Differences in themes we</w:t>
      </w:r>
      <w:r w:rsidR="009D15D6">
        <w:t xml:space="preserve">re prevalent among the academic literature (Figure 7), and public databases (Figure 8). </w:t>
      </w:r>
      <w:r w:rsidR="00D73FE2">
        <w:t xml:space="preserve">Though political economy was considered to be a significant barrier to vegetarianism in the academic literature (27.9%), it was not mentioned at all in the public realm based upon examination of webpages using the aforementioned key search terms. Likewise, as information asymmetry was considered to be the greatest obstacle from both sources, it occupies a greater proportion of the dietary bottlenecks discovered in the public realm (57.7%) in comparison to the academic literature (34.7%), given the absence of discussion on the political economy. </w:t>
      </w:r>
      <w:r w:rsidR="009D15D6">
        <w:t>Like the academic literature, public webpages also consider</w:t>
      </w:r>
      <w:r>
        <w:t>ed</w:t>
      </w:r>
      <w:r w:rsidR="009D15D6">
        <w:t xml:space="preserve"> autonomy (</w:t>
      </w:r>
      <w:r w:rsidR="00BF014B">
        <w:t>7.0</w:t>
      </w:r>
      <w:r w:rsidR="009D15D6">
        <w:t>%; 7.7% respectively), social influence (</w:t>
      </w:r>
      <w:r w:rsidR="00BF014B">
        <w:t>19.2</w:t>
      </w:r>
      <w:r w:rsidR="009D15D6">
        <w:t xml:space="preserve">%; 19.2%), and cognitive dissonance (11.3%; 15.4%) as being barriers to vegetarianism. </w:t>
      </w:r>
    </w:p>
    <w:p w14:paraId="1B48BA39" w14:textId="2B368065" w:rsidR="009D15D6" w:rsidRDefault="00BF014B" w:rsidP="009D15D6">
      <w:pPr>
        <w:jc w:val="both"/>
        <w:outlineLvl w:val="0"/>
        <w:rPr>
          <w:sz w:val="22"/>
          <w:szCs w:val="22"/>
        </w:rPr>
      </w:pPr>
      <w:r>
        <w:rPr>
          <w:noProof/>
        </w:rPr>
        <w:drawing>
          <wp:inline distT="0" distB="0" distL="0" distR="0" wp14:anchorId="7859DEE4" wp14:editId="41CC9664">
            <wp:extent cx="3429000" cy="2687955"/>
            <wp:effectExtent l="0" t="0" r="0" b="444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A77B53">
        <w:rPr>
          <w:noProof/>
        </w:rPr>
        <w:drawing>
          <wp:inline distT="0" distB="0" distL="0" distR="0" wp14:anchorId="241B0D07" wp14:editId="1809917F">
            <wp:extent cx="2514600" cy="3351276"/>
            <wp:effectExtent l="0" t="0" r="0" b="190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01CE8E9" w14:textId="77777777" w:rsidR="009D15D6" w:rsidRDefault="009D15D6" w:rsidP="009D15D6">
      <w:pPr>
        <w:jc w:val="both"/>
        <w:outlineLvl w:val="0"/>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789"/>
      </w:tblGrid>
      <w:tr w:rsidR="009D15D6" w14:paraId="747E676E" w14:textId="77777777" w:rsidTr="00FF0A8D">
        <w:tc>
          <w:tcPr>
            <w:tcW w:w="4675" w:type="dxa"/>
          </w:tcPr>
          <w:p w14:paraId="00200213" w14:textId="77777777" w:rsidR="009D15D6" w:rsidRDefault="009D15D6" w:rsidP="00B42E4A">
            <w:pPr>
              <w:jc w:val="both"/>
              <w:outlineLvl w:val="0"/>
              <w:rPr>
                <w:sz w:val="22"/>
                <w:szCs w:val="22"/>
              </w:rPr>
            </w:pPr>
            <w:r>
              <w:rPr>
                <w:sz w:val="22"/>
                <w:szCs w:val="22"/>
              </w:rPr>
              <w:t>Figure 7. Proportion of codes detected from primary journal articles, contributing to each of the five major themes, regarding barriers to plant-based diets.</w:t>
            </w:r>
          </w:p>
        </w:tc>
        <w:tc>
          <w:tcPr>
            <w:tcW w:w="4789" w:type="dxa"/>
          </w:tcPr>
          <w:p w14:paraId="66FC34B1" w14:textId="77777777" w:rsidR="009D15D6" w:rsidRDefault="009D15D6" w:rsidP="00B42E4A">
            <w:pPr>
              <w:jc w:val="both"/>
              <w:outlineLvl w:val="0"/>
              <w:rPr>
                <w:sz w:val="22"/>
                <w:szCs w:val="22"/>
              </w:rPr>
            </w:pPr>
            <w:r>
              <w:rPr>
                <w:sz w:val="22"/>
                <w:szCs w:val="22"/>
              </w:rPr>
              <w:t>Figure 8. Proportion of codes detected from advocacy websites, contributing to each of the five major themes, regarding barriers to plant-based diets.</w:t>
            </w:r>
          </w:p>
        </w:tc>
      </w:tr>
    </w:tbl>
    <w:p w14:paraId="75D75AE2" w14:textId="77777777" w:rsidR="009D15D6" w:rsidRDefault="009D15D6" w:rsidP="009D15D6">
      <w:pPr>
        <w:jc w:val="both"/>
        <w:outlineLvl w:val="0"/>
        <w:rPr>
          <w:sz w:val="22"/>
          <w:szCs w:val="22"/>
        </w:rPr>
      </w:pPr>
    </w:p>
    <w:p w14:paraId="61C68AAF" w14:textId="2C47CB68" w:rsidR="009D15D6" w:rsidRDefault="009D15D6" w:rsidP="00D73FE2">
      <w:pPr>
        <w:spacing w:line="480" w:lineRule="auto"/>
        <w:ind w:firstLine="720"/>
        <w:jc w:val="both"/>
      </w:pPr>
      <w:r>
        <w:lastRenderedPageBreak/>
        <w:t>The first phrase investigated in Google Chrome was: “vegetarian [vegan] diet better for the environment”. Interestingly, use of the words vegetarian and vegan yield</w:t>
      </w:r>
      <w:r w:rsidR="00AF22DB">
        <w:t>ed</w:t>
      </w:r>
      <w:r>
        <w:t xml:space="preserve"> the sam</w:t>
      </w:r>
      <w:r w:rsidR="00AF22DB">
        <w:t xml:space="preserve">e </w:t>
      </w:r>
      <w:r w:rsidR="00CA226F">
        <w:t>websites for further analysis.</w:t>
      </w:r>
      <w:r w:rsidR="00AF22DB">
        <w:t xml:space="preserve"> This search generated</w:t>
      </w:r>
      <w:r>
        <w:t xml:space="preserve"> highly contradictory information, despite the consensus of the academic world that plant-based diets are better for the environment, human health, and food security. Roughly 56% of the first 50 webpages contradict</w:t>
      </w:r>
      <w:r w:rsidR="00AF22DB">
        <w:t>ed</w:t>
      </w:r>
      <w:r>
        <w:t xml:space="preserve"> the conventional wisdom that a vegetarian, or vegan diet is generally better for the environment than a westernized meat-based diet. The contradictory</w:t>
      </w:r>
      <w:r w:rsidR="00AF22DB">
        <w:t xml:space="preserve"> information predominantly ste</w:t>
      </w:r>
      <w:r w:rsidR="00D94D39">
        <w:t>m</w:t>
      </w:r>
      <w:r w:rsidR="00AF22DB">
        <w:t>med</w:t>
      </w:r>
      <w:r>
        <w:t xml:space="preserve"> from one recent study (Tom </w:t>
      </w:r>
      <w:r w:rsidRPr="0055395A">
        <w:rPr>
          <w:i/>
        </w:rPr>
        <w:t>et al.,</w:t>
      </w:r>
      <w:r>
        <w:t xml:space="preserve"> 2015), that newspapers, bloggers, and meat advocates have grabbed onto. The principal catchphrase that went viral, was</w:t>
      </w:r>
      <w:r w:rsidR="000C79C8">
        <w:t>:</w:t>
      </w:r>
      <w:r>
        <w:t xml:space="preserve"> “lettuce is three times worse in greenhouse ga</w:t>
      </w:r>
      <w:r w:rsidR="00BC216F">
        <w:t xml:space="preserve">s emissions than eating bacon”. This comparison is not actually stated in Tom </w:t>
      </w:r>
      <w:r w:rsidR="00BC216F" w:rsidRPr="00BC216F">
        <w:rPr>
          <w:i/>
        </w:rPr>
        <w:t xml:space="preserve">et al. </w:t>
      </w:r>
      <w:r w:rsidR="00BC216F">
        <w:t xml:space="preserve">(2015), rather the media misrepresented the study’s analyses. </w:t>
      </w:r>
      <w:r w:rsidR="00534C26">
        <w:t xml:space="preserve">The misinformation stems from the questionable analysis (Cucurachi </w:t>
      </w:r>
      <w:r w:rsidR="00534C26" w:rsidRPr="00534C26">
        <w:rPr>
          <w:i/>
        </w:rPr>
        <w:t>et al.,</w:t>
      </w:r>
      <w:r w:rsidR="00534C26">
        <w:t xml:space="preserve"> 2016) by Tom </w:t>
      </w:r>
      <w:r w:rsidR="00534C26" w:rsidRPr="00534C26">
        <w:rPr>
          <w:i/>
        </w:rPr>
        <w:t>et al.</w:t>
      </w:r>
      <w:r w:rsidR="00534C26">
        <w:t xml:space="preserve"> (2015), and their </w:t>
      </w:r>
      <w:r w:rsidR="00FF0A8D">
        <w:t>questionable</w:t>
      </w:r>
      <w:r w:rsidR="00534C26">
        <w:t xml:space="preserve"> use of dietary resource use and emissions</w:t>
      </w:r>
      <w:r w:rsidR="00FF0A8D">
        <w:t xml:space="preserve"> compared</w:t>
      </w:r>
      <w:r w:rsidR="00534C26">
        <w:t xml:space="preserve"> on a per calorie basis. Given that fruits, and vegetables have considerably less calories than beef or pork, these findings </w:t>
      </w:r>
      <w:r w:rsidR="00FF0A8D">
        <w:t>are unsurprising. However, the</w:t>
      </w:r>
      <w:r w:rsidR="00534C26">
        <w:t xml:space="preserve"> viral misrepresentation </w:t>
      </w:r>
      <w:r w:rsidR="00FF0A8D">
        <w:t>of the study in</w:t>
      </w:r>
      <w:r w:rsidR="00534C26">
        <w:t xml:space="preserve"> the media deceived</w:t>
      </w:r>
      <w:r w:rsidR="00BC216F">
        <w:t xml:space="preserve"> </w:t>
      </w:r>
      <w:r w:rsidR="00534C26">
        <w:t>ecological arguments</w:t>
      </w:r>
      <w:r w:rsidR="00BC216F">
        <w:t xml:space="preserve">, and was highly unconstructive in promoting </w:t>
      </w:r>
      <w:r w:rsidR="00534C26">
        <w:t>environmental</w:t>
      </w:r>
      <w:r w:rsidR="00BC216F">
        <w:t xml:space="preserve"> choices. </w:t>
      </w:r>
    </w:p>
    <w:p w14:paraId="18C33BB6" w14:textId="73E88B7B" w:rsidR="009D15D6" w:rsidRDefault="009D15D6" w:rsidP="009D15D6">
      <w:pPr>
        <w:spacing w:line="480" w:lineRule="auto"/>
        <w:ind w:firstLine="720"/>
        <w:jc w:val="both"/>
      </w:pPr>
      <w:r>
        <w:t>The second phrase investigated in Google Chrome was “why should I eat a plant-based diet”. Thou</w:t>
      </w:r>
      <w:r w:rsidR="00AF22DB">
        <w:t>gh the second exploration yielded</w:t>
      </w:r>
      <w:r>
        <w:t xml:space="preserve"> more positive information than the aforementioned search phra</w:t>
      </w:r>
      <w:r w:rsidR="00AF22DB">
        <w:t>se, only a handful of webpages we</w:t>
      </w:r>
      <w:r>
        <w:t>re considered to be from trusted sources (ie. World Health Organization, Harvard</w:t>
      </w:r>
      <w:r w:rsidR="00AF22DB">
        <w:t>), while the majority originated</w:t>
      </w:r>
      <w:r>
        <w:t xml:space="preserve"> from news articles, blogposts, and advocacy groups. In</w:t>
      </w:r>
      <w:r w:rsidR="00AF22DB">
        <w:t>terestingly, the search produced</w:t>
      </w:r>
      <w:r>
        <w:t xml:space="preserve"> no government articles, emphasizing </w:t>
      </w:r>
      <w:r w:rsidR="007E7FEA">
        <w:t>the political disconnect</w:t>
      </w:r>
      <w:r>
        <w:t xml:space="preserve"> from influencing consumption behavio</w:t>
      </w:r>
      <w:r w:rsidR="004D5563">
        <w:t>u</w:t>
      </w:r>
      <w:r>
        <w:t>r of individuals, despite the health, environmental, and resulting economic benefits</w:t>
      </w:r>
      <w:r w:rsidR="007E7FEA">
        <w:t xml:space="preserve"> in</w:t>
      </w:r>
      <w:r>
        <w:t xml:space="preserve"> doing so. </w:t>
      </w:r>
    </w:p>
    <w:p w14:paraId="68E3F5AD" w14:textId="663DB060" w:rsidR="00642E70" w:rsidRDefault="009D15D6" w:rsidP="009D15D6">
      <w:pPr>
        <w:spacing w:line="480" w:lineRule="auto"/>
        <w:ind w:firstLine="720"/>
        <w:jc w:val="both"/>
      </w:pPr>
      <w:r>
        <w:lastRenderedPageBreak/>
        <w:t>The effect of sociodemographics</w:t>
      </w:r>
      <w:r w:rsidR="00880149">
        <w:t xml:space="preserve"> or household characteristics,</w:t>
      </w:r>
      <w:r>
        <w:t xml:space="preserve"> on dietary behavio</w:t>
      </w:r>
      <w:r w:rsidR="004D5563">
        <w:t>u</w:t>
      </w:r>
      <w:r w:rsidR="00AF22DB">
        <w:t>r we</w:t>
      </w:r>
      <w:r>
        <w:t>re mentioned by many academic journal articles (Figure 9)</w:t>
      </w:r>
      <w:r w:rsidR="00880149">
        <w:t xml:space="preserve">. For instance, </w:t>
      </w:r>
      <w:r w:rsidR="00E5207F">
        <w:t xml:space="preserve">evidence suggest that </w:t>
      </w:r>
      <w:r w:rsidR="00880149">
        <w:t xml:space="preserve">food preferences differ dependent upon age, income, education, family type, and job status (Reisch </w:t>
      </w:r>
      <w:r w:rsidR="00880149" w:rsidRPr="00880149">
        <w:rPr>
          <w:i/>
        </w:rPr>
        <w:t>et al.,</w:t>
      </w:r>
      <w:r w:rsidR="00880149">
        <w:t xml:space="preserve"> 2013</w:t>
      </w:r>
      <w:r w:rsidR="00087968">
        <w:t>; Ponzio et al., 2015</w:t>
      </w:r>
      <w:r w:rsidR="00880149">
        <w:t xml:space="preserve">). </w:t>
      </w:r>
      <w:r w:rsidR="00E33A8A">
        <w:t xml:space="preserve">A higher level of income is positively correlated with better quality diets (Kearney, 2010), namely vegetarianism (Jabs </w:t>
      </w:r>
      <w:r w:rsidR="00E33A8A" w:rsidRPr="00642E70">
        <w:rPr>
          <w:i/>
        </w:rPr>
        <w:t>et al.,</w:t>
      </w:r>
      <w:r w:rsidR="00E33A8A">
        <w:t xml:space="preserve"> </w:t>
      </w:r>
      <w:r w:rsidR="00642E70">
        <w:t>1999</w:t>
      </w:r>
      <w:r w:rsidR="00E33A8A">
        <w:t>) in the US, and allows consumers to be more consciously selective in their purchasing behaviour. Furthermore, there is a common myth</w:t>
      </w:r>
      <w:r w:rsidR="00700705">
        <w:t>, and frequently noted perceived barrier</w:t>
      </w:r>
      <w:r w:rsidR="00E33A8A">
        <w:t xml:space="preserve"> that vegetarian diets are more expensive in comparison to their animal-based counterparts</w:t>
      </w:r>
      <w:r w:rsidR="00700705">
        <w:t xml:space="preserve"> (Mäkiniemi &amp; Vainio, 2014)</w:t>
      </w:r>
      <w:r w:rsidR="00E5207F">
        <w:t>. This claim, however, is false</w:t>
      </w:r>
      <w:r w:rsidR="00700705">
        <w:t xml:space="preserve"> as animal protein is considerably more expensive than plant based protein alternatives (ie. lentils, nuts, and seeds). </w:t>
      </w:r>
      <w:r w:rsidR="00E33A8A">
        <w:t>Education level is also positively correlated with vegetarianism,</w:t>
      </w:r>
      <w:r w:rsidR="00642E70">
        <w:t xml:space="preserve"> according to multiple studies (</w:t>
      </w:r>
      <w:r w:rsidR="00E33A8A">
        <w:t>Netherlands</w:t>
      </w:r>
      <w:r w:rsidR="00E5207F">
        <w:t>,</w:t>
      </w:r>
      <w:r w:rsidR="00642E70">
        <w:t xml:space="preserve"> </w:t>
      </w:r>
      <w:r w:rsidR="00E33A8A">
        <w:t xml:space="preserve">Hoek </w:t>
      </w:r>
      <w:r w:rsidR="00E33A8A" w:rsidRPr="00E33A8A">
        <w:rPr>
          <w:i/>
        </w:rPr>
        <w:t>et al.,</w:t>
      </w:r>
      <w:r w:rsidR="00E33A8A">
        <w:t xml:space="preserve"> 2004</w:t>
      </w:r>
      <w:r w:rsidR="00E5207F">
        <w:t>; Italy,</w:t>
      </w:r>
      <w:r w:rsidR="00642E70">
        <w:t xml:space="preserve"> Ponzio </w:t>
      </w:r>
      <w:r w:rsidR="00642E70" w:rsidRPr="00E5207F">
        <w:rPr>
          <w:i/>
        </w:rPr>
        <w:t xml:space="preserve">et al., </w:t>
      </w:r>
      <w:r w:rsidR="00087968">
        <w:t>2015</w:t>
      </w:r>
      <w:r w:rsidR="00642E70">
        <w:t>)</w:t>
      </w:r>
      <w:r w:rsidR="00E33A8A">
        <w:t xml:space="preserve"> </w:t>
      </w:r>
    </w:p>
    <w:p w14:paraId="00B97DEC" w14:textId="24C3A712" w:rsidR="009D15D6" w:rsidRPr="00087968" w:rsidRDefault="00642E70" w:rsidP="00087968">
      <w:pPr>
        <w:spacing w:line="480" w:lineRule="auto"/>
        <w:ind w:firstLine="720"/>
        <w:jc w:val="both"/>
      </w:pPr>
      <w:r>
        <w:t xml:space="preserve">Nevertheless, these household characteristics </w:t>
      </w:r>
      <w:r w:rsidR="00AF22DB">
        <w:t>we</w:t>
      </w:r>
      <w:r w:rsidR="009D15D6">
        <w:t xml:space="preserve">re not considered to be barriers to adopting plant-based diets for </w:t>
      </w:r>
      <w:r w:rsidR="007E7FEA">
        <w:t>the purpose of this research</w:t>
      </w:r>
      <w:r w:rsidR="009D15D6">
        <w:t xml:space="preserve">. </w:t>
      </w:r>
      <w:r>
        <w:t xml:space="preserve">Household characteristics and sociodemographics are difficult to manipulate for the purpose of adopting plant-based diets. Already, there are a number of policies in place to increase education and income, while limiting the consumption of </w:t>
      </w:r>
      <w:r w:rsidR="00087968">
        <w:t xml:space="preserve">alcohol and cigarettes. Furthermore, the characteristic of ‘age’ cannot be overcome, it is inevitable. Consequently, this information was alternatively </w:t>
      </w:r>
      <w:r w:rsidR="009D15D6">
        <w:t xml:space="preserve">considered to be </w:t>
      </w:r>
      <w:r>
        <w:t>opportunistic</w:t>
      </w:r>
      <w:r w:rsidR="009D15D6">
        <w:t xml:space="preserve"> for</w:t>
      </w:r>
      <w:r w:rsidR="00E5207F">
        <w:t xml:space="preserve"> targeted campaigns and policy selection</w:t>
      </w:r>
      <w:r w:rsidR="009D15D6">
        <w:t xml:space="preserve"> to invoke greater behavio</w:t>
      </w:r>
      <w:r w:rsidR="004D5563">
        <w:t>u</w:t>
      </w:r>
      <w:r w:rsidR="009D15D6">
        <w:t>ral dietary changes</w:t>
      </w:r>
      <w:r w:rsidR="00D94D39">
        <w:t xml:space="preserve"> amongst different populations</w:t>
      </w:r>
      <w:r w:rsidR="009D15D6">
        <w:t xml:space="preserve">. Thus, information campaigns could focus on targeting people with lower levels of education, to inform them of the benefits of plant-based diets. </w:t>
      </w:r>
    </w:p>
    <w:p w14:paraId="672067B3" w14:textId="77777777" w:rsidR="009D15D6" w:rsidRDefault="009D15D6" w:rsidP="009D15D6">
      <w:pPr>
        <w:spacing w:line="480" w:lineRule="auto"/>
        <w:jc w:val="both"/>
        <w:outlineLvl w:val="0"/>
        <w:rPr>
          <w:b/>
          <w:sz w:val="28"/>
        </w:rPr>
      </w:pPr>
      <w:r>
        <w:rPr>
          <w:noProof/>
        </w:rPr>
        <w:lastRenderedPageBreak/>
        <w:drawing>
          <wp:inline distT="0" distB="0" distL="0" distR="0" wp14:anchorId="7524A008" wp14:editId="4F8599E3">
            <wp:extent cx="5943600" cy="2045576"/>
            <wp:effectExtent l="0" t="0" r="0" b="12065"/>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A0F50C1" w14:textId="5CC9AF32" w:rsidR="00374D42" w:rsidRDefault="009D15D6" w:rsidP="000D239C">
      <w:pPr>
        <w:jc w:val="both"/>
        <w:outlineLvl w:val="0"/>
        <w:rPr>
          <w:sz w:val="22"/>
          <w:szCs w:val="22"/>
        </w:rPr>
      </w:pPr>
      <w:r w:rsidRPr="0082292D">
        <w:rPr>
          <w:sz w:val="22"/>
          <w:szCs w:val="22"/>
        </w:rPr>
        <w:t>Figure</w:t>
      </w:r>
      <w:r>
        <w:rPr>
          <w:sz w:val="22"/>
          <w:szCs w:val="22"/>
        </w:rPr>
        <w:t xml:space="preserve"> 9</w:t>
      </w:r>
      <w:r w:rsidRPr="0082292D">
        <w:rPr>
          <w:sz w:val="22"/>
          <w:szCs w:val="22"/>
        </w:rPr>
        <w:t xml:space="preserve">. </w:t>
      </w:r>
      <w:r>
        <w:rPr>
          <w:sz w:val="22"/>
          <w:szCs w:val="22"/>
        </w:rPr>
        <w:t>Number of primary journal articles referencing each of the 7 categories of sociodemographics, that correlate to food consumption behavio</w:t>
      </w:r>
      <w:r w:rsidR="004D5563">
        <w:rPr>
          <w:sz w:val="22"/>
          <w:szCs w:val="22"/>
        </w:rPr>
        <w:t>u</w:t>
      </w:r>
      <w:r>
        <w:rPr>
          <w:sz w:val="22"/>
          <w:szCs w:val="22"/>
        </w:rPr>
        <w:t xml:space="preserve">r. </w:t>
      </w:r>
    </w:p>
    <w:p w14:paraId="3B13B277" w14:textId="77777777" w:rsidR="007F1A83" w:rsidRDefault="007F1A83" w:rsidP="000D239C">
      <w:pPr>
        <w:jc w:val="both"/>
        <w:outlineLvl w:val="0"/>
        <w:rPr>
          <w:sz w:val="22"/>
          <w:szCs w:val="22"/>
        </w:rPr>
      </w:pPr>
    </w:p>
    <w:p w14:paraId="7DB2510C" w14:textId="77777777" w:rsidR="007F1A83" w:rsidRPr="000D239C" w:rsidRDefault="007F1A83" w:rsidP="000D239C">
      <w:pPr>
        <w:jc w:val="both"/>
        <w:outlineLvl w:val="0"/>
        <w:rPr>
          <w:sz w:val="22"/>
          <w:szCs w:val="22"/>
        </w:rPr>
      </w:pPr>
    </w:p>
    <w:p w14:paraId="5899A9AB" w14:textId="39B33E36" w:rsidR="00374D42" w:rsidRDefault="00C34CB7" w:rsidP="00374D42">
      <w:pPr>
        <w:spacing w:line="480" w:lineRule="auto"/>
        <w:jc w:val="both"/>
        <w:rPr>
          <w:color w:val="000000" w:themeColor="text1"/>
        </w:rPr>
      </w:pPr>
      <w:r>
        <w:rPr>
          <w:color w:val="C00000"/>
        </w:rPr>
        <w:tab/>
      </w:r>
      <w:r w:rsidRPr="00FC10DC">
        <w:rPr>
          <w:color w:val="000000" w:themeColor="text1"/>
        </w:rPr>
        <w:t xml:space="preserve">Gender was not included within the umbrella of sociodemographics, given its strong ties to social influences. Gender itself, is not a barrier to plant-based consumption, but rather the social aspects associated with one’s gender, are likely to influence consumption patterns. </w:t>
      </w:r>
      <w:r w:rsidR="00FC10DC" w:rsidRPr="00FC10DC">
        <w:rPr>
          <w:color w:val="000000" w:themeColor="text1"/>
        </w:rPr>
        <w:t>Hence, gender was considered to be a</w:t>
      </w:r>
      <w:r w:rsidR="008A007B">
        <w:rPr>
          <w:color w:val="000000" w:themeColor="text1"/>
        </w:rPr>
        <w:t xml:space="preserve"> code</w:t>
      </w:r>
      <w:r w:rsidR="00FC10DC" w:rsidRPr="00FC10DC">
        <w:rPr>
          <w:color w:val="000000" w:themeColor="text1"/>
        </w:rPr>
        <w:t xml:space="preserve"> that ultimately </w:t>
      </w:r>
      <w:r w:rsidR="008A007B">
        <w:rPr>
          <w:color w:val="000000" w:themeColor="text1"/>
        </w:rPr>
        <w:t xml:space="preserve">contributed </w:t>
      </w:r>
      <w:r w:rsidR="00FC10DC" w:rsidRPr="00FC10DC">
        <w:rPr>
          <w:color w:val="000000" w:themeColor="text1"/>
        </w:rPr>
        <w:t xml:space="preserve">to the theme of social influence </w:t>
      </w:r>
      <w:r w:rsidRPr="00FC10DC">
        <w:rPr>
          <w:color w:val="000000" w:themeColor="text1"/>
        </w:rPr>
        <w:t xml:space="preserve">(see IV. Discussion: Social Influences). </w:t>
      </w:r>
    </w:p>
    <w:p w14:paraId="1D06C94E" w14:textId="77777777" w:rsidR="00756A4B" w:rsidRDefault="00756A4B" w:rsidP="00374D42">
      <w:pPr>
        <w:spacing w:line="480" w:lineRule="auto"/>
        <w:jc w:val="both"/>
        <w:rPr>
          <w:color w:val="C00000"/>
        </w:rPr>
      </w:pPr>
    </w:p>
    <w:p w14:paraId="328874FD" w14:textId="77777777" w:rsidR="00374D42" w:rsidRDefault="00374D42" w:rsidP="00374D42">
      <w:pPr>
        <w:spacing w:line="480" w:lineRule="auto"/>
        <w:jc w:val="both"/>
        <w:outlineLvl w:val="0"/>
        <w:rPr>
          <w:sz w:val="28"/>
        </w:rPr>
      </w:pPr>
      <w:r>
        <w:rPr>
          <w:b/>
          <w:sz w:val="28"/>
        </w:rPr>
        <w:t>IV. Discussion</w:t>
      </w:r>
      <w:r w:rsidRPr="008A5755">
        <w:rPr>
          <w:sz w:val="28"/>
        </w:rPr>
        <w:t xml:space="preserve"> </w:t>
      </w:r>
    </w:p>
    <w:p w14:paraId="247F10A1" w14:textId="0CB54D2B" w:rsidR="006C3523" w:rsidRDefault="009D1C29" w:rsidP="006C3523">
      <w:pPr>
        <w:spacing w:line="480" w:lineRule="auto"/>
        <w:ind w:firstLine="720"/>
        <w:jc w:val="both"/>
      </w:pPr>
      <w:r>
        <w:t xml:space="preserve">The </w:t>
      </w:r>
      <w:r w:rsidR="006C3523">
        <w:t>purchasing and consumption patterns</w:t>
      </w:r>
      <w:r>
        <w:t xml:space="preserve"> of individuals and households are known to be complex, reflecting a range of motivations and preferences</w:t>
      </w:r>
      <w:r w:rsidR="00AF22DB">
        <w:t xml:space="preserve"> </w:t>
      </w:r>
      <w:r w:rsidR="006C3523">
        <w:t>(Arnould &amp; Thompson, 2005; Beverland, 2014). For instance, evidence supporting the environmental, health, and ethical reas</w:t>
      </w:r>
      <w:r w:rsidR="00B3759D">
        <w:t>ons for vegetarianism is robust</w:t>
      </w:r>
      <w:r w:rsidR="006C3523">
        <w:t xml:space="preserve"> and rarely questioned, yet only a </w:t>
      </w:r>
      <w:r>
        <w:t xml:space="preserve">small </w:t>
      </w:r>
      <w:r w:rsidR="006C3523">
        <w:t xml:space="preserve">fraction of the population in developed nations </w:t>
      </w:r>
      <w:r>
        <w:t xml:space="preserve">have chosen </w:t>
      </w:r>
      <w:r w:rsidR="006C3523">
        <w:t>follow plant-based diets (Saxena, 2011; Beverland, 2014). There appears to be an innate sense of familiarity associ</w:t>
      </w:r>
      <w:r w:rsidR="00C262BC">
        <w:t>ated with animal-based products</w:t>
      </w:r>
      <w:r>
        <w:t>,</w:t>
      </w:r>
      <w:r w:rsidR="006C3523">
        <w:t xml:space="preserve"> with consumers valuing taste and status of meat consumption (Lusk &amp; Norwood, 2009; Beverland, 2014).</w:t>
      </w:r>
    </w:p>
    <w:p w14:paraId="13057798" w14:textId="3BC483E8" w:rsidR="006C3523" w:rsidRDefault="009D0573" w:rsidP="009D0573">
      <w:pPr>
        <w:spacing w:line="480" w:lineRule="auto"/>
        <w:ind w:firstLine="720"/>
        <w:jc w:val="both"/>
        <w:outlineLvl w:val="0"/>
      </w:pPr>
      <w:r>
        <w:lastRenderedPageBreak/>
        <w:t xml:space="preserve">This study </w:t>
      </w:r>
      <w:r w:rsidR="009D1C29">
        <w:t xml:space="preserve">has </w:t>
      </w:r>
      <w:r>
        <w:t>investigate</w:t>
      </w:r>
      <w:r w:rsidR="009D1C29">
        <w:t>d</w:t>
      </w:r>
      <w:r>
        <w:t xml:space="preserve"> bottlenecks and opportunities of sustainable food choices in </w:t>
      </w:r>
      <w:r w:rsidR="004E4C4B">
        <w:t>the form</w:t>
      </w:r>
      <w:r>
        <w:t xml:space="preserve"> of a rigorous integrative literature review, from an individual to institutional level. The academic literature search form</w:t>
      </w:r>
      <w:r w:rsidR="009D1C29">
        <w:t>ed</w:t>
      </w:r>
      <w:r>
        <w:t xml:space="preserve"> the basis of this analysis, with supplementary material from public webpages. The five </w:t>
      </w:r>
      <w:r w:rsidR="004E4C4B">
        <w:t xml:space="preserve">key </w:t>
      </w:r>
      <w:r>
        <w:t xml:space="preserve">barriers to plant-based diets, developed using the </w:t>
      </w:r>
      <w:r w:rsidRPr="001138D8">
        <w:rPr>
          <w:i/>
        </w:rPr>
        <w:t>a posteriori</w:t>
      </w:r>
      <w:r w:rsidR="00D05794">
        <w:t xml:space="preserve"> coding strategy include: Autonomy, Cognitive dissonance, Information asymmetry, P</w:t>
      </w:r>
      <w:r>
        <w:t>olitica</w:t>
      </w:r>
      <w:r w:rsidR="00D05794">
        <w:t>l economy, and S</w:t>
      </w:r>
      <w:r w:rsidR="004E4C4B">
        <w:t>ocial influence</w:t>
      </w:r>
      <w:r>
        <w:t>. As shaping pro-environmental behavio</w:t>
      </w:r>
      <w:r w:rsidR="004D5563">
        <w:t>u</w:t>
      </w:r>
      <w:r>
        <w:t>r is dependent upon a number of influences, including attitudinal factors (ie. values), personal resources (ie. knowledge), and contextual dynamics (ie. social influences, policy) (Stern, 2000; Makiniemi &amp; Vainio, 2013), the barriers uncovered in this study, are similar to the obstacles that have emerged regarding behavio</w:t>
      </w:r>
      <w:r w:rsidR="004D5563">
        <w:t>u</w:t>
      </w:r>
      <w:r>
        <w:t>ral engagement with climate change, generally (Lorenzoni et al., 2007).</w:t>
      </w:r>
    </w:p>
    <w:p w14:paraId="3CDA79CA" w14:textId="4BC83873" w:rsidR="006C3523" w:rsidRDefault="009D0573" w:rsidP="009D0573">
      <w:pPr>
        <w:spacing w:line="480" w:lineRule="auto"/>
        <w:ind w:firstLine="720"/>
        <w:jc w:val="both"/>
      </w:pPr>
      <w:r>
        <w:t xml:space="preserve">An in-depth discussion for each of the five barriers, in addition to theories </w:t>
      </w:r>
      <w:r w:rsidR="004E4C4B">
        <w:t>arguing these outcomes, follow</w:t>
      </w:r>
      <w:r>
        <w:t xml:space="preserve">s. </w:t>
      </w:r>
      <w:r w:rsidR="006C3523">
        <w:t xml:space="preserve">It should be noted that theories </w:t>
      </w:r>
      <w:r w:rsidR="00C262BC">
        <w:t>are not guiding</w:t>
      </w:r>
      <w:r w:rsidR="006C3523">
        <w:t xml:space="preserve"> the identi</w:t>
      </w:r>
      <w:r w:rsidR="00D05794">
        <w:t>fication of themes, but rather we</w:t>
      </w:r>
      <w:r w:rsidR="006C3523">
        <w:t xml:space="preserve">re considered post-analysis for interpretation of results. </w:t>
      </w:r>
    </w:p>
    <w:p w14:paraId="56585A04" w14:textId="77777777" w:rsidR="00FC10DC" w:rsidRDefault="00FC10DC" w:rsidP="009D0573">
      <w:pPr>
        <w:spacing w:line="480" w:lineRule="auto"/>
        <w:ind w:firstLine="720"/>
        <w:jc w:val="both"/>
      </w:pPr>
    </w:p>
    <w:p w14:paraId="4B58A7C0" w14:textId="14F27738" w:rsidR="00D65F93" w:rsidRPr="00FD7C73" w:rsidRDefault="00D65F93" w:rsidP="00D65F93">
      <w:pPr>
        <w:spacing w:line="480" w:lineRule="auto"/>
        <w:jc w:val="both"/>
        <w:outlineLvl w:val="0"/>
        <w:rPr>
          <w:b/>
          <w:i/>
        </w:rPr>
      </w:pPr>
      <w:r>
        <w:rPr>
          <w:b/>
          <w:i/>
        </w:rPr>
        <w:t xml:space="preserve">i. </w:t>
      </w:r>
      <w:r w:rsidRPr="00FD7C73">
        <w:rPr>
          <w:b/>
          <w:i/>
        </w:rPr>
        <w:t>Information Asymmetry</w:t>
      </w:r>
    </w:p>
    <w:p w14:paraId="31F26385" w14:textId="4204BD76" w:rsidR="00012ED8" w:rsidRDefault="00D65F93" w:rsidP="00012ED8">
      <w:pPr>
        <w:spacing w:line="480" w:lineRule="auto"/>
        <w:ind w:firstLine="720"/>
        <w:jc w:val="both"/>
      </w:pPr>
      <w:r w:rsidRPr="00FD7C73">
        <w:t>Information asymmetry</w:t>
      </w:r>
      <w:r w:rsidR="00FC10DC">
        <w:t xml:space="preserve"> was the most dominant theme uncovered in the literature (n = 68), encompassing</w:t>
      </w:r>
      <w:r w:rsidRPr="00FD7C73">
        <w:t xml:space="preserve"> the influence of unbalanced information, resulting in sub-optimal decision-making (</w:t>
      </w:r>
      <w:r>
        <w:t>Dompere, 2014</w:t>
      </w:r>
      <w:r w:rsidRPr="00FD7C73">
        <w:t xml:space="preserve">). </w:t>
      </w:r>
      <w:r>
        <w:t xml:space="preserve">Three major Categories contribute to information asymmetry as a barrier to plant-based consumption habits: judgmental heuristics, </w:t>
      </w:r>
      <w:r w:rsidR="00012ED8">
        <w:t xml:space="preserve">flawed perception, </w:t>
      </w:r>
      <w:r>
        <w:t>and a</w:t>
      </w:r>
      <w:r w:rsidR="00012ED8">
        <w:t>n associated</w:t>
      </w:r>
      <w:r>
        <w:t xml:space="preserve"> lack of knowledge</w:t>
      </w:r>
      <w:r w:rsidR="00BE4B28">
        <w:t xml:space="preserve"> (Appendix 2; Figure 28)</w:t>
      </w:r>
      <w:r>
        <w:t xml:space="preserve">. </w:t>
      </w:r>
      <w:r w:rsidR="00012ED8">
        <w:t>Though judgmental heuristics, broadly construed, is the most prominent dietary bottleneck implicitly discovered and synthesized in the literature review, it has not previously been considered as a</w:t>
      </w:r>
      <w:r w:rsidR="008F10C9">
        <w:t>n overarching</w:t>
      </w:r>
      <w:r w:rsidR="00012ED8">
        <w:t xml:space="preserve"> barrier to sustainable dietary transition. Time, pressure, and limitations to cognitive capacity encumber the decision-</w:t>
      </w:r>
      <w:r w:rsidR="00012ED8">
        <w:lastRenderedPageBreak/>
        <w:t xml:space="preserve">making ability of individuals (Campbell-Arvai </w:t>
      </w:r>
      <w:r w:rsidR="00012ED8" w:rsidRPr="00430F06">
        <w:rPr>
          <w:i/>
        </w:rPr>
        <w:t>et al.,</w:t>
      </w:r>
      <w:r w:rsidR="00012ED8">
        <w:t xml:space="preserve"> 2014). Consequently, individuals rely on a variety of judgmental heuristics to enable quick decisions that resemble normative expectations (Campbell-Arvai </w:t>
      </w:r>
      <w:r w:rsidR="00012ED8" w:rsidRPr="00430F06">
        <w:rPr>
          <w:i/>
        </w:rPr>
        <w:t>et al.,</w:t>
      </w:r>
      <w:r w:rsidR="00012ED8">
        <w:t xml:space="preserve"> 2014; Dietz, 2014). As behavioural rules, heuristics break down complex decisions into simple considerations, facilitating the decision-making process of everyday life (Dietz, 2014). Judgmental heuristics influencing the consumption of animal-protein include time, convenience, habit, familiarity, and taste, hunger and food cravings (Neumark-Sztainer </w:t>
      </w:r>
      <w:r w:rsidR="00012ED8" w:rsidRPr="00F42E9A">
        <w:rPr>
          <w:i/>
        </w:rPr>
        <w:t>et al.,</w:t>
      </w:r>
      <w:r w:rsidR="00012ED8">
        <w:t xml:space="preserve"> 1999; Vermier &amp; Verbeke, 2006; Hoek </w:t>
      </w:r>
      <w:r w:rsidR="00012ED8" w:rsidRPr="00153115">
        <w:rPr>
          <w:i/>
        </w:rPr>
        <w:t>et al.,</w:t>
      </w:r>
      <w:r w:rsidR="00012ED8">
        <w:t xml:space="preserve"> 2011; Beverland, 2014; Pohjolarinen, 2014; de Boer </w:t>
      </w:r>
      <w:r w:rsidR="00012ED8" w:rsidRPr="008C0AFD">
        <w:rPr>
          <w:i/>
        </w:rPr>
        <w:t>et al.,</w:t>
      </w:r>
      <w:r w:rsidR="00012ED8">
        <w:t xml:space="preserve"> 2016). Because of this reliance on routine judgmental heuristics to facilitate individual decision making, information in the form of brands or labels, could similarly function as heuristics to reduce the complex array of considerations in selecting food for consumption (Vermier &amp; Verbeke, 2006). Recognizable informational heuristics (point-of-purchase information) could therefore balance the asymmetric forces supporting current habits (de Boer </w:t>
      </w:r>
      <w:r w:rsidR="00012ED8" w:rsidRPr="0073275E">
        <w:rPr>
          <w:i/>
        </w:rPr>
        <w:t>et al.,</w:t>
      </w:r>
      <w:r w:rsidR="00012ED8">
        <w:t xml:space="preserve"> 2016) of meat consumption. </w:t>
      </w:r>
    </w:p>
    <w:p w14:paraId="23284665" w14:textId="6C8E80DC" w:rsidR="00D65F93" w:rsidRDefault="00D65F93" w:rsidP="00D65F93">
      <w:pPr>
        <w:spacing w:line="480" w:lineRule="auto"/>
        <w:ind w:firstLine="720"/>
        <w:jc w:val="both"/>
      </w:pPr>
      <w:r>
        <w:t xml:space="preserve">Perceptions regarding the financial cost of a plant-based diet, in addition to nutritional concerns, facilitate poorly-informed decision making with respect to dietary practices. For instance, high price is considered to be a perceived barrier to adopting a vegetarian diet (Mäkiniemi &amp; Vainio, 2014). However, the cost of animal protein is considerably more expensive than plant-based protein alternatives, such as lentils, nuts, and seeds. Alternatively, inaccurate perceptions concerning the ramifications of a plant-based diet, hinder widespread adoption. Some people believe that animal protein is of nutritional necessity (Hirschler, 2011; Beverland, 2014; Pohjolarinen, 2014; Wilson </w:t>
      </w:r>
      <w:r w:rsidRPr="007C72E6">
        <w:rPr>
          <w:i/>
        </w:rPr>
        <w:t>et al.,</w:t>
      </w:r>
      <w:r>
        <w:t xml:space="preserve"> 2014;), yet this is not the case. A vegetarian diet is less likely to have nutritional deficiencies in comparison its omnivorous counterpart (Sabaté, 2001; Palaniswamy, 2003). Similarly, there is a public belief that vegetarianism causes </w:t>
      </w:r>
      <w:r>
        <w:lastRenderedPageBreak/>
        <w:t xml:space="preserve">eating disorders, as a plant-based diet is often associated with inhibitory control. Though patients with eating disorders exhibit greater rates of vegetarianism, vegetarianism often emerges after the onset of the eating disorder (Bardone-Cone </w:t>
      </w:r>
      <w:r w:rsidRPr="009F0DBF">
        <w:rPr>
          <w:i/>
        </w:rPr>
        <w:t>et al.,</w:t>
      </w:r>
      <w:r>
        <w:t xml:space="preserve"> 2012), and is used as an excuse to mask dieting behaviour (Klopp </w:t>
      </w:r>
      <w:r w:rsidRPr="008A285F">
        <w:rPr>
          <w:i/>
        </w:rPr>
        <w:t>et al</w:t>
      </w:r>
      <w:r>
        <w:t xml:space="preserve">., 2003; Forestell </w:t>
      </w:r>
      <w:r w:rsidRPr="008A285F">
        <w:rPr>
          <w:i/>
        </w:rPr>
        <w:t>et al</w:t>
      </w:r>
      <w:r>
        <w:t xml:space="preserve">., 2012). </w:t>
      </w:r>
    </w:p>
    <w:p w14:paraId="29CA6E8F" w14:textId="50F22217" w:rsidR="00D65F93" w:rsidRPr="00D970AE" w:rsidRDefault="00D65F93" w:rsidP="00D65F93">
      <w:pPr>
        <w:spacing w:line="480" w:lineRule="auto"/>
        <w:ind w:firstLine="720"/>
        <w:jc w:val="both"/>
        <w:outlineLvl w:val="0"/>
      </w:pPr>
      <w:r>
        <w:t xml:space="preserve">Despite a decade of research and media buzz since the United </w:t>
      </w:r>
      <w:r w:rsidR="001C32EC">
        <w:t>Nations’</w:t>
      </w:r>
      <w:r>
        <w:t xml:space="preserve"> publication of Livestock’s Long Shadow (Steinfeld </w:t>
      </w:r>
      <w:r w:rsidRPr="00815EC9">
        <w:rPr>
          <w:i/>
        </w:rPr>
        <w:t>et al.,</w:t>
      </w:r>
      <w:r>
        <w:t xml:space="preserve"> 2006), many consumers still underestimate the environmental ramifications of animal production (Vanhonacker </w:t>
      </w:r>
      <w:r w:rsidRPr="00083F96">
        <w:rPr>
          <w:i/>
        </w:rPr>
        <w:t>et al.,</w:t>
      </w:r>
      <w:r>
        <w:t xml:space="preserve"> 2013; Laestadius </w:t>
      </w:r>
      <w:r w:rsidRPr="00815EC9">
        <w:rPr>
          <w:i/>
        </w:rPr>
        <w:t>et al.,</w:t>
      </w:r>
      <w:r>
        <w:t xml:space="preserve"> 2013b). In more recent studies, a perceived lack of knowledge regarding the benefits of pro-environmental change (Lorenzoni </w:t>
      </w:r>
      <w:r w:rsidRPr="00656FA6">
        <w:rPr>
          <w:i/>
        </w:rPr>
        <w:t>et al.,</w:t>
      </w:r>
      <w:r>
        <w:t xml:space="preserve"> 2007), specifically vegetarianism, was considered a barrier to adopting a plant-based diet (Lea </w:t>
      </w:r>
      <w:r w:rsidRPr="001C32EC">
        <w:rPr>
          <w:i/>
        </w:rPr>
        <w:t>et al.,</w:t>
      </w:r>
      <w:r>
        <w:t xml:space="preserve"> 2006b; Mäkiniemi &amp;&amp; Vainio, 2014). Lik</w:t>
      </w:r>
      <w:r w:rsidR="001C32EC">
        <w:t xml:space="preserve">ewise, it is anticipated that </w:t>
      </w:r>
      <w:r>
        <w:t>skepticism in the effects of food consumption on climate</w:t>
      </w:r>
      <w:r w:rsidR="001C32EC">
        <w:t>,</w:t>
      </w:r>
      <w:r>
        <w:t xml:space="preserve"> limits the dietary selection of plant-based foods (Mäkiniemi &amp; Vainio, 2014). Perceived lack of knowledge about purchasing and preparing vegetarian meals (Lea &amp; Worsley, 2003; Vanhonacker </w:t>
      </w:r>
      <w:r w:rsidRPr="00083F96">
        <w:rPr>
          <w:i/>
        </w:rPr>
        <w:t>et al</w:t>
      </w:r>
      <w:r>
        <w:t xml:space="preserve">., 2013; Pohjolarinen, 2014), including soy (Schyver &amp; Smith, 2005; Gobert &amp; Duncan, 2009), tofu (Wansink </w:t>
      </w:r>
      <w:r w:rsidRPr="00D970AE">
        <w:rPr>
          <w:i/>
        </w:rPr>
        <w:t>et al.,</w:t>
      </w:r>
      <w:r>
        <w:t xml:space="preserve"> 2014) and less-intensive plant-based proteins</w:t>
      </w:r>
      <w:r w:rsidR="001C32EC">
        <w:t xml:space="preserve"> (ie. legumes)</w:t>
      </w:r>
      <w:r>
        <w:t xml:space="preserve"> is also troublesome. Unfamiliarity of meat substitutes and their integration into meals greatly contributes to judgmental heuristics, and negatively influences plant-based selection (Hoek </w:t>
      </w:r>
      <w:r w:rsidRPr="007C72E6">
        <w:rPr>
          <w:i/>
        </w:rPr>
        <w:t>et al.,</w:t>
      </w:r>
      <w:r>
        <w:t xml:space="preserve"> 2011). </w:t>
      </w:r>
    </w:p>
    <w:p w14:paraId="56001D32" w14:textId="77777777" w:rsidR="00D65F93" w:rsidRPr="00FD7C73" w:rsidRDefault="00D65F93" w:rsidP="00D65F93">
      <w:pPr>
        <w:spacing w:line="480" w:lineRule="auto"/>
        <w:jc w:val="both"/>
        <w:outlineLvl w:val="0"/>
      </w:pPr>
      <w:r w:rsidRPr="00FD7C73">
        <w:tab/>
      </w:r>
      <w:r>
        <w:t xml:space="preserve">The Theory of Information Asymmetry is an economic model (Alkerlof, 1970 ; Spence 1973; Stiglitz &amp; Rothschild, 1976); however, its concepts are useful for arguing this thematic barrier to eliminating meat consumption. As its title suggests, information asymmetry </w:t>
      </w:r>
      <w:r w:rsidRPr="00FD7C73">
        <w:t>encompasses the influence of unbalanced information, resulting in sub-optimal decision-making</w:t>
      </w:r>
      <w:r>
        <w:t xml:space="preserve"> (Dompere, 2014). In economics, this imbalance of power in market transactions can lead to </w:t>
      </w:r>
      <w:r>
        <w:lastRenderedPageBreak/>
        <w:t xml:space="preserve">inefficient outcomes; a market failure as worst case (Alkerlof, 1970 ; Spence 1973; Stiglitz &amp; Rothschild, 1976). In relation to consumption, the imbalance of information impedes one’s ability to make optimal decisions with respect to the environmental, and socioeconomic considerations of food selection, similarly leading to inefficient outcomes. Information asymmetry is correlational to the barrier of the political economy of agriculture, as perfect information is often misguided by industry and government. </w:t>
      </w:r>
    </w:p>
    <w:p w14:paraId="6D46D240" w14:textId="77777777" w:rsidR="00D65F93" w:rsidRPr="00873133" w:rsidRDefault="00D65F93" w:rsidP="00D65F93">
      <w:pPr>
        <w:spacing w:line="480" w:lineRule="auto"/>
        <w:jc w:val="both"/>
        <w:outlineLvl w:val="0"/>
      </w:pPr>
    </w:p>
    <w:p w14:paraId="50FCE44D" w14:textId="3C7D835D" w:rsidR="00D65F93" w:rsidRPr="00FA2673" w:rsidRDefault="00D65F93" w:rsidP="00D65F93">
      <w:pPr>
        <w:spacing w:line="480" w:lineRule="auto"/>
        <w:jc w:val="both"/>
        <w:outlineLvl w:val="0"/>
        <w:rPr>
          <w:b/>
          <w:i/>
        </w:rPr>
      </w:pPr>
      <w:r>
        <w:rPr>
          <w:b/>
          <w:i/>
        </w:rPr>
        <w:t xml:space="preserve">ii. </w:t>
      </w:r>
      <w:r w:rsidRPr="00FA2673">
        <w:rPr>
          <w:b/>
          <w:i/>
        </w:rPr>
        <w:t>Political Economy</w:t>
      </w:r>
    </w:p>
    <w:p w14:paraId="10CF2BFA" w14:textId="7BF6393B" w:rsidR="00D65F93" w:rsidRDefault="00D65F93" w:rsidP="00D65F93">
      <w:pPr>
        <w:spacing w:line="480" w:lineRule="auto"/>
        <w:jc w:val="both"/>
      </w:pPr>
      <w:r>
        <w:tab/>
        <w:t>For the purposes of this research, political economy encompasses the relationship between individuals and society, as influenced by the interplay among the politics and economics of the agricultural industry (Jevons, 1871; Encyclopedia Britannica, 2016). The political economy of meat production is an important consideration within this analysis, implicitly and explicitly uncovered throughout the academic literature</w:t>
      </w:r>
      <w:r w:rsidR="0007714E">
        <w:t xml:space="preserve"> (Appendix 2; Figure 30)</w:t>
      </w:r>
      <w:r>
        <w:t xml:space="preserve">. The dietary bottleneck suggests that issues associated with animal agriculture have little to do with individual choices, but rather are inherent in the technical, structural, and political organization of the agricultural industry. Consumers are largely locked-in to dietary patterns due to imperfect supply adjustment, imperfect choice, and the influence of marketing (Hansen &amp; Schrader, 1997; Curran &amp; de Sharbinin, 2004; Seyfang &amp; Smith, 2007; Wahlen </w:t>
      </w:r>
      <w:r w:rsidRPr="00ED5EE1">
        <w:rPr>
          <w:i/>
        </w:rPr>
        <w:t>et al</w:t>
      </w:r>
      <w:r>
        <w:t xml:space="preserve">., 2012). </w:t>
      </w:r>
    </w:p>
    <w:p w14:paraId="24AE292D" w14:textId="77777777" w:rsidR="004B223C" w:rsidRDefault="00D65F93" w:rsidP="004B223C">
      <w:pPr>
        <w:spacing w:line="480" w:lineRule="auto"/>
        <w:ind w:firstLine="720"/>
        <w:jc w:val="both"/>
      </w:pPr>
      <w:r>
        <w:t xml:space="preserve">In Canada, the political economy of the food system actively supports the livestock agricultural sector given its robust capacity of influence through lobbying, campaign donations, and simply its source of food supply for public consumption. Likewise, the industrial livestock sector maintains considerable sway in terms of political agenda-setting. In addition, the livestock industry is supported both financially, and by means of academic research in many differing </w:t>
      </w:r>
      <w:r>
        <w:lastRenderedPageBreak/>
        <w:t xml:space="preserve">fields of study (McKenna, 2013; AAFC, 2015b). Plant-based protein alternatives, however, lack the same quality of government assistance. Accordingly, meat-reduction strategies such as plant-based public procurement policies, and sustainable changes to national dietary guidelines have yet to acquire agenda-setting status in Canada.  </w:t>
      </w:r>
    </w:p>
    <w:p w14:paraId="384BFC9B" w14:textId="63453FBF" w:rsidR="00C74473" w:rsidRDefault="00D65F93" w:rsidP="009F6CD9">
      <w:pPr>
        <w:spacing w:line="480" w:lineRule="auto"/>
        <w:ind w:firstLine="720"/>
        <w:jc w:val="both"/>
      </w:pPr>
      <w:r>
        <w:t xml:space="preserve">An alternative perspective suggests that farmers have a right to generate profits from the conventional food system in which they have invested; contributing an ethical and equitable aspect associated with meat production (Vinnari &amp; Vinnari, 2013). Likewise, </w:t>
      </w:r>
      <w:r w:rsidR="00C74473">
        <w:t xml:space="preserve">there is an undeniable concern that a shift in dietary practices, and hence demand, would have substantial repercussions for the economic welfare of stakeholders in the agro-industry (Vinnari &amp; Vinnari, 2013). In addition, there are agro-ecological arguments that could justify why certain production systems are most suitable for given locations. </w:t>
      </w:r>
      <w:r w:rsidR="009F6CD9">
        <w:t xml:space="preserve">Governments have a responsibility to balance sustainability with autonomy and prosperity of the industry that serves to supply food for public consumption, in a local and increasingly environmentally conscious manner (Duchin, 2005). However, government support does not have to subsidize the livestock industry, but rather provide support through alternative mechanisms. </w:t>
      </w:r>
    </w:p>
    <w:p w14:paraId="452A52B3" w14:textId="77777777" w:rsidR="00D65F93" w:rsidRDefault="00D65F93" w:rsidP="00D65F93">
      <w:pPr>
        <w:spacing w:line="480" w:lineRule="auto"/>
        <w:jc w:val="both"/>
      </w:pPr>
      <w:r>
        <w:tab/>
        <w:t xml:space="preserve">From an industry perspective, food retailers are increasingly concentrated into fewer and larger retail chains carrying significant market power over the agricultural industry (Reisch </w:t>
      </w:r>
      <w:r w:rsidRPr="00443999">
        <w:rPr>
          <w:i/>
        </w:rPr>
        <w:t>et al.,</w:t>
      </w:r>
      <w:r>
        <w:t xml:space="preserve"> 2013). Retailers hold a considerable stake in the agro-industry, influencing consumers through behavioural nudge mechanisms such as food availability, manipulation of placement, sales, and promotion (Vukmirovic, 2015; Jahns </w:t>
      </w:r>
      <w:r w:rsidRPr="00660FD1">
        <w:rPr>
          <w:i/>
        </w:rPr>
        <w:t>et al.,</w:t>
      </w:r>
      <w:r>
        <w:t xml:space="preserve"> 2016). This influence on demand subsequently impacts production from agricultural producers. Considered ‘supply chain bottlenecks’, retailers are central to the economic underpinnings of the industry (Reisch </w:t>
      </w:r>
      <w:r w:rsidRPr="00443999">
        <w:rPr>
          <w:i/>
        </w:rPr>
        <w:t>et al.,</w:t>
      </w:r>
      <w:r>
        <w:t xml:space="preserve"> 2013). Thus, a challenge </w:t>
      </w:r>
      <w:r>
        <w:lastRenderedPageBreak/>
        <w:t xml:space="preserve">of vegetarianism lies in the process of being incorporated into the economic foundation of the conventional food system (Bearsdworth &amp; Keil, 1993). </w:t>
      </w:r>
    </w:p>
    <w:p w14:paraId="03B38315" w14:textId="77777777" w:rsidR="00D65F93" w:rsidRPr="00FA2673" w:rsidRDefault="00D65F93" w:rsidP="00D65F93">
      <w:pPr>
        <w:spacing w:line="480" w:lineRule="auto"/>
        <w:ind w:firstLine="720"/>
        <w:jc w:val="both"/>
      </w:pPr>
      <w:r>
        <w:t xml:space="preserve">Likewise, media and advertisements (TV; social; magazines) act as market-place barriers to dietary selection that centers on plant-based foods (Nestle, 1999). In consideration of prevalently advertised brands, such as McDonalds, Burger King (Sutherland </w:t>
      </w:r>
      <w:r w:rsidRPr="00F15705">
        <w:rPr>
          <w:i/>
        </w:rPr>
        <w:t>et al</w:t>
      </w:r>
      <w:r>
        <w:t xml:space="preserve">., 2015), and KFC (Kearney, 2010), there is an obvious lack of vegetarian restaurants of similar scale. Furthermore, these prevailing brands are built on the centrality of animal protein which has been marketed in relation to nutritional necessity, masculinity, and patriotism (Beverland, 2014). Interestingly, though sustainability has provided a novel marketing niche of considerable benefit, diet has generally been disregarded thus far (Beverland, 2014). </w:t>
      </w:r>
    </w:p>
    <w:p w14:paraId="18B87F3E" w14:textId="77777777" w:rsidR="00D65F93" w:rsidRDefault="00D65F93" w:rsidP="00D65F93">
      <w:pPr>
        <w:spacing w:line="480" w:lineRule="auto"/>
        <w:ind w:firstLine="720"/>
        <w:jc w:val="both"/>
      </w:pPr>
      <w:r w:rsidRPr="00DA1417">
        <w:t xml:space="preserve">This barrier is argued using a Political Economy (Jevons, 1871) of Agriculture Theory. </w:t>
      </w:r>
      <w:r>
        <w:t xml:space="preserve">Political economy is the intersection of politics and economics that form the basis of the agricultural industry. The complexity of this interaction is circular. </w:t>
      </w:r>
      <w:r w:rsidRPr="00FA2673">
        <w:t xml:space="preserve">It is anticipated </w:t>
      </w:r>
      <w:r>
        <w:t>that governments are interested</w:t>
      </w:r>
      <w:r w:rsidRPr="00FA2673">
        <w:t xml:space="preserve"> in promoting high-intensity livestock agriculture, because not only are farmers a key constituency in the Canadian economy, but also provide a generous source of economic benefits. </w:t>
      </w:r>
      <w:r>
        <w:t xml:space="preserve">However, the asymmetric focus on animal protein in comparison to plant-based alternatives has implications for consumption behaviour. Thus, the interrelated factors of the Canadian government and the livestock agricultural sector, impact the demand and supply of animal-based products for individual consumption, fundamentally influencing dietary habits. The emphasis of political support of the livestock industry and coinciding lack of political action towards promoting sustainable consumption may be why dietary change has yet to be embraced by consumers (Reisch </w:t>
      </w:r>
      <w:r w:rsidRPr="00A5344F">
        <w:rPr>
          <w:i/>
        </w:rPr>
        <w:t>et al.,</w:t>
      </w:r>
      <w:r>
        <w:t xml:space="preserve"> 2013). </w:t>
      </w:r>
    </w:p>
    <w:p w14:paraId="78F6335A" w14:textId="77777777" w:rsidR="00D65F93" w:rsidRDefault="00D65F93" w:rsidP="00D65F93">
      <w:pPr>
        <w:spacing w:line="480" w:lineRule="auto"/>
        <w:ind w:firstLine="720"/>
        <w:jc w:val="both"/>
      </w:pPr>
    </w:p>
    <w:p w14:paraId="181D0EFD" w14:textId="531B2A3E" w:rsidR="00D65F93" w:rsidRPr="00F363DF" w:rsidRDefault="00D65F93" w:rsidP="00D65F93">
      <w:pPr>
        <w:spacing w:line="480" w:lineRule="auto"/>
        <w:jc w:val="both"/>
        <w:outlineLvl w:val="0"/>
        <w:rPr>
          <w:b/>
          <w:i/>
        </w:rPr>
      </w:pPr>
      <w:r>
        <w:rPr>
          <w:b/>
          <w:i/>
        </w:rPr>
        <w:lastRenderedPageBreak/>
        <w:t>iii. Social Influence</w:t>
      </w:r>
    </w:p>
    <w:p w14:paraId="2DD4CD2A" w14:textId="35B5ED9C" w:rsidR="00D65F93" w:rsidRDefault="00D65F93" w:rsidP="00D65F93">
      <w:pPr>
        <w:spacing w:line="480" w:lineRule="auto"/>
        <w:jc w:val="both"/>
      </w:pPr>
      <w:r>
        <w:tab/>
        <w:t>The barrier of social influence is defined as the effect of others on one’s emotions, and resulting behavioural actions, as influenced through conformity (Asch, 1961; Latané, 1981). Three categories feed into the theme of social influence</w:t>
      </w:r>
      <w:r w:rsidR="0007714E">
        <w:t xml:space="preserve"> (Appendix 2; Figure 29)</w:t>
      </w:r>
      <w:r>
        <w:t>, as a barrier to plant-based diets: the influence of family and friends, social desirability, and social difficulties. The majority (72 %) of food consumption in a hous</w:t>
      </w:r>
      <w:r w:rsidR="0007714E">
        <w:t>ehold</w:t>
      </w:r>
      <w:r>
        <w:t xml:space="preserve"> is controlled by the ‘nutritional gatekeeper’; the person who conducts the majority of purchasing and preparation of food (Wansink, 2006). Consequently, parental influence (Neumark-Sztainer </w:t>
      </w:r>
      <w:r w:rsidRPr="00344CDB">
        <w:rPr>
          <w:i/>
        </w:rPr>
        <w:t>et al.,</w:t>
      </w:r>
      <w:r>
        <w:t xml:space="preserve"> 1999) and exposure play significant roles on the dietary patterns of individuals within a household, particularly children (Hill, 2002; Yuan </w:t>
      </w:r>
      <w:r w:rsidRPr="008F4491">
        <w:rPr>
          <w:i/>
        </w:rPr>
        <w:t>et al</w:t>
      </w:r>
      <w:r>
        <w:t xml:space="preserve">., 2016). This biological predisposition in children to follow certain dietary patterns (ie. meat consumption or vegetarianism) as a result of availability (Hill, 2002), places the cognitive burden, and barrier to change on independent individuals who purchase and prepare foods themselves. However, as early adolescence also generates a shift in social support from parents to peers (Hill, 2002), social conformity similarly becomes an obstacle to plant-based consumption (Jabs </w:t>
      </w:r>
      <w:r w:rsidRPr="0049123A">
        <w:rPr>
          <w:i/>
        </w:rPr>
        <w:t>et al.,</w:t>
      </w:r>
      <w:r>
        <w:t xml:space="preserve"> 2010). Analogously, an unwillingness for a family member (ie. spouse; children) to adopt a plant-based diet, presents a bottleneck to individual consumption (Lea &amp; Worsley, 2003). </w:t>
      </w:r>
    </w:p>
    <w:p w14:paraId="57CF8226" w14:textId="77777777" w:rsidR="00D65F93" w:rsidRDefault="00D65F93" w:rsidP="00D65F93">
      <w:pPr>
        <w:spacing w:line="480" w:lineRule="auto"/>
        <w:jc w:val="both"/>
      </w:pPr>
      <w:r>
        <w:tab/>
        <w:t xml:space="preserve">As vegetarian foods are commonly defined as being weak or feminine, meat consumption is typically higher among men, in a psychological effort to display their masculinity (Beardsworth &amp; Keil, 1991; Rothgerber, 2013; Ruby, 2012). Likewise, males generally have more negative attitudes towards vegetarians (Ruby </w:t>
      </w:r>
      <w:r w:rsidRPr="0059444C">
        <w:rPr>
          <w:i/>
        </w:rPr>
        <w:t>et al</w:t>
      </w:r>
      <w:r>
        <w:t xml:space="preserve">., 2016). A study conducted by Rothgerber (2013) found that males endorse pro-meat attitudes through justification strategies. </w:t>
      </w:r>
      <w:r>
        <w:lastRenderedPageBreak/>
        <w:t xml:space="preserve">The research highlighted masculine norms of dominance, emotional restriction, and toughness to demonstrate a positive correlation between consumption and masculinity. </w:t>
      </w:r>
    </w:p>
    <w:p w14:paraId="7BA26AE6" w14:textId="37D70C13" w:rsidR="009C6CDC" w:rsidRDefault="00D65F93" w:rsidP="00D65F93">
      <w:pPr>
        <w:spacing w:line="480" w:lineRule="auto"/>
        <w:jc w:val="both"/>
      </w:pPr>
      <w:r>
        <w:tab/>
        <w:t xml:space="preserve">Though individuals may feel an impulse to adopt a vegetarian lifestyle, they are unlikely to pursue the dietary change without the support of family and friends (Hirschler, 2011). Typically viewed as unorthodox, vegetarians are often subject to considerable scrutiny (Beardsworth &amp; Keil, 1993). Concern regarding criticism and alienation from family and friends as a result of dietary choices has been expressed by both vegetarians (Janda &amp; Trocchia, 2001; Hirschler, 2011), and omnivores (Lea &amp; Worsley, 2002). Behavioural-related stereotypes, including those with respect to varying levels of meat consumption, are empirically supported (Sadalla &amp; Burroughs, 1981). These stereotypes have led to victimization of vegetarians, with judicial treatment spread along a continuum from mild teasing to antagonistic behaviour (Chin </w:t>
      </w:r>
      <w:r w:rsidRPr="004E2CDE">
        <w:rPr>
          <w:i/>
        </w:rPr>
        <w:t>et al.,</w:t>
      </w:r>
      <w:r>
        <w:t xml:space="preserve"> 2002). The fear of negative social repercussions on professional and personal relationships has resulted in a barrier not only to adopting a plant-based diet (Janda &amp; Trocchia, 2001; Chin </w:t>
      </w:r>
      <w:r w:rsidRPr="004E2CDE">
        <w:rPr>
          <w:i/>
        </w:rPr>
        <w:t>et al.,</w:t>
      </w:r>
      <w:r>
        <w:t xml:space="preserve"> 2002; Hirschler, 2011), but also to continuation (Barr &amp; Chapman, 2002; Cheery, 2015). </w:t>
      </w:r>
      <w:r w:rsidR="009C6CDC">
        <w:t xml:space="preserve">It should be noted, however, that the barrier </w:t>
      </w:r>
      <w:r w:rsidR="00FC10DC">
        <w:t xml:space="preserve">of </w:t>
      </w:r>
      <w:r w:rsidR="009C6CDC">
        <w:t xml:space="preserve">family opposition, may actually be considered </w:t>
      </w:r>
      <w:r w:rsidR="00FC10DC">
        <w:t>an opportunity for some individuals. For instance, individuals seeking to make an explicit statement of self-definition in opposition to their family’s (or community’s) dominant values, may choose to adopt a plant-based diet</w:t>
      </w:r>
      <w:r w:rsidR="0011121B">
        <w:t xml:space="preserve"> (</w:t>
      </w:r>
      <w:r w:rsidR="003F6B92">
        <w:t>Willetts, 1997</w:t>
      </w:r>
      <w:r w:rsidR="0011121B">
        <w:t>)</w:t>
      </w:r>
      <w:r w:rsidR="00FC10DC">
        <w:t>. Regardless, the former is considered to be a common barrier to dietary transition for a great</w:t>
      </w:r>
      <w:r w:rsidR="003F6B92">
        <w:t xml:space="preserve">er majority of the population. </w:t>
      </w:r>
    </w:p>
    <w:p w14:paraId="4EC0C6FE" w14:textId="23479A5D" w:rsidR="00D65F93" w:rsidRDefault="00D65F93" w:rsidP="009C6CDC">
      <w:pPr>
        <w:spacing w:line="480" w:lineRule="auto"/>
        <w:ind w:firstLine="720"/>
        <w:jc w:val="both"/>
      </w:pPr>
      <w:r>
        <w:t>Regardless of acceptance however, social gatherings centered on food (ie. holidays), are typically mentally straining for vegetarians, creating tension and discomfort (Beardsworth &amp; Keil, 1991), likely due to constant justification. Poor selection in restaurants was also commonly noted as a difficulty to selecting a plant-based meal. Some restaurants have few, if any plant-</w:t>
      </w:r>
      <w:r>
        <w:lastRenderedPageBreak/>
        <w:t>based options; vegetarian entrees are often described as bland</w:t>
      </w:r>
      <w:r w:rsidR="00C34CB7">
        <w:t>,</w:t>
      </w:r>
      <w:r>
        <w:t xml:space="preserve"> tasteless</w:t>
      </w:r>
      <w:r w:rsidR="00C34CB7">
        <w:t>, or of inadequate nutrition</w:t>
      </w:r>
      <w:r>
        <w:t>, for restaurants that do have alternative options (Janda &amp; Trocchia, 2001)</w:t>
      </w:r>
      <w:r w:rsidR="0007714E">
        <w:t xml:space="preserve"> on the menu</w:t>
      </w:r>
      <w:r>
        <w:t xml:space="preserve">.  </w:t>
      </w:r>
    </w:p>
    <w:p w14:paraId="549EDA49" w14:textId="77777777" w:rsidR="00D65F93" w:rsidRDefault="00D65F93" w:rsidP="00D65F93">
      <w:pPr>
        <w:spacing w:line="480" w:lineRule="auto"/>
        <w:ind w:firstLine="720"/>
        <w:jc w:val="both"/>
      </w:pPr>
      <w:r>
        <w:t xml:space="preserve">Based on the above conceptual schema, this barrier to adopting plant-based diets is explored using Social Impact Theory. Social impact is a phenomenon in which people influence one another in social settings (Latané, 1981), whether it be intentionally or unintentionally. Three factors affect the response of social influence: </w:t>
      </w:r>
      <w:r w:rsidRPr="00070113">
        <w:rPr>
          <w:i/>
        </w:rPr>
        <w:t>strength, immediacy, and number</w:t>
      </w:r>
      <w:r>
        <w:t xml:space="preserve"> (Latané, 1981). In reference to a vegetarian lifestyle, social influence is considered to be a barrier to change, as strength, immediacy, and number favor meat consumption. For instance, </w:t>
      </w:r>
      <w:r w:rsidRPr="00070113">
        <w:rPr>
          <w:i/>
        </w:rPr>
        <w:t>strength</w:t>
      </w:r>
      <w:r>
        <w:t xml:space="preserve"> refers to the importance of the influencing group (Latané, 1981). As mentioned previously, friends and family are not only an important influencing group, but are also barriers to pro-environmental change. </w:t>
      </w:r>
      <w:r w:rsidRPr="00070113">
        <w:rPr>
          <w:i/>
        </w:rPr>
        <w:t>Immediacy</w:t>
      </w:r>
      <w:r>
        <w:t xml:space="preserve"> refers to the proximity of the group in time and space, at the time of an influencing attempt (Latané, 1981). Given that people in Canada typically consume three meals a day, alongside family at home, or with friends in the workplace, immediacy is considered to be a heightened obstacle. Lastly, and perhaps most importantly, rates of vegetarianism remain quite low, and thus the large population conforming to an omnivorous diet speaks to the </w:t>
      </w:r>
      <w:r w:rsidRPr="00070113">
        <w:rPr>
          <w:i/>
        </w:rPr>
        <w:t>number</w:t>
      </w:r>
      <w:r>
        <w:t xml:space="preserve"> affecting social influence. Intuitively, the effect of social influence is most powerful, when the majority conform to the same actions (Latané, 1981). Thus, the barrier of social influence, as argued through Social Impact Theory, is considered to be a robust limitation to transitioning to a plant-based diet. </w:t>
      </w:r>
    </w:p>
    <w:p w14:paraId="212D98AC" w14:textId="77777777" w:rsidR="00D65F93" w:rsidRDefault="00D65F93" w:rsidP="00AF575D">
      <w:pPr>
        <w:spacing w:line="480" w:lineRule="auto"/>
        <w:jc w:val="both"/>
        <w:outlineLvl w:val="0"/>
        <w:rPr>
          <w:b/>
          <w:i/>
        </w:rPr>
      </w:pPr>
    </w:p>
    <w:p w14:paraId="1A9CB40A" w14:textId="63D8E128" w:rsidR="00D65F93" w:rsidRDefault="00D65F93" w:rsidP="00D65F93">
      <w:pPr>
        <w:spacing w:line="480" w:lineRule="auto"/>
        <w:jc w:val="both"/>
        <w:outlineLvl w:val="0"/>
        <w:rPr>
          <w:b/>
          <w:i/>
        </w:rPr>
      </w:pPr>
      <w:r>
        <w:rPr>
          <w:b/>
          <w:i/>
        </w:rPr>
        <w:t>iv. Cognitive Dissonance</w:t>
      </w:r>
    </w:p>
    <w:p w14:paraId="08B3B3CF" w14:textId="02325D9C" w:rsidR="00D65F93" w:rsidRDefault="00D65F93" w:rsidP="00D65F93">
      <w:pPr>
        <w:spacing w:line="480" w:lineRule="auto"/>
        <w:jc w:val="both"/>
        <w:outlineLvl w:val="0"/>
      </w:pPr>
      <w:r>
        <w:tab/>
        <w:t xml:space="preserve">Cognitive dissonance describes having contradictory and inconsistent thoughts and actions, as relating to behavioural decisions (Festinger, 1957). Three Categories contribute to the </w:t>
      </w:r>
      <w:r>
        <w:lastRenderedPageBreak/>
        <w:t>theme of c</w:t>
      </w:r>
      <w:r w:rsidR="0007714E">
        <w:t>ognitive dissonance (Appendix 2; Figure 27</w:t>
      </w:r>
      <w:r>
        <w:t xml:space="preserve">), as a barrier to adopting plant-based diets: anthropocentric views, intentional ignorance, and moral disengagement. Despite recognition of the environmental impacts of animal agriculture, in addition to animal ethics, and health, individuals lack motivation to commit to a plant-based diet; behaviour is often not representative of individual concerns (Bilewicz </w:t>
      </w:r>
      <w:r w:rsidRPr="005D3E67">
        <w:rPr>
          <w:i/>
        </w:rPr>
        <w:t>et al.,</w:t>
      </w:r>
      <w:r>
        <w:t xml:space="preserve"> 2011; Graça </w:t>
      </w:r>
      <w:r w:rsidRPr="003F0806">
        <w:rPr>
          <w:i/>
        </w:rPr>
        <w:t xml:space="preserve">et al., </w:t>
      </w:r>
      <w:r>
        <w:t xml:space="preserve">2014). </w:t>
      </w:r>
    </w:p>
    <w:p w14:paraId="7105CD4F" w14:textId="77777777" w:rsidR="00D65F93" w:rsidRDefault="00D65F93" w:rsidP="00D65F93">
      <w:pPr>
        <w:spacing w:line="480" w:lineRule="auto"/>
        <w:jc w:val="both"/>
        <w:outlineLvl w:val="0"/>
      </w:pPr>
      <w:r>
        <w:tab/>
        <w:t xml:space="preserve">Consumers often resort to moral disengagement strategies when asked to consider the impacts of their consumption practices (Bastian </w:t>
      </w:r>
      <w:r w:rsidRPr="007A348E">
        <w:rPr>
          <w:i/>
        </w:rPr>
        <w:t>et al.,</w:t>
      </w:r>
      <w:r>
        <w:t xml:space="preserve"> 2012; Rothgerber, 2013; Graça </w:t>
      </w:r>
      <w:r w:rsidRPr="003F0806">
        <w:rPr>
          <w:i/>
        </w:rPr>
        <w:t>et al.,</w:t>
      </w:r>
      <w:r>
        <w:t xml:space="preserve"> 2014), resulting in a barrier to behavioural change. Graça </w:t>
      </w:r>
      <w:r w:rsidRPr="00F94927">
        <w:rPr>
          <w:i/>
        </w:rPr>
        <w:t>et al.</w:t>
      </w:r>
      <w:r>
        <w:t xml:space="preserve"> (2014) note four prominent moral disengagement strategies including reconstrual of harmful conduct (“yes, but…”), obscuring personal responsibility, disregard for the negative consequences associated with current meat production and consumption, and active avoidance and dissociation. By engaging in these psychological justifications, consumers morally dissociate from the harmful effects of the industrial agricultural sector. Through suppressions of moral concern, people reduce the unpleasantness associated with meat consumption in an effort to reduce dissonance of their ambivalent and contrasting attitudes (Rothgerber, 2013; Graça </w:t>
      </w:r>
      <w:r w:rsidRPr="00F94927">
        <w:rPr>
          <w:i/>
        </w:rPr>
        <w:t>et al.,</w:t>
      </w:r>
      <w:r>
        <w:t xml:space="preserve"> 2014). The literature on cognitive dissonance is more prevalent with respect to moral concern for animals, in an attempt to deny their capacity to suffer (Bilewicz </w:t>
      </w:r>
      <w:r w:rsidRPr="005D3E67">
        <w:rPr>
          <w:i/>
        </w:rPr>
        <w:t>et al.,</w:t>
      </w:r>
      <w:r>
        <w:t xml:space="preserve"> 2011; Bratanova </w:t>
      </w:r>
      <w:r w:rsidRPr="005D3E67">
        <w:rPr>
          <w:i/>
        </w:rPr>
        <w:t>et al.,</w:t>
      </w:r>
      <w:r>
        <w:t xml:space="preserve"> 2011; Bastian </w:t>
      </w:r>
      <w:r w:rsidRPr="007A348E">
        <w:rPr>
          <w:i/>
        </w:rPr>
        <w:t>et al</w:t>
      </w:r>
      <w:r>
        <w:t xml:space="preserve">., 2012; Rothgerber, 2013; Loughnan </w:t>
      </w:r>
      <w:r w:rsidRPr="00F94927">
        <w:rPr>
          <w:i/>
        </w:rPr>
        <w:t xml:space="preserve">et al., </w:t>
      </w:r>
      <w:r>
        <w:t xml:space="preserve">2010). Moreover, Rothgerber (2014) suggests that simply reading about animal agriculture or vegetarianism, can trigger a series of dissonance reduction strategies to compensate for a guilty conscience. </w:t>
      </w:r>
    </w:p>
    <w:p w14:paraId="06A249FC" w14:textId="77777777" w:rsidR="00D65F93" w:rsidRDefault="00D65F93" w:rsidP="00D65F93">
      <w:pPr>
        <w:spacing w:line="480" w:lineRule="auto"/>
        <w:jc w:val="both"/>
        <w:outlineLvl w:val="0"/>
      </w:pPr>
      <w:r>
        <w:tab/>
        <w:t xml:space="preserve">Accordingly, this barrier can be emphasized using the Theory of Cognitive Dissonance (Festinger, 1957) in relation to livestock consumption. According to Festinger’s (1957) Cognitive Dissonance Theory, individuals have an innate desire to hold attitudes and beliefs in </w:t>
      </w:r>
      <w:r>
        <w:lastRenderedPageBreak/>
        <w:t xml:space="preserve">harmony, and avoid dissonance. The principle of cognitive consistency is an important factor fundamental to the Theory of Cognitive Dissonance (Festinger, 1957). The theory suggests that cognitive dissonance acts as an influential motive to overcome inconsistent cognitions, which can result in irrational and maladaptive behaviour (Festinger, 1957). Likewise, empirical studies frame this imbalance in terms of the “meat paradox”, a relatively common phenomenon that falls under the umbrella of cognitive dissonance (Graça </w:t>
      </w:r>
      <w:r w:rsidRPr="003F0806">
        <w:rPr>
          <w:i/>
        </w:rPr>
        <w:t>et al</w:t>
      </w:r>
      <w:r>
        <w:t xml:space="preserve">., 2014). The meat paradox captures the cognition that people exhibit concern for the environment and animal welfare, yet enjoy consumption of animal protein, despite its consequences (Loughnan </w:t>
      </w:r>
      <w:r w:rsidRPr="009947FE">
        <w:rPr>
          <w:i/>
        </w:rPr>
        <w:t>et al.,</w:t>
      </w:r>
      <w:r>
        <w:t xml:space="preserve"> 2010).</w:t>
      </w:r>
    </w:p>
    <w:p w14:paraId="1AFD0CCF" w14:textId="4A182196" w:rsidR="00D65F93" w:rsidRDefault="00D65F93" w:rsidP="00D65F93">
      <w:pPr>
        <w:spacing w:line="480" w:lineRule="auto"/>
        <w:jc w:val="both"/>
        <w:outlineLvl w:val="0"/>
      </w:pPr>
      <w:r>
        <w:tab/>
        <w:t xml:space="preserve">Cognitive dissonance has not been </w:t>
      </w:r>
      <w:r w:rsidR="007600AE">
        <w:t xml:space="preserve">publically </w:t>
      </w:r>
      <w:r>
        <w:t xml:space="preserve">recognized as a perceived barrier to adopting a plant-based diet, given the intrinsic, psychological nature of the concept. However, the behavioural literature emphasizes that the meat paradox must be overcome, as the resolution of dissonance processes is central to facilitating change (Bastian </w:t>
      </w:r>
      <w:r w:rsidRPr="007A348E">
        <w:rPr>
          <w:i/>
        </w:rPr>
        <w:t>et al.,</w:t>
      </w:r>
      <w:r>
        <w:t xml:space="preserve"> 2012).</w:t>
      </w:r>
    </w:p>
    <w:p w14:paraId="54960723" w14:textId="77777777" w:rsidR="00D65F93" w:rsidRDefault="00D65F93" w:rsidP="00AF575D">
      <w:pPr>
        <w:spacing w:line="480" w:lineRule="auto"/>
        <w:jc w:val="both"/>
        <w:outlineLvl w:val="0"/>
        <w:rPr>
          <w:b/>
          <w:i/>
        </w:rPr>
      </w:pPr>
    </w:p>
    <w:p w14:paraId="40E1FAAD" w14:textId="22770C02" w:rsidR="00AF575D" w:rsidRDefault="00D65F93" w:rsidP="00AF575D">
      <w:pPr>
        <w:spacing w:line="480" w:lineRule="auto"/>
        <w:jc w:val="both"/>
        <w:outlineLvl w:val="0"/>
        <w:rPr>
          <w:b/>
          <w:i/>
        </w:rPr>
      </w:pPr>
      <w:r>
        <w:rPr>
          <w:b/>
          <w:i/>
        </w:rPr>
        <w:t>v</w:t>
      </w:r>
      <w:r w:rsidR="00AF575D">
        <w:rPr>
          <w:b/>
          <w:i/>
        </w:rPr>
        <w:t>. Autonomy</w:t>
      </w:r>
    </w:p>
    <w:p w14:paraId="22F6F4EF" w14:textId="17D6933C" w:rsidR="00933BB7" w:rsidRDefault="00AF575D" w:rsidP="00752DBC">
      <w:pPr>
        <w:spacing w:line="480" w:lineRule="auto"/>
        <w:jc w:val="both"/>
        <w:outlineLvl w:val="0"/>
      </w:pPr>
      <w:r>
        <w:tab/>
        <w:t>Autonomy is a theoretical concept that promotes self-determined choice, and regulation of one’s self (Deci &amp; Ryan, 1987).</w:t>
      </w:r>
      <w:r w:rsidR="00055AA2">
        <w:t xml:space="preserve"> Two </w:t>
      </w:r>
      <w:r w:rsidR="004E0E0A">
        <w:t>C</w:t>
      </w:r>
      <w:r w:rsidR="00055AA2">
        <w:t>ategories feed into the theme of autonomy</w:t>
      </w:r>
      <w:r w:rsidR="007600AE">
        <w:t xml:space="preserve"> (Appendix 2; Figure 26)</w:t>
      </w:r>
      <w:r w:rsidR="00055AA2">
        <w:t xml:space="preserve"> as a barri</w:t>
      </w:r>
      <w:r w:rsidR="00B3759D">
        <w:t>er to plant-based diets: apathy</w:t>
      </w:r>
      <w:r w:rsidR="00055AA2">
        <w:t xml:space="preserve"> and intrinsic motivation. Apathy encompasses a lack of interest or concern, resulting in an unwillingness to change behavio</w:t>
      </w:r>
      <w:r w:rsidR="004D5563">
        <w:t>u</w:t>
      </w:r>
      <w:r w:rsidR="00055AA2">
        <w:t>r.</w:t>
      </w:r>
      <w:r w:rsidR="00182647">
        <w:t xml:space="preserve"> </w:t>
      </w:r>
      <w:r w:rsidR="004E4C4B">
        <w:t xml:space="preserve">Studies suggest that </w:t>
      </w:r>
      <w:r w:rsidR="00252057">
        <w:t xml:space="preserve">some people are simply unwilling to change their dietary pattern, </w:t>
      </w:r>
      <w:r w:rsidR="00D52C67">
        <w:t xml:space="preserve">regardless of the </w:t>
      </w:r>
      <w:r w:rsidR="004E0E0A">
        <w:t xml:space="preserve">perceived or known </w:t>
      </w:r>
      <w:r w:rsidR="00D52C67">
        <w:t xml:space="preserve">benefits of </w:t>
      </w:r>
      <w:r w:rsidR="00252057">
        <w:t xml:space="preserve">plant-based </w:t>
      </w:r>
      <w:r w:rsidR="00D52C67">
        <w:t>consumption</w:t>
      </w:r>
      <w:r w:rsidR="00252057">
        <w:t xml:space="preserve"> (</w:t>
      </w:r>
      <w:r w:rsidR="00D52C67">
        <w:t xml:space="preserve">Lea &amp; Worsley, 2002; </w:t>
      </w:r>
      <w:r w:rsidR="00252057">
        <w:t xml:space="preserve">Lea </w:t>
      </w:r>
      <w:r w:rsidR="00252057" w:rsidRPr="00252057">
        <w:rPr>
          <w:i/>
        </w:rPr>
        <w:t>et al.,</w:t>
      </w:r>
      <w:r w:rsidR="00252057">
        <w:t xml:space="preserve"> 2006a</w:t>
      </w:r>
      <w:r w:rsidR="00965DE9">
        <w:t xml:space="preserve">; Lea </w:t>
      </w:r>
      <w:r w:rsidR="00965DE9" w:rsidRPr="00965DE9">
        <w:rPr>
          <w:i/>
        </w:rPr>
        <w:t>et al</w:t>
      </w:r>
      <w:r w:rsidR="00965DE9">
        <w:t>., 2006b</w:t>
      </w:r>
      <w:r w:rsidR="00083F96">
        <w:t xml:space="preserve">; Vanhonacker </w:t>
      </w:r>
      <w:r w:rsidR="00083F96" w:rsidRPr="00083F96">
        <w:rPr>
          <w:i/>
        </w:rPr>
        <w:t>et al.,</w:t>
      </w:r>
      <w:r w:rsidR="00083F96">
        <w:t xml:space="preserve"> 2013</w:t>
      </w:r>
      <w:r w:rsidR="00252057">
        <w:t xml:space="preserve">). </w:t>
      </w:r>
      <w:r w:rsidR="00933BB7">
        <w:t>An unwillingness to change</w:t>
      </w:r>
      <w:r w:rsidR="00D52C67">
        <w:t xml:space="preserve"> is considered t</w:t>
      </w:r>
      <w:r w:rsidR="006C189C">
        <w:t xml:space="preserve">o be the main </w:t>
      </w:r>
      <w:r w:rsidR="006C189C" w:rsidRPr="00F80A61">
        <w:t xml:space="preserve">perceived </w:t>
      </w:r>
      <w:r w:rsidR="006C189C">
        <w:t>barrier</w:t>
      </w:r>
      <w:r w:rsidR="00D52C67">
        <w:t xml:space="preserve"> that survey respondents commonly cite</w:t>
      </w:r>
      <w:r w:rsidR="00933BB7">
        <w:t xml:space="preserve"> in Australia</w:t>
      </w:r>
      <w:r w:rsidR="004E0E0A">
        <w:t>n research</w:t>
      </w:r>
      <w:r w:rsidR="00965DE9">
        <w:t xml:space="preserve"> (Lea &amp; Worsley, 2002</w:t>
      </w:r>
      <w:r w:rsidR="004E4C4B">
        <w:t xml:space="preserve">; Lea </w:t>
      </w:r>
      <w:r w:rsidR="004E4C4B" w:rsidRPr="00252057">
        <w:rPr>
          <w:i/>
        </w:rPr>
        <w:t>et al.,</w:t>
      </w:r>
      <w:r w:rsidR="004E4C4B">
        <w:t xml:space="preserve"> 2006a; Lea </w:t>
      </w:r>
      <w:r w:rsidR="004E4C4B" w:rsidRPr="00965DE9">
        <w:rPr>
          <w:i/>
        </w:rPr>
        <w:t>et al</w:t>
      </w:r>
      <w:r w:rsidR="004E4C4B">
        <w:t>., 2006b</w:t>
      </w:r>
      <w:r w:rsidR="00965DE9">
        <w:t>)</w:t>
      </w:r>
      <w:r w:rsidR="00D52C67">
        <w:t>.</w:t>
      </w:r>
      <w:r w:rsidR="009C6CDC">
        <w:t xml:space="preserve"> Evidence suggests that </w:t>
      </w:r>
      <w:r w:rsidR="009C6CDC">
        <w:lastRenderedPageBreak/>
        <w:t>respondents who are unwilling to change their behavior, also fail to re</w:t>
      </w:r>
      <w:r w:rsidR="007600AE">
        <w:t>cognize the benefits of a plant-based diet</w:t>
      </w:r>
      <w:r w:rsidR="009C6CDC">
        <w:t xml:space="preserve"> including well-being, weight, health, convenience</w:t>
      </w:r>
      <w:r w:rsidR="007600AE">
        <w:t>,</w:t>
      </w:r>
      <w:r w:rsidR="009C6CDC">
        <w:t xml:space="preserve"> and finances (Lea </w:t>
      </w:r>
      <w:r w:rsidR="009C6CDC" w:rsidRPr="007600AE">
        <w:rPr>
          <w:i/>
        </w:rPr>
        <w:t>et al.,</w:t>
      </w:r>
      <w:r w:rsidR="009C6CDC">
        <w:t xml:space="preserve"> 2006a). </w:t>
      </w:r>
      <w:r w:rsidR="00933BB7">
        <w:t xml:space="preserve">Regardless of this perspective, </w:t>
      </w:r>
      <w:r w:rsidR="009C6CDC">
        <w:t xml:space="preserve">Lea </w:t>
      </w:r>
      <w:r w:rsidR="009C6CDC" w:rsidRPr="007600AE">
        <w:rPr>
          <w:i/>
        </w:rPr>
        <w:t>et al.</w:t>
      </w:r>
      <w:r w:rsidR="007600AE">
        <w:t xml:space="preserve"> (2006a, 2006b) note</w:t>
      </w:r>
      <w:r w:rsidR="009C6CDC">
        <w:t xml:space="preserve"> that 42% of respondents </w:t>
      </w:r>
      <w:r w:rsidR="00F80A61">
        <w:t>were either considering</w:t>
      </w:r>
      <w:r w:rsidR="009C6CDC">
        <w:t xml:space="preserve"> (behavioural intention)</w:t>
      </w:r>
      <w:r w:rsidR="00F80A61">
        <w:t xml:space="preserve">, </w:t>
      </w:r>
      <w:r w:rsidR="009C6CDC">
        <w:t xml:space="preserve">or actively maintaining a plant-based diet. </w:t>
      </w:r>
      <w:r w:rsidR="00933BB7">
        <w:t>Thus, there is a discrepancy between perceived barriers</w:t>
      </w:r>
      <w:r w:rsidR="004E4C4B">
        <w:t>,</w:t>
      </w:r>
      <w:r w:rsidR="00933BB7">
        <w:t xml:space="preserve"> and behavio</w:t>
      </w:r>
      <w:r w:rsidR="004D5563">
        <w:t>u</w:t>
      </w:r>
      <w:r w:rsidR="00933BB7">
        <w:t xml:space="preserve">ral intention of vegetarianism. </w:t>
      </w:r>
      <w:r w:rsidR="004E4C4B">
        <w:t>Such a</w:t>
      </w:r>
      <w:r w:rsidR="00933BB7">
        <w:t xml:space="preserve"> discrepancy</w:t>
      </w:r>
      <w:r w:rsidR="004E4C4B">
        <w:t xml:space="preserve"> emphasizes the importance of the broad nature of the current research; as the </w:t>
      </w:r>
      <w:r w:rsidR="00933BB7">
        <w:t>handful of studies</w:t>
      </w:r>
      <w:r w:rsidR="004E4C4B">
        <w:t xml:space="preserve"> that have</w:t>
      </w:r>
      <w:r w:rsidR="00933BB7">
        <w:t xml:space="preserve"> investigated perc</w:t>
      </w:r>
      <w:r w:rsidR="004E4C4B">
        <w:t>eived barriers to vegetarianism</w:t>
      </w:r>
      <w:r w:rsidR="00933BB7">
        <w:t xml:space="preserve"> are not representative of behavio</w:t>
      </w:r>
      <w:r w:rsidR="004D5563">
        <w:t>u</w:t>
      </w:r>
      <w:r w:rsidR="00933BB7">
        <w:t xml:space="preserve">ral intention, nor institutional factors that may be subconsciously affecting dietary choice. </w:t>
      </w:r>
      <w:r w:rsidR="00182647">
        <w:t>Nevertheless</w:t>
      </w:r>
      <w:r w:rsidR="002C22DD">
        <w:t>,</w:t>
      </w:r>
      <w:r w:rsidR="00182647">
        <w:t xml:space="preserve"> a lack of concern, and </w:t>
      </w:r>
      <w:r w:rsidR="004E4C4B">
        <w:t>subsequent</w:t>
      </w:r>
      <w:r w:rsidR="009D0573">
        <w:t xml:space="preserve"> hedonistic </w:t>
      </w:r>
      <w:r w:rsidR="00182647">
        <w:t xml:space="preserve">unwillingness to change, </w:t>
      </w:r>
      <w:r w:rsidR="00B75FE4">
        <w:t xml:space="preserve">remains a </w:t>
      </w:r>
      <w:r w:rsidR="00BF4FA9">
        <w:t>dietary bottleneck</w:t>
      </w:r>
      <w:r w:rsidR="00182647">
        <w:t xml:space="preserve"> for </w:t>
      </w:r>
      <w:r w:rsidR="00B75FE4">
        <w:t>some individuals.</w:t>
      </w:r>
      <w:r w:rsidR="00182647">
        <w:t xml:space="preserve"> </w:t>
      </w:r>
    </w:p>
    <w:p w14:paraId="74BCBA54" w14:textId="4D775FFF" w:rsidR="00B546DB" w:rsidRDefault="006F405D" w:rsidP="009B0F9F">
      <w:pPr>
        <w:spacing w:line="480" w:lineRule="auto"/>
        <w:ind w:firstLine="720"/>
        <w:jc w:val="both"/>
        <w:outlineLvl w:val="0"/>
      </w:pPr>
      <w:r>
        <w:t xml:space="preserve">In developed economies, </w:t>
      </w:r>
      <w:r w:rsidR="009809A2">
        <w:t xml:space="preserve">consumption patterns are </w:t>
      </w:r>
      <w:r>
        <w:t xml:space="preserve">more generally </w:t>
      </w:r>
      <w:r w:rsidR="009809A2">
        <w:t xml:space="preserve">representative of </w:t>
      </w:r>
      <w:r>
        <w:t>one’s identity, rather than satisfying basic needs</w:t>
      </w:r>
      <w:r w:rsidR="009809A2">
        <w:t xml:space="preserve"> (Beverland, 2014; Fox &amp; Ward, 2008). </w:t>
      </w:r>
      <w:r w:rsidR="00055AA2">
        <w:t>Intrinsic motivation encompasses individual values</w:t>
      </w:r>
      <w:r w:rsidR="00122529">
        <w:t xml:space="preserve">, attitudes, and </w:t>
      </w:r>
      <w:r w:rsidR="00B75FE4">
        <w:t>identity</w:t>
      </w:r>
      <w:r w:rsidR="00122529">
        <w:t xml:space="preserve">. Though </w:t>
      </w:r>
      <w:r w:rsidR="00B75FE4">
        <w:t xml:space="preserve">intrinsic motivation is considered a motivational tool, values, attitudes, and identity can likewise act as barriers to change. </w:t>
      </w:r>
      <w:r w:rsidR="00752DBC">
        <w:t>For instance, ethical</w:t>
      </w:r>
      <w:r w:rsidR="00B75FE4">
        <w:t>ly motivated</w:t>
      </w:r>
      <w:r w:rsidR="00752DBC">
        <w:t xml:space="preserve"> vegetarian</w:t>
      </w:r>
      <w:r w:rsidR="00B75FE4">
        <w:t>s are more likely to stick to plant-based</w:t>
      </w:r>
      <w:r w:rsidR="00752DBC">
        <w:t xml:space="preserve"> diet</w:t>
      </w:r>
      <w:r w:rsidR="00B75FE4">
        <w:t>s</w:t>
      </w:r>
      <w:r w:rsidR="00752DBC">
        <w:t xml:space="preserve"> in </w:t>
      </w:r>
      <w:r w:rsidR="00B75FE4">
        <w:t xml:space="preserve">comparison to individuals motivated by </w:t>
      </w:r>
      <w:r w:rsidR="004E0E0A">
        <w:t xml:space="preserve">personal </w:t>
      </w:r>
      <w:r w:rsidR="00B75FE4">
        <w:t xml:space="preserve">health </w:t>
      </w:r>
      <w:r w:rsidR="004E0E0A">
        <w:t xml:space="preserve">reasons </w:t>
      </w:r>
      <w:r w:rsidR="00752DBC">
        <w:t>(</w:t>
      </w:r>
      <w:r w:rsidR="00C63D18">
        <w:t xml:space="preserve">Hoffman </w:t>
      </w:r>
      <w:r w:rsidR="00C63D18" w:rsidRPr="00C63D18">
        <w:rPr>
          <w:i/>
        </w:rPr>
        <w:t>et al.,</w:t>
      </w:r>
      <w:r w:rsidR="00C63D18">
        <w:t xml:space="preserve"> 2013; de Backers &amp; Hudders, 2014</w:t>
      </w:r>
      <w:r w:rsidR="00752DBC">
        <w:t xml:space="preserve">). </w:t>
      </w:r>
      <w:r w:rsidR="00B75FE4">
        <w:t xml:space="preserve">The </w:t>
      </w:r>
      <w:r w:rsidR="006C189C">
        <w:t>divergence</w:t>
      </w:r>
      <w:r w:rsidR="00B75FE4">
        <w:t xml:space="preserve"> in intrinsically motivated behavio</w:t>
      </w:r>
      <w:r w:rsidR="004D5563">
        <w:t>u</w:t>
      </w:r>
      <w:r w:rsidR="00B75FE4">
        <w:t xml:space="preserve">r can ultimately affect the choices, and success of individuals </w:t>
      </w:r>
      <w:r w:rsidR="00F77694">
        <w:t xml:space="preserve">(Beardsworth &amp; Keil, 2002; Vermier &amp; Verbeke, 2006; Graça </w:t>
      </w:r>
      <w:r w:rsidR="00F77694" w:rsidRPr="00F77694">
        <w:rPr>
          <w:i/>
        </w:rPr>
        <w:t>et al.,</w:t>
      </w:r>
      <w:r w:rsidR="00F77694">
        <w:t xml:space="preserve"> 2015), </w:t>
      </w:r>
      <w:r w:rsidR="00B75FE4">
        <w:t>with limitations to</w:t>
      </w:r>
      <w:r w:rsidR="009809A2">
        <w:t xml:space="preserve"> pro-environmental behavio</w:t>
      </w:r>
      <w:r w:rsidR="004D5563">
        <w:t>u</w:t>
      </w:r>
      <w:r w:rsidR="00F77694">
        <w:t>r</w:t>
      </w:r>
      <w:r w:rsidR="00122529">
        <w:t>.</w:t>
      </w:r>
      <w:r>
        <w:t xml:space="preserve"> </w:t>
      </w:r>
      <w:r w:rsidR="00B546DB">
        <w:t>In juxtaposition, attitudes in isolation are a poor predictor of behavio</w:t>
      </w:r>
      <w:r w:rsidR="004D5563">
        <w:t>u</w:t>
      </w:r>
      <w:r w:rsidR="00B546DB">
        <w:t xml:space="preserve">ral intention (Vermier &amp; Verbeke, 2006). Many individuals may </w:t>
      </w:r>
      <w:r w:rsidR="00B75FE4">
        <w:t xml:space="preserve">truly </w:t>
      </w:r>
      <w:r w:rsidR="00B546DB">
        <w:t>valu</w:t>
      </w:r>
      <w:r w:rsidR="00B75FE4">
        <w:t>e animals and the environment</w:t>
      </w:r>
      <w:r w:rsidR="00B546DB">
        <w:t>, however, their actions are not reflective of th</w:t>
      </w:r>
      <w:r w:rsidR="00B75FE4">
        <w:t xml:space="preserve">eir values. </w:t>
      </w:r>
      <w:r w:rsidR="008413B9">
        <w:t>Termed an attitude-behavio</w:t>
      </w:r>
      <w:r w:rsidR="004D5563">
        <w:t>u</w:t>
      </w:r>
      <w:r w:rsidR="008413B9">
        <w:t xml:space="preserve">ral gap, the incongruity between values </w:t>
      </w:r>
      <w:r w:rsidR="008413B9">
        <w:lastRenderedPageBreak/>
        <w:t xml:space="preserve">and intention is influenced by other extrinsic factors, such as the </w:t>
      </w:r>
      <w:r w:rsidR="0032766F">
        <w:t>a</w:t>
      </w:r>
      <w:r w:rsidR="00617EFC">
        <w:t>ncillary</w:t>
      </w:r>
      <w:r w:rsidR="0032766F">
        <w:t xml:space="preserve"> </w:t>
      </w:r>
      <w:r w:rsidR="008413B9">
        <w:t xml:space="preserve">barriers uncovered in this analysis. </w:t>
      </w:r>
    </w:p>
    <w:p w14:paraId="57495E5D" w14:textId="4416C443" w:rsidR="006F405D" w:rsidRPr="00752DBC" w:rsidRDefault="001F3E97" w:rsidP="00B546DB">
      <w:pPr>
        <w:spacing w:line="480" w:lineRule="auto"/>
        <w:ind w:firstLine="720"/>
        <w:jc w:val="both"/>
        <w:outlineLvl w:val="0"/>
      </w:pPr>
      <w:r>
        <w:t xml:space="preserve">An affective connection towards meat has been </w:t>
      </w:r>
      <w:r w:rsidR="00F77694">
        <w:t xml:space="preserve">frequently </w:t>
      </w:r>
      <w:r>
        <w:t xml:space="preserve">documented (Rozin </w:t>
      </w:r>
      <w:r w:rsidRPr="00F77694">
        <w:rPr>
          <w:i/>
        </w:rPr>
        <w:t>et al.,</w:t>
      </w:r>
      <w:r>
        <w:t xml:space="preserve"> 1997; Graça </w:t>
      </w:r>
      <w:r w:rsidRPr="00F77694">
        <w:rPr>
          <w:i/>
        </w:rPr>
        <w:t>et al.,</w:t>
      </w:r>
      <w:r>
        <w:t xml:space="preserve"> 2015)</w:t>
      </w:r>
      <w:r w:rsidR="00752DBC">
        <w:t>, and thus plays a central role in the decision-making process (Vermier &amp; Verbeke, 2006</w:t>
      </w:r>
      <w:r w:rsidR="008413B9">
        <w:t>)</w:t>
      </w:r>
      <w:r>
        <w:t xml:space="preserve">. </w:t>
      </w:r>
      <w:r w:rsidR="006F405D">
        <w:t xml:space="preserve">For example, meat consumption is </w:t>
      </w:r>
      <w:r w:rsidR="008413B9">
        <w:t>considered a form of national identity or</w:t>
      </w:r>
      <w:r w:rsidR="006F405D">
        <w:t xml:space="preserve"> patriotism, especially in countries with a long history of farming traditions (Ruby, 2012). This innate </w:t>
      </w:r>
      <w:r w:rsidR="00493F18">
        <w:t>cultural affinity</w:t>
      </w:r>
      <w:r w:rsidR="006F405D">
        <w:t xml:space="preserve">, and </w:t>
      </w:r>
      <w:r w:rsidR="00493F18">
        <w:t>nationalist support for farming</w:t>
      </w:r>
      <w:r w:rsidR="006F405D">
        <w:t xml:space="preserve"> </w:t>
      </w:r>
      <w:r w:rsidR="00493F18">
        <w:t>traditions</w:t>
      </w:r>
      <w:r w:rsidR="006F405D">
        <w:t xml:space="preserve"> consequently </w:t>
      </w:r>
      <w:r w:rsidR="00493F18">
        <w:t xml:space="preserve">outweighs concern about negative environmental impacts </w:t>
      </w:r>
      <w:r w:rsidR="007600AE">
        <w:t>undermines ecological concern</w:t>
      </w:r>
      <w:r w:rsidR="006F405D">
        <w:t xml:space="preserve"> (Lusk &amp; Norwood, 2009; Beverland, 2014). However, with </w:t>
      </w:r>
      <w:r w:rsidR="008413B9">
        <w:t>heightened</w:t>
      </w:r>
      <w:r w:rsidR="006F405D">
        <w:t xml:space="preserve"> diffusion </w:t>
      </w:r>
      <w:r w:rsidR="008413B9">
        <w:t>in</w:t>
      </w:r>
      <w:r w:rsidR="006F405D">
        <w:t xml:space="preserve"> the concept of a ‘responsible consumer’</w:t>
      </w:r>
      <w:r w:rsidR="00493F18">
        <w:t xml:space="preserve"> or ‘conscious consumerism’</w:t>
      </w:r>
      <w:r w:rsidR="006F405D">
        <w:t xml:space="preserve">, </w:t>
      </w:r>
      <w:r w:rsidR="008413B9">
        <w:t>entrenched values are slowly transitioning</w:t>
      </w:r>
      <w:r w:rsidR="00752DBC">
        <w:t xml:space="preserve"> to those of</w:t>
      </w:r>
      <w:r w:rsidR="00E9451E">
        <w:t xml:space="preserve"> </w:t>
      </w:r>
      <w:r w:rsidR="00752DBC">
        <w:t>environmental and ethical</w:t>
      </w:r>
      <w:r w:rsidR="00E9451E">
        <w:t xml:space="preserve"> consideration</w:t>
      </w:r>
      <w:r w:rsidR="008413B9">
        <w:t xml:space="preserve"> in developed economies</w:t>
      </w:r>
      <w:r w:rsidR="00E9451E">
        <w:t xml:space="preserve"> (Beverland, 2014). </w:t>
      </w:r>
      <w:r w:rsidR="00752DBC">
        <w:t xml:space="preserve">Consequently, the barrier of autonomy, may be of less significance </w:t>
      </w:r>
      <w:r w:rsidR="0032766F">
        <w:t>in the grand scheme of things</w:t>
      </w:r>
      <w:r w:rsidR="00D72E52">
        <w:t xml:space="preserve"> </w:t>
      </w:r>
      <w:r w:rsidR="00752DBC">
        <w:t xml:space="preserve">than the </w:t>
      </w:r>
      <w:r w:rsidR="00752DBC">
        <w:rPr>
          <w:i/>
        </w:rPr>
        <w:t xml:space="preserve">a posteriori </w:t>
      </w:r>
      <w:r w:rsidR="00752DBC">
        <w:t xml:space="preserve">coding strategy suggests. </w:t>
      </w:r>
    </w:p>
    <w:p w14:paraId="2CA365ED" w14:textId="2D106B68" w:rsidR="00F25635" w:rsidRDefault="00EB03E8" w:rsidP="00AF575D">
      <w:pPr>
        <w:spacing w:line="480" w:lineRule="auto"/>
        <w:jc w:val="both"/>
        <w:outlineLvl w:val="0"/>
      </w:pPr>
      <w:r>
        <w:tab/>
        <w:t xml:space="preserve">This </w:t>
      </w:r>
      <w:r w:rsidR="00BF4FA9">
        <w:t xml:space="preserve">dietary </w:t>
      </w:r>
      <w:r>
        <w:t>b</w:t>
      </w:r>
      <w:r w:rsidR="00BF4FA9">
        <w:t>ottleneck</w:t>
      </w:r>
      <w:r>
        <w:t xml:space="preserve"> can be </w:t>
      </w:r>
      <w:r w:rsidR="00F4524D">
        <w:t>argued</w:t>
      </w:r>
      <w:r>
        <w:t xml:space="preserve"> through </w:t>
      </w:r>
      <w:r w:rsidR="00F4524D">
        <w:t xml:space="preserve">a fundamental meta-theory of motivation in psychology: </w:t>
      </w:r>
      <w:r>
        <w:t>Self-Determination Theory</w:t>
      </w:r>
      <w:r w:rsidR="00F4524D">
        <w:t xml:space="preserve"> (SDT)</w:t>
      </w:r>
      <w:r>
        <w:t xml:space="preserve">. </w:t>
      </w:r>
      <w:r w:rsidR="00F4524D">
        <w:t xml:space="preserve">According to SDT, individuals have </w:t>
      </w:r>
      <w:r w:rsidR="001A029E">
        <w:t>three</w:t>
      </w:r>
      <w:r w:rsidR="00F4524D">
        <w:t xml:space="preserve"> innate </w:t>
      </w:r>
      <w:r w:rsidR="001A029E">
        <w:t xml:space="preserve">psychological </w:t>
      </w:r>
      <w:r w:rsidR="00F4524D">
        <w:t>desire</w:t>
      </w:r>
      <w:r w:rsidR="001A029E">
        <w:t>s: autonomy, competence, and relatedness</w:t>
      </w:r>
      <w:r w:rsidR="00F4524D">
        <w:t xml:space="preserve"> (Ryan &amp; Deci, 2000</w:t>
      </w:r>
      <w:r w:rsidR="001A029E">
        <w:t xml:space="preserve">; </w:t>
      </w:r>
      <w:r w:rsidR="001A029E" w:rsidRPr="00101BCD">
        <w:rPr>
          <w:color w:val="000000"/>
        </w:rPr>
        <w:t>Gagne and Deci, 2005</w:t>
      </w:r>
      <w:r w:rsidR="008B0FE1">
        <w:t>)</w:t>
      </w:r>
      <w:r w:rsidR="00F25635">
        <w:t xml:space="preserve"> that must be satisfied to ensure individual welfare. </w:t>
      </w:r>
      <w:r w:rsidR="00F4524D">
        <w:t>Encompassing both intrinsic and extrinsic motivation, SDT distinguishes between behavio</w:t>
      </w:r>
      <w:r w:rsidR="004D5563">
        <w:t>u</w:t>
      </w:r>
      <w:r w:rsidR="00F4524D">
        <w:t xml:space="preserve">ral action </w:t>
      </w:r>
      <w:r w:rsidR="00F25635">
        <w:t>for inherent</w:t>
      </w:r>
      <w:r w:rsidR="00617EFC">
        <w:t xml:space="preserve"> self-satisfaction</w:t>
      </w:r>
      <w:r w:rsidR="001A029E">
        <w:t xml:space="preserve"> and instrumental value, respectively (Ryan &amp; Deci, 2000). </w:t>
      </w:r>
      <w:r w:rsidR="008B0FE1">
        <w:t xml:space="preserve">The values influencing animal-protein consumption are considered to be intrinsically motivated, suggesting people gain internal pleasure from eating meat. </w:t>
      </w:r>
    </w:p>
    <w:p w14:paraId="25E54851" w14:textId="02080F9F" w:rsidR="00EB03E8" w:rsidRDefault="00F25635" w:rsidP="00F25635">
      <w:pPr>
        <w:spacing w:line="480" w:lineRule="auto"/>
        <w:ind w:firstLine="720"/>
        <w:jc w:val="both"/>
        <w:outlineLvl w:val="0"/>
      </w:pPr>
      <w:r>
        <w:t>A</w:t>
      </w:r>
      <w:r w:rsidR="008B0FE1">
        <w:t xml:space="preserve">s satisfaction of the three aforementioned psychological needs are required for the well-being of individuals (Deci &amp; Ryan, 2000), the barrier of autonomy cannot simply be overlooked </w:t>
      </w:r>
      <w:r w:rsidR="008B0FE1">
        <w:lastRenderedPageBreak/>
        <w:t xml:space="preserve">or disregarded. Consequently, in order to overcome this </w:t>
      </w:r>
      <w:r w:rsidR="00382651">
        <w:t xml:space="preserve">intrinsic </w:t>
      </w:r>
      <w:r w:rsidR="008B0FE1">
        <w:t>barrier, extrinsic motivation in the form of political intervention, must focus on autonomous forms of regulation, rather than controlled behavio</w:t>
      </w:r>
      <w:r w:rsidR="004D5563">
        <w:t>u</w:t>
      </w:r>
      <w:r w:rsidR="008B0FE1">
        <w:t>r (</w:t>
      </w:r>
      <w:r w:rsidR="008B0FE1" w:rsidRPr="00101BCD">
        <w:rPr>
          <w:color w:val="000000"/>
        </w:rPr>
        <w:t>Gagne and Deci, 2005</w:t>
      </w:r>
      <w:r w:rsidR="008B0FE1">
        <w:rPr>
          <w:color w:val="000000"/>
        </w:rPr>
        <w:t xml:space="preserve">; Silva </w:t>
      </w:r>
      <w:r w:rsidR="008B0FE1" w:rsidRPr="008B0FE1">
        <w:rPr>
          <w:i/>
          <w:color w:val="000000"/>
        </w:rPr>
        <w:t>et al.,</w:t>
      </w:r>
      <w:r w:rsidR="008B0FE1">
        <w:rPr>
          <w:color w:val="000000"/>
        </w:rPr>
        <w:t xml:space="preserve"> 2014</w:t>
      </w:r>
      <w:r w:rsidR="008B0FE1">
        <w:t>)</w:t>
      </w:r>
      <w:r w:rsidR="00382651">
        <w:t>. Research has continually demonstrated that autonomous motivation is correlated to positive outcomes, and greater performance. Thus, autonomous control would likely satisfy the psychological requirement of autonomy, while simultaneously promoting pro-environmental behavio</w:t>
      </w:r>
      <w:r w:rsidR="004D5563">
        <w:t>u</w:t>
      </w:r>
      <w:r w:rsidR="00382651">
        <w:t xml:space="preserve">r. </w:t>
      </w:r>
    </w:p>
    <w:p w14:paraId="0DB1487B" w14:textId="73642AAC" w:rsidR="00CD5D57" w:rsidRPr="0032766F" w:rsidRDefault="00122529" w:rsidP="00AF575D">
      <w:pPr>
        <w:spacing w:line="480" w:lineRule="auto"/>
        <w:jc w:val="both"/>
        <w:outlineLvl w:val="0"/>
      </w:pPr>
      <w:r>
        <w:t xml:space="preserve"> </w:t>
      </w:r>
    </w:p>
    <w:p w14:paraId="13D68B03" w14:textId="77777777" w:rsidR="0039350E" w:rsidRDefault="0039350E" w:rsidP="0039350E">
      <w:pPr>
        <w:spacing w:line="480" w:lineRule="auto"/>
        <w:ind w:firstLine="720"/>
        <w:jc w:val="both"/>
        <w:outlineLvl w:val="0"/>
      </w:pPr>
    </w:p>
    <w:p w14:paraId="0191DE4D" w14:textId="78465291" w:rsidR="00F363DF" w:rsidRPr="004B464C" w:rsidRDefault="00F363DF" w:rsidP="0039350E">
      <w:pPr>
        <w:spacing w:line="480" w:lineRule="auto"/>
        <w:ind w:firstLine="720"/>
        <w:jc w:val="both"/>
        <w:outlineLvl w:val="0"/>
      </w:pPr>
    </w:p>
    <w:p w14:paraId="37D54CC3" w14:textId="77777777" w:rsidR="00C34CB7" w:rsidRPr="005B1B3D" w:rsidRDefault="00C34CB7" w:rsidP="00C34CB7">
      <w:pPr>
        <w:spacing w:line="480" w:lineRule="auto"/>
        <w:ind w:firstLine="720"/>
        <w:jc w:val="both"/>
        <w:outlineLvl w:val="0"/>
      </w:pPr>
      <w:r>
        <w:t>In conclusion, the barriers uncovered in this analysis are considered to be established from an individual to institutional level. T</w:t>
      </w:r>
      <w:r w:rsidRPr="00D324D1">
        <w:t>he</w:t>
      </w:r>
      <w:r>
        <w:t xml:space="preserve"> diversity and complexity of the identified</w:t>
      </w:r>
      <w:r w:rsidRPr="00D324D1">
        <w:t xml:space="preserve"> barriers </w:t>
      </w:r>
      <w:r>
        <w:t>suggests there are many</w:t>
      </w:r>
      <w:r w:rsidRPr="00D324D1">
        <w:t xml:space="preserve"> </w:t>
      </w:r>
      <w:r w:rsidRPr="00D324D1">
        <w:rPr>
          <w:i/>
        </w:rPr>
        <w:t>possibilities</w:t>
      </w:r>
      <w:r>
        <w:t xml:space="preserve"> and a considerable scope </w:t>
      </w:r>
      <w:r w:rsidRPr="00D324D1">
        <w:t>for intervention (</w:t>
      </w:r>
      <w:r>
        <w:t xml:space="preserve">Vermier &amp; Verbeke, 2006; </w:t>
      </w:r>
      <w:r w:rsidRPr="00D324D1">
        <w:t xml:space="preserve">Allodi </w:t>
      </w:r>
      <w:r w:rsidRPr="00D324D1">
        <w:rPr>
          <w:i/>
        </w:rPr>
        <w:t>et al</w:t>
      </w:r>
      <w:r w:rsidRPr="00D324D1">
        <w:t>., 2015)</w:t>
      </w:r>
      <w:r>
        <w:t xml:space="preserve"> via policy measures</w:t>
      </w:r>
      <w:r w:rsidRPr="00D324D1">
        <w:t>.</w:t>
      </w:r>
      <w:r>
        <w:t xml:space="preserve"> </w:t>
      </w:r>
      <w:r w:rsidRPr="00C919CB">
        <w:rPr>
          <w:color w:val="000000" w:themeColor="text1"/>
        </w:rPr>
        <w:t xml:space="preserve">Thus, in order to achieve a </w:t>
      </w:r>
      <w:r>
        <w:rPr>
          <w:color w:val="000000" w:themeColor="text1"/>
        </w:rPr>
        <w:t xml:space="preserve">substantial </w:t>
      </w:r>
      <w:r w:rsidRPr="00C919CB">
        <w:rPr>
          <w:color w:val="000000" w:themeColor="text1"/>
        </w:rPr>
        <w:t xml:space="preserve">transition to plant-based diets, barriers must be overcome via </w:t>
      </w:r>
      <w:r>
        <w:rPr>
          <w:color w:val="000000" w:themeColor="text1"/>
        </w:rPr>
        <w:t xml:space="preserve">effective framing and subsequent implementation of </w:t>
      </w:r>
      <w:r w:rsidRPr="00C919CB">
        <w:rPr>
          <w:color w:val="000000" w:themeColor="text1"/>
        </w:rPr>
        <w:t>policy instruments</w:t>
      </w:r>
      <w:r>
        <w:rPr>
          <w:color w:val="000000" w:themeColor="text1"/>
        </w:rPr>
        <w:t>.</w:t>
      </w:r>
    </w:p>
    <w:p w14:paraId="0E76A338" w14:textId="77777777" w:rsidR="00B53FFA" w:rsidRDefault="00B53FFA" w:rsidP="00374D42">
      <w:pPr>
        <w:spacing w:line="480" w:lineRule="auto"/>
        <w:jc w:val="both"/>
        <w:rPr>
          <w:b/>
          <w:sz w:val="32"/>
          <w:u w:val="single"/>
        </w:rPr>
      </w:pPr>
    </w:p>
    <w:p w14:paraId="7860442D" w14:textId="77777777" w:rsidR="00B53FFA" w:rsidRDefault="00B53FFA" w:rsidP="00374D42">
      <w:pPr>
        <w:spacing w:line="480" w:lineRule="auto"/>
        <w:jc w:val="both"/>
        <w:rPr>
          <w:b/>
          <w:sz w:val="32"/>
          <w:u w:val="single"/>
        </w:rPr>
      </w:pPr>
    </w:p>
    <w:p w14:paraId="20247254" w14:textId="77777777" w:rsidR="00B53FFA" w:rsidRDefault="00B53FFA" w:rsidP="00374D42">
      <w:pPr>
        <w:spacing w:line="480" w:lineRule="auto"/>
        <w:jc w:val="both"/>
        <w:rPr>
          <w:b/>
          <w:sz w:val="32"/>
          <w:u w:val="single"/>
        </w:rPr>
      </w:pPr>
    </w:p>
    <w:p w14:paraId="3142BD49" w14:textId="77777777" w:rsidR="00B53FFA" w:rsidRDefault="00B53FFA" w:rsidP="00374D42">
      <w:pPr>
        <w:spacing w:line="480" w:lineRule="auto"/>
        <w:jc w:val="both"/>
        <w:rPr>
          <w:b/>
          <w:sz w:val="32"/>
          <w:u w:val="single"/>
        </w:rPr>
      </w:pPr>
    </w:p>
    <w:p w14:paraId="686458E8" w14:textId="77777777" w:rsidR="00B53FFA" w:rsidRDefault="00B53FFA" w:rsidP="00374D42">
      <w:pPr>
        <w:spacing w:line="480" w:lineRule="auto"/>
        <w:jc w:val="both"/>
        <w:rPr>
          <w:b/>
          <w:sz w:val="32"/>
          <w:u w:val="single"/>
        </w:rPr>
      </w:pPr>
    </w:p>
    <w:p w14:paraId="6CB3AFBE" w14:textId="77777777" w:rsidR="00B53FFA" w:rsidRDefault="00B53FFA" w:rsidP="00374D42">
      <w:pPr>
        <w:spacing w:line="480" w:lineRule="auto"/>
        <w:jc w:val="both"/>
        <w:rPr>
          <w:b/>
          <w:sz w:val="32"/>
          <w:u w:val="single"/>
        </w:rPr>
      </w:pPr>
    </w:p>
    <w:p w14:paraId="22E8F81B" w14:textId="77777777" w:rsidR="00374D42" w:rsidRDefault="00374D42" w:rsidP="00374D42">
      <w:pPr>
        <w:spacing w:line="480" w:lineRule="auto"/>
        <w:jc w:val="both"/>
        <w:rPr>
          <w:b/>
          <w:sz w:val="32"/>
          <w:u w:val="single"/>
        </w:rPr>
      </w:pPr>
      <w:r w:rsidRPr="00374D42">
        <w:rPr>
          <w:b/>
          <w:sz w:val="32"/>
          <w:u w:val="single"/>
        </w:rPr>
        <w:lastRenderedPageBreak/>
        <w:t>Chapter 3: Policy Recommendations</w:t>
      </w:r>
    </w:p>
    <w:p w14:paraId="58AC3F18" w14:textId="3C719B90" w:rsidR="00407C13" w:rsidRDefault="00374D42" w:rsidP="001033E2">
      <w:pPr>
        <w:spacing w:line="480" w:lineRule="auto"/>
        <w:ind w:firstLine="720"/>
        <w:jc w:val="both"/>
      </w:pPr>
      <w:r w:rsidRPr="00E11084">
        <w:t xml:space="preserve">Policy has yet to assume a proactive role, despite </w:t>
      </w:r>
      <w:r>
        <w:t xml:space="preserve">the aforementioned </w:t>
      </w:r>
      <w:r w:rsidRPr="00E11084">
        <w:t>increasing scientific evidence emphasizing environmenta</w:t>
      </w:r>
      <w:r>
        <w:t>l</w:t>
      </w:r>
      <w:r w:rsidR="00407C13">
        <w:t xml:space="preserve"> and socioeconomic</w:t>
      </w:r>
      <w:r w:rsidRPr="00E11084">
        <w:t xml:space="preserve"> </w:t>
      </w:r>
      <w:r w:rsidR="00407C13">
        <w:t>co-benefits</w:t>
      </w:r>
      <w:r w:rsidRPr="00E11084">
        <w:t xml:space="preserve"> associated with </w:t>
      </w:r>
      <w:r w:rsidR="00407C13">
        <w:t xml:space="preserve">plant-based diets </w:t>
      </w:r>
      <w:r w:rsidRPr="00E11084">
        <w:t>worldwide</w:t>
      </w:r>
      <w:r>
        <w:t xml:space="preserve"> (Dagevos &amp; Voordouw, 2013</w:t>
      </w:r>
      <w:r w:rsidR="00E22B78">
        <w:t>; Springmann et al., 2016</w:t>
      </w:r>
      <w:r>
        <w:t>)</w:t>
      </w:r>
      <w:r w:rsidRPr="00E11084">
        <w:t>.</w:t>
      </w:r>
      <w:r>
        <w:t xml:space="preserve"> </w:t>
      </w:r>
      <w:r w:rsidR="00477F7A">
        <w:t>Recent evidence suggests that the public may actually be receptive to policies aimed at reducing meat intake (Dagevos &amp; Voorduow, 2011). However, individuals are unlik</w:t>
      </w:r>
      <w:r w:rsidR="007600AE">
        <w:t>ely to change their consumption</w:t>
      </w:r>
      <w:r w:rsidR="00477F7A">
        <w:t xml:space="preserve"> habits independently</w:t>
      </w:r>
      <w:r w:rsidR="00E07C88">
        <w:t xml:space="preserve"> in advance of an economic or ecological crisis</w:t>
      </w:r>
      <w:r w:rsidR="00477F7A">
        <w:t>, without a behavio</w:t>
      </w:r>
      <w:r w:rsidR="004D5563">
        <w:t>u</w:t>
      </w:r>
      <w:r w:rsidR="00477F7A">
        <w:t xml:space="preserve">ral nudge, or policy framework encouraging them to do so (Beverland, 2014), hence the need for policy intervention. Unfortunately, however, people </w:t>
      </w:r>
      <w:r w:rsidR="0051431E">
        <w:t xml:space="preserve">are prevented from acting rationally, given the barriers that currently distort incentives to follow plant-based diets. </w:t>
      </w:r>
      <w:r w:rsidR="00477F7A">
        <w:t xml:space="preserve">For instance, evidence supporting the environmental, health, and ethical reasons for vegetarianism is robust, and rarely questioned, yet only a fraction of the population in developed nations follow plant-based diets (Saxena, 2011; Beverland, 2014). </w:t>
      </w:r>
      <w:r w:rsidR="00697156">
        <w:t xml:space="preserve">Moreover, there is more </w:t>
      </w:r>
      <w:r w:rsidR="001033E2">
        <w:t xml:space="preserve">at </w:t>
      </w:r>
      <w:r w:rsidR="00697156">
        <w:t>‘</w:t>
      </w:r>
      <w:r w:rsidR="001033E2">
        <w:t>steak’ than simply than concerns about cost, with judgmental heuristics equally affecting decisions (Arnould &amp; Thompson, 2005; Beverland, 2014). Th</w:t>
      </w:r>
      <w:r w:rsidR="007600AE">
        <w:t>us, policy instruments are needed</w:t>
      </w:r>
      <w:r w:rsidR="001033E2">
        <w:t xml:space="preserve"> to help remove barriers distorting decisions, and make choices more rational in the context of ecological, health, and ethical arguments. </w:t>
      </w:r>
      <w:r w:rsidR="00477F7A">
        <w:t xml:space="preserve">As outlined in the integrative literature review, </w:t>
      </w:r>
      <w:r w:rsidR="00477F7A">
        <w:rPr>
          <w:color w:val="000000" w:themeColor="text1"/>
        </w:rPr>
        <w:t>i</w:t>
      </w:r>
      <w:r w:rsidR="00477F7A" w:rsidRPr="00C919CB">
        <w:rPr>
          <w:color w:val="000000" w:themeColor="text1"/>
        </w:rPr>
        <w:t>nstitutional, informational, infrastructural, and behavio</w:t>
      </w:r>
      <w:r w:rsidR="004D5563">
        <w:rPr>
          <w:color w:val="000000" w:themeColor="text1"/>
        </w:rPr>
        <w:t>u</w:t>
      </w:r>
      <w:r w:rsidR="00477F7A" w:rsidRPr="00C919CB">
        <w:rPr>
          <w:color w:val="000000" w:themeColor="text1"/>
        </w:rPr>
        <w:t>ral barriers to sustainable food consumption are prevalent</w:t>
      </w:r>
      <w:r w:rsidR="00477F7A">
        <w:t>. Likewise, p</w:t>
      </w:r>
      <w:r>
        <w:t xml:space="preserve">olicies are needed to internalize the environmental and social externalities associated with industrial </w:t>
      </w:r>
      <w:r w:rsidR="005E71D0">
        <w:t xml:space="preserve">livestock </w:t>
      </w:r>
      <w:r>
        <w:t>agriculture</w:t>
      </w:r>
      <w:r w:rsidR="00407C13">
        <w:t xml:space="preserve"> in order to obtain these benefits</w:t>
      </w:r>
      <w:r>
        <w:t xml:space="preserve">. </w:t>
      </w:r>
    </w:p>
    <w:p w14:paraId="3283D03B" w14:textId="759FEB90" w:rsidR="00477F7A" w:rsidRDefault="00374D42" w:rsidP="00AB746C">
      <w:pPr>
        <w:spacing w:line="480" w:lineRule="auto"/>
        <w:ind w:firstLine="720"/>
        <w:jc w:val="both"/>
      </w:pPr>
      <w:r>
        <w:rPr>
          <w:color w:val="000000" w:themeColor="text1"/>
        </w:rPr>
        <w:t>In summary, policy interventions must take irrational consumer behavio</w:t>
      </w:r>
      <w:r w:rsidR="004D5563">
        <w:rPr>
          <w:color w:val="000000" w:themeColor="text1"/>
        </w:rPr>
        <w:t>u</w:t>
      </w:r>
      <w:r>
        <w:rPr>
          <w:color w:val="000000" w:themeColor="text1"/>
        </w:rPr>
        <w:t>r into consideration, in order to properly frame the issue at hand. More importantly, governments and non-governmental organizations (NGOs) need to use informative tools in order</w:t>
      </w:r>
      <w:r w:rsidR="00B141DE">
        <w:rPr>
          <w:color w:val="000000" w:themeColor="text1"/>
        </w:rPr>
        <w:t xml:space="preserve"> to properly </w:t>
      </w:r>
      <w:r w:rsidR="00B141DE">
        <w:rPr>
          <w:color w:val="000000" w:themeColor="text1"/>
        </w:rPr>
        <w:lastRenderedPageBreak/>
        <w:t>educate the public</w:t>
      </w:r>
      <w:r>
        <w:rPr>
          <w:color w:val="000000" w:themeColor="text1"/>
        </w:rPr>
        <w:t xml:space="preserve"> to avoid adverse and unintended impacts from intervention. </w:t>
      </w:r>
      <w:r w:rsidR="00AB746C">
        <w:t>The government has at its disposal, policy instruments comprising regulations, economic incentives, and informative tools, spread along a continuum of authoritati</w:t>
      </w:r>
      <w:r w:rsidR="005E71D0">
        <w:t xml:space="preserve">ve force; </w:t>
      </w:r>
      <w:r w:rsidR="00DF7D4D">
        <w:t xml:space="preserve">persuasion (autonomy) to </w:t>
      </w:r>
      <w:r w:rsidR="005E71D0">
        <w:t>legislation (control)</w:t>
      </w:r>
      <w:r w:rsidR="00DF7D4D">
        <w:t>,</w:t>
      </w:r>
      <w:r w:rsidR="00AB746C">
        <w:t xml:space="preserve"> respectively (Deci &amp; Ryan, 1987; Bravo </w:t>
      </w:r>
      <w:r w:rsidR="00AB746C" w:rsidRPr="005908BD">
        <w:rPr>
          <w:i/>
        </w:rPr>
        <w:t>et al.,</w:t>
      </w:r>
      <w:r w:rsidR="00AB746C">
        <w:t xml:space="preserve"> 2013; Joyce </w:t>
      </w:r>
      <w:r w:rsidR="00AB746C" w:rsidRPr="00BA2768">
        <w:rPr>
          <w:i/>
        </w:rPr>
        <w:t>et al.,</w:t>
      </w:r>
      <w:r w:rsidR="00AB746C">
        <w:t xml:space="preserve"> 2014)</w:t>
      </w:r>
      <w:r w:rsidR="009E2087">
        <w:t xml:space="preserve"> (Figure 10). Likewise, the perceived acceptability of policy instruments in the public realm is anticipated </w:t>
      </w:r>
      <w:r w:rsidR="00B141DE">
        <w:t xml:space="preserve">to </w:t>
      </w:r>
      <w:r w:rsidR="009E2087">
        <w:t xml:space="preserve">be relatively high for autonomous instruments, and low for control. In contrast however, policy instruments of high authoritative force, may be more effective in producing desirable outcomes. </w:t>
      </w:r>
    </w:p>
    <w:p w14:paraId="1C4F8F8F" w14:textId="5A3DE3DA" w:rsidR="00F2331D" w:rsidRDefault="00F2331D" w:rsidP="00F2331D">
      <w:pPr>
        <w:spacing w:line="480" w:lineRule="auto"/>
        <w:jc w:val="both"/>
      </w:pPr>
    </w:p>
    <w:p w14:paraId="09413286" w14:textId="64AF0403" w:rsidR="002A45A6" w:rsidRDefault="00CB17B3" w:rsidP="00F2331D">
      <w:pPr>
        <w:spacing w:line="480" w:lineRule="auto"/>
        <w:jc w:val="both"/>
      </w:pPr>
      <w:r>
        <w:rPr>
          <w:noProof/>
        </w:rPr>
        <w:drawing>
          <wp:inline distT="0" distB="0" distL="0" distR="0" wp14:anchorId="427CE676" wp14:editId="41CFEE3E">
            <wp:extent cx="6050243" cy="2974340"/>
            <wp:effectExtent l="0" t="0" r="0" b="0"/>
            <wp:docPr id="6" name="Picture 6" descr="../Downloads/Untitled%20presentation%20(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wnloads/Untitled%20presentation%20(2).pdf"/>
                    <pic:cNvPicPr>
                      <a:picLocks noChangeAspect="1" noChangeArrowheads="1"/>
                    </pic:cNvPicPr>
                  </pic:nvPicPr>
                  <pic:blipFill rotWithShape="1">
                    <a:blip r:embed="rId22">
                      <a:extLst>
                        <a:ext uri="{28A0092B-C50C-407E-A947-70E740481C1C}">
                          <a14:useLocalDpi xmlns:a14="http://schemas.microsoft.com/office/drawing/2010/main" val="0"/>
                        </a:ext>
                      </a:extLst>
                    </a:blip>
                    <a:srcRect l="5129" t="5703" r="5769" b="16349"/>
                    <a:stretch/>
                  </pic:blipFill>
                  <pic:spPr bwMode="auto">
                    <a:xfrm>
                      <a:off x="0" y="0"/>
                      <a:ext cx="6060376" cy="2979321"/>
                    </a:xfrm>
                    <a:prstGeom prst="rect">
                      <a:avLst/>
                    </a:prstGeom>
                    <a:noFill/>
                    <a:ln>
                      <a:noFill/>
                    </a:ln>
                    <a:extLst>
                      <a:ext uri="{53640926-AAD7-44D8-BBD7-CCE9431645EC}">
                        <a14:shadowObscured xmlns:a14="http://schemas.microsoft.com/office/drawing/2010/main"/>
                      </a:ext>
                    </a:extLst>
                  </pic:spPr>
                </pic:pic>
              </a:graphicData>
            </a:graphic>
          </wp:inline>
        </w:drawing>
      </w:r>
    </w:p>
    <w:p w14:paraId="59B8ED4C" w14:textId="1BDC61EB" w:rsidR="009E2087" w:rsidRPr="009E2087" w:rsidRDefault="009E2087" w:rsidP="009E2087">
      <w:pPr>
        <w:jc w:val="both"/>
        <w:rPr>
          <w:sz w:val="22"/>
          <w:szCs w:val="22"/>
        </w:rPr>
      </w:pPr>
      <w:r>
        <w:rPr>
          <w:sz w:val="22"/>
          <w:szCs w:val="22"/>
        </w:rPr>
        <w:t>Figure 10</w:t>
      </w:r>
      <w:r w:rsidRPr="009E2087">
        <w:rPr>
          <w:sz w:val="22"/>
          <w:szCs w:val="22"/>
        </w:rPr>
        <w:t xml:space="preserve">. </w:t>
      </w:r>
      <w:r>
        <w:rPr>
          <w:sz w:val="22"/>
          <w:szCs w:val="22"/>
        </w:rPr>
        <w:t>Schematic of policy instruments comprising information-based, market-based, and regulatory tools, spread along a continuum of authoritative force from autonomy to control</w:t>
      </w:r>
      <w:r w:rsidR="00D751B2">
        <w:rPr>
          <w:sz w:val="22"/>
          <w:szCs w:val="22"/>
        </w:rPr>
        <w:t xml:space="preserve"> (details on these instruments are given in Table 3)</w:t>
      </w:r>
      <w:r>
        <w:rPr>
          <w:sz w:val="22"/>
          <w:szCs w:val="22"/>
        </w:rPr>
        <w:t xml:space="preserve">. </w:t>
      </w:r>
    </w:p>
    <w:p w14:paraId="253BFCDF" w14:textId="77777777" w:rsidR="002A45A6" w:rsidRDefault="002A45A6" w:rsidP="00F2331D">
      <w:pPr>
        <w:spacing w:line="480" w:lineRule="auto"/>
        <w:jc w:val="both"/>
      </w:pPr>
    </w:p>
    <w:p w14:paraId="3C07C7C6" w14:textId="77777777" w:rsidR="004115E9" w:rsidRDefault="004115E9" w:rsidP="00F2331D">
      <w:pPr>
        <w:spacing w:line="480" w:lineRule="auto"/>
        <w:jc w:val="both"/>
      </w:pPr>
    </w:p>
    <w:p w14:paraId="557EC011" w14:textId="19B70CAF" w:rsidR="000E7D37" w:rsidRDefault="00D03386" w:rsidP="000E7D37">
      <w:pPr>
        <w:spacing w:line="480" w:lineRule="auto"/>
        <w:ind w:firstLine="720"/>
        <w:jc w:val="both"/>
        <w:rPr>
          <w:color w:val="C00000"/>
        </w:rPr>
      </w:pPr>
      <w:r>
        <w:t xml:space="preserve">Identification of barriers to sustainable consumption is essential to determine policy options that could be implemented to overcome said </w:t>
      </w:r>
      <w:r w:rsidR="006D1606">
        <w:t>obstacles</w:t>
      </w:r>
      <w:r>
        <w:t xml:space="preserve">.  </w:t>
      </w:r>
      <w:r w:rsidR="000E7D37">
        <w:t xml:space="preserve">There is currently little available </w:t>
      </w:r>
      <w:r w:rsidR="000E7D37">
        <w:lastRenderedPageBreak/>
        <w:t xml:space="preserve">literature specifying ideal policies to achieve the stated objective of achieving a shift to more plant-based diets. Moreover, it is unknown as to what form of policy would be politically viable, given the sensitive topic of regulating individual consumption (Joyce </w:t>
      </w:r>
      <w:r w:rsidR="000E7D37" w:rsidRPr="00596DB3">
        <w:rPr>
          <w:i/>
        </w:rPr>
        <w:t>et al.,</w:t>
      </w:r>
      <w:r w:rsidR="000E7D37">
        <w:t xml:space="preserve"> 2014). With any policy, it is crucial to understand the political framework of the government to determine how actors can influence policy shaping, form agenda-making, and identify barriers to government action on sustainable consumption (Joyce </w:t>
      </w:r>
      <w:r w:rsidR="000E7D37" w:rsidRPr="009D7ED0">
        <w:rPr>
          <w:i/>
        </w:rPr>
        <w:t>et al.,</w:t>
      </w:r>
      <w:r w:rsidR="000E7D37">
        <w:t xml:space="preserve"> 2014). </w:t>
      </w:r>
      <w:r w:rsidR="000E7D37" w:rsidRPr="003B2B48">
        <w:rPr>
          <w:color w:val="000000" w:themeColor="text1"/>
        </w:rPr>
        <w:t xml:space="preserve">It is also important to emphasize that governments currently overestimate the risk of public backlash. Soft, and voluntary measures are likely to be well-received by the public, and though more stringent approaches risk public resistance, interventions are necessary to curb unsustainable practices. If the policy </w:t>
      </w:r>
      <w:r w:rsidR="00C174AA">
        <w:rPr>
          <w:color w:val="000000" w:themeColor="text1"/>
        </w:rPr>
        <w:t>rationale is well-framed</w:t>
      </w:r>
      <w:r w:rsidR="000E7D37" w:rsidRPr="003B2B48">
        <w:rPr>
          <w:color w:val="000000" w:themeColor="text1"/>
        </w:rPr>
        <w:t xml:space="preserve"> and well-understood by the general public, resistance would likely be minimized and short-lived (Wellesley</w:t>
      </w:r>
      <w:r w:rsidR="000E7D37" w:rsidRPr="003B2B48">
        <w:rPr>
          <w:i/>
          <w:color w:val="000000" w:themeColor="text1"/>
        </w:rPr>
        <w:t xml:space="preserve"> et al., </w:t>
      </w:r>
      <w:r w:rsidR="000E7D37" w:rsidRPr="003B2B48">
        <w:rPr>
          <w:color w:val="000000" w:themeColor="text1"/>
        </w:rPr>
        <w:t>2015).</w:t>
      </w:r>
      <w:r w:rsidR="005222D6">
        <w:rPr>
          <w:color w:val="000000" w:themeColor="text1"/>
        </w:rPr>
        <w:t xml:space="preserve"> Evidently, the most prominent backlash would stem from industry (ie. Alberta beef, Quebec dairy, Atlantic fisheries, etc), specifically from rural areas where livelihoods are dependent upon </w:t>
      </w:r>
      <w:r w:rsidR="00DF7D4D">
        <w:rPr>
          <w:color w:val="000000" w:themeColor="text1"/>
        </w:rPr>
        <w:t>fisheries and agricultural production</w:t>
      </w:r>
      <w:r w:rsidR="005222D6">
        <w:rPr>
          <w:color w:val="000000" w:themeColor="text1"/>
        </w:rPr>
        <w:t>. In order to ensure secure livelihoods for farmers and fishers who would be most affected by advocating for a dietary transition away from animal products, government would need to subsidize</w:t>
      </w:r>
      <w:r w:rsidR="00C31D8E">
        <w:rPr>
          <w:color w:val="000000" w:themeColor="text1"/>
        </w:rPr>
        <w:t xml:space="preserve"> the industry, encouraging a shift to plant-based </w:t>
      </w:r>
      <w:r w:rsidR="00DF7D4D">
        <w:rPr>
          <w:color w:val="000000" w:themeColor="text1"/>
        </w:rPr>
        <w:t>food</w:t>
      </w:r>
      <w:r w:rsidR="00C31D8E">
        <w:rPr>
          <w:color w:val="000000" w:themeColor="text1"/>
        </w:rPr>
        <w:t xml:space="preserve"> production. </w:t>
      </w:r>
      <w:r w:rsidR="001033E2">
        <w:rPr>
          <w:color w:val="000000" w:themeColor="text1"/>
        </w:rPr>
        <w:t>Alternatively, arguments could be made to retain these local, diversified agro-ecological systems. Thus, highly specific</w:t>
      </w:r>
      <w:r w:rsidR="00DF7D4D">
        <w:rPr>
          <w:color w:val="000000" w:themeColor="text1"/>
        </w:rPr>
        <w:t xml:space="preserve"> products such as Alberta beef </w:t>
      </w:r>
      <w:r w:rsidR="001033E2">
        <w:rPr>
          <w:color w:val="000000" w:themeColor="text1"/>
        </w:rPr>
        <w:t>or Atlantic fisheries could be subsidized to continue production, and marketed as socially-acceptable given their particular niches, while other industries across Canadian could be encouraged to switch to local plant-based production</w:t>
      </w:r>
      <w:r w:rsidR="00DF7D4D">
        <w:rPr>
          <w:color w:val="000000" w:themeColor="text1"/>
        </w:rPr>
        <w:t xml:space="preserve"> (discussed further below)</w:t>
      </w:r>
      <w:r w:rsidR="001033E2">
        <w:rPr>
          <w:color w:val="000000" w:themeColor="text1"/>
        </w:rPr>
        <w:t>.</w:t>
      </w:r>
    </w:p>
    <w:p w14:paraId="7B5776AF" w14:textId="099056E8" w:rsidR="003F571A" w:rsidRDefault="00BE621B" w:rsidP="005222D6">
      <w:pPr>
        <w:widowControl w:val="0"/>
        <w:autoSpaceDE w:val="0"/>
        <w:autoSpaceDN w:val="0"/>
        <w:adjustRightInd w:val="0"/>
        <w:spacing w:line="480" w:lineRule="auto"/>
        <w:ind w:firstLine="720"/>
        <w:jc w:val="both"/>
        <w:rPr>
          <w:color w:val="C00000"/>
        </w:rPr>
      </w:pPr>
      <w:r>
        <w:t xml:space="preserve">The government of Canada </w:t>
      </w:r>
      <w:r w:rsidR="00C174AA">
        <w:t>recognize</w:t>
      </w:r>
      <w:r w:rsidR="00E07C88">
        <w:t>s</w:t>
      </w:r>
      <w:r w:rsidR="00027DDD">
        <w:t xml:space="preserve"> that plant-based diets are safe and healthy alternatives to the mainstream omnivorous way of life (Beverland, 2014). However, the federal </w:t>
      </w:r>
      <w:r w:rsidR="00027DDD">
        <w:lastRenderedPageBreak/>
        <w:t>government has yet to poli</w:t>
      </w:r>
      <w:r w:rsidR="00C174AA">
        <w:t>tically intervene and promote plant-based consumption</w:t>
      </w:r>
      <w:r w:rsidR="00027DDD">
        <w:t>. Key governance options that the government could implement to combat each of the five barriers uncovered through the integrative literature review include a combination of information-based, market-based, and regulatory</w:t>
      </w:r>
      <w:r w:rsidR="00DF7D4D">
        <w:t xml:space="preserve"> policy instruments (Table 2</w:t>
      </w:r>
      <w:r w:rsidR="00C174AA">
        <w:t>). Ultimately, e</w:t>
      </w:r>
      <w:r w:rsidR="00027DDD">
        <w:t>mpowering consumers towa</w:t>
      </w:r>
      <w:r w:rsidR="00C174AA">
        <w:t>rds sustainable consumption will</w:t>
      </w:r>
      <w:r w:rsidR="00027DDD">
        <w:t xml:space="preserve"> require policies that reduce external constraints</w:t>
      </w:r>
      <w:r w:rsidR="00822C73">
        <w:t xml:space="preserve"> (Thøgersen, 2005; Wah</w:t>
      </w:r>
      <w:r w:rsidR="00BA79FE">
        <w:t xml:space="preserve">len </w:t>
      </w:r>
      <w:r w:rsidR="00BA79FE" w:rsidRPr="00BA79FE">
        <w:rPr>
          <w:i/>
        </w:rPr>
        <w:t>et al.,</w:t>
      </w:r>
      <w:r w:rsidR="00BA79FE">
        <w:t xml:space="preserve"> 2012). </w:t>
      </w:r>
    </w:p>
    <w:p w14:paraId="3FADAACE" w14:textId="77777777" w:rsidR="005222D6" w:rsidRDefault="005222D6" w:rsidP="005222D6">
      <w:pPr>
        <w:widowControl w:val="0"/>
        <w:autoSpaceDE w:val="0"/>
        <w:autoSpaceDN w:val="0"/>
        <w:adjustRightInd w:val="0"/>
        <w:spacing w:line="480" w:lineRule="auto"/>
        <w:ind w:firstLine="720"/>
        <w:jc w:val="both"/>
        <w:rPr>
          <w:color w:val="C00000"/>
        </w:rPr>
      </w:pPr>
    </w:p>
    <w:p w14:paraId="047E6540" w14:textId="77777777" w:rsidR="005222D6" w:rsidRDefault="005222D6" w:rsidP="005222D6">
      <w:pPr>
        <w:widowControl w:val="0"/>
        <w:autoSpaceDE w:val="0"/>
        <w:autoSpaceDN w:val="0"/>
        <w:adjustRightInd w:val="0"/>
        <w:spacing w:line="480" w:lineRule="auto"/>
        <w:ind w:firstLine="720"/>
        <w:jc w:val="both"/>
        <w:rPr>
          <w:color w:val="C00000"/>
        </w:rPr>
      </w:pPr>
    </w:p>
    <w:p w14:paraId="45D22F10" w14:textId="77777777" w:rsidR="005222D6" w:rsidRDefault="005222D6" w:rsidP="005222D6">
      <w:pPr>
        <w:widowControl w:val="0"/>
        <w:autoSpaceDE w:val="0"/>
        <w:autoSpaceDN w:val="0"/>
        <w:adjustRightInd w:val="0"/>
        <w:spacing w:line="480" w:lineRule="auto"/>
        <w:jc w:val="both"/>
        <w:rPr>
          <w:sz w:val="22"/>
          <w:szCs w:val="22"/>
        </w:rPr>
        <w:sectPr w:rsidR="005222D6" w:rsidSect="00D73FE2">
          <w:pgSz w:w="12240" w:h="15840"/>
          <w:pgMar w:top="1440" w:right="1440" w:bottom="1440" w:left="1440" w:header="708" w:footer="708" w:gutter="0"/>
          <w:cols w:space="708"/>
          <w:docGrid w:linePitch="360"/>
        </w:sectPr>
      </w:pPr>
    </w:p>
    <w:p w14:paraId="33F19933" w14:textId="40BE9DDA" w:rsidR="003F571A" w:rsidRPr="00B13602" w:rsidRDefault="00DF7D4D" w:rsidP="003F571A">
      <w:pPr>
        <w:rPr>
          <w:sz w:val="22"/>
          <w:szCs w:val="22"/>
        </w:rPr>
      </w:pPr>
      <w:r>
        <w:rPr>
          <w:sz w:val="22"/>
          <w:szCs w:val="22"/>
        </w:rPr>
        <w:lastRenderedPageBreak/>
        <w:t>Table 2</w:t>
      </w:r>
      <w:r w:rsidR="003F571A" w:rsidRPr="00B13602">
        <w:rPr>
          <w:sz w:val="22"/>
          <w:szCs w:val="22"/>
        </w:rPr>
        <w:t xml:space="preserve">. </w:t>
      </w:r>
      <w:r w:rsidR="003F571A">
        <w:rPr>
          <w:sz w:val="22"/>
          <w:szCs w:val="22"/>
        </w:rPr>
        <w:t>Summary of policy instruments and recommendations to combat each of the five barriers to adopting a plant-based diet</w:t>
      </w:r>
      <w:r w:rsidR="003F571A" w:rsidRPr="00E24B60">
        <w:rPr>
          <w:color w:val="000000" w:themeColor="text1"/>
          <w:sz w:val="22"/>
          <w:szCs w:val="22"/>
        </w:rPr>
        <w:t>, and effect pro-environmental change.</w:t>
      </w:r>
    </w:p>
    <w:p w14:paraId="568F11DE" w14:textId="77777777" w:rsidR="003F571A" w:rsidRPr="00B13602" w:rsidRDefault="003F571A" w:rsidP="003F571A">
      <w:pPr>
        <w:rPr>
          <w:sz w:val="22"/>
          <w:szCs w:val="22"/>
        </w:rPr>
      </w:pPr>
    </w:p>
    <w:tbl>
      <w:tblPr>
        <w:tblStyle w:val="TableGrid"/>
        <w:tblW w:w="1293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7"/>
        <w:gridCol w:w="4647"/>
        <w:gridCol w:w="3544"/>
        <w:gridCol w:w="3432"/>
      </w:tblGrid>
      <w:tr w:rsidR="00B127C1" w:rsidRPr="00B13602" w14:paraId="71F0B0E6" w14:textId="77777777" w:rsidTr="00B127C1">
        <w:trPr>
          <w:tblHeader/>
        </w:trPr>
        <w:tc>
          <w:tcPr>
            <w:tcW w:w="1307" w:type="dxa"/>
            <w:tcBorders>
              <w:top w:val="single" w:sz="4" w:space="0" w:color="auto"/>
              <w:bottom w:val="single" w:sz="4" w:space="0" w:color="auto"/>
            </w:tcBorders>
          </w:tcPr>
          <w:p w14:paraId="49AD5168" w14:textId="77777777" w:rsidR="003F571A" w:rsidRPr="00B13602" w:rsidRDefault="003F571A" w:rsidP="0025559B">
            <w:pPr>
              <w:rPr>
                <w:sz w:val="22"/>
                <w:szCs w:val="22"/>
              </w:rPr>
            </w:pPr>
            <w:r w:rsidRPr="00B13602">
              <w:rPr>
                <w:sz w:val="22"/>
                <w:szCs w:val="22"/>
              </w:rPr>
              <w:t>Barrier</w:t>
            </w:r>
          </w:p>
        </w:tc>
        <w:tc>
          <w:tcPr>
            <w:tcW w:w="4647" w:type="dxa"/>
            <w:tcBorders>
              <w:top w:val="single" w:sz="4" w:space="0" w:color="auto"/>
              <w:bottom w:val="single" w:sz="4" w:space="0" w:color="auto"/>
            </w:tcBorders>
          </w:tcPr>
          <w:p w14:paraId="1918E1DE" w14:textId="77777777" w:rsidR="003F571A" w:rsidRPr="00B13602" w:rsidRDefault="003F571A" w:rsidP="0025559B">
            <w:pPr>
              <w:rPr>
                <w:sz w:val="22"/>
                <w:szCs w:val="22"/>
              </w:rPr>
            </w:pPr>
            <w:r>
              <w:rPr>
                <w:sz w:val="22"/>
                <w:szCs w:val="22"/>
              </w:rPr>
              <w:t>Information-Based</w:t>
            </w:r>
          </w:p>
        </w:tc>
        <w:tc>
          <w:tcPr>
            <w:tcW w:w="3544" w:type="dxa"/>
            <w:tcBorders>
              <w:top w:val="single" w:sz="4" w:space="0" w:color="auto"/>
              <w:bottom w:val="single" w:sz="4" w:space="0" w:color="auto"/>
            </w:tcBorders>
          </w:tcPr>
          <w:p w14:paraId="6A9DC861" w14:textId="77777777" w:rsidR="003F571A" w:rsidRDefault="003F571A" w:rsidP="0025559B">
            <w:pPr>
              <w:rPr>
                <w:sz w:val="22"/>
                <w:szCs w:val="22"/>
              </w:rPr>
            </w:pPr>
            <w:r>
              <w:rPr>
                <w:sz w:val="22"/>
                <w:szCs w:val="22"/>
              </w:rPr>
              <w:t>Market-Based</w:t>
            </w:r>
          </w:p>
        </w:tc>
        <w:tc>
          <w:tcPr>
            <w:tcW w:w="3432" w:type="dxa"/>
            <w:tcBorders>
              <w:top w:val="single" w:sz="4" w:space="0" w:color="auto"/>
              <w:bottom w:val="single" w:sz="4" w:space="0" w:color="auto"/>
            </w:tcBorders>
          </w:tcPr>
          <w:p w14:paraId="421D1D0F" w14:textId="77777777" w:rsidR="003F571A" w:rsidRPr="00B13602" w:rsidRDefault="003F571A" w:rsidP="0025559B">
            <w:pPr>
              <w:rPr>
                <w:sz w:val="22"/>
                <w:szCs w:val="22"/>
              </w:rPr>
            </w:pPr>
            <w:r>
              <w:rPr>
                <w:sz w:val="22"/>
                <w:szCs w:val="22"/>
              </w:rPr>
              <w:t>Regulatory</w:t>
            </w:r>
          </w:p>
        </w:tc>
      </w:tr>
      <w:tr w:rsidR="00B127C1" w:rsidRPr="00B13602" w14:paraId="69194E63" w14:textId="77777777" w:rsidTr="00B127C1">
        <w:tc>
          <w:tcPr>
            <w:tcW w:w="1307" w:type="dxa"/>
            <w:tcBorders>
              <w:top w:val="single" w:sz="4" w:space="0" w:color="auto"/>
              <w:bottom w:val="nil"/>
            </w:tcBorders>
          </w:tcPr>
          <w:p w14:paraId="39BF4956" w14:textId="77777777" w:rsidR="003F571A" w:rsidRPr="00B13602" w:rsidRDefault="003F571A" w:rsidP="0025559B">
            <w:pPr>
              <w:rPr>
                <w:sz w:val="22"/>
                <w:szCs w:val="22"/>
              </w:rPr>
            </w:pPr>
            <w:r w:rsidRPr="00B13602">
              <w:rPr>
                <w:sz w:val="22"/>
                <w:szCs w:val="22"/>
              </w:rPr>
              <w:t>Autonomy</w:t>
            </w:r>
          </w:p>
        </w:tc>
        <w:tc>
          <w:tcPr>
            <w:tcW w:w="4647" w:type="dxa"/>
            <w:tcBorders>
              <w:top w:val="single" w:sz="4" w:space="0" w:color="auto"/>
              <w:bottom w:val="nil"/>
            </w:tcBorders>
          </w:tcPr>
          <w:p w14:paraId="4E6EE9B0" w14:textId="77777777" w:rsidR="0082018F" w:rsidRDefault="0082018F" w:rsidP="0025559B">
            <w:pPr>
              <w:pStyle w:val="ListParagraph"/>
              <w:numPr>
                <w:ilvl w:val="0"/>
                <w:numId w:val="3"/>
              </w:numPr>
              <w:rPr>
                <w:sz w:val="22"/>
                <w:szCs w:val="22"/>
              </w:rPr>
            </w:pPr>
            <w:r w:rsidRPr="0082018F">
              <w:rPr>
                <w:sz w:val="22"/>
                <w:szCs w:val="22"/>
              </w:rPr>
              <w:t>Awareness campaigns (e.g. NGO-led campaigns; meatless Mondays)</w:t>
            </w:r>
          </w:p>
          <w:p w14:paraId="7AB2F73D" w14:textId="77777777" w:rsidR="0082018F" w:rsidRDefault="0082018F" w:rsidP="0082018F">
            <w:pPr>
              <w:pStyle w:val="ListParagraph"/>
              <w:ind w:left="113"/>
              <w:rPr>
                <w:sz w:val="22"/>
                <w:szCs w:val="22"/>
              </w:rPr>
            </w:pPr>
          </w:p>
          <w:p w14:paraId="501F09F5" w14:textId="4146B2F0" w:rsidR="003F571A" w:rsidRPr="00B127C1" w:rsidRDefault="00B127C1" w:rsidP="00B127C1">
            <w:pPr>
              <w:pStyle w:val="ListParagraph"/>
              <w:numPr>
                <w:ilvl w:val="0"/>
                <w:numId w:val="3"/>
              </w:numPr>
              <w:rPr>
                <w:sz w:val="22"/>
                <w:szCs w:val="22"/>
              </w:rPr>
            </w:pPr>
            <w:r w:rsidRPr="0082018F">
              <w:rPr>
                <w:sz w:val="22"/>
                <w:szCs w:val="22"/>
              </w:rPr>
              <w:t>Nudge framework (e.g. greater proportion of plant-based sales; hybrid products</w:t>
            </w:r>
            <w:r>
              <w:rPr>
                <w:sz w:val="22"/>
                <w:szCs w:val="22"/>
              </w:rPr>
              <w:t>; increased availability of plant-based products, promotions, manipulation of products on shelves</w:t>
            </w:r>
            <w:r w:rsidRPr="0082018F">
              <w:rPr>
                <w:sz w:val="22"/>
                <w:szCs w:val="22"/>
              </w:rPr>
              <w:t>)</w:t>
            </w:r>
          </w:p>
        </w:tc>
        <w:tc>
          <w:tcPr>
            <w:tcW w:w="3544" w:type="dxa"/>
            <w:tcBorders>
              <w:top w:val="single" w:sz="4" w:space="0" w:color="auto"/>
              <w:bottom w:val="nil"/>
            </w:tcBorders>
          </w:tcPr>
          <w:p w14:paraId="51CDD278" w14:textId="6F712DC7" w:rsidR="003F571A" w:rsidRPr="0082018F" w:rsidRDefault="003F571A" w:rsidP="0025559B">
            <w:pPr>
              <w:pStyle w:val="ListParagraph"/>
              <w:numPr>
                <w:ilvl w:val="0"/>
                <w:numId w:val="3"/>
              </w:numPr>
              <w:rPr>
                <w:sz w:val="22"/>
                <w:szCs w:val="22"/>
              </w:rPr>
            </w:pPr>
            <w:r w:rsidRPr="0082018F">
              <w:rPr>
                <w:sz w:val="22"/>
                <w:szCs w:val="22"/>
              </w:rPr>
              <w:t>Less likely to respond to market-based instruments</w:t>
            </w:r>
          </w:p>
        </w:tc>
        <w:tc>
          <w:tcPr>
            <w:tcW w:w="3432" w:type="dxa"/>
            <w:tcBorders>
              <w:top w:val="single" w:sz="4" w:space="0" w:color="auto"/>
              <w:bottom w:val="nil"/>
            </w:tcBorders>
          </w:tcPr>
          <w:p w14:paraId="601036F5" w14:textId="1A5A0A3F" w:rsidR="003F571A" w:rsidRPr="0082018F" w:rsidRDefault="003F571A" w:rsidP="0025559B">
            <w:pPr>
              <w:pStyle w:val="ListParagraph"/>
              <w:numPr>
                <w:ilvl w:val="0"/>
                <w:numId w:val="3"/>
              </w:numPr>
              <w:rPr>
                <w:sz w:val="22"/>
                <w:szCs w:val="22"/>
              </w:rPr>
            </w:pPr>
            <w:r w:rsidRPr="0082018F">
              <w:rPr>
                <w:sz w:val="22"/>
                <w:szCs w:val="22"/>
              </w:rPr>
              <w:t>Unlikely to respond well to regulatory instruments</w:t>
            </w:r>
          </w:p>
        </w:tc>
      </w:tr>
      <w:tr w:rsidR="00B127C1" w:rsidRPr="00B13602" w14:paraId="6711DA74" w14:textId="77777777" w:rsidTr="00B127C1">
        <w:tc>
          <w:tcPr>
            <w:tcW w:w="1307" w:type="dxa"/>
            <w:tcBorders>
              <w:top w:val="nil"/>
            </w:tcBorders>
          </w:tcPr>
          <w:p w14:paraId="0AE10FB3" w14:textId="77777777" w:rsidR="003F571A" w:rsidRPr="00B13602" w:rsidRDefault="003F571A" w:rsidP="0025559B">
            <w:pPr>
              <w:rPr>
                <w:sz w:val="22"/>
                <w:szCs w:val="22"/>
              </w:rPr>
            </w:pPr>
          </w:p>
        </w:tc>
        <w:tc>
          <w:tcPr>
            <w:tcW w:w="4647" w:type="dxa"/>
            <w:tcBorders>
              <w:top w:val="nil"/>
            </w:tcBorders>
          </w:tcPr>
          <w:p w14:paraId="7723F06F" w14:textId="77777777" w:rsidR="0082018F" w:rsidRPr="00B13602" w:rsidRDefault="0082018F" w:rsidP="0025559B">
            <w:pPr>
              <w:rPr>
                <w:sz w:val="22"/>
                <w:szCs w:val="22"/>
              </w:rPr>
            </w:pPr>
          </w:p>
        </w:tc>
        <w:tc>
          <w:tcPr>
            <w:tcW w:w="3544" w:type="dxa"/>
            <w:tcBorders>
              <w:top w:val="nil"/>
            </w:tcBorders>
          </w:tcPr>
          <w:p w14:paraId="38CBCB2F" w14:textId="77777777" w:rsidR="003F571A" w:rsidRPr="00B13602" w:rsidRDefault="003F571A" w:rsidP="0025559B">
            <w:pPr>
              <w:rPr>
                <w:sz w:val="22"/>
                <w:szCs w:val="22"/>
              </w:rPr>
            </w:pPr>
          </w:p>
        </w:tc>
        <w:tc>
          <w:tcPr>
            <w:tcW w:w="3432" w:type="dxa"/>
            <w:tcBorders>
              <w:top w:val="nil"/>
            </w:tcBorders>
          </w:tcPr>
          <w:p w14:paraId="7D3EA376" w14:textId="77777777" w:rsidR="003F571A" w:rsidRPr="00B13602" w:rsidRDefault="003F571A" w:rsidP="0025559B">
            <w:pPr>
              <w:rPr>
                <w:sz w:val="22"/>
                <w:szCs w:val="22"/>
              </w:rPr>
            </w:pPr>
          </w:p>
        </w:tc>
      </w:tr>
      <w:tr w:rsidR="00B127C1" w:rsidRPr="00B13602" w14:paraId="3E695494" w14:textId="77777777" w:rsidTr="00B127C1">
        <w:tc>
          <w:tcPr>
            <w:tcW w:w="1307" w:type="dxa"/>
          </w:tcPr>
          <w:p w14:paraId="32F68642" w14:textId="77777777" w:rsidR="003F571A" w:rsidRPr="00B13602" w:rsidRDefault="003F571A" w:rsidP="0025559B">
            <w:pPr>
              <w:rPr>
                <w:sz w:val="22"/>
                <w:szCs w:val="22"/>
              </w:rPr>
            </w:pPr>
            <w:r w:rsidRPr="00B13602">
              <w:rPr>
                <w:sz w:val="22"/>
                <w:szCs w:val="22"/>
              </w:rPr>
              <w:t>Cognitive Dissonance</w:t>
            </w:r>
          </w:p>
        </w:tc>
        <w:tc>
          <w:tcPr>
            <w:tcW w:w="4647" w:type="dxa"/>
          </w:tcPr>
          <w:p w14:paraId="72F6B9F6" w14:textId="52E5E098" w:rsidR="0082018F" w:rsidRDefault="003F571A" w:rsidP="0025559B">
            <w:pPr>
              <w:pStyle w:val="ListParagraph"/>
              <w:numPr>
                <w:ilvl w:val="0"/>
                <w:numId w:val="3"/>
              </w:numPr>
              <w:rPr>
                <w:sz w:val="22"/>
                <w:szCs w:val="22"/>
              </w:rPr>
            </w:pPr>
            <w:r w:rsidRPr="0082018F">
              <w:rPr>
                <w:sz w:val="22"/>
                <w:szCs w:val="22"/>
              </w:rPr>
              <w:t>Nudge framework (e.g. greater proportion of plant-based sales; hybrid products</w:t>
            </w:r>
            <w:r w:rsidR="00B127C1">
              <w:rPr>
                <w:sz w:val="22"/>
                <w:szCs w:val="22"/>
              </w:rPr>
              <w:t>; increased availability of plant-based products, promotions, manipulation of products on shelves</w:t>
            </w:r>
            <w:r w:rsidRPr="0082018F">
              <w:rPr>
                <w:sz w:val="22"/>
                <w:szCs w:val="22"/>
              </w:rPr>
              <w:t>)</w:t>
            </w:r>
          </w:p>
          <w:p w14:paraId="3EC3CCC8" w14:textId="77777777" w:rsidR="0082018F" w:rsidRDefault="0082018F" w:rsidP="0082018F">
            <w:pPr>
              <w:pStyle w:val="ListParagraph"/>
              <w:ind w:left="113"/>
              <w:rPr>
                <w:sz w:val="22"/>
                <w:szCs w:val="22"/>
              </w:rPr>
            </w:pPr>
          </w:p>
          <w:p w14:paraId="715FFB32" w14:textId="7E490F92" w:rsidR="003F571A" w:rsidRPr="0082018F" w:rsidRDefault="003F571A" w:rsidP="0025559B">
            <w:pPr>
              <w:pStyle w:val="ListParagraph"/>
              <w:numPr>
                <w:ilvl w:val="0"/>
                <w:numId w:val="3"/>
              </w:numPr>
              <w:rPr>
                <w:sz w:val="22"/>
                <w:szCs w:val="22"/>
              </w:rPr>
            </w:pPr>
            <w:r w:rsidRPr="0082018F">
              <w:rPr>
                <w:sz w:val="22"/>
                <w:szCs w:val="22"/>
              </w:rPr>
              <w:t>Greater exposure to negative consequences (e.g. introduce carbon labelling)</w:t>
            </w:r>
          </w:p>
        </w:tc>
        <w:tc>
          <w:tcPr>
            <w:tcW w:w="3544" w:type="dxa"/>
          </w:tcPr>
          <w:p w14:paraId="154AF3EC" w14:textId="77777777" w:rsidR="0082018F" w:rsidRDefault="003F571A" w:rsidP="0025559B">
            <w:pPr>
              <w:pStyle w:val="ListParagraph"/>
              <w:numPr>
                <w:ilvl w:val="0"/>
                <w:numId w:val="3"/>
              </w:numPr>
              <w:rPr>
                <w:sz w:val="22"/>
                <w:szCs w:val="22"/>
              </w:rPr>
            </w:pPr>
            <w:r w:rsidRPr="0082018F">
              <w:rPr>
                <w:sz w:val="22"/>
                <w:szCs w:val="22"/>
              </w:rPr>
              <w:t>Tax foods with higher emissions (e.g. meat tax)</w:t>
            </w:r>
          </w:p>
          <w:p w14:paraId="7893E49A" w14:textId="77777777" w:rsidR="0082018F" w:rsidRDefault="0082018F" w:rsidP="0082018F">
            <w:pPr>
              <w:pStyle w:val="ListParagraph"/>
              <w:ind w:left="113"/>
              <w:rPr>
                <w:sz w:val="22"/>
                <w:szCs w:val="22"/>
              </w:rPr>
            </w:pPr>
          </w:p>
          <w:p w14:paraId="4CECC7AC" w14:textId="777C513D" w:rsidR="003F571A" w:rsidRPr="0082018F" w:rsidRDefault="003F571A" w:rsidP="0025559B">
            <w:pPr>
              <w:pStyle w:val="ListParagraph"/>
              <w:numPr>
                <w:ilvl w:val="0"/>
                <w:numId w:val="3"/>
              </w:numPr>
              <w:rPr>
                <w:sz w:val="22"/>
                <w:szCs w:val="22"/>
              </w:rPr>
            </w:pPr>
            <w:r w:rsidRPr="0082018F">
              <w:rPr>
                <w:sz w:val="22"/>
                <w:szCs w:val="22"/>
              </w:rPr>
              <w:t>Introduce tax on animal product imports</w:t>
            </w:r>
          </w:p>
          <w:p w14:paraId="32B4ECF9" w14:textId="77777777" w:rsidR="003F571A" w:rsidRPr="00B13602" w:rsidRDefault="003F571A" w:rsidP="0025559B">
            <w:pPr>
              <w:rPr>
                <w:sz w:val="22"/>
                <w:szCs w:val="22"/>
              </w:rPr>
            </w:pPr>
          </w:p>
        </w:tc>
        <w:tc>
          <w:tcPr>
            <w:tcW w:w="3432" w:type="dxa"/>
          </w:tcPr>
          <w:p w14:paraId="490C8999" w14:textId="77777777" w:rsidR="0082018F" w:rsidRDefault="003F571A" w:rsidP="0025559B">
            <w:pPr>
              <w:pStyle w:val="ListParagraph"/>
              <w:numPr>
                <w:ilvl w:val="0"/>
                <w:numId w:val="3"/>
              </w:numPr>
              <w:rPr>
                <w:sz w:val="22"/>
                <w:szCs w:val="22"/>
              </w:rPr>
            </w:pPr>
            <w:r w:rsidRPr="0082018F">
              <w:rPr>
                <w:sz w:val="22"/>
                <w:szCs w:val="22"/>
              </w:rPr>
              <w:t>Public procurement regulations and policies (e.g. meatless procurement for schools, hospitals, prisons)</w:t>
            </w:r>
          </w:p>
          <w:p w14:paraId="5CB5E0E1" w14:textId="77777777" w:rsidR="0082018F" w:rsidRDefault="0082018F" w:rsidP="0082018F">
            <w:pPr>
              <w:pStyle w:val="ListParagraph"/>
              <w:ind w:left="113"/>
              <w:rPr>
                <w:sz w:val="22"/>
                <w:szCs w:val="22"/>
              </w:rPr>
            </w:pPr>
          </w:p>
          <w:p w14:paraId="4D8690AE" w14:textId="0107A0E1" w:rsidR="003F571A" w:rsidRPr="0082018F" w:rsidRDefault="003F571A" w:rsidP="0025559B">
            <w:pPr>
              <w:pStyle w:val="ListParagraph"/>
              <w:numPr>
                <w:ilvl w:val="0"/>
                <w:numId w:val="3"/>
              </w:numPr>
              <w:rPr>
                <w:sz w:val="22"/>
                <w:szCs w:val="22"/>
              </w:rPr>
            </w:pPr>
            <w:r w:rsidRPr="0082018F">
              <w:rPr>
                <w:sz w:val="22"/>
                <w:szCs w:val="22"/>
              </w:rPr>
              <w:t>Carbon-labelling as a form of command and control</w:t>
            </w:r>
          </w:p>
        </w:tc>
      </w:tr>
      <w:tr w:rsidR="00B127C1" w:rsidRPr="00B13602" w14:paraId="06E316AA" w14:textId="77777777" w:rsidTr="00B127C1">
        <w:tc>
          <w:tcPr>
            <w:tcW w:w="1307" w:type="dxa"/>
          </w:tcPr>
          <w:p w14:paraId="69DE84C9" w14:textId="77777777" w:rsidR="003F571A" w:rsidRPr="00B13602" w:rsidRDefault="003F571A" w:rsidP="0025559B">
            <w:pPr>
              <w:rPr>
                <w:sz w:val="22"/>
                <w:szCs w:val="22"/>
              </w:rPr>
            </w:pPr>
          </w:p>
        </w:tc>
        <w:tc>
          <w:tcPr>
            <w:tcW w:w="4647" w:type="dxa"/>
          </w:tcPr>
          <w:p w14:paraId="1898F6C0" w14:textId="77777777" w:rsidR="0082018F" w:rsidRPr="00B13602" w:rsidRDefault="0082018F" w:rsidP="0025559B">
            <w:pPr>
              <w:rPr>
                <w:sz w:val="22"/>
                <w:szCs w:val="22"/>
              </w:rPr>
            </w:pPr>
          </w:p>
        </w:tc>
        <w:tc>
          <w:tcPr>
            <w:tcW w:w="3544" w:type="dxa"/>
          </w:tcPr>
          <w:p w14:paraId="3F3EF486" w14:textId="77777777" w:rsidR="003F571A" w:rsidRPr="00B13602" w:rsidRDefault="003F571A" w:rsidP="0025559B">
            <w:pPr>
              <w:rPr>
                <w:sz w:val="22"/>
                <w:szCs w:val="22"/>
              </w:rPr>
            </w:pPr>
          </w:p>
        </w:tc>
        <w:tc>
          <w:tcPr>
            <w:tcW w:w="3432" w:type="dxa"/>
          </w:tcPr>
          <w:p w14:paraId="6D378B2C" w14:textId="77777777" w:rsidR="003F571A" w:rsidRPr="00B13602" w:rsidRDefault="003F571A" w:rsidP="0025559B">
            <w:pPr>
              <w:rPr>
                <w:sz w:val="22"/>
                <w:szCs w:val="22"/>
              </w:rPr>
            </w:pPr>
          </w:p>
        </w:tc>
      </w:tr>
      <w:tr w:rsidR="00B127C1" w:rsidRPr="00B13602" w14:paraId="03804EAE" w14:textId="77777777" w:rsidTr="00B127C1">
        <w:tc>
          <w:tcPr>
            <w:tcW w:w="1307" w:type="dxa"/>
          </w:tcPr>
          <w:p w14:paraId="50E93F04" w14:textId="77777777" w:rsidR="003F571A" w:rsidRPr="00B13602" w:rsidRDefault="003F571A" w:rsidP="0025559B">
            <w:pPr>
              <w:rPr>
                <w:sz w:val="22"/>
                <w:szCs w:val="22"/>
              </w:rPr>
            </w:pPr>
            <w:r w:rsidRPr="00B13602">
              <w:rPr>
                <w:sz w:val="22"/>
                <w:szCs w:val="22"/>
              </w:rPr>
              <w:t>Information Asymmetry</w:t>
            </w:r>
          </w:p>
        </w:tc>
        <w:tc>
          <w:tcPr>
            <w:tcW w:w="4647" w:type="dxa"/>
          </w:tcPr>
          <w:p w14:paraId="26256DAD" w14:textId="77777777" w:rsidR="0082018F" w:rsidRDefault="003F571A" w:rsidP="0025559B">
            <w:pPr>
              <w:pStyle w:val="ListParagraph"/>
              <w:numPr>
                <w:ilvl w:val="0"/>
                <w:numId w:val="3"/>
              </w:numPr>
              <w:rPr>
                <w:sz w:val="22"/>
                <w:szCs w:val="22"/>
              </w:rPr>
            </w:pPr>
            <w:r w:rsidRPr="0082018F">
              <w:rPr>
                <w:sz w:val="22"/>
                <w:szCs w:val="22"/>
              </w:rPr>
              <w:t>Awareness campaigns (e.g. NGO-led campaigns; meatless Mondays)</w:t>
            </w:r>
          </w:p>
          <w:p w14:paraId="4880F82C" w14:textId="77777777" w:rsidR="0082018F" w:rsidRDefault="0082018F" w:rsidP="0082018F">
            <w:pPr>
              <w:pStyle w:val="ListParagraph"/>
              <w:ind w:left="113"/>
              <w:rPr>
                <w:sz w:val="22"/>
                <w:szCs w:val="22"/>
              </w:rPr>
            </w:pPr>
          </w:p>
          <w:p w14:paraId="3849473D" w14:textId="77777777" w:rsidR="0082018F" w:rsidRDefault="003F571A" w:rsidP="0025559B">
            <w:pPr>
              <w:pStyle w:val="ListParagraph"/>
              <w:numPr>
                <w:ilvl w:val="0"/>
                <w:numId w:val="3"/>
              </w:numPr>
              <w:rPr>
                <w:sz w:val="22"/>
                <w:szCs w:val="22"/>
              </w:rPr>
            </w:pPr>
            <w:r w:rsidRPr="0082018F">
              <w:rPr>
                <w:sz w:val="22"/>
                <w:szCs w:val="22"/>
              </w:rPr>
              <w:t>Alterations to the Canadian Food Guide</w:t>
            </w:r>
          </w:p>
          <w:p w14:paraId="16BD810F" w14:textId="77777777" w:rsidR="0082018F" w:rsidRPr="0082018F" w:rsidRDefault="0082018F" w:rsidP="0082018F">
            <w:pPr>
              <w:rPr>
                <w:sz w:val="22"/>
                <w:szCs w:val="22"/>
              </w:rPr>
            </w:pPr>
          </w:p>
          <w:p w14:paraId="5CB70C72" w14:textId="77777777" w:rsidR="0082018F" w:rsidRDefault="003F571A" w:rsidP="0025559B">
            <w:pPr>
              <w:pStyle w:val="ListParagraph"/>
              <w:numPr>
                <w:ilvl w:val="0"/>
                <w:numId w:val="3"/>
              </w:numPr>
              <w:rPr>
                <w:sz w:val="22"/>
                <w:szCs w:val="22"/>
              </w:rPr>
            </w:pPr>
            <w:r w:rsidRPr="0082018F">
              <w:rPr>
                <w:sz w:val="22"/>
                <w:szCs w:val="22"/>
              </w:rPr>
              <w:t>Public initiatives (e.g. urban gardening)</w:t>
            </w:r>
          </w:p>
          <w:p w14:paraId="1B5A90B7" w14:textId="77777777" w:rsidR="0082018F" w:rsidRDefault="0082018F" w:rsidP="0082018F">
            <w:pPr>
              <w:pStyle w:val="ListParagraph"/>
              <w:ind w:left="113"/>
              <w:rPr>
                <w:sz w:val="22"/>
                <w:szCs w:val="22"/>
              </w:rPr>
            </w:pPr>
          </w:p>
          <w:p w14:paraId="0D1C87C1" w14:textId="77777777" w:rsidR="0082018F" w:rsidRDefault="003F571A" w:rsidP="0025559B">
            <w:pPr>
              <w:pStyle w:val="ListParagraph"/>
              <w:numPr>
                <w:ilvl w:val="0"/>
                <w:numId w:val="3"/>
              </w:numPr>
              <w:rPr>
                <w:sz w:val="22"/>
                <w:szCs w:val="22"/>
              </w:rPr>
            </w:pPr>
            <w:r w:rsidRPr="0082018F">
              <w:rPr>
                <w:sz w:val="22"/>
                <w:szCs w:val="22"/>
              </w:rPr>
              <w:t>Retail Initiatives (e.g. Food demonstrations of plant-based protein, greater proportion of plant-based sales; carbon-labelling)</w:t>
            </w:r>
          </w:p>
          <w:p w14:paraId="67032B53" w14:textId="77777777" w:rsidR="0082018F" w:rsidRPr="0082018F" w:rsidRDefault="0082018F" w:rsidP="0082018F">
            <w:pPr>
              <w:rPr>
                <w:sz w:val="22"/>
                <w:szCs w:val="22"/>
              </w:rPr>
            </w:pPr>
          </w:p>
          <w:p w14:paraId="7B7C248C" w14:textId="77777777" w:rsidR="00B127C1" w:rsidRDefault="00B127C1" w:rsidP="00B127C1">
            <w:pPr>
              <w:pStyle w:val="ListParagraph"/>
              <w:numPr>
                <w:ilvl w:val="0"/>
                <w:numId w:val="3"/>
              </w:numPr>
              <w:rPr>
                <w:sz w:val="22"/>
                <w:szCs w:val="22"/>
              </w:rPr>
            </w:pPr>
            <w:r w:rsidRPr="0082018F">
              <w:rPr>
                <w:sz w:val="22"/>
                <w:szCs w:val="22"/>
              </w:rPr>
              <w:t>Nudge framework (e.g. greater proportion of plant-based sales; hybrid products</w:t>
            </w:r>
            <w:r>
              <w:rPr>
                <w:sz w:val="22"/>
                <w:szCs w:val="22"/>
              </w:rPr>
              <w:t>; increased availability of plant-based products, promotions, manipulation of products on shelves</w:t>
            </w:r>
            <w:r w:rsidRPr="0082018F">
              <w:rPr>
                <w:sz w:val="22"/>
                <w:szCs w:val="22"/>
              </w:rPr>
              <w:t>)</w:t>
            </w:r>
          </w:p>
          <w:p w14:paraId="4AD0160E" w14:textId="504B800C" w:rsidR="003F571A" w:rsidRPr="00B127C1" w:rsidRDefault="003F571A" w:rsidP="00B127C1">
            <w:pPr>
              <w:rPr>
                <w:sz w:val="22"/>
                <w:szCs w:val="22"/>
              </w:rPr>
            </w:pPr>
          </w:p>
        </w:tc>
        <w:tc>
          <w:tcPr>
            <w:tcW w:w="3544" w:type="dxa"/>
          </w:tcPr>
          <w:p w14:paraId="59625B6F" w14:textId="77777777" w:rsidR="0082018F" w:rsidRDefault="003F571A" w:rsidP="0025559B">
            <w:pPr>
              <w:pStyle w:val="ListParagraph"/>
              <w:numPr>
                <w:ilvl w:val="0"/>
                <w:numId w:val="3"/>
              </w:numPr>
              <w:rPr>
                <w:sz w:val="22"/>
                <w:szCs w:val="22"/>
              </w:rPr>
            </w:pPr>
            <w:r w:rsidRPr="0082018F">
              <w:rPr>
                <w:sz w:val="22"/>
                <w:szCs w:val="22"/>
              </w:rPr>
              <w:t>Marketing meat alternatives; support brands and increase availability</w:t>
            </w:r>
          </w:p>
          <w:p w14:paraId="1749BF68" w14:textId="77777777" w:rsidR="0082018F" w:rsidRDefault="0082018F" w:rsidP="0082018F">
            <w:pPr>
              <w:pStyle w:val="ListParagraph"/>
              <w:ind w:left="113"/>
              <w:rPr>
                <w:sz w:val="22"/>
                <w:szCs w:val="22"/>
              </w:rPr>
            </w:pPr>
          </w:p>
          <w:p w14:paraId="6AB0F96B" w14:textId="77777777" w:rsidR="0082018F" w:rsidRDefault="003F571A" w:rsidP="0025559B">
            <w:pPr>
              <w:pStyle w:val="ListParagraph"/>
              <w:numPr>
                <w:ilvl w:val="0"/>
                <w:numId w:val="3"/>
              </w:numPr>
              <w:rPr>
                <w:sz w:val="22"/>
                <w:szCs w:val="22"/>
              </w:rPr>
            </w:pPr>
            <w:r w:rsidRPr="0082018F">
              <w:rPr>
                <w:sz w:val="22"/>
                <w:szCs w:val="22"/>
              </w:rPr>
              <w:t>Coupon discounts for plant-based products</w:t>
            </w:r>
          </w:p>
          <w:p w14:paraId="0340A751" w14:textId="77777777" w:rsidR="0082018F" w:rsidRPr="0082018F" w:rsidRDefault="0082018F" w:rsidP="0082018F">
            <w:pPr>
              <w:rPr>
                <w:sz w:val="22"/>
                <w:szCs w:val="22"/>
              </w:rPr>
            </w:pPr>
          </w:p>
          <w:p w14:paraId="3B9440DD" w14:textId="77777777" w:rsidR="0082018F" w:rsidRDefault="003F571A" w:rsidP="0025559B">
            <w:pPr>
              <w:pStyle w:val="ListParagraph"/>
              <w:numPr>
                <w:ilvl w:val="0"/>
                <w:numId w:val="3"/>
              </w:numPr>
              <w:rPr>
                <w:sz w:val="22"/>
                <w:szCs w:val="22"/>
              </w:rPr>
            </w:pPr>
            <w:r w:rsidRPr="0082018F">
              <w:rPr>
                <w:sz w:val="22"/>
                <w:szCs w:val="22"/>
              </w:rPr>
              <w:t>Tax foods with higher emissions (e.g. meat tax)</w:t>
            </w:r>
          </w:p>
          <w:p w14:paraId="50F1CD50" w14:textId="77777777" w:rsidR="0082018F" w:rsidRPr="0082018F" w:rsidRDefault="0082018F" w:rsidP="0082018F">
            <w:pPr>
              <w:rPr>
                <w:sz w:val="22"/>
                <w:szCs w:val="22"/>
              </w:rPr>
            </w:pPr>
          </w:p>
          <w:p w14:paraId="3E6E6881" w14:textId="41893F05" w:rsidR="003F571A" w:rsidRPr="0082018F" w:rsidRDefault="003F571A" w:rsidP="0025559B">
            <w:pPr>
              <w:pStyle w:val="ListParagraph"/>
              <w:numPr>
                <w:ilvl w:val="0"/>
                <w:numId w:val="3"/>
              </w:numPr>
              <w:rPr>
                <w:sz w:val="22"/>
                <w:szCs w:val="22"/>
              </w:rPr>
            </w:pPr>
            <w:r w:rsidRPr="0082018F">
              <w:rPr>
                <w:sz w:val="22"/>
                <w:szCs w:val="22"/>
              </w:rPr>
              <w:t>Introduce tax on animal product imports</w:t>
            </w:r>
          </w:p>
          <w:p w14:paraId="2CABEE50" w14:textId="77777777" w:rsidR="003F571A" w:rsidRPr="00B13602" w:rsidRDefault="003F571A" w:rsidP="0025559B">
            <w:pPr>
              <w:rPr>
                <w:sz w:val="22"/>
                <w:szCs w:val="22"/>
              </w:rPr>
            </w:pPr>
          </w:p>
        </w:tc>
        <w:tc>
          <w:tcPr>
            <w:tcW w:w="3432" w:type="dxa"/>
          </w:tcPr>
          <w:p w14:paraId="2FB722DE" w14:textId="77777777" w:rsidR="0082018F" w:rsidRDefault="003F571A" w:rsidP="0025559B">
            <w:pPr>
              <w:pStyle w:val="ListParagraph"/>
              <w:numPr>
                <w:ilvl w:val="0"/>
                <w:numId w:val="3"/>
              </w:numPr>
              <w:rPr>
                <w:sz w:val="22"/>
                <w:szCs w:val="22"/>
              </w:rPr>
            </w:pPr>
            <w:r w:rsidRPr="0082018F">
              <w:rPr>
                <w:sz w:val="22"/>
                <w:szCs w:val="22"/>
              </w:rPr>
              <w:t>Public procurement regulations and policies (e.g. meatless procurement for schools, hospitals, prisons)</w:t>
            </w:r>
          </w:p>
          <w:p w14:paraId="1D47688E" w14:textId="77777777" w:rsidR="0082018F" w:rsidRDefault="0082018F" w:rsidP="0082018F">
            <w:pPr>
              <w:pStyle w:val="ListParagraph"/>
              <w:ind w:left="113"/>
              <w:rPr>
                <w:sz w:val="22"/>
                <w:szCs w:val="22"/>
              </w:rPr>
            </w:pPr>
          </w:p>
          <w:p w14:paraId="19A60F88" w14:textId="77777777" w:rsidR="0082018F" w:rsidRDefault="003F571A" w:rsidP="0025559B">
            <w:pPr>
              <w:pStyle w:val="ListParagraph"/>
              <w:numPr>
                <w:ilvl w:val="0"/>
                <w:numId w:val="3"/>
              </w:numPr>
              <w:rPr>
                <w:sz w:val="22"/>
                <w:szCs w:val="22"/>
              </w:rPr>
            </w:pPr>
            <w:r w:rsidRPr="0082018F">
              <w:rPr>
                <w:sz w:val="22"/>
                <w:szCs w:val="22"/>
              </w:rPr>
              <w:t>Regulations of advertisement of unhealthy, and unsustainable products</w:t>
            </w:r>
          </w:p>
          <w:p w14:paraId="5782DD6F" w14:textId="77777777" w:rsidR="0082018F" w:rsidRPr="0082018F" w:rsidRDefault="0082018F" w:rsidP="0082018F">
            <w:pPr>
              <w:rPr>
                <w:sz w:val="22"/>
                <w:szCs w:val="22"/>
              </w:rPr>
            </w:pPr>
          </w:p>
          <w:p w14:paraId="37564420" w14:textId="12AE9838" w:rsidR="003F571A" w:rsidRPr="0082018F" w:rsidRDefault="003F571A" w:rsidP="0025559B">
            <w:pPr>
              <w:pStyle w:val="ListParagraph"/>
              <w:numPr>
                <w:ilvl w:val="0"/>
                <w:numId w:val="3"/>
              </w:numPr>
              <w:rPr>
                <w:sz w:val="22"/>
                <w:szCs w:val="22"/>
              </w:rPr>
            </w:pPr>
            <w:r w:rsidRPr="0082018F">
              <w:rPr>
                <w:sz w:val="22"/>
                <w:szCs w:val="22"/>
              </w:rPr>
              <w:t>Carbon-labelling as a form of command and control</w:t>
            </w:r>
          </w:p>
        </w:tc>
      </w:tr>
      <w:tr w:rsidR="00B127C1" w:rsidRPr="00B13602" w14:paraId="1784F38A" w14:textId="77777777" w:rsidTr="00B127C1">
        <w:tc>
          <w:tcPr>
            <w:tcW w:w="1307" w:type="dxa"/>
          </w:tcPr>
          <w:p w14:paraId="6C570E86" w14:textId="77777777" w:rsidR="003F571A" w:rsidRPr="00B13602" w:rsidRDefault="003F571A" w:rsidP="0025559B">
            <w:pPr>
              <w:rPr>
                <w:sz w:val="22"/>
                <w:szCs w:val="22"/>
              </w:rPr>
            </w:pPr>
          </w:p>
        </w:tc>
        <w:tc>
          <w:tcPr>
            <w:tcW w:w="4647" w:type="dxa"/>
          </w:tcPr>
          <w:p w14:paraId="62D5160D" w14:textId="77777777" w:rsidR="003F571A" w:rsidRPr="00B13602" w:rsidRDefault="003F571A" w:rsidP="0025559B">
            <w:pPr>
              <w:rPr>
                <w:sz w:val="22"/>
                <w:szCs w:val="22"/>
              </w:rPr>
            </w:pPr>
          </w:p>
        </w:tc>
        <w:tc>
          <w:tcPr>
            <w:tcW w:w="3544" w:type="dxa"/>
          </w:tcPr>
          <w:p w14:paraId="23BBD5CE" w14:textId="77777777" w:rsidR="003F571A" w:rsidRPr="00B13602" w:rsidRDefault="003F571A" w:rsidP="0025559B">
            <w:pPr>
              <w:rPr>
                <w:sz w:val="22"/>
                <w:szCs w:val="22"/>
              </w:rPr>
            </w:pPr>
          </w:p>
        </w:tc>
        <w:tc>
          <w:tcPr>
            <w:tcW w:w="3432" w:type="dxa"/>
          </w:tcPr>
          <w:p w14:paraId="7805F495" w14:textId="77777777" w:rsidR="003F571A" w:rsidRPr="00B13602" w:rsidRDefault="003F571A" w:rsidP="0025559B">
            <w:pPr>
              <w:rPr>
                <w:sz w:val="22"/>
                <w:szCs w:val="22"/>
              </w:rPr>
            </w:pPr>
          </w:p>
        </w:tc>
      </w:tr>
      <w:tr w:rsidR="00B127C1" w:rsidRPr="00B13602" w14:paraId="51EE8809" w14:textId="77777777" w:rsidTr="00B127C1">
        <w:tc>
          <w:tcPr>
            <w:tcW w:w="1307" w:type="dxa"/>
          </w:tcPr>
          <w:p w14:paraId="627FAEE7" w14:textId="77777777" w:rsidR="003F571A" w:rsidRPr="00B13602" w:rsidRDefault="003F571A" w:rsidP="0025559B">
            <w:pPr>
              <w:rPr>
                <w:sz w:val="22"/>
                <w:szCs w:val="22"/>
              </w:rPr>
            </w:pPr>
            <w:r w:rsidRPr="00B13602">
              <w:rPr>
                <w:sz w:val="22"/>
                <w:szCs w:val="22"/>
              </w:rPr>
              <w:t>Political Economy</w:t>
            </w:r>
          </w:p>
        </w:tc>
        <w:tc>
          <w:tcPr>
            <w:tcW w:w="4647" w:type="dxa"/>
          </w:tcPr>
          <w:p w14:paraId="1C85941F" w14:textId="77777777" w:rsidR="0082018F" w:rsidRDefault="003F571A" w:rsidP="0025559B">
            <w:pPr>
              <w:pStyle w:val="ListParagraph"/>
              <w:numPr>
                <w:ilvl w:val="0"/>
                <w:numId w:val="3"/>
              </w:numPr>
              <w:rPr>
                <w:sz w:val="22"/>
                <w:szCs w:val="22"/>
              </w:rPr>
            </w:pPr>
            <w:r w:rsidRPr="0082018F">
              <w:rPr>
                <w:sz w:val="22"/>
                <w:szCs w:val="22"/>
              </w:rPr>
              <w:t>Retail Initiatives (e.g. Food demonstrations of plant-based protein, greater proportion of plant-based sales; carbon-labelling)</w:t>
            </w:r>
          </w:p>
          <w:p w14:paraId="341D6921" w14:textId="77777777" w:rsidR="0082018F" w:rsidRDefault="0082018F" w:rsidP="0082018F">
            <w:pPr>
              <w:pStyle w:val="ListParagraph"/>
              <w:ind w:left="113"/>
              <w:rPr>
                <w:sz w:val="22"/>
                <w:szCs w:val="22"/>
              </w:rPr>
            </w:pPr>
          </w:p>
          <w:p w14:paraId="6756E390" w14:textId="7B6EEC14" w:rsidR="0082018F" w:rsidRPr="0082018F" w:rsidRDefault="003F571A" w:rsidP="0082018F">
            <w:pPr>
              <w:pStyle w:val="ListParagraph"/>
              <w:numPr>
                <w:ilvl w:val="0"/>
                <w:numId w:val="3"/>
              </w:numPr>
              <w:rPr>
                <w:sz w:val="22"/>
                <w:szCs w:val="22"/>
              </w:rPr>
            </w:pPr>
            <w:r w:rsidRPr="0082018F">
              <w:rPr>
                <w:sz w:val="22"/>
                <w:szCs w:val="22"/>
              </w:rPr>
              <w:t>Alterations to the Canadian Food Guide</w:t>
            </w:r>
          </w:p>
          <w:p w14:paraId="2B8E2CE0" w14:textId="77777777" w:rsidR="0082018F" w:rsidRDefault="003F571A" w:rsidP="0025559B">
            <w:pPr>
              <w:pStyle w:val="ListParagraph"/>
              <w:numPr>
                <w:ilvl w:val="0"/>
                <w:numId w:val="3"/>
              </w:numPr>
              <w:rPr>
                <w:sz w:val="22"/>
                <w:szCs w:val="22"/>
              </w:rPr>
            </w:pPr>
            <w:r w:rsidRPr="0082018F">
              <w:rPr>
                <w:sz w:val="22"/>
                <w:szCs w:val="22"/>
              </w:rPr>
              <w:t>Awareness campaigns (e.g public schools)</w:t>
            </w:r>
          </w:p>
          <w:p w14:paraId="6963B59F" w14:textId="77777777" w:rsidR="0082018F" w:rsidRDefault="0082018F" w:rsidP="0082018F">
            <w:pPr>
              <w:pStyle w:val="ListParagraph"/>
              <w:ind w:left="113"/>
              <w:rPr>
                <w:sz w:val="22"/>
                <w:szCs w:val="22"/>
              </w:rPr>
            </w:pPr>
          </w:p>
          <w:p w14:paraId="5F3F83C2" w14:textId="77777777" w:rsidR="00B127C1" w:rsidRDefault="00B127C1" w:rsidP="00B127C1">
            <w:pPr>
              <w:pStyle w:val="ListParagraph"/>
              <w:numPr>
                <w:ilvl w:val="0"/>
                <w:numId w:val="3"/>
              </w:numPr>
              <w:rPr>
                <w:sz w:val="22"/>
                <w:szCs w:val="22"/>
              </w:rPr>
            </w:pPr>
            <w:r w:rsidRPr="0082018F">
              <w:rPr>
                <w:sz w:val="22"/>
                <w:szCs w:val="22"/>
              </w:rPr>
              <w:t>Nudge framework (e.g. greater proportion of plant-based sales; hybrid products</w:t>
            </w:r>
            <w:r>
              <w:rPr>
                <w:sz w:val="22"/>
                <w:szCs w:val="22"/>
              </w:rPr>
              <w:t>; increased availability of plant-based products, promotions, manipulation of products on shelves</w:t>
            </w:r>
            <w:r w:rsidRPr="0082018F">
              <w:rPr>
                <w:sz w:val="22"/>
                <w:szCs w:val="22"/>
              </w:rPr>
              <w:t>)</w:t>
            </w:r>
          </w:p>
          <w:p w14:paraId="313B866E" w14:textId="77777777" w:rsidR="0082018F" w:rsidRPr="0082018F" w:rsidRDefault="0082018F" w:rsidP="0082018F">
            <w:pPr>
              <w:rPr>
                <w:sz w:val="22"/>
                <w:szCs w:val="22"/>
              </w:rPr>
            </w:pPr>
          </w:p>
          <w:p w14:paraId="466360C8" w14:textId="1FB16DE7" w:rsidR="003F571A" w:rsidRPr="0082018F" w:rsidRDefault="003F571A" w:rsidP="0025559B">
            <w:pPr>
              <w:pStyle w:val="ListParagraph"/>
              <w:numPr>
                <w:ilvl w:val="0"/>
                <w:numId w:val="3"/>
              </w:numPr>
              <w:rPr>
                <w:sz w:val="22"/>
                <w:szCs w:val="22"/>
              </w:rPr>
            </w:pPr>
            <w:r w:rsidRPr="0082018F">
              <w:rPr>
                <w:sz w:val="22"/>
                <w:szCs w:val="22"/>
              </w:rPr>
              <w:t>Retail Initiatives (e.g. Food demonstrations of plant-based protein, greater proportion of plant-based sales; carbon-labelling)</w:t>
            </w:r>
          </w:p>
          <w:p w14:paraId="6D84BB56" w14:textId="77777777" w:rsidR="003F571A" w:rsidRPr="00B13602" w:rsidRDefault="003F571A" w:rsidP="0025559B">
            <w:pPr>
              <w:rPr>
                <w:sz w:val="22"/>
                <w:szCs w:val="22"/>
              </w:rPr>
            </w:pPr>
          </w:p>
        </w:tc>
        <w:tc>
          <w:tcPr>
            <w:tcW w:w="3544" w:type="dxa"/>
          </w:tcPr>
          <w:p w14:paraId="7A577FBB" w14:textId="77777777" w:rsidR="0082018F" w:rsidRDefault="003F571A" w:rsidP="0025559B">
            <w:pPr>
              <w:pStyle w:val="ListParagraph"/>
              <w:numPr>
                <w:ilvl w:val="0"/>
                <w:numId w:val="3"/>
              </w:numPr>
              <w:rPr>
                <w:sz w:val="22"/>
                <w:szCs w:val="22"/>
              </w:rPr>
            </w:pPr>
            <w:r w:rsidRPr="0082018F">
              <w:rPr>
                <w:sz w:val="22"/>
                <w:szCs w:val="22"/>
              </w:rPr>
              <w:t>Tax foods with higher emissions (e.g. meat tax)</w:t>
            </w:r>
          </w:p>
          <w:p w14:paraId="0B23CE44" w14:textId="77777777" w:rsidR="0082018F" w:rsidRDefault="0082018F" w:rsidP="0082018F">
            <w:pPr>
              <w:pStyle w:val="ListParagraph"/>
              <w:ind w:left="113"/>
              <w:rPr>
                <w:sz w:val="22"/>
                <w:szCs w:val="22"/>
              </w:rPr>
            </w:pPr>
          </w:p>
          <w:p w14:paraId="6DEBEA6F" w14:textId="77777777" w:rsidR="0082018F" w:rsidRDefault="003F571A" w:rsidP="0025559B">
            <w:pPr>
              <w:pStyle w:val="ListParagraph"/>
              <w:numPr>
                <w:ilvl w:val="0"/>
                <w:numId w:val="3"/>
              </w:numPr>
              <w:rPr>
                <w:sz w:val="22"/>
                <w:szCs w:val="22"/>
              </w:rPr>
            </w:pPr>
            <w:r w:rsidRPr="0082018F">
              <w:rPr>
                <w:sz w:val="22"/>
                <w:szCs w:val="22"/>
              </w:rPr>
              <w:t xml:space="preserve">Revenue generated by ‘meat tax’ to be invested in support of R&amp;D of clean technologies for the agriculture </w:t>
            </w:r>
          </w:p>
          <w:p w14:paraId="77ACC7AA" w14:textId="77777777" w:rsidR="0082018F" w:rsidRPr="0082018F" w:rsidRDefault="0082018F" w:rsidP="0082018F">
            <w:pPr>
              <w:rPr>
                <w:sz w:val="22"/>
                <w:szCs w:val="22"/>
              </w:rPr>
            </w:pPr>
          </w:p>
          <w:p w14:paraId="22A77366" w14:textId="77777777" w:rsidR="0082018F" w:rsidRDefault="003F571A" w:rsidP="0025559B">
            <w:pPr>
              <w:pStyle w:val="ListParagraph"/>
              <w:numPr>
                <w:ilvl w:val="0"/>
                <w:numId w:val="3"/>
              </w:numPr>
              <w:rPr>
                <w:sz w:val="22"/>
                <w:szCs w:val="22"/>
              </w:rPr>
            </w:pPr>
            <w:r w:rsidRPr="0082018F">
              <w:rPr>
                <w:sz w:val="22"/>
                <w:szCs w:val="22"/>
              </w:rPr>
              <w:t>Implement tradable emissions quotas (e.g. cap-and-trade)</w:t>
            </w:r>
          </w:p>
          <w:p w14:paraId="74C171D7" w14:textId="77777777" w:rsidR="0082018F" w:rsidRPr="0082018F" w:rsidRDefault="0082018F" w:rsidP="0082018F">
            <w:pPr>
              <w:rPr>
                <w:sz w:val="22"/>
                <w:szCs w:val="22"/>
              </w:rPr>
            </w:pPr>
          </w:p>
          <w:p w14:paraId="50ED2100" w14:textId="77777777" w:rsidR="0082018F" w:rsidRDefault="003F571A" w:rsidP="0025559B">
            <w:pPr>
              <w:pStyle w:val="ListParagraph"/>
              <w:numPr>
                <w:ilvl w:val="0"/>
                <w:numId w:val="3"/>
              </w:numPr>
              <w:rPr>
                <w:sz w:val="22"/>
                <w:szCs w:val="22"/>
              </w:rPr>
            </w:pPr>
            <w:r w:rsidRPr="0082018F">
              <w:rPr>
                <w:sz w:val="22"/>
                <w:szCs w:val="22"/>
              </w:rPr>
              <w:t>Reduction of subsidies for animal-sourced foods and subsequent investment in plant-based foods</w:t>
            </w:r>
          </w:p>
          <w:p w14:paraId="02B3F6F9" w14:textId="77777777" w:rsidR="0082018F" w:rsidRPr="0082018F" w:rsidRDefault="0082018F" w:rsidP="0082018F">
            <w:pPr>
              <w:rPr>
                <w:sz w:val="22"/>
                <w:szCs w:val="22"/>
              </w:rPr>
            </w:pPr>
          </w:p>
          <w:p w14:paraId="010780DD" w14:textId="77777777" w:rsidR="0082018F" w:rsidRDefault="003F571A" w:rsidP="0025559B">
            <w:pPr>
              <w:pStyle w:val="ListParagraph"/>
              <w:numPr>
                <w:ilvl w:val="0"/>
                <w:numId w:val="3"/>
              </w:numPr>
              <w:rPr>
                <w:sz w:val="22"/>
                <w:szCs w:val="22"/>
              </w:rPr>
            </w:pPr>
            <w:r w:rsidRPr="0082018F">
              <w:rPr>
                <w:sz w:val="22"/>
                <w:szCs w:val="22"/>
              </w:rPr>
              <w:t>Introduce tax on animal product imports</w:t>
            </w:r>
          </w:p>
          <w:p w14:paraId="275BC3C0" w14:textId="77777777" w:rsidR="0082018F" w:rsidRPr="0082018F" w:rsidRDefault="0082018F" w:rsidP="0082018F">
            <w:pPr>
              <w:rPr>
                <w:sz w:val="22"/>
                <w:szCs w:val="22"/>
              </w:rPr>
            </w:pPr>
          </w:p>
          <w:p w14:paraId="547861E7" w14:textId="17E752F6" w:rsidR="003F571A" w:rsidRPr="0082018F" w:rsidRDefault="003F571A" w:rsidP="0025559B">
            <w:pPr>
              <w:pStyle w:val="ListParagraph"/>
              <w:numPr>
                <w:ilvl w:val="0"/>
                <w:numId w:val="3"/>
              </w:numPr>
              <w:rPr>
                <w:sz w:val="22"/>
                <w:szCs w:val="22"/>
              </w:rPr>
            </w:pPr>
            <w:r w:rsidRPr="0082018F">
              <w:rPr>
                <w:sz w:val="22"/>
                <w:szCs w:val="22"/>
              </w:rPr>
              <w:t>Coupon discounts for plant-based products</w:t>
            </w:r>
          </w:p>
        </w:tc>
        <w:tc>
          <w:tcPr>
            <w:tcW w:w="3432" w:type="dxa"/>
          </w:tcPr>
          <w:p w14:paraId="168F901E" w14:textId="77777777" w:rsidR="0082018F" w:rsidRDefault="003F571A" w:rsidP="0025559B">
            <w:pPr>
              <w:pStyle w:val="ListParagraph"/>
              <w:numPr>
                <w:ilvl w:val="0"/>
                <w:numId w:val="3"/>
              </w:numPr>
              <w:rPr>
                <w:sz w:val="22"/>
                <w:szCs w:val="22"/>
              </w:rPr>
            </w:pPr>
            <w:r w:rsidRPr="0082018F">
              <w:rPr>
                <w:sz w:val="22"/>
                <w:szCs w:val="22"/>
              </w:rPr>
              <w:t>Implement production quotas on meat and animal products (e.g. cap on cattle)</w:t>
            </w:r>
          </w:p>
          <w:p w14:paraId="30AB5A5F" w14:textId="77777777" w:rsidR="0082018F" w:rsidRPr="0082018F" w:rsidRDefault="0082018F" w:rsidP="0082018F">
            <w:pPr>
              <w:rPr>
                <w:sz w:val="22"/>
                <w:szCs w:val="22"/>
              </w:rPr>
            </w:pPr>
          </w:p>
          <w:p w14:paraId="48606607" w14:textId="77777777" w:rsidR="0082018F" w:rsidRDefault="003F571A" w:rsidP="0025559B">
            <w:pPr>
              <w:pStyle w:val="ListParagraph"/>
              <w:numPr>
                <w:ilvl w:val="0"/>
                <w:numId w:val="3"/>
              </w:numPr>
              <w:rPr>
                <w:sz w:val="22"/>
                <w:szCs w:val="22"/>
              </w:rPr>
            </w:pPr>
            <w:r w:rsidRPr="0082018F">
              <w:rPr>
                <w:sz w:val="22"/>
                <w:szCs w:val="22"/>
              </w:rPr>
              <w:t>Develop an emissions cap from the agricultural sector</w:t>
            </w:r>
          </w:p>
          <w:p w14:paraId="4BDCA9E9" w14:textId="77777777" w:rsidR="0082018F" w:rsidRDefault="003F571A" w:rsidP="0025559B">
            <w:pPr>
              <w:pStyle w:val="ListParagraph"/>
              <w:numPr>
                <w:ilvl w:val="0"/>
                <w:numId w:val="3"/>
              </w:numPr>
              <w:rPr>
                <w:sz w:val="22"/>
                <w:szCs w:val="22"/>
              </w:rPr>
            </w:pPr>
            <w:r w:rsidRPr="0082018F">
              <w:rPr>
                <w:sz w:val="22"/>
                <w:szCs w:val="22"/>
              </w:rPr>
              <w:t>Phase out subsidies, or even the playing field</w:t>
            </w:r>
          </w:p>
          <w:p w14:paraId="202B657C" w14:textId="77777777" w:rsidR="0082018F" w:rsidRPr="0082018F" w:rsidRDefault="0082018F" w:rsidP="0082018F">
            <w:pPr>
              <w:rPr>
                <w:sz w:val="22"/>
                <w:szCs w:val="22"/>
              </w:rPr>
            </w:pPr>
          </w:p>
          <w:p w14:paraId="16AC861D" w14:textId="77777777" w:rsidR="0082018F" w:rsidRDefault="003F571A" w:rsidP="0025559B">
            <w:pPr>
              <w:pStyle w:val="ListParagraph"/>
              <w:numPr>
                <w:ilvl w:val="0"/>
                <w:numId w:val="3"/>
              </w:numPr>
              <w:rPr>
                <w:sz w:val="22"/>
                <w:szCs w:val="22"/>
              </w:rPr>
            </w:pPr>
            <w:r w:rsidRPr="0082018F">
              <w:rPr>
                <w:sz w:val="22"/>
                <w:szCs w:val="22"/>
              </w:rPr>
              <w:t>Public procurement regulations and policies (e.g. meatless procurement for schools, hospitals, prisons)</w:t>
            </w:r>
          </w:p>
          <w:p w14:paraId="6627754F" w14:textId="77777777" w:rsidR="0082018F" w:rsidRPr="0082018F" w:rsidRDefault="0082018F" w:rsidP="0082018F">
            <w:pPr>
              <w:rPr>
                <w:sz w:val="22"/>
                <w:szCs w:val="22"/>
              </w:rPr>
            </w:pPr>
          </w:p>
          <w:p w14:paraId="37C34A33" w14:textId="77777777" w:rsidR="0082018F" w:rsidRDefault="003F571A" w:rsidP="0025559B">
            <w:pPr>
              <w:pStyle w:val="ListParagraph"/>
              <w:numPr>
                <w:ilvl w:val="0"/>
                <w:numId w:val="3"/>
              </w:numPr>
              <w:rPr>
                <w:sz w:val="22"/>
                <w:szCs w:val="22"/>
              </w:rPr>
            </w:pPr>
            <w:r w:rsidRPr="0082018F">
              <w:rPr>
                <w:sz w:val="22"/>
                <w:szCs w:val="22"/>
              </w:rPr>
              <w:t xml:space="preserve">Limit size and scale of agriculture, to reduce industrialization and promote local </w:t>
            </w:r>
          </w:p>
          <w:p w14:paraId="24DD67BE" w14:textId="77777777" w:rsidR="0082018F" w:rsidRPr="0082018F" w:rsidRDefault="0082018F" w:rsidP="0082018F">
            <w:pPr>
              <w:rPr>
                <w:sz w:val="22"/>
                <w:szCs w:val="22"/>
              </w:rPr>
            </w:pPr>
          </w:p>
          <w:p w14:paraId="4554668A" w14:textId="5A026982" w:rsidR="003F571A" w:rsidRPr="0082018F" w:rsidRDefault="003F571A" w:rsidP="0025559B">
            <w:pPr>
              <w:pStyle w:val="ListParagraph"/>
              <w:numPr>
                <w:ilvl w:val="0"/>
                <w:numId w:val="3"/>
              </w:numPr>
              <w:rPr>
                <w:sz w:val="22"/>
                <w:szCs w:val="22"/>
              </w:rPr>
            </w:pPr>
            <w:r w:rsidRPr="0082018F">
              <w:rPr>
                <w:sz w:val="22"/>
                <w:szCs w:val="22"/>
              </w:rPr>
              <w:t>Carbon-labelling as a form of command and control</w:t>
            </w:r>
          </w:p>
        </w:tc>
      </w:tr>
      <w:tr w:rsidR="00B127C1" w:rsidRPr="00B13602" w14:paraId="7B56CBAA" w14:textId="77777777" w:rsidTr="00B127C1">
        <w:tc>
          <w:tcPr>
            <w:tcW w:w="1307" w:type="dxa"/>
          </w:tcPr>
          <w:p w14:paraId="46E59B2F" w14:textId="77777777" w:rsidR="003F571A" w:rsidRPr="00B13602" w:rsidRDefault="003F571A" w:rsidP="0025559B">
            <w:pPr>
              <w:rPr>
                <w:sz w:val="22"/>
                <w:szCs w:val="22"/>
              </w:rPr>
            </w:pPr>
          </w:p>
        </w:tc>
        <w:tc>
          <w:tcPr>
            <w:tcW w:w="4647" w:type="dxa"/>
          </w:tcPr>
          <w:p w14:paraId="1E9A7818" w14:textId="77777777" w:rsidR="0082018F" w:rsidRDefault="0082018F" w:rsidP="0025559B">
            <w:pPr>
              <w:rPr>
                <w:sz w:val="22"/>
                <w:szCs w:val="22"/>
              </w:rPr>
            </w:pPr>
          </w:p>
          <w:p w14:paraId="717F32B6" w14:textId="77777777" w:rsidR="0082018F" w:rsidRPr="00B13602" w:rsidRDefault="0082018F" w:rsidP="0025559B">
            <w:pPr>
              <w:rPr>
                <w:sz w:val="22"/>
                <w:szCs w:val="22"/>
              </w:rPr>
            </w:pPr>
          </w:p>
        </w:tc>
        <w:tc>
          <w:tcPr>
            <w:tcW w:w="3544" w:type="dxa"/>
          </w:tcPr>
          <w:p w14:paraId="37C96BC0" w14:textId="77777777" w:rsidR="003F571A" w:rsidRPr="00B13602" w:rsidRDefault="003F571A" w:rsidP="0025559B">
            <w:pPr>
              <w:rPr>
                <w:sz w:val="22"/>
                <w:szCs w:val="22"/>
              </w:rPr>
            </w:pPr>
          </w:p>
        </w:tc>
        <w:tc>
          <w:tcPr>
            <w:tcW w:w="3432" w:type="dxa"/>
          </w:tcPr>
          <w:p w14:paraId="45377380" w14:textId="77777777" w:rsidR="003F571A" w:rsidRPr="00B13602" w:rsidRDefault="003F571A" w:rsidP="0025559B">
            <w:pPr>
              <w:rPr>
                <w:sz w:val="22"/>
                <w:szCs w:val="22"/>
              </w:rPr>
            </w:pPr>
          </w:p>
        </w:tc>
      </w:tr>
      <w:tr w:rsidR="00B127C1" w:rsidRPr="00B13602" w14:paraId="78D94E55" w14:textId="77777777" w:rsidTr="00B127C1">
        <w:tc>
          <w:tcPr>
            <w:tcW w:w="1307" w:type="dxa"/>
          </w:tcPr>
          <w:p w14:paraId="4BD0349D" w14:textId="77777777" w:rsidR="003F571A" w:rsidRPr="00B13602" w:rsidRDefault="003F571A" w:rsidP="0025559B">
            <w:pPr>
              <w:rPr>
                <w:sz w:val="22"/>
                <w:szCs w:val="22"/>
              </w:rPr>
            </w:pPr>
            <w:r w:rsidRPr="00B13602">
              <w:rPr>
                <w:sz w:val="22"/>
                <w:szCs w:val="22"/>
              </w:rPr>
              <w:t>Social Influence</w:t>
            </w:r>
          </w:p>
        </w:tc>
        <w:tc>
          <w:tcPr>
            <w:tcW w:w="4647" w:type="dxa"/>
          </w:tcPr>
          <w:p w14:paraId="0D7F4E9E" w14:textId="41B274A3" w:rsidR="003F571A" w:rsidRPr="0082018F" w:rsidRDefault="0082018F" w:rsidP="0025559B">
            <w:pPr>
              <w:pStyle w:val="ListParagraph"/>
              <w:numPr>
                <w:ilvl w:val="0"/>
                <w:numId w:val="3"/>
              </w:numPr>
              <w:rPr>
                <w:sz w:val="22"/>
                <w:szCs w:val="22"/>
              </w:rPr>
            </w:pPr>
            <w:r w:rsidRPr="0082018F">
              <w:rPr>
                <w:sz w:val="22"/>
                <w:szCs w:val="22"/>
              </w:rPr>
              <w:t>Awareness campaigns (e.g. NGO-led campaigns; meatless Mondays)</w:t>
            </w:r>
          </w:p>
        </w:tc>
        <w:tc>
          <w:tcPr>
            <w:tcW w:w="3544" w:type="dxa"/>
          </w:tcPr>
          <w:p w14:paraId="67F7C63B" w14:textId="4D45E139" w:rsidR="003F571A" w:rsidRPr="0082018F" w:rsidRDefault="003F571A" w:rsidP="0025559B">
            <w:pPr>
              <w:pStyle w:val="ListParagraph"/>
              <w:numPr>
                <w:ilvl w:val="0"/>
                <w:numId w:val="3"/>
              </w:numPr>
              <w:rPr>
                <w:sz w:val="22"/>
                <w:szCs w:val="22"/>
              </w:rPr>
            </w:pPr>
            <w:r w:rsidRPr="0082018F">
              <w:rPr>
                <w:sz w:val="22"/>
                <w:szCs w:val="22"/>
              </w:rPr>
              <w:t>Vegetarian discount cards for restaurants</w:t>
            </w:r>
          </w:p>
        </w:tc>
        <w:tc>
          <w:tcPr>
            <w:tcW w:w="3432" w:type="dxa"/>
          </w:tcPr>
          <w:p w14:paraId="277CC689" w14:textId="6C9CAB8E" w:rsidR="003F571A" w:rsidRPr="0082018F" w:rsidRDefault="003F571A" w:rsidP="0025559B">
            <w:pPr>
              <w:pStyle w:val="ListParagraph"/>
              <w:numPr>
                <w:ilvl w:val="0"/>
                <w:numId w:val="3"/>
              </w:numPr>
              <w:rPr>
                <w:sz w:val="22"/>
                <w:szCs w:val="22"/>
              </w:rPr>
            </w:pPr>
            <w:r w:rsidRPr="0082018F">
              <w:rPr>
                <w:sz w:val="22"/>
                <w:szCs w:val="22"/>
              </w:rPr>
              <w:t xml:space="preserve">Restaurant regulations to increase vegetarian </w:t>
            </w:r>
            <w:r w:rsidR="00FB0069">
              <w:rPr>
                <w:sz w:val="22"/>
                <w:szCs w:val="22"/>
              </w:rPr>
              <w:t xml:space="preserve">&amp; vegan </w:t>
            </w:r>
            <w:r w:rsidRPr="0082018F">
              <w:rPr>
                <w:sz w:val="22"/>
                <w:szCs w:val="22"/>
              </w:rPr>
              <w:t>options</w:t>
            </w:r>
          </w:p>
        </w:tc>
      </w:tr>
    </w:tbl>
    <w:p w14:paraId="439F078B" w14:textId="77777777" w:rsidR="003F571A" w:rsidRDefault="003F571A" w:rsidP="003F571A"/>
    <w:p w14:paraId="6C7CC382" w14:textId="77777777" w:rsidR="00AB746C" w:rsidRDefault="00AB746C" w:rsidP="00AB746C"/>
    <w:p w14:paraId="096551AF" w14:textId="77777777" w:rsidR="00AB746C" w:rsidRDefault="00AB746C" w:rsidP="00AB746C"/>
    <w:p w14:paraId="52F7449D" w14:textId="7EA1E863" w:rsidR="00AB746C" w:rsidRPr="0086129F" w:rsidRDefault="00AB746C" w:rsidP="00AB746C">
      <w:pPr>
        <w:widowControl w:val="0"/>
        <w:autoSpaceDE w:val="0"/>
        <w:autoSpaceDN w:val="0"/>
        <w:adjustRightInd w:val="0"/>
        <w:spacing w:line="480" w:lineRule="auto"/>
        <w:ind w:firstLine="720"/>
        <w:jc w:val="both"/>
      </w:pPr>
      <w:r>
        <w:t xml:space="preserve">As policy measures are cross-cutting between the five recognized </w:t>
      </w:r>
      <w:r w:rsidR="00820A76">
        <w:t xml:space="preserve">barriers to dietary transition, </w:t>
      </w:r>
      <w:r>
        <w:t>they are listed below in terms of informative tools, economic incentives, and regulations.</w:t>
      </w:r>
    </w:p>
    <w:p w14:paraId="20A0A8B9" w14:textId="77777777" w:rsidR="00820A76" w:rsidRDefault="00820A76" w:rsidP="00374D42">
      <w:pPr>
        <w:spacing w:line="480" w:lineRule="auto"/>
        <w:jc w:val="both"/>
        <w:rPr>
          <w:b/>
          <w:sz w:val="28"/>
        </w:rPr>
        <w:sectPr w:rsidR="00820A76" w:rsidSect="005222D6">
          <w:pgSz w:w="15840" w:h="12240" w:orient="landscape"/>
          <w:pgMar w:top="1440" w:right="1440" w:bottom="1440" w:left="1440" w:header="708" w:footer="708" w:gutter="0"/>
          <w:cols w:space="708"/>
          <w:docGrid w:linePitch="360"/>
        </w:sectPr>
      </w:pPr>
    </w:p>
    <w:p w14:paraId="19E77EEA" w14:textId="7C963609" w:rsidR="0004375B" w:rsidRPr="00AB746C" w:rsidRDefault="0004375B" w:rsidP="00374D42">
      <w:pPr>
        <w:spacing w:line="480" w:lineRule="auto"/>
        <w:jc w:val="both"/>
        <w:rPr>
          <w:b/>
          <w:sz w:val="28"/>
        </w:rPr>
      </w:pPr>
      <w:r>
        <w:rPr>
          <w:b/>
          <w:sz w:val="28"/>
        </w:rPr>
        <w:lastRenderedPageBreak/>
        <w:t>I</w:t>
      </w:r>
      <w:r w:rsidRPr="00BC715B">
        <w:rPr>
          <w:b/>
          <w:sz w:val="28"/>
        </w:rPr>
        <w:t xml:space="preserve">. </w:t>
      </w:r>
      <w:r w:rsidR="00E82277">
        <w:rPr>
          <w:b/>
          <w:sz w:val="28"/>
        </w:rPr>
        <w:t>Information-Based</w:t>
      </w:r>
    </w:p>
    <w:p w14:paraId="43C40135" w14:textId="67FEE020" w:rsidR="00374D42" w:rsidRPr="00E11084" w:rsidRDefault="00233503" w:rsidP="00374D42">
      <w:pPr>
        <w:spacing w:line="480" w:lineRule="auto"/>
        <w:ind w:firstLine="720"/>
        <w:jc w:val="both"/>
      </w:pPr>
      <w:r>
        <w:t>R</w:t>
      </w:r>
      <w:r w:rsidR="00374D42">
        <w:t xml:space="preserve">eview of the literature pertaining to policy recommendations for reducing diet-related GHG emissions found large inconsistencies throughout the small </w:t>
      </w:r>
      <w:r w:rsidR="00E82277">
        <w:t>compilation</w:t>
      </w:r>
      <w:r w:rsidR="00374D42">
        <w:t xml:space="preserve"> (ie. 21 primary journal articles) of </w:t>
      </w:r>
      <w:r w:rsidR="00C174AA">
        <w:t>research</w:t>
      </w:r>
      <w:r w:rsidR="00374D42">
        <w:t xml:space="preserve"> (Joyce </w:t>
      </w:r>
      <w:r w:rsidR="00374D42" w:rsidRPr="00F079E9">
        <w:rPr>
          <w:i/>
        </w:rPr>
        <w:t>et al.,</w:t>
      </w:r>
      <w:r w:rsidR="00374D42">
        <w:t xml:space="preserve"> 2014). The recommended approaches are inconsistent </w:t>
      </w:r>
      <w:r w:rsidR="00C05C83">
        <w:t xml:space="preserve">across </w:t>
      </w:r>
      <w:r w:rsidR="00374D42">
        <w:t>studies</w:t>
      </w:r>
      <w:r w:rsidR="00493F18">
        <w:t>, possibly due to differences in spatial and temporal distribution, in addition to socio-political and food system contexts</w:t>
      </w:r>
      <w:r w:rsidR="00374D42">
        <w:t xml:space="preserve">. </w:t>
      </w:r>
      <w:r w:rsidR="00493F18">
        <w:t xml:space="preserve">More importantly, however, the 21 studies generally make considerable assumptions regarding community and political support for possible actions, where there is little empirical evidence supporting the recommendations. </w:t>
      </w:r>
      <w:r w:rsidR="00374D42">
        <w:t>Thus, before intervening, it is essential to properly frame the issues associated with industrial animal a</w:t>
      </w:r>
      <w:r w:rsidR="00C174AA">
        <w:t>griculture</w:t>
      </w:r>
      <w:r w:rsidR="00374D42">
        <w:t xml:space="preserve"> and associated meat-consumption behavio</w:t>
      </w:r>
      <w:r w:rsidR="004D5563">
        <w:t>u</w:t>
      </w:r>
      <w:r w:rsidR="00374D42">
        <w:t>rs, to garner community and political support t</w:t>
      </w:r>
      <w:r w:rsidR="00B141DE">
        <w:t>hrough promotion and advertisement</w:t>
      </w:r>
      <w:r w:rsidR="00374D42">
        <w:t xml:space="preserve"> (</w:t>
      </w:r>
      <w:r w:rsidR="00374D42">
        <w:rPr>
          <w:lang w:val="en-CA"/>
        </w:rPr>
        <w:t>Glanz &amp; Yaroch, 2004</w:t>
      </w:r>
      <w:r w:rsidR="00374D42">
        <w:t xml:space="preserve">) before implementing policy instruments (Beverland, 2014; Joyce </w:t>
      </w:r>
      <w:r w:rsidR="00374D42" w:rsidRPr="00F079E9">
        <w:rPr>
          <w:i/>
        </w:rPr>
        <w:t>et al.,</w:t>
      </w:r>
      <w:r w:rsidR="00374D42">
        <w:t xml:space="preserve"> 2014). </w:t>
      </w:r>
      <w:r w:rsidR="00374D42">
        <w:rPr>
          <w:lang w:val="en-CA"/>
        </w:rPr>
        <w:t xml:space="preserve">The case for government intervention needs to be built in a compelling </w:t>
      </w:r>
      <w:r w:rsidR="00B117FC">
        <w:rPr>
          <w:lang w:val="en-CA"/>
        </w:rPr>
        <w:t xml:space="preserve">and evidence-based </w:t>
      </w:r>
      <w:r w:rsidR="00374D42">
        <w:rPr>
          <w:lang w:val="en-CA"/>
        </w:rPr>
        <w:t xml:space="preserve">manner.  </w:t>
      </w:r>
    </w:p>
    <w:p w14:paraId="516F2326" w14:textId="0CBC1831" w:rsidR="00374D42" w:rsidRDefault="00374D42" w:rsidP="00374D42">
      <w:pPr>
        <w:spacing w:line="480" w:lineRule="auto"/>
        <w:ind w:firstLine="720"/>
        <w:jc w:val="both"/>
        <w:rPr>
          <w:color w:val="000000" w:themeColor="text1"/>
          <w:lang w:val="en-CA"/>
        </w:rPr>
      </w:pPr>
      <w:r>
        <w:rPr>
          <w:lang w:val="en-CA"/>
        </w:rPr>
        <w:t>It is anticipated that g</w:t>
      </w:r>
      <w:r w:rsidRPr="00807412">
        <w:rPr>
          <w:lang w:val="en-CA"/>
        </w:rPr>
        <w:t xml:space="preserve">lobal transition to </w:t>
      </w:r>
      <w:r>
        <w:rPr>
          <w:lang w:val="en-CA"/>
        </w:rPr>
        <w:t xml:space="preserve">a </w:t>
      </w:r>
      <w:r w:rsidRPr="00807412">
        <w:rPr>
          <w:lang w:val="en-CA"/>
        </w:rPr>
        <w:t>low-meat diet would likely be more accepted by the general public if recommended for reasons other than</w:t>
      </w:r>
      <w:r>
        <w:rPr>
          <w:lang w:val="en-CA"/>
        </w:rPr>
        <w:t>, or in combination with</w:t>
      </w:r>
      <w:r w:rsidRPr="00807412">
        <w:rPr>
          <w:lang w:val="en-CA"/>
        </w:rPr>
        <w:t xml:space="preserve"> climate change (Wellesley </w:t>
      </w:r>
      <w:r w:rsidRPr="00807412">
        <w:rPr>
          <w:i/>
          <w:lang w:val="en-CA"/>
        </w:rPr>
        <w:t>et al.,</w:t>
      </w:r>
      <w:r>
        <w:rPr>
          <w:lang w:val="en-CA"/>
        </w:rPr>
        <w:t xml:space="preserve"> 2015), given greater public concern for human health (Kickert </w:t>
      </w:r>
      <w:r w:rsidRPr="00596DB3">
        <w:rPr>
          <w:i/>
          <w:lang w:val="en-CA"/>
        </w:rPr>
        <w:t>et al.,</w:t>
      </w:r>
      <w:r>
        <w:rPr>
          <w:lang w:val="en-CA"/>
        </w:rPr>
        <w:t xml:space="preserve"> 1997; Macdiarmid </w:t>
      </w:r>
      <w:r w:rsidRPr="00596DB3">
        <w:rPr>
          <w:i/>
          <w:lang w:val="en-CA"/>
        </w:rPr>
        <w:t>et al.,</w:t>
      </w:r>
      <w:r>
        <w:rPr>
          <w:lang w:val="en-CA"/>
        </w:rPr>
        <w:t xml:space="preserve"> 2012; Hendrie </w:t>
      </w:r>
      <w:r w:rsidRPr="00596DB3">
        <w:rPr>
          <w:i/>
          <w:lang w:val="en-CA"/>
        </w:rPr>
        <w:t>et al.,</w:t>
      </w:r>
      <w:r>
        <w:rPr>
          <w:lang w:val="en-CA"/>
        </w:rPr>
        <w:t xml:space="preserve"> 2014; Joyce </w:t>
      </w:r>
      <w:r w:rsidRPr="00596DB3">
        <w:rPr>
          <w:i/>
          <w:lang w:val="en-CA"/>
        </w:rPr>
        <w:t>et al.,</w:t>
      </w:r>
      <w:r>
        <w:rPr>
          <w:lang w:val="en-CA"/>
        </w:rPr>
        <w:t xml:space="preserve"> 2014), price, food safety </w:t>
      </w:r>
      <w:r>
        <w:t>(Wellesley</w:t>
      </w:r>
      <w:r w:rsidRPr="003B2B48">
        <w:rPr>
          <w:i/>
        </w:rPr>
        <w:t xml:space="preserve"> et al., </w:t>
      </w:r>
      <w:r>
        <w:t>2015),</w:t>
      </w:r>
      <w:r>
        <w:rPr>
          <w:lang w:val="en-CA"/>
        </w:rPr>
        <w:t xml:space="preserve"> and/or animal ethics.</w:t>
      </w:r>
      <w:r>
        <w:rPr>
          <w:color w:val="000000" w:themeColor="text1"/>
          <w:lang w:val="en-CA"/>
        </w:rPr>
        <w:t xml:space="preserve"> In doing so, promotional advertisement could focus on broadening the message to include the health </w:t>
      </w:r>
      <w:r w:rsidR="00871036">
        <w:rPr>
          <w:color w:val="000000" w:themeColor="text1"/>
          <w:lang w:val="en-CA"/>
        </w:rPr>
        <w:t>benefits of meat reduction, or</w:t>
      </w:r>
      <w:r>
        <w:rPr>
          <w:color w:val="000000" w:themeColor="text1"/>
          <w:lang w:val="en-CA"/>
        </w:rPr>
        <w:t xml:space="preserve"> decreased susceptibility of infectious agents (McMichael </w:t>
      </w:r>
      <w:r w:rsidRPr="003D540F">
        <w:rPr>
          <w:i/>
          <w:color w:val="000000" w:themeColor="text1"/>
          <w:lang w:val="en-CA"/>
        </w:rPr>
        <w:t>et al.,</w:t>
      </w:r>
      <w:r>
        <w:rPr>
          <w:color w:val="000000" w:themeColor="text1"/>
          <w:lang w:val="en-CA"/>
        </w:rPr>
        <w:t xml:space="preserve"> 2007), and the resulting reduction in healthcare costs.</w:t>
      </w:r>
      <w:r w:rsidRPr="00807412">
        <w:rPr>
          <w:color w:val="000000" w:themeColor="text1"/>
          <w:lang w:val="en-CA"/>
        </w:rPr>
        <w:t xml:space="preserve"> </w:t>
      </w:r>
      <w:r w:rsidR="00537A26">
        <w:rPr>
          <w:color w:val="000000" w:themeColor="text1"/>
          <w:lang w:val="en-CA"/>
        </w:rPr>
        <w:t xml:space="preserve">In order to overcome confusion generated by ever-changing nutritional messages, however, government must advocate for health benefits of meat reduction, to act as a leader. Public confusion may be limited if the message is coming from a </w:t>
      </w:r>
      <w:r w:rsidR="00871036">
        <w:rPr>
          <w:color w:val="000000" w:themeColor="text1"/>
          <w:lang w:val="en-CA"/>
        </w:rPr>
        <w:t>principal</w:t>
      </w:r>
      <w:r w:rsidR="00537A26">
        <w:rPr>
          <w:color w:val="000000" w:themeColor="text1"/>
          <w:lang w:val="en-CA"/>
        </w:rPr>
        <w:t xml:space="preserve"> and </w:t>
      </w:r>
      <w:r w:rsidR="00537A26">
        <w:rPr>
          <w:color w:val="000000" w:themeColor="text1"/>
          <w:lang w:val="en-CA"/>
        </w:rPr>
        <w:lastRenderedPageBreak/>
        <w:t xml:space="preserve">trustworthy source. </w:t>
      </w:r>
      <w:r>
        <w:rPr>
          <w:color w:val="000000" w:themeColor="text1"/>
          <w:lang w:val="en-CA"/>
        </w:rPr>
        <w:t xml:space="preserve">Cooperation between environmental and health officials </w:t>
      </w:r>
      <w:r w:rsidR="00C174AA">
        <w:rPr>
          <w:color w:val="000000" w:themeColor="text1"/>
          <w:lang w:val="en-CA"/>
        </w:rPr>
        <w:t>may</w:t>
      </w:r>
      <w:r>
        <w:rPr>
          <w:color w:val="000000" w:themeColor="text1"/>
          <w:lang w:val="en-CA"/>
        </w:rPr>
        <w:t xml:space="preserve"> produce effective measures to generate a shift away from meat-based diets, effectively ‘killing two birds with one stone’ in terms of environmental conservation and </w:t>
      </w:r>
      <w:r w:rsidR="00C174AA">
        <w:rPr>
          <w:color w:val="000000" w:themeColor="text1"/>
          <w:lang w:val="en-CA"/>
        </w:rPr>
        <w:t>prevention of</w:t>
      </w:r>
      <w:r>
        <w:rPr>
          <w:color w:val="000000" w:themeColor="text1"/>
          <w:lang w:val="en-CA"/>
        </w:rPr>
        <w:t xml:space="preserve"> consumption-related health issues (obesity, cardiovascular disease, etc.) (McMichael et al., </w:t>
      </w:r>
      <w:r w:rsidRPr="00660045">
        <w:rPr>
          <w:color w:val="000000" w:themeColor="text1"/>
          <w:lang w:val="en-CA"/>
        </w:rPr>
        <w:t xml:space="preserve">2007; Wellesley </w:t>
      </w:r>
      <w:r w:rsidRPr="00660045">
        <w:rPr>
          <w:i/>
          <w:color w:val="000000" w:themeColor="text1"/>
          <w:lang w:val="en-CA"/>
        </w:rPr>
        <w:t>et al.,</w:t>
      </w:r>
      <w:r w:rsidRPr="00660045">
        <w:rPr>
          <w:color w:val="000000" w:themeColor="text1"/>
          <w:lang w:val="en-CA"/>
        </w:rPr>
        <w:t xml:space="preserve"> 2015).</w:t>
      </w:r>
    </w:p>
    <w:p w14:paraId="2FA43AED" w14:textId="02D4BF10" w:rsidR="00374D42" w:rsidRDefault="00431AFD" w:rsidP="00374D42">
      <w:pPr>
        <w:spacing w:line="480" w:lineRule="auto"/>
        <w:ind w:firstLine="720"/>
        <w:jc w:val="both"/>
      </w:pPr>
      <w:r>
        <w:rPr>
          <w:lang w:val="en-CA"/>
        </w:rPr>
        <w:t xml:space="preserve">Beyond the issue of which </w:t>
      </w:r>
      <w:r w:rsidR="00871036">
        <w:rPr>
          <w:lang w:val="en-CA"/>
        </w:rPr>
        <w:t>concerns</w:t>
      </w:r>
      <w:r>
        <w:rPr>
          <w:lang w:val="en-CA"/>
        </w:rPr>
        <w:t xml:space="preserve"> to prio</w:t>
      </w:r>
      <w:r w:rsidR="001E2577">
        <w:rPr>
          <w:lang w:val="en-CA"/>
        </w:rPr>
        <w:t xml:space="preserve">ritize in such promotions, </w:t>
      </w:r>
      <w:r w:rsidR="001E2577">
        <w:t>motivational</w:t>
      </w:r>
      <w:r w:rsidR="00374D42">
        <w:t xml:space="preserve"> framing </w:t>
      </w:r>
      <w:r>
        <w:t xml:space="preserve">is clearly important.  Students </w:t>
      </w:r>
      <w:r w:rsidR="00F830E5">
        <w:t xml:space="preserve">at the University of Western Ontario (King’s University College) </w:t>
      </w:r>
      <w:r>
        <w:t xml:space="preserve">were more likely </w:t>
      </w:r>
      <w:r w:rsidR="00374D42">
        <w:t xml:space="preserve">to eat vegetarian-based diets </w:t>
      </w:r>
      <w:r>
        <w:t>or reduce meat consumption in response to</w:t>
      </w:r>
      <w:r w:rsidR="00374D42">
        <w:t xml:space="preserve"> framing </w:t>
      </w:r>
      <w:r>
        <w:t xml:space="preserve">emphasizing </w:t>
      </w:r>
      <w:r w:rsidR="00374D42">
        <w:t xml:space="preserve">the ethical implications of industrial </w:t>
      </w:r>
      <w:r w:rsidR="00C174AA">
        <w:t>livestock</w:t>
      </w:r>
      <w:r w:rsidR="00374D42">
        <w:t xml:space="preserve"> agriculture</w:t>
      </w:r>
      <w:r w:rsidR="001E2577">
        <w:t xml:space="preserve">, in comparison to </w:t>
      </w:r>
      <w:r w:rsidR="00871036">
        <w:t>an</w:t>
      </w:r>
      <w:r w:rsidR="001E2577">
        <w:t xml:space="preserve"> alternative framing of health </w:t>
      </w:r>
      <w:r w:rsidR="00F830E5">
        <w:t>(Duchene, 2014)</w:t>
      </w:r>
      <w:r w:rsidR="00374D42">
        <w:t xml:space="preserve">. </w:t>
      </w:r>
      <w:r w:rsidR="00F830E5">
        <w:t>However</w:t>
      </w:r>
      <w:r w:rsidR="00374D42">
        <w:t xml:space="preserve">, framing of </w:t>
      </w:r>
      <w:r w:rsidR="00F830E5">
        <w:t xml:space="preserve">students’ </w:t>
      </w:r>
      <w:r w:rsidR="00374D42">
        <w:t xml:space="preserve">autonomy </w:t>
      </w:r>
      <w:r w:rsidR="00F830E5">
        <w:t xml:space="preserve">in taking charge of this shift towards plant-based diets </w:t>
      </w:r>
      <w:r w:rsidR="00374D42">
        <w:t xml:space="preserve">(ie. self-determined; promotion of choice) </w:t>
      </w:r>
      <w:r w:rsidR="00F830E5">
        <w:t xml:space="preserve">was more important than </w:t>
      </w:r>
      <w:r w:rsidR="00871036">
        <w:t>context</w:t>
      </w:r>
      <w:r w:rsidR="00F830E5">
        <w:t xml:space="preserve">s that emphasized </w:t>
      </w:r>
      <w:r w:rsidR="00374D42">
        <w:t xml:space="preserve">political control (Deci &amp; Ryan, 1987). </w:t>
      </w:r>
      <w:r w:rsidR="00A61947">
        <w:t xml:space="preserve">Likewise, positive outcomes associated with autonomous forms of motivation are continually demonstrated in SDT-based research (Gagne &amp; Deci, 2005; Silvia </w:t>
      </w:r>
      <w:r w:rsidR="00A61947" w:rsidRPr="00A61947">
        <w:rPr>
          <w:i/>
        </w:rPr>
        <w:t>et al.,</w:t>
      </w:r>
      <w:r w:rsidR="00A61947">
        <w:t xml:space="preserve"> 2014). </w:t>
      </w:r>
      <w:r w:rsidR="00374D42">
        <w:t>The latter finding is crucial for policy, as regulation of behavio</w:t>
      </w:r>
      <w:r w:rsidR="004D5563">
        <w:t>u</w:t>
      </w:r>
      <w:r w:rsidR="00374D42">
        <w:t>r varies along a continuum, with policies functioning to (i) support autonomy, towards (ii) pressure to achieve specific outcomes by means of controlling individual behavio</w:t>
      </w:r>
      <w:r w:rsidR="004D5563">
        <w:t>u</w:t>
      </w:r>
      <w:r w:rsidR="00374D42">
        <w:t xml:space="preserve">r (Deci &amp; Ryan, 1987). </w:t>
      </w:r>
    </w:p>
    <w:p w14:paraId="4A7572EF" w14:textId="77777777" w:rsidR="00374D42" w:rsidRPr="00D27C1E" w:rsidRDefault="00374D42" w:rsidP="00374D42">
      <w:pPr>
        <w:spacing w:line="480" w:lineRule="auto"/>
        <w:jc w:val="both"/>
        <w:rPr>
          <w:i/>
          <w:u w:val="single"/>
          <w:lang w:val="en-CA"/>
        </w:rPr>
      </w:pPr>
    </w:p>
    <w:p w14:paraId="16C716B0" w14:textId="497E01C9" w:rsidR="00374D42" w:rsidRPr="0004375B" w:rsidRDefault="0004375B" w:rsidP="00374D42">
      <w:pPr>
        <w:spacing w:line="480" w:lineRule="auto"/>
        <w:jc w:val="both"/>
        <w:rPr>
          <w:b/>
          <w:i/>
          <w:lang w:val="en-CA"/>
        </w:rPr>
      </w:pPr>
      <w:r w:rsidRPr="0004375B">
        <w:rPr>
          <w:b/>
          <w:i/>
          <w:lang w:val="en-CA"/>
        </w:rPr>
        <w:t xml:space="preserve">i. </w:t>
      </w:r>
      <w:r w:rsidR="00374D42" w:rsidRPr="0004375B">
        <w:rPr>
          <w:b/>
          <w:i/>
          <w:lang w:val="en-CA"/>
        </w:rPr>
        <w:t>Raising Awareness</w:t>
      </w:r>
    </w:p>
    <w:p w14:paraId="6EBE2BEF" w14:textId="3D39DF26" w:rsidR="00374D42" w:rsidRDefault="00374D42" w:rsidP="00374D42">
      <w:pPr>
        <w:spacing w:line="480" w:lineRule="auto"/>
        <w:ind w:firstLine="720"/>
        <w:jc w:val="both"/>
        <w:rPr>
          <w:lang w:val="en-CA"/>
        </w:rPr>
      </w:pPr>
      <w:r>
        <w:rPr>
          <w:lang w:val="en-CA"/>
        </w:rPr>
        <w:t xml:space="preserve">The first step in promoting a shift to plant based diets, is bridging the awareness gap with respect to dietary selection, and the resulting environmental (or health, social) consequences (Wellesley </w:t>
      </w:r>
      <w:r w:rsidRPr="00D27C1E">
        <w:rPr>
          <w:i/>
          <w:lang w:val="en-CA"/>
        </w:rPr>
        <w:t>et al.,</w:t>
      </w:r>
      <w:r>
        <w:rPr>
          <w:lang w:val="en-CA"/>
        </w:rPr>
        <w:t xml:space="preserve"> 2015). Though awareness is not the solution to effect large-scale individual dietary changes, it is essential to set the stage for policy intervention. Awareness is intricately </w:t>
      </w:r>
      <w:r w:rsidR="00871036">
        <w:rPr>
          <w:lang w:val="en-CA"/>
        </w:rPr>
        <w:lastRenderedPageBreak/>
        <w:t>linked to framing</w:t>
      </w:r>
      <w:r>
        <w:rPr>
          <w:lang w:val="en-CA"/>
        </w:rPr>
        <w:t xml:space="preserve"> and together, must be well executed to bolster public support. Building upon the abovementioned considerations for framing</w:t>
      </w:r>
      <w:r w:rsidR="000378EF">
        <w:rPr>
          <w:lang w:val="en-CA"/>
        </w:rPr>
        <w:t xml:space="preserve"> both the topics and the motivations</w:t>
      </w:r>
      <w:r>
        <w:rPr>
          <w:lang w:val="en-CA"/>
        </w:rPr>
        <w:t xml:space="preserve">, raising awareness must also encompass a simple message, disseminated by trusted sources (Wellesley </w:t>
      </w:r>
      <w:r w:rsidRPr="00D27C1E">
        <w:rPr>
          <w:i/>
          <w:lang w:val="en-CA"/>
        </w:rPr>
        <w:t>et al.,</w:t>
      </w:r>
      <w:r>
        <w:rPr>
          <w:lang w:val="en-CA"/>
        </w:rPr>
        <w:t xml:space="preserve"> 2015). Information-based, or education tools are currently the most dominant policy instruments regarding behavio</w:t>
      </w:r>
      <w:r w:rsidR="004D5563">
        <w:rPr>
          <w:lang w:val="en-CA"/>
        </w:rPr>
        <w:t>u</w:t>
      </w:r>
      <w:r>
        <w:rPr>
          <w:lang w:val="en-CA"/>
        </w:rPr>
        <w:t xml:space="preserve">ral consumption patterns (Reisch </w:t>
      </w:r>
      <w:r w:rsidRPr="00104BEE">
        <w:rPr>
          <w:i/>
          <w:lang w:val="en-CA"/>
        </w:rPr>
        <w:t>et al.,</w:t>
      </w:r>
      <w:r>
        <w:rPr>
          <w:lang w:val="en-CA"/>
        </w:rPr>
        <w:t xml:space="preserve"> 2013), yet public understanding of the environmental impacts associated with climate change remains relatively low </w:t>
      </w:r>
      <w:r>
        <w:t>(Wellesley</w:t>
      </w:r>
      <w:r w:rsidRPr="003B2B48">
        <w:rPr>
          <w:i/>
        </w:rPr>
        <w:t xml:space="preserve"> et al., </w:t>
      </w:r>
      <w:r>
        <w:t>2015). Despite the intricacies and complexity associated with sustainable consumption, the main message is clear; meat consumption must be reduced (Wellesley</w:t>
      </w:r>
      <w:r w:rsidRPr="003B2B48">
        <w:rPr>
          <w:i/>
        </w:rPr>
        <w:t xml:space="preserve"> et al., </w:t>
      </w:r>
      <w:r>
        <w:t>2015).</w:t>
      </w:r>
    </w:p>
    <w:p w14:paraId="10A87367" w14:textId="1CD58F4E" w:rsidR="00374D42" w:rsidRDefault="00210E45" w:rsidP="00BA79FE">
      <w:pPr>
        <w:spacing w:line="480" w:lineRule="auto"/>
        <w:ind w:firstLine="720"/>
        <w:jc w:val="both"/>
        <w:rPr>
          <w:lang w:val="en-CA"/>
        </w:rPr>
      </w:pPr>
      <w:r>
        <w:rPr>
          <w:lang w:val="en-CA"/>
        </w:rPr>
        <w:t xml:space="preserve">This research recognizes the </w:t>
      </w:r>
      <w:r w:rsidR="001C4473">
        <w:rPr>
          <w:lang w:val="en-CA"/>
        </w:rPr>
        <w:t xml:space="preserve">historical </w:t>
      </w:r>
      <w:r>
        <w:rPr>
          <w:lang w:val="en-CA"/>
        </w:rPr>
        <w:t>agro-ecological and nutritional logic in the selection of nutrient dense foods (i</w:t>
      </w:r>
      <w:r w:rsidR="001C4473">
        <w:rPr>
          <w:lang w:val="en-CA"/>
        </w:rPr>
        <w:t>e. protein, sugars, and fats). H</w:t>
      </w:r>
      <w:r>
        <w:rPr>
          <w:lang w:val="en-CA"/>
        </w:rPr>
        <w:t>owever, given the rate of obesity</w:t>
      </w:r>
      <w:r w:rsidR="001C4473">
        <w:rPr>
          <w:lang w:val="en-CA"/>
        </w:rPr>
        <w:t xml:space="preserve"> in developed economies as a result of energy dense food (including meat)</w:t>
      </w:r>
      <w:r>
        <w:rPr>
          <w:lang w:val="en-CA"/>
        </w:rPr>
        <w:t xml:space="preserve">, this logic may need to be </w:t>
      </w:r>
      <w:r w:rsidR="001C4473">
        <w:rPr>
          <w:lang w:val="en-CA"/>
        </w:rPr>
        <w:t>re</w:t>
      </w:r>
      <w:r>
        <w:rPr>
          <w:lang w:val="en-CA"/>
        </w:rPr>
        <w:t>assessed</w:t>
      </w:r>
      <w:r w:rsidR="00871036">
        <w:rPr>
          <w:lang w:val="en-CA"/>
        </w:rPr>
        <w:t xml:space="preserve"> well into the </w:t>
      </w:r>
      <w:r w:rsidR="001C4473">
        <w:rPr>
          <w:lang w:val="en-CA"/>
        </w:rPr>
        <w:t>21</w:t>
      </w:r>
      <w:r w:rsidR="001C4473" w:rsidRPr="001C4473">
        <w:rPr>
          <w:vertAlign w:val="superscript"/>
          <w:lang w:val="en-CA"/>
        </w:rPr>
        <w:t>st</w:t>
      </w:r>
      <w:r w:rsidR="001C4473">
        <w:rPr>
          <w:lang w:val="en-CA"/>
        </w:rPr>
        <w:t xml:space="preserve"> century (Saxena, 2011; Beverland, 2014)</w:t>
      </w:r>
      <w:r>
        <w:rPr>
          <w:lang w:val="en-CA"/>
        </w:rPr>
        <w:t xml:space="preserve">. Moreover, despite increasing awareness of the environmental, health, and social consequences associated with meat consumption, eating animal products has remained socially acceptable (Dagevos &amp; Voordouw, 2013). </w:t>
      </w:r>
      <w:r w:rsidR="00374D42">
        <w:rPr>
          <w:lang w:val="en-CA"/>
        </w:rPr>
        <w:t>As eating meat has become sign of affluence and modernity in developed countries (</w:t>
      </w:r>
      <w:r w:rsidR="00374D42" w:rsidRPr="00D27C1E">
        <w:rPr>
          <w:color w:val="000000" w:themeColor="text1"/>
          <w:lang w:val="en-CA"/>
        </w:rPr>
        <w:t>Fiddes, 1994</w:t>
      </w:r>
      <w:r w:rsidR="00374D42">
        <w:rPr>
          <w:lang w:val="en-CA"/>
        </w:rPr>
        <w:t>), a shift to plant-based diets will require persuasion strategies via targeted and well-planned awareness campaigns. Conceivably, polic</w:t>
      </w:r>
      <w:r w:rsidR="000378EF">
        <w:rPr>
          <w:lang w:val="en-CA"/>
        </w:rPr>
        <w:t>i</w:t>
      </w:r>
      <w:r w:rsidR="00374D42">
        <w:rPr>
          <w:lang w:val="en-CA"/>
        </w:rPr>
        <w:t>es targeted at reducing meat consumption (ie. mea</w:t>
      </w:r>
      <w:r w:rsidR="00871036">
        <w:rPr>
          <w:lang w:val="en-CA"/>
        </w:rPr>
        <w:t>tless Mondays or tofu Tuesdays)</w:t>
      </w:r>
      <w:r w:rsidR="00374D42">
        <w:rPr>
          <w:lang w:val="en-CA"/>
        </w:rPr>
        <w:t xml:space="preserve"> would be more attract</w:t>
      </w:r>
      <w:r w:rsidR="00871036">
        <w:rPr>
          <w:lang w:val="en-CA"/>
        </w:rPr>
        <w:t>ive than vegetarian endorsement</w:t>
      </w:r>
      <w:r w:rsidR="00374D42">
        <w:rPr>
          <w:lang w:val="en-CA"/>
        </w:rPr>
        <w:t xml:space="preserve"> or out-right animal product bans, given the carnivorous food culture in developed </w:t>
      </w:r>
      <w:r w:rsidR="00C174AA">
        <w:rPr>
          <w:lang w:val="en-CA"/>
        </w:rPr>
        <w:t>economies</w:t>
      </w:r>
      <w:r w:rsidR="00374D42">
        <w:rPr>
          <w:lang w:val="en-CA"/>
        </w:rPr>
        <w:t>. This approach would also tailor to the autonomy of individuals, likely encouraging its receptiveness (</w:t>
      </w:r>
      <w:r w:rsidR="00374D42">
        <w:t>Deci &amp; Ryan, 1987</w:t>
      </w:r>
      <w:r w:rsidR="00374D42">
        <w:rPr>
          <w:lang w:val="en-CA"/>
        </w:rPr>
        <w:t xml:space="preserve">; Dagevos &amp; Voordouw, 2013; </w:t>
      </w:r>
      <w:r w:rsidR="00374D42">
        <w:t>Duchene, 2014</w:t>
      </w:r>
      <w:r w:rsidR="00697156">
        <w:rPr>
          <w:lang w:val="en-CA"/>
        </w:rPr>
        <w:t>)</w:t>
      </w:r>
      <w:r w:rsidR="00374D42">
        <w:rPr>
          <w:lang w:val="en-CA"/>
        </w:rPr>
        <w:t xml:space="preserve"> as a starting point to increase public acceptance for more stringent and effective policies later on (Dagevos &amp; </w:t>
      </w:r>
      <w:r w:rsidR="00374D42">
        <w:rPr>
          <w:lang w:val="en-CA"/>
        </w:rPr>
        <w:lastRenderedPageBreak/>
        <w:t xml:space="preserve">Voordouw, 2013; Joyce </w:t>
      </w:r>
      <w:r w:rsidR="00374D42" w:rsidRPr="00CD73FE">
        <w:rPr>
          <w:i/>
          <w:lang w:val="en-CA"/>
        </w:rPr>
        <w:t>et al.,</w:t>
      </w:r>
      <w:r w:rsidR="00374D42">
        <w:rPr>
          <w:lang w:val="en-CA"/>
        </w:rPr>
        <w:t xml:space="preserve"> 2014). In addition to, and perhaps more importantly, agencies need to stop promoting consumption of animal products (McApline </w:t>
      </w:r>
      <w:r w:rsidR="00374D42" w:rsidRPr="003C68ED">
        <w:rPr>
          <w:i/>
          <w:lang w:val="en-CA"/>
        </w:rPr>
        <w:t>et al.,</w:t>
      </w:r>
      <w:r w:rsidR="00374D42">
        <w:rPr>
          <w:lang w:val="en-CA"/>
        </w:rPr>
        <w:t xml:space="preserve"> 2009).</w:t>
      </w:r>
    </w:p>
    <w:p w14:paraId="1731326D" w14:textId="6817A5A4" w:rsidR="00BA79FE" w:rsidRPr="004900D3" w:rsidRDefault="00BA79FE" w:rsidP="00BA79FE">
      <w:pPr>
        <w:spacing w:line="480" w:lineRule="auto"/>
        <w:ind w:firstLine="720"/>
        <w:jc w:val="both"/>
        <w:rPr>
          <w:color w:val="000000" w:themeColor="text1"/>
          <w:lang w:val="en-CA"/>
        </w:rPr>
      </w:pPr>
      <w:r>
        <w:t xml:space="preserve">Given the lack of industry and government action, another potential avenue to encourage plant-based consumption is through non-governmental organizations (NGOs). NGOs are well-positioned to invoke behavioural change, with experience in direct action, lobbying, and public education (Cox, 2013; Laestadius </w:t>
      </w:r>
      <w:r w:rsidRPr="00F0103A">
        <w:rPr>
          <w:i/>
        </w:rPr>
        <w:t>et al</w:t>
      </w:r>
      <w:r>
        <w:t xml:space="preserve">., 2013b). </w:t>
      </w:r>
      <w:r w:rsidRPr="00DD4FBF">
        <w:rPr>
          <w:color w:val="000000" w:themeColor="text1"/>
          <w:lang w:val="en-CA"/>
        </w:rPr>
        <w:t xml:space="preserve">The role of </w:t>
      </w:r>
      <w:r>
        <w:rPr>
          <w:color w:val="000000" w:themeColor="text1"/>
          <w:lang w:val="en-CA"/>
        </w:rPr>
        <w:t>NGOs</w:t>
      </w:r>
      <w:r w:rsidRPr="00DD4FBF">
        <w:rPr>
          <w:color w:val="000000" w:themeColor="text1"/>
          <w:lang w:val="en-CA"/>
        </w:rPr>
        <w:t xml:space="preserve"> is central in </w:t>
      </w:r>
      <w:r>
        <w:rPr>
          <w:color w:val="000000" w:themeColor="text1"/>
          <w:lang w:val="en-CA"/>
        </w:rPr>
        <w:t xml:space="preserve">meat-reduction </w:t>
      </w:r>
      <w:r w:rsidRPr="00DD4FBF">
        <w:rPr>
          <w:color w:val="000000" w:themeColor="text1"/>
          <w:lang w:val="en-CA"/>
        </w:rPr>
        <w:t>information campaigns</w:t>
      </w:r>
      <w:r>
        <w:rPr>
          <w:color w:val="000000" w:themeColor="text1"/>
          <w:lang w:val="en-CA"/>
        </w:rPr>
        <w:t xml:space="preserve"> (Dagevos &amp; Voordouw, 2013; </w:t>
      </w:r>
      <w:r w:rsidRPr="00AC1FAB">
        <w:rPr>
          <w:color w:val="000000" w:themeColor="text1"/>
          <w:lang w:val="en-CA"/>
        </w:rPr>
        <w:t xml:space="preserve">Laestadius </w:t>
      </w:r>
      <w:r w:rsidRPr="00AC1FAB">
        <w:rPr>
          <w:i/>
          <w:color w:val="000000" w:themeColor="text1"/>
          <w:lang w:val="en-CA"/>
        </w:rPr>
        <w:t>et al.,</w:t>
      </w:r>
      <w:r w:rsidRPr="00AC1FAB">
        <w:rPr>
          <w:color w:val="000000" w:themeColor="text1"/>
          <w:lang w:val="en-CA"/>
        </w:rPr>
        <w:t xml:space="preserve"> 2013</w:t>
      </w:r>
      <w:r>
        <w:rPr>
          <w:color w:val="000000" w:themeColor="text1"/>
          <w:lang w:val="en-CA"/>
        </w:rPr>
        <w:t>)</w:t>
      </w:r>
      <w:r w:rsidRPr="00DD4FBF">
        <w:rPr>
          <w:color w:val="000000" w:themeColor="text1"/>
          <w:lang w:val="en-CA"/>
        </w:rPr>
        <w:t xml:space="preserve">, </w:t>
      </w:r>
      <w:r>
        <w:rPr>
          <w:color w:val="000000" w:themeColor="text1"/>
          <w:lang w:val="en-CA"/>
        </w:rPr>
        <w:t>such as</w:t>
      </w:r>
      <w:r w:rsidRPr="00DD4FBF">
        <w:rPr>
          <w:color w:val="000000" w:themeColor="text1"/>
          <w:lang w:val="en-CA"/>
        </w:rPr>
        <w:t xml:space="preserve"> the support of meat-free days (de Bakker &amp; Dagevos, 2012). </w:t>
      </w:r>
      <w:r>
        <w:rPr>
          <w:color w:val="000000" w:themeColor="text1"/>
          <w:lang w:val="en-CA"/>
        </w:rPr>
        <w:t xml:space="preserve">Yet, few NGOs have adopted formal campaigns to promote national policies regarding </w:t>
      </w:r>
      <w:r w:rsidR="00C174AA">
        <w:rPr>
          <w:color w:val="000000" w:themeColor="text1"/>
          <w:lang w:val="en-CA"/>
        </w:rPr>
        <w:t>the consumption of animal products</w:t>
      </w:r>
      <w:r>
        <w:rPr>
          <w:color w:val="000000" w:themeColor="text1"/>
          <w:lang w:val="en-CA"/>
        </w:rPr>
        <w:t xml:space="preserve"> (</w:t>
      </w:r>
      <w:r w:rsidRPr="00AC1FAB">
        <w:rPr>
          <w:color w:val="000000" w:themeColor="text1"/>
          <w:lang w:val="en-CA"/>
        </w:rPr>
        <w:t xml:space="preserve">Laestadius </w:t>
      </w:r>
      <w:r w:rsidRPr="00AC1FAB">
        <w:rPr>
          <w:i/>
          <w:color w:val="000000" w:themeColor="text1"/>
          <w:lang w:val="en-CA"/>
        </w:rPr>
        <w:t>et al.,</w:t>
      </w:r>
      <w:r w:rsidRPr="00AC1FAB">
        <w:rPr>
          <w:color w:val="000000" w:themeColor="text1"/>
          <w:lang w:val="en-CA"/>
        </w:rPr>
        <w:t xml:space="preserve"> 2013</w:t>
      </w:r>
      <w:r>
        <w:rPr>
          <w:color w:val="000000" w:themeColor="text1"/>
          <w:lang w:val="en-CA"/>
        </w:rPr>
        <w:t xml:space="preserve">; </w:t>
      </w:r>
      <w:r w:rsidRPr="00AC1FAB">
        <w:rPr>
          <w:color w:val="000000" w:themeColor="text1"/>
          <w:lang w:val="en-CA"/>
        </w:rPr>
        <w:t xml:space="preserve">Laestadius </w:t>
      </w:r>
      <w:r w:rsidRPr="00AC1FAB">
        <w:rPr>
          <w:i/>
          <w:color w:val="000000" w:themeColor="text1"/>
          <w:lang w:val="en-CA"/>
        </w:rPr>
        <w:t>et al.,</w:t>
      </w:r>
      <w:r>
        <w:rPr>
          <w:color w:val="000000" w:themeColor="text1"/>
          <w:lang w:val="en-CA"/>
        </w:rPr>
        <w:t xml:space="preserve"> 2014). </w:t>
      </w:r>
      <w:r w:rsidRPr="00AC1FAB">
        <w:rPr>
          <w:color w:val="000000" w:themeColor="text1"/>
          <w:lang w:val="en-CA"/>
        </w:rPr>
        <w:t>As awareness increases through NGO-led campaigns</w:t>
      </w:r>
      <w:r>
        <w:rPr>
          <w:color w:val="000000" w:themeColor="text1"/>
          <w:lang w:val="en-CA"/>
        </w:rPr>
        <w:t xml:space="preserve"> and messages build support for public policy</w:t>
      </w:r>
      <w:r w:rsidRPr="00AC1FAB">
        <w:rPr>
          <w:color w:val="000000" w:themeColor="text1"/>
          <w:lang w:val="en-CA"/>
        </w:rPr>
        <w:t xml:space="preserve">, </w:t>
      </w:r>
      <w:r>
        <w:rPr>
          <w:color w:val="000000" w:themeColor="text1"/>
          <w:lang w:val="en-CA"/>
        </w:rPr>
        <w:t xml:space="preserve">a </w:t>
      </w:r>
      <w:r w:rsidRPr="00AC1FAB">
        <w:rPr>
          <w:color w:val="000000" w:themeColor="text1"/>
          <w:lang w:val="en-CA"/>
        </w:rPr>
        <w:t>pathway</w:t>
      </w:r>
      <w:r>
        <w:rPr>
          <w:color w:val="000000" w:themeColor="text1"/>
          <w:lang w:val="en-CA"/>
        </w:rPr>
        <w:t xml:space="preserve"> opens</w:t>
      </w:r>
      <w:r w:rsidRPr="00AC1FAB">
        <w:rPr>
          <w:color w:val="000000" w:themeColor="text1"/>
          <w:lang w:val="en-CA"/>
        </w:rPr>
        <w:t xml:space="preserve"> for public policies to influence motivational change towards sustainable </w:t>
      </w:r>
      <w:r w:rsidR="00C174AA">
        <w:rPr>
          <w:color w:val="000000" w:themeColor="text1"/>
          <w:lang w:val="en-CA"/>
        </w:rPr>
        <w:t>dietary practices</w:t>
      </w:r>
      <w:r w:rsidRPr="00AC1FAB">
        <w:rPr>
          <w:color w:val="000000" w:themeColor="text1"/>
          <w:lang w:val="en-CA"/>
        </w:rPr>
        <w:t xml:space="preserve"> (Dagevos &amp; Voordouw, 2013).</w:t>
      </w:r>
    </w:p>
    <w:p w14:paraId="74D244E7" w14:textId="51F1515D" w:rsidR="002D089B" w:rsidRDefault="00374D42" w:rsidP="00374D42">
      <w:pPr>
        <w:spacing w:line="480" w:lineRule="auto"/>
        <w:ind w:firstLine="720"/>
        <w:jc w:val="both"/>
        <w:rPr>
          <w:lang w:val="en-CA"/>
        </w:rPr>
      </w:pPr>
      <w:r>
        <w:rPr>
          <w:lang w:val="en-CA"/>
        </w:rPr>
        <w:t xml:space="preserve">Individuals that exhibit higher sensitivity to environmental issues will likely be most influenced by environmental awareness campaigns (Bravo </w:t>
      </w:r>
      <w:r w:rsidRPr="005908BD">
        <w:rPr>
          <w:i/>
          <w:lang w:val="en-CA"/>
        </w:rPr>
        <w:t>et al.,</w:t>
      </w:r>
      <w:r>
        <w:rPr>
          <w:lang w:val="en-CA"/>
        </w:rPr>
        <w:t xml:space="preserve"> 2013). However, these individuals are likely already displaying pro-environmen</w:t>
      </w:r>
      <w:r w:rsidR="00C174AA">
        <w:rPr>
          <w:lang w:val="en-CA"/>
        </w:rPr>
        <w:t xml:space="preserve">tal consumption to some degree </w:t>
      </w:r>
      <w:r>
        <w:rPr>
          <w:lang w:val="en-CA"/>
        </w:rPr>
        <w:t xml:space="preserve">and thus, the potential effect of dietary change is likely smaller than individuals with low environmental preference (Bravo </w:t>
      </w:r>
      <w:r w:rsidRPr="00FA10D5">
        <w:rPr>
          <w:i/>
          <w:lang w:val="en-CA"/>
        </w:rPr>
        <w:t>et al.,</w:t>
      </w:r>
      <w:r>
        <w:rPr>
          <w:lang w:val="en-CA"/>
        </w:rPr>
        <w:t xml:space="preserve"> 2013). Bravo </w:t>
      </w:r>
      <w:r w:rsidRPr="00FA10D5">
        <w:rPr>
          <w:i/>
          <w:lang w:val="en-CA"/>
        </w:rPr>
        <w:t>et al.,</w:t>
      </w:r>
      <w:r>
        <w:rPr>
          <w:lang w:val="en-CA"/>
        </w:rPr>
        <w:t xml:space="preserve"> (2013) found that policies targeted specifically at individuals with low environmental concern led to substantial behavioural changes in dietary consumption. </w:t>
      </w:r>
    </w:p>
    <w:p w14:paraId="4D5B9410" w14:textId="54A3DAA0" w:rsidR="00835F25" w:rsidRDefault="00374D42" w:rsidP="00374D42">
      <w:pPr>
        <w:spacing w:line="480" w:lineRule="auto"/>
        <w:ind w:firstLine="720"/>
        <w:jc w:val="both"/>
      </w:pPr>
      <w:r>
        <w:rPr>
          <w:lang w:val="en-CA"/>
        </w:rPr>
        <w:t xml:space="preserve">Other informative approaches could include </w:t>
      </w:r>
      <w:r w:rsidR="002D089B">
        <w:rPr>
          <w:lang w:val="en-CA"/>
        </w:rPr>
        <w:t xml:space="preserve">changes to national dietary guidelines (Messina </w:t>
      </w:r>
      <w:r w:rsidR="002D089B" w:rsidRPr="002D089B">
        <w:rPr>
          <w:i/>
          <w:lang w:val="en-CA"/>
        </w:rPr>
        <w:t>et al.,</w:t>
      </w:r>
      <w:r w:rsidR="002D089B">
        <w:rPr>
          <w:lang w:val="en-CA"/>
        </w:rPr>
        <w:t xml:space="preserve"> 2003)</w:t>
      </w:r>
      <w:r w:rsidR="00E22B78">
        <w:rPr>
          <w:lang w:val="en-CA"/>
        </w:rPr>
        <w:t xml:space="preserve"> to expand the concept of protein and calcium beyond that of animal products</w:t>
      </w:r>
      <w:r w:rsidR="002D089B">
        <w:rPr>
          <w:lang w:val="en-CA"/>
        </w:rPr>
        <w:t xml:space="preserve">. </w:t>
      </w:r>
      <w:r w:rsidR="002D089B">
        <w:t xml:space="preserve">Experts agree that dietary guidelines should be based on both nutritional and ecological </w:t>
      </w:r>
      <w:r w:rsidR="002D089B">
        <w:lastRenderedPageBreak/>
        <w:t xml:space="preserve">science (Simopoulos </w:t>
      </w:r>
      <w:r w:rsidR="002D089B" w:rsidRPr="00AE79D3">
        <w:rPr>
          <w:i/>
        </w:rPr>
        <w:t>et al.,</w:t>
      </w:r>
      <w:r w:rsidR="002D089B">
        <w:t xml:space="preserve"> 2011; van Dooren </w:t>
      </w:r>
      <w:r w:rsidR="002D089B" w:rsidRPr="00AE79D3">
        <w:rPr>
          <w:i/>
        </w:rPr>
        <w:t>et al</w:t>
      </w:r>
      <w:r w:rsidR="002D089B">
        <w:t xml:space="preserve">., 2014). Likewise, </w:t>
      </w:r>
      <w:r w:rsidR="005E35C7">
        <w:t xml:space="preserve">after years of analyzing the health and ecological impacts of the average Dutch diet, </w:t>
      </w:r>
      <w:r w:rsidR="002D089B">
        <w:t xml:space="preserve">the Netherlands recently changed their national </w:t>
      </w:r>
      <w:r w:rsidR="005E35C7">
        <w:t>dietary guidelines</w:t>
      </w:r>
      <w:r w:rsidR="002D089B">
        <w:t xml:space="preserve">, issuing a recommendation that individuals consume </w:t>
      </w:r>
      <w:r w:rsidR="002D089B">
        <w:rPr>
          <w:i/>
        </w:rPr>
        <w:t>no more</w:t>
      </w:r>
      <w:r w:rsidR="002D089B">
        <w:t xml:space="preserve"> than two servings of meat per week (</w:t>
      </w:r>
      <w:r w:rsidR="00E22B78">
        <w:t>Voedingscentrum, 2016</w:t>
      </w:r>
      <w:r w:rsidR="002D089B">
        <w:t xml:space="preserve">). </w:t>
      </w:r>
      <w:r w:rsidR="005E35C7">
        <w:t xml:space="preserve">The UK also released </w:t>
      </w:r>
      <w:r w:rsidR="00C174AA">
        <w:t>a new nutritional guideline</w:t>
      </w:r>
      <w:r w:rsidR="005E35C7">
        <w:t xml:space="preserve"> suggesting replacement of animal protein with plant-based alternatives, namely pulses (Eatwell Guide, 2016). </w:t>
      </w:r>
      <w:r w:rsidR="002D089B">
        <w:t xml:space="preserve">Alternatively, the Canadian Food Guide recommends </w:t>
      </w:r>
      <w:r w:rsidR="002D089B">
        <w:rPr>
          <w:i/>
        </w:rPr>
        <w:t>at least</w:t>
      </w:r>
      <w:r w:rsidR="002D089B">
        <w:t xml:space="preserve"> two servings of fish each week, suggesting a lack of concern for vegetarian consumers. In addition, </w:t>
      </w:r>
      <w:r w:rsidR="002D089B" w:rsidRPr="0005026F">
        <w:t>meat</w:t>
      </w:r>
      <w:r w:rsidR="002D089B">
        <w:t xml:space="preserve"> and dairy encompass two of the four food categories; representative of how animal products are engrained in Canadian culture (Canada’s Food Guide, 2012)</w:t>
      </w:r>
      <w:r w:rsidR="00FB146D">
        <w:t>. The Dairy industry in North America</w:t>
      </w:r>
      <w:r w:rsidR="00835F25">
        <w:t xml:space="preserve"> insists milk is needed for adequate nutrition of calcium and protein (Globe and Mail, 2015), and have gone lengths to promote dairy consumption. However, there are other sources of food to obtain these vital nutrients</w:t>
      </w:r>
      <w:r w:rsidR="002D089B">
        <w:t xml:space="preserve">. </w:t>
      </w:r>
      <w:r w:rsidR="00835F25">
        <w:t xml:space="preserve">Moreover, 25% </w:t>
      </w:r>
      <w:r w:rsidR="00697156">
        <w:t>individuals on</w:t>
      </w:r>
      <w:r w:rsidR="00835F25">
        <w:t xml:space="preserve"> the Fo</w:t>
      </w:r>
      <w:r w:rsidR="00697156">
        <w:t>od Guide Advisory Committee were</w:t>
      </w:r>
      <w:r w:rsidR="00835F25">
        <w:t xml:space="preserve"> employed by corporations that would affect, and bias the </w:t>
      </w:r>
      <w:r w:rsidR="00697156">
        <w:t>Canadian food recommendations</w:t>
      </w:r>
      <w:r w:rsidR="00835F25">
        <w:t xml:space="preserve"> including the nutrition education manager for the BC Dairy Foundation (Globe and Mail, 2015)</w:t>
      </w:r>
    </w:p>
    <w:p w14:paraId="5F634A73" w14:textId="02C73789" w:rsidR="00374D42" w:rsidRDefault="002D089B" w:rsidP="00374D42">
      <w:pPr>
        <w:spacing w:line="480" w:lineRule="auto"/>
        <w:ind w:firstLine="720"/>
        <w:jc w:val="both"/>
        <w:rPr>
          <w:lang w:val="en-CA"/>
        </w:rPr>
      </w:pPr>
      <w:r>
        <w:t>According to Health Canada, the Canadian Food Guide is currently under review, namely to combat issues associated with rising obesity rates (</w:t>
      </w:r>
      <w:r w:rsidR="00054FF9">
        <w:t>CBC, 2016</w:t>
      </w:r>
      <w:r>
        <w:t>). It is unknown as to whether environmentally-sustainable consumption will be incorporated into the new recommendations</w:t>
      </w:r>
      <w:r w:rsidR="00835F25">
        <w:t>, however ‘Canadians deserve an evidence-based guide’ (Globe and Mail, 2015)</w:t>
      </w:r>
      <w:r>
        <w:t xml:space="preserve">. </w:t>
      </w:r>
      <w:r w:rsidR="005E35C7">
        <w:t>Ideally, alterations to the current national dietary guidelines, or rather a suppl</w:t>
      </w:r>
      <w:r w:rsidR="00697156">
        <w:t>ementary guide for vegetarians sh</w:t>
      </w:r>
      <w:r w:rsidR="005E35C7">
        <w:t xml:space="preserve">ould be implemented and taught at </w:t>
      </w:r>
      <w:r w:rsidR="00374D42">
        <w:rPr>
          <w:lang w:val="en-CA"/>
        </w:rPr>
        <w:t xml:space="preserve">an early age, with protein options geared at products such as quinoa, instead of steak. </w:t>
      </w:r>
    </w:p>
    <w:p w14:paraId="55907104" w14:textId="77777777" w:rsidR="00374D42" w:rsidRDefault="00374D42" w:rsidP="00374D42">
      <w:pPr>
        <w:spacing w:line="480" w:lineRule="auto"/>
        <w:jc w:val="both"/>
        <w:rPr>
          <w:i/>
          <w:lang w:val="en-CA"/>
        </w:rPr>
      </w:pPr>
    </w:p>
    <w:p w14:paraId="214C9247" w14:textId="02174B26" w:rsidR="00374D42" w:rsidRPr="0004375B" w:rsidRDefault="0004375B" w:rsidP="00374D42">
      <w:pPr>
        <w:spacing w:line="480" w:lineRule="auto"/>
        <w:jc w:val="both"/>
        <w:rPr>
          <w:b/>
          <w:i/>
          <w:lang w:val="en-CA"/>
        </w:rPr>
      </w:pPr>
      <w:r w:rsidRPr="0004375B">
        <w:rPr>
          <w:b/>
          <w:i/>
          <w:lang w:val="en-CA"/>
        </w:rPr>
        <w:lastRenderedPageBreak/>
        <w:t>ii.</w:t>
      </w:r>
      <w:r w:rsidR="00374D42" w:rsidRPr="0004375B">
        <w:rPr>
          <w:b/>
          <w:i/>
          <w:lang w:val="en-CA"/>
        </w:rPr>
        <w:t xml:space="preserve"> ‘Nudge’ Motivation</w:t>
      </w:r>
    </w:p>
    <w:p w14:paraId="11946FE2" w14:textId="21EE6439" w:rsidR="00374D42" w:rsidRPr="00FC53FA" w:rsidRDefault="00374D42" w:rsidP="00374D42">
      <w:pPr>
        <w:spacing w:line="480" w:lineRule="auto"/>
        <w:ind w:firstLine="720"/>
        <w:jc w:val="both"/>
      </w:pPr>
      <w:r>
        <w:t>Given the stronger influence of autonomy on dietary behavio</w:t>
      </w:r>
      <w:r w:rsidR="004D5563">
        <w:t>u</w:t>
      </w:r>
      <w:r>
        <w:t xml:space="preserve">ral changes, a nudge framework may be the most influential mechanism to promote a shift to plant-based diets in Canada, and other developed nations (Campbell-Arvai </w:t>
      </w:r>
      <w:r w:rsidRPr="00D24730">
        <w:rPr>
          <w:i/>
        </w:rPr>
        <w:t>et al.,</w:t>
      </w:r>
      <w:r>
        <w:t xml:space="preserve"> 2014; Wellesley </w:t>
      </w:r>
      <w:r w:rsidRPr="00DF1744">
        <w:rPr>
          <w:i/>
        </w:rPr>
        <w:t>et al.,</w:t>
      </w:r>
      <w:r>
        <w:t xml:space="preserve"> 2015). Promotional campaigns can only incentivize people who are unaware of the environmental impacts associated with animal agriculture, and want to make the necessary lifestyle changes to mitigate environmental degradation. However, extensive literature suggests that information, and public awareness is limited in its effectiveness to facilitate behavio</w:t>
      </w:r>
      <w:r w:rsidR="004D5563">
        <w:t>u</w:t>
      </w:r>
      <w:r>
        <w:t>ral change (</w:t>
      </w:r>
      <w:r w:rsidRPr="00D24730">
        <w:rPr>
          <w:color w:val="000000" w:themeColor="text1"/>
        </w:rPr>
        <w:t>Stern, 1999</w:t>
      </w:r>
      <w:r>
        <w:rPr>
          <w:color w:val="000000" w:themeColor="text1"/>
        </w:rPr>
        <w:t xml:space="preserve">; </w:t>
      </w:r>
      <w:r>
        <w:t xml:space="preserve">Campbell-Arvai </w:t>
      </w:r>
      <w:r w:rsidRPr="004B301A">
        <w:rPr>
          <w:i/>
        </w:rPr>
        <w:t>et al.,</w:t>
      </w:r>
      <w:r>
        <w:t xml:space="preserve"> 2014). Thus, a relatively new approach to motivating pro-environmental behavio</w:t>
      </w:r>
      <w:r w:rsidR="004D5563">
        <w:t>u</w:t>
      </w:r>
      <w:r>
        <w:t>rs has recently been investigated</w:t>
      </w:r>
      <w:r w:rsidR="00C05C83">
        <w:t>:</w:t>
      </w:r>
      <w:r>
        <w:t xml:space="preserve"> nudges. The underlying principles of a nudge, stems from the observation that </w:t>
      </w:r>
      <w:r w:rsidR="00E568CF">
        <w:t>in complex information settings</w:t>
      </w:r>
      <w:r w:rsidR="00697156">
        <w:t xml:space="preserve"> (such as dietary selection)</w:t>
      </w:r>
      <w:r w:rsidR="00E568CF">
        <w:t xml:space="preserve"> </w:t>
      </w:r>
      <w:r>
        <w:t xml:space="preserve">individuals rarely make decisions based on their </w:t>
      </w:r>
      <w:r w:rsidR="00E568CF">
        <w:t xml:space="preserve">long-term </w:t>
      </w:r>
      <w:r>
        <w:t xml:space="preserve">best interest, but rather are influenced by </w:t>
      </w:r>
      <w:r w:rsidR="00E568CF">
        <w:t xml:space="preserve">shorter-term </w:t>
      </w:r>
      <w:r>
        <w:t xml:space="preserve">judgmental heuristics that can be exploited by means of choice architecture to yield desirable outcomes (Campbell-Arvai </w:t>
      </w:r>
      <w:r w:rsidRPr="004B301A">
        <w:rPr>
          <w:i/>
        </w:rPr>
        <w:t>et al.,</w:t>
      </w:r>
      <w:r>
        <w:t xml:space="preserve"> 2014). Nudges delicately push consumers to make choices </w:t>
      </w:r>
      <w:r w:rsidR="00E568CF">
        <w:t xml:space="preserve">that are both individually and socially </w:t>
      </w:r>
      <w:r w:rsidR="00697156">
        <w:t>desirable</w:t>
      </w:r>
      <w:r w:rsidR="00E568CF">
        <w:t xml:space="preserve"> </w:t>
      </w:r>
      <w:r>
        <w:t>(</w:t>
      </w:r>
      <w:r>
        <w:rPr>
          <w:lang w:val="en-CA"/>
        </w:rPr>
        <w:t>Thaler &amp; Sustein, 2003</w:t>
      </w:r>
      <w:r>
        <w:t>).</w:t>
      </w:r>
    </w:p>
    <w:p w14:paraId="70C0147C" w14:textId="7F76B495" w:rsidR="00E22B78" w:rsidRDefault="00E22B78" w:rsidP="00812A2D">
      <w:pPr>
        <w:spacing w:line="480" w:lineRule="auto"/>
        <w:ind w:firstLine="720"/>
        <w:jc w:val="both"/>
      </w:pPr>
      <w:r>
        <w:t xml:space="preserve">The literature </w:t>
      </w:r>
      <w:r w:rsidR="00E568CF">
        <w:t>offers</w:t>
      </w:r>
      <w:r>
        <w:t xml:space="preserve"> a general consensus that there is a positive corr</w:t>
      </w:r>
      <w:r w:rsidR="00697156">
        <w:t>elation between food advertisement</w:t>
      </w:r>
      <w:r>
        <w:t xml:space="preserve"> and dietary selection (Bargh &amp; Morsella, 2008), both in adults (Vukmirovic, 2015) and children (Kim </w:t>
      </w:r>
      <w:r w:rsidRPr="00660FD1">
        <w:rPr>
          <w:i/>
        </w:rPr>
        <w:t>et al.,</w:t>
      </w:r>
      <w:r>
        <w:t xml:space="preserve"> 2016b). Customers are nudged to purchase c</w:t>
      </w:r>
      <w:r w:rsidR="00697156">
        <w:t>ertain foods in a grocery store</w:t>
      </w:r>
      <w:r>
        <w:t xml:space="preserve"> via </w:t>
      </w:r>
      <w:r w:rsidR="00463DAA">
        <w:t xml:space="preserve">brand advertisement, </w:t>
      </w:r>
      <w:r>
        <w:t>food availability, manipulation of placement, sales, and promotion (ie. in-store demonstrations</w:t>
      </w:r>
      <w:r w:rsidR="00812A2D">
        <w:t xml:space="preserve"> and coupon discounts</w:t>
      </w:r>
      <w:r>
        <w:t>). These forms of point-of-purchase information are useful marketing tools to influence purchasing behavio</w:t>
      </w:r>
      <w:r w:rsidR="004D5563">
        <w:t>u</w:t>
      </w:r>
      <w:r>
        <w:t>r of individuals (</w:t>
      </w:r>
      <w:r w:rsidR="00812A2D">
        <w:rPr>
          <w:lang w:val="en-CA"/>
        </w:rPr>
        <w:t xml:space="preserve">Glanz &amp; Yaroch, 2004; </w:t>
      </w:r>
      <w:r>
        <w:t xml:space="preserve">Vukmirovic, 2015; Jahns </w:t>
      </w:r>
      <w:r w:rsidRPr="00660FD1">
        <w:rPr>
          <w:i/>
        </w:rPr>
        <w:t>et al.,</w:t>
      </w:r>
      <w:r>
        <w:t xml:space="preserve"> 2016). </w:t>
      </w:r>
      <w:r w:rsidR="00697156">
        <w:t>However, they currently act as</w:t>
      </w:r>
      <w:r>
        <w:t xml:space="preserve"> barrier</w:t>
      </w:r>
      <w:r w:rsidR="00697156">
        <w:t>s</w:t>
      </w:r>
      <w:r>
        <w:t xml:space="preserve"> to adopting plant-based diets, as they favo</w:t>
      </w:r>
      <w:r w:rsidR="00F4700A">
        <w:t>u</w:t>
      </w:r>
      <w:r>
        <w:t xml:space="preserve">r animal protein over plant-based alternatives (Jahns </w:t>
      </w:r>
      <w:r w:rsidRPr="00660FD1">
        <w:rPr>
          <w:i/>
        </w:rPr>
        <w:lastRenderedPageBreak/>
        <w:t>et al</w:t>
      </w:r>
      <w:r>
        <w:t xml:space="preserve">., 2016). This </w:t>
      </w:r>
      <w:r w:rsidR="00463DAA">
        <w:t>imbalance in</w:t>
      </w:r>
      <w:r>
        <w:t xml:space="preserve"> marketing, has limited the concept of protein to animal derivatives (Grace </w:t>
      </w:r>
      <w:r w:rsidRPr="00A22A56">
        <w:rPr>
          <w:i/>
        </w:rPr>
        <w:t>et al</w:t>
      </w:r>
      <w:r>
        <w:t xml:space="preserve">., 2015). </w:t>
      </w:r>
      <w:r w:rsidR="00812A2D">
        <w:rPr>
          <w:lang w:val="en-CA"/>
        </w:rPr>
        <w:t>As</w:t>
      </w:r>
      <w:r>
        <w:rPr>
          <w:lang w:val="en-CA"/>
        </w:rPr>
        <w:t xml:space="preserve"> the demand for labelling products is growing (Abrams </w:t>
      </w:r>
      <w:r w:rsidRPr="00920C7D">
        <w:rPr>
          <w:i/>
          <w:lang w:val="en-CA"/>
        </w:rPr>
        <w:t>et al.,</w:t>
      </w:r>
      <w:r>
        <w:rPr>
          <w:lang w:val="en-CA"/>
        </w:rPr>
        <w:t xml:space="preserve"> 2010; Lusk, 2011), point-of-purchase information could help incentivize sustainable consumption patterns (Glanz &amp; Yaroch, 2004). </w:t>
      </w:r>
    </w:p>
    <w:p w14:paraId="0694EC86" w14:textId="6DFA8598" w:rsidR="00374D42" w:rsidRDefault="00374D42" w:rsidP="00374D42">
      <w:pPr>
        <w:spacing w:line="480" w:lineRule="auto"/>
        <w:ind w:firstLine="720"/>
        <w:jc w:val="both"/>
        <w:rPr>
          <w:lang w:val="en-CA"/>
        </w:rPr>
      </w:pPr>
      <w:r>
        <w:rPr>
          <w:lang w:val="en-CA"/>
        </w:rPr>
        <w:t xml:space="preserve">Asymmetric interventions (nudges) can be effective tools to motivate individual behaviour (Thaler &amp; Sustein, 2003; Campbell-Arvai </w:t>
      </w:r>
      <w:r w:rsidRPr="00EA2291">
        <w:rPr>
          <w:i/>
          <w:lang w:val="en-CA"/>
        </w:rPr>
        <w:t>et al.,</w:t>
      </w:r>
      <w:r>
        <w:rPr>
          <w:lang w:val="en-CA"/>
        </w:rPr>
        <w:t xml:space="preserve"> 2014). For example, simply changing the default menu to present appealing meat-free options in a campus dining hall increased the probability that individuals would choose vegetarian meal options. The provision of information on the menu remained unchanged, however, the default-based intervention of</w:t>
      </w:r>
      <w:r w:rsidR="005F784E">
        <w:rPr>
          <w:lang w:val="en-CA"/>
        </w:rPr>
        <w:t xml:space="preserve"> making the menu more appealing</w:t>
      </w:r>
      <w:r>
        <w:rPr>
          <w:lang w:val="en-CA"/>
        </w:rPr>
        <w:t xml:space="preserve"> was an important tool in motivating pro-environmental behavio</w:t>
      </w:r>
      <w:r w:rsidR="004D5563">
        <w:rPr>
          <w:lang w:val="en-CA"/>
        </w:rPr>
        <w:t>u</w:t>
      </w:r>
      <w:r>
        <w:rPr>
          <w:lang w:val="en-CA"/>
        </w:rPr>
        <w:t xml:space="preserve">r (Campbell-Arvai </w:t>
      </w:r>
      <w:r w:rsidRPr="00D24730">
        <w:rPr>
          <w:i/>
          <w:lang w:val="en-CA"/>
        </w:rPr>
        <w:t>et al.,</w:t>
      </w:r>
      <w:r>
        <w:rPr>
          <w:lang w:val="en-CA"/>
        </w:rPr>
        <w:t xml:space="preserve"> 2014). </w:t>
      </w:r>
      <w:r w:rsidR="00812A2D">
        <w:rPr>
          <w:lang w:val="en-CA"/>
        </w:rPr>
        <w:t xml:space="preserve">Likewise, choice architecture interventions can influence consumption, such as strategic placement of fruits and vegetables in a cafeteria (Kongsbak </w:t>
      </w:r>
      <w:r w:rsidR="00812A2D" w:rsidRPr="00812A2D">
        <w:rPr>
          <w:i/>
          <w:lang w:val="en-CA"/>
        </w:rPr>
        <w:t>et al.,</w:t>
      </w:r>
      <w:r w:rsidR="00812A2D">
        <w:rPr>
          <w:lang w:val="en-CA"/>
        </w:rPr>
        <w:t xml:space="preserve"> 2016). </w:t>
      </w:r>
      <w:r>
        <w:rPr>
          <w:lang w:val="en-CA"/>
        </w:rPr>
        <w:t>Another example of a ‘sustainability by stealth’ nudge framework could include hybrid products, with plant semi-manufactures incorporated into sausages or hamburgers, ultimately reducing the quantity of meat required. Advertised as lean, or containing less fat, these products seem more appealing from a health perspective, but are not advertised as vegetarian options, thus, appealing to a larger population (de Bakker &amp; Dagevos, 2012). A final example of a nudge framework</w:t>
      </w:r>
      <w:r w:rsidR="00C05C83">
        <w:rPr>
          <w:lang w:val="en-CA"/>
        </w:rPr>
        <w:t xml:space="preserve"> is the </w:t>
      </w:r>
      <w:r w:rsidR="00EB1F7D">
        <w:rPr>
          <w:lang w:val="en-CA"/>
        </w:rPr>
        <w:t>redesign of</w:t>
      </w:r>
      <w:r>
        <w:rPr>
          <w:lang w:val="en-CA"/>
        </w:rPr>
        <w:t xml:space="preserve"> grocery stores to promote sales of plant-based products by having fruits and vegetables in the most accessible areas, with design i</w:t>
      </w:r>
      <w:r w:rsidR="009E2087">
        <w:rPr>
          <w:lang w:val="en-CA"/>
        </w:rPr>
        <w:t xml:space="preserve">nspired by </w:t>
      </w:r>
      <w:r w:rsidR="00051857">
        <w:rPr>
          <w:lang w:val="en-CA"/>
        </w:rPr>
        <w:t>colorful</w:t>
      </w:r>
      <w:r w:rsidR="00B141DE">
        <w:rPr>
          <w:lang w:val="en-CA"/>
        </w:rPr>
        <w:t>,</w:t>
      </w:r>
      <w:r w:rsidR="00051857">
        <w:rPr>
          <w:lang w:val="en-CA"/>
        </w:rPr>
        <w:t xml:space="preserve"> </w:t>
      </w:r>
      <w:r w:rsidR="009E2087">
        <w:rPr>
          <w:lang w:val="en-CA"/>
        </w:rPr>
        <w:t>creative décor and signage</w:t>
      </w:r>
      <w:r w:rsidR="00051857">
        <w:rPr>
          <w:lang w:val="en-CA"/>
        </w:rPr>
        <w:t xml:space="preserve">. </w:t>
      </w:r>
      <w:r>
        <w:rPr>
          <w:lang w:val="en-CA"/>
        </w:rPr>
        <w:t>Alternatively, meat products would be moved to more distant locations, with less enticing store design. In summary, given the stealth and voluntary behaviour of the nudge framework, nudges are considered to be more effective</w:t>
      </w:r>
      <w:r w:rsidR="00463DAA">
        <w:rPr>
          <w:lang w:val="en-CA"/>
        </w:rPr>
        <w:t xml:space="preserve"> in tailoring to the autonomy of individuals in comparison to</w:t>
      </w:r>
      <w:r>
        <w:rPr>
          <w:lang w:val="en-CA"/>
        </w:rPr>
        <w:t xml:space="preserve"> command-and-control approaches (Reisch </w:t>
      </w:r>
      <w:r w:rsidRPr="008E2A58">
        <w:rPr>
          <w:i/>
          <w:lang w:val="en-CA"/>
        </w:rPr>
        <w:t>et al.,</w:t>
      </w:r>
      <w:r>
        <w:rPr>
          <w:lang w:val="en-CA"/>
        </w:rPr>
        <w:t xml:space="preserve"> 2013). </w:t>
      </w:r>
    </w:p>
    <w:p w14:paraId="0EFC82E0" w14:textId="11E6B3E1" w:rsidR="0004375B" w:rsidRDefault="0004375B" w:rsidP="0004375B">
      <w:pPr>
        <w:spacing w:line="480" w:lineRule="auto"/>
        <w:jc w:val="both"/>
        <w:rPr>
          <w:b/>
          <w:sz w:val="28"/>
        </w:rPr>
      </w:pPr>
      <w:r>
        <w:rPr>
          <w:b/>
          <w:sz w:val="28"/>
        </w:rPr>
        <w:lastRenderedPageBreak/>
        <w:t>II</w:t>
      </w:r>
      <w:r w:rsidRPr="00BC715B">
        <w:rPr>
          <w:b/>
          <w:sz w:val="28"/>
        </w:rPr>
        <w:t xml:space="preserve">. </w:t>
      </w:r>
      <w:r w:rsidR="00E82277">
        <w:rPr>
          <w:b/>
          <w:sz w:val="28"/>
        </w:rPr>
        <w:t>Market-based</w:t>
      </w:r>
    </w:p>
    <w:p w14:paraId="7D3E87FB" w14:textId="0B49A0FE" w:rsidR="00374D42" w:rsidRDefault="00374D42" w:rsidP="00374D42">
      <w:pPr>
        <w:spacing w:line="480" w:lineRule="auto"/>
        <w:jc w:val="both"/>
      </w:pPr>
      <w:r>
        <w:tab/>
        <w:t>Evidence suggests that consumers change their food purchasing behavio</w:t>
      </w:r>
      <w:r w:rsidR="004D5563">
        <w:t>u</w:t>
      </w:r>
      <w:r>
        <w:t xml:space="preserve">r with respect to price. Thus, price can be seen </w:t>
      </w:r>
      <w:r w:rsidR="00C97D22">
        <w:t xml:space="preserve">both </w:t>
      </w:r>
      <w:r>
        <w:t>as a barrier to vegetarianism</w:t>
      </w:r>
      <w:r w:rsidR="00C97D22">
        <w:t xml:space="preserve"> and as</w:t>
      </w:r>
      <w:r>
        <w:t xml:space="preserve"> an opportunity for policy intervention. However, price elasticities for demand vary considerably dependent on the category of food. For instance, Andreyeva </w:t>
      </w:r>
      <w:r w:rsidRPr="009652C3">
        <w:rPr>
          <w:i/>
        </w:rPr>
        <w:t>et al.</w:t>
      </w:r>
      <w:r>
        <w:t xml:space="preserve"> (2010) found that price elasticities were relatively highest for soft drinks, juice, meats, vegetables, and fruit. From an intervention perspective, more elastic demand is encouraging for policies, given the greater opportunity to change behavio</w:t>
      </w:r>
      <w:r w:rsidR="004D5563">
        <w:t>u</w:t>
      </w:r>
      <w:r>
        <w:t xml:space="preserve">r. These findings have important policy implications, suggesting that higher meat prices may deter the public from purchasing environmentally unsustainable meat. Alternatively, lower </w:t>
      </w:r>
      <w:r w:rsidR="00B141DE">
        <w:t xml:space="preserve">protein alternatives, </w:t>
      </w:r>
      <w:r>
        <w:t>fruit and vegetable costs could influence higher purchasing behavio</w:t>
      </w:r>
      <w:r w:rsidR="004D5563">
        <w:t>u</w:t>
      </w:r>
      <w:r>
        <w:t xml:space="preserve">r of plant-based products.  </w:t>
      </w:r>
    </w:p>
    <w:p w14:paraId="62F3A4A3" w14:textId="77777777" w:rsidR="00374D42" w:rsidRPr="00FB62AA" w:rsidRDefault="00374D42" w:rsidP="00374D42">
      <w:pPr>
        <w:spacing w:line="480" w:lineRule="auto"/>
        <w:jc w:val="both"/>
      </w:pPr>
      <w:r>
        <w:t xml:space="preserve"> </w:t>
      </w:r>
    </w:p>
    <w:p w14:paraId="37FFF62E" w14:textId="52AA9D16" w:rsidR="00374D42" w:rsidRPr="0004375B" w:rsidRDefault="0004375B" w:rsidP="00374D42">
      <w:pPr>
        <w:spacing w:line="480" w:lineRule="auto"/>
        <w:jc w:val="both"/>
        <w:rPr>
          <w:b/>
          <w:i/>
        </w:rPr>
      </w:pPr>
      <w:r w:rsidRPr="0004375B">
        <w:rPr>
          <w:b/>
          <w:i/>
        </w:rPr>
        <w:t xml:space="preserve">i. </w:t>
      </w:r>
      <w:r w:rsidR="00374D42" w:rsidRPr="0004375B">
        <w:rPr>
          <w:b/>
          <w:i/>
        </w:rPr>
        <w:t>Subsidies</w:t>
      </w:r>
    </w:p>
    <w:p w14:paraId="71940AF0" w14:textId="1D541322" w:rsidR="00374D42" w:rsidRDefault="00374D42" w:rsidP="00374D42">
      <w:pPr>
        <w:spacing w:line="480" w:lineRule="auto"/>
        <w:ind w:firstLine="720"/>
        <w:jc w:val="both"/>
        <w:rPr>
          <w:lang w:val="en-CA"/>
        </w:rPr>
      </w:pPr>
      <w:r>
        <w:rPr>
          <w:lang w:val="en-CA"/>
        </w:rPr>
        <w:t xml:space="preserve">Rationally, one would assume that reductions, or rather, elimination of government subsidies would be a good policy approach (McMichael </w:t>
      </w:r>
      <w:r w:rsidRPr="003C68ED">
        <w:rPr>
          <w:i/>
          <w:lang w:val="en-CA"/>
        </w:rPr>
        <w:t>et al.,</w:t>
      </w:r>
      <w:r>
        <w:rPr>
          <w:lang w:val="en-CA"/>
        </w:rPr>
        <w:t xml:space="preserve"> 2007; McAlpine </w:t>
      </w:r>
      <w:r w:rsidRPr="003C68ED">
        <w:rPr>
          <w:i/>
          <w:lang w:val="en-CA"/>
        </w:rPr>
        <w:t>et al.,</w:t>
      </w:r>
      <w:r>
        <w:rPr>
          <w:lang w:val="en-CA"/>
        </w:rPr>
        <w:t xml:space="preserve"> 2009; Popkin, 2009; Joyce </w:t>
      </w:r>
      <w:r w:rsidRPr="00A86C5C">
        <w:rPr>
          <w:i/>
          <w:lang w:val="en-CA"/>
        </w:rPr>
        <w:t xml:space="preserve">et al., </w:t>
      </w:r>
      <w:r>
        <w:rPr>
          <w:lang w:val="en-CA"/>
        </w:rPr>
        <w:t xml:space="preserve">2014; Wellesley </w:t>
      </w:r>
      <w:r w:rsidRPr="00C93A38">
        <w:rPr>
          <w:i/>
          <w:lang w:val="en-CA"/>
        </w:rPr>
        <w:t>et al.,</w:t>
      </w:r>
      <w:r>
        <w:rPr>
          <w:lang w:val="en-CA"/>
        </w:rPr>
        <w:t xml:space="preserve"> 2015). Yet, this approach would likely lead to substantial backlash from industries within Canada, and be difficult to implement, given its policy-making network consisting of individuals, coalitions, and organizations. In this view, elimination of subsidies would theoretically be favoured by tax-payers, produce farmers, climate-enthusiasts, and perhaps even health officials. Yet, elimination of farm subsidies would be greatly opposed by </w:t>
      </w:r>
      <w:r w:rsidR="008F3869">
        <w:rPr>
          <w:lang w:val="en-CA"/>
        </w:rPr>
        <w:t>livestock</w:t>
      </w:r>
      <w:r>
        <w:rPr>
          <w:lang w:val="en-CA"/>
        </w:rPr>
        <w:t xml:space="preserve"> suppliers, particularly poultry, egg, and dairy producers in Canada, who benefit most prominently (McKenna, 2013; AAFC, 2015b). Nevertheless, given the </w:t>
      </w:r>
      <w:r>
        <w:rPr>
          <w:lang w:val="en-CA"/>
        </w:rPr>
        <w:lastRenderedPageBreak/>
        <w:t xml:space="preserve">significant and immediate transition needed with respect to individual consumption, phasing out subsidies would be a useful approach (Reisch </w:t>
      </w:r>
      <w:r w:rsidRPr="00C57669">
        <w:rPr>
          <w:i/>
          <w:lang w:val="en-CA"/>
        </w:rPr>
        <w:t>et al.,</w:t>
      </w:r>
      <w:r>
        <w:rPr>
          <w:lang w:val="en-CA"/>
        </w:rPr>
        <w:t xml:space="preserve"> 2013). </w:t>
      </w:r>
    </w:p>
    <w:p w14:paraId="57749D49" w14:textId="7F9E8813" w:rsidR="00374D42" w:rsidRDefault="00374D42" w:rsidP="00374D42">
      <w:pPr>
        <w:spacing w:line="480" w:lineRule="auto"/>
        <w:ind w:firstLine="720"/>
        <w:jc w:val="both"/>
        <w:rPr>
          <w:lang w:val="en-CA"/>
        </w:rPr>
      </w:pPr>
      <w:r>
        <w:rPr>
          <w:lang w:val="en-CA"/>
        </w:rPr>
        <w:t xml:space="preserve">Government subsidies totalled $6.9 Billion in 2011 to protect the aforementioned main beneficiaries from foreign competition by exorbitantly high tariffs (McKenna, 2013; AAFC, 2015b). However, other risk management programs are also in place to protect the agriculture industry against issues that are out of their control, namely disease, bad weather, and high feed costs (McKenna, 2013). Removal of these subsidies could result in a consumer shift to purchasing </w:t>
      </w:r>
      <w:r w:rsidR="00F4700A">
        <w:rPr>
          <w:lang w:val="en-CA"/>
        </w:rPr>
        <w:t>import</w:t>
      </w:r>
      <w:r w:rsidR="001E2577">
        <w:rPr>
          <w:lang w:val="en-CA"/>
        </w:rPr>
        <w:t xml:space="preserve">ed </w:t>
      </w:r>
      <w:r w:rsidR="00F4700A">
        <w:rPr>
          <w:lang w:val="en-CA"/>
        </w:rPr>
        <w:t>from other countries</w:t>
      </w:r>
      <w:r>
        <w:rPr>
          <w:lang w:val="en-CA"/>
        </w:rPr>
        <w:t xml:space="preserve">, given their competitive advantage in price (Audsley </w:t>
      </w:r>
      <w:r w:rsidRPr="00EE7CEE">
        <w:rPr>
          <w:i/>
          <w:lang w:val="en-CA"/>
        </w:rPr>
        <w:t>et al</w:t>
      </w:r>
      <w:r>
        <w:rPr>
          <w:lang w:val="en-CA"/>
        </w:rPr>
        <w:t xml:space="preserve">., 2009). In this perspective, emissions may decrease in Canada, but the global inventory would remain the same. Consumers would maintain the same level of consumption, but shift their purchasing behaviour to cheaper exports, rather than products within national borders (Audsley </w:t>
      </w:r>
      <w:r w:rsidRPr="000444E5">
        <w:rPr>
          <w:i/>
          <w:lang w:val="en-CA"/>
        </w:rPr>
        <w:t>et al.,</w:t>
      </w:r>
      <w:r>
        <w:rPr>
          <w:lang w:val="en-CA"/>
        </w:rPr>
        <w:t xml:space="preserve"> 2009).</w:t>
      </w:r>
    </w:p>
    <w:p w14:paraId="2EEAE53E" w14:textId="77777777" w:rsidR="00ED6561" w:rsidRDefault="008D6F6A" w:rsidP="008D6F6A">
      <w:pPr>
        <w:spacing w:line="480" w:lineRule="auto"/>
        <w:ind w:firstLine="720"/>
        <w:jc w:val="both"/>
      </w:pPr>
      <w:r>
        <w:t xml:space="preserve">There are, in fact, agro-ecological arguments that could justify why certain production systems are most suitable for given locations. The following are arguments for the Alberta beef and Atlantic fisheries industries, as examples of the suitability of some production systems. </w:t>
      </w:r>
      <w:r w:rsidR="00ED6561">
        <w:t xml:space="preserve">Two conclusions can be drawn from these examples. We should either (i) support the industry for its localized supply, benefitting many rural communities, or (ii) we should encourage plant-based consumption, and support these industries to adjust according (via a transition to grain, or kelp aquaculture, for example). </w:t>
      </w:r>
    </w:p>
    <w:p w14:paraId="3FEDE8C8" w14:textId="726DBB3B" w:rsidR="00ED6561" w:rsidRDefault="008D6F6A" w:rsidP="008D6F6A">
      <w:pPr>
        <w:spacing w:line="480" w:lineRule="auto"/>
        <w:ind w:firstLine="720"/>
        <w:jc w:val="both"/>
      </w:pPr>
      <w:r>
        <w:t xml:space="preserve">Commercial-capture fisheries in Atlantic Canada generate the largest quantity, and value of the four major Canadian ecoregions (Atlantic, Arctic, Central-Great Lakes, Pacific), predominantly harvesting lobster, shrimp, and crab (Campbell et al., 2014). For instance, the </w:t>
      </w:r>
      <w:r w:rsidR="00ED6561">
        <w:t>American lobster (</w:t>
      </w:r>
      <w:r w:rsidRPr="00446D90">
        <w:rPr>
          <w:i/>
        </w:rPr>
        <w:t>Homarus americanus</w:t>
      </w:r>
      <w:r w:rsidR="00ED6561">
        <w:t>)</w:t>
      </w:r>
      <w:r>
        <w:t xml:space="preserve"> fishery is the most profitable single-species fishery on </w:t>
      </w:r>
      <w:r>
        <w:lastRenderedPageBreak/>
        <w:t xml:space="preserve">the East Coast of North America (Wahle, 2004), and lobster abundance has recently increased to levels never previously experienced (DFO, 2015). </w:t>
      </w:r>
      <w:r w:rsidR="00ED6561">
        <w:t>Considered small fishing communities</w:t>
      </w:r>
      <w:r>
        <w:t xml:space="preserve">, many </w:t>
      </w:r>
      <w:r w:rsidR="00ED6561">
        <w:t>areas</w:t>
      </w:r>
      <w:r>
        <w:t xml:space="preserve"> in the Atlantic provinces depend on </w:t>
      </w:r>
      <w:r w:rsidR="00ED6561">
        <w:t>the localized fishing industry</w:t>
      </w:r>
      <w:r>
        <w:t xml:space="preserve"> (Poetschke, 1984)</w:t>
      </w:r>
      <w:r w:rsidR="00ED6561">
        <w:t xml:space="preserve"> for income. The industry provides locally-sourced food to Atlantic Canadians, aligning with the ecological argument of low ‘food miles’. However, the industry also has substantial national and international export rates. </w:t>
      </w:r>
    </w:p>
    <w:p w14:paraId="02DB07EB" w14:textId="12AE3A7F" w:rsidR="008D6F6A" w:rsidRPr="008D6F6A" w:rsidRDefault="008D6F6A" w:rsidP="008D6F6A">
      <w:pPr>
        <w:spacing w:line="480" w:lineRule="auto"/>
        <w:ind w:firstLine="720"/>
        <w:jc w:val="both"/>
      </w:pPr>
      <w:r>
        <w:t>Contrary to the historical and culturally significant lobster fishery in Atlantic Canada, Alberta beef has only recently emerged as a regional identity post-</w:t>
      </w:r>
      <w:r w:rsidR="00ED6561">
        <w:t>BSE (</w:t>
      </w:r>
      <w:r>
        <w:t>bovine spongiform encephalopathy</w:t>
      </w:r>
      <w:r w:rsidR="00ED6561">
        <w:t xml:space="preserve">) </w:t>
      </w:r>
      <w:r>
        <w:t xml:space="preserve">in 2003 (Blue, 2008). Through national promotion and support, Alberta beef has transformed the province, and is now recognizable as a symbol of cultural identity (Blue, 2008). </w:t>
      </w:r>
      <w:r w:rsidR="00ED6561">
        <w:t xml:space="preserve">Industry </w:t>
      </w:r>
      <w:r>
        <w:t xml:space="preserve">support is contrary to the previous trend of health, ethical and environmental concerns associated with beef, and has </w:t>
      </w:r>
      <w:r w:rsidR="00ED6561">
        <w:t>encouraged Canadians to maintain a relatively stable consumption of livestock</w:t>
      </w:r>
      <w:r w:rsidR="00097C1E">
        <w:t xml:space="preserve"> post-BSE (AAFC, 2014), in comparison to the UK who saw a more substantial drop in beef consumption (Blue, 2008).</w:t>
      </w:r>
      <w:r w:rsidR="00ED6561">
        <w:t xml:space="preserve"> </w:t>
      </w:r>
      <w:r>
        <w:t xml:space="preserve">Alberta beef is now a </w:t>
      </w:r>
      <w:r w:rsidR="00097C1E">
        <w:t xml:space="preserve">Canadian </w:t>
      </w:r>
      <w:r>
        <w:t>staple, highlighted as a local food commodity, encompassing regional identit</w:t>
      </w:r>
      <w:r w:rsidR="00097C1E">
        <w:t>,</w:t>
      </w:r>
      <w:r>
        <w:t xml:space="preserve">y and speaking to national unity following the BSE crisis (Blue, 2008). As provincial and federal governments have embraced neoliberal policies throughout Canada, the agricultural sector has intensified, highlighting industrialization and corporate investment (Davidson </w:t>
      </w:r>
      <w:r w:rsidRPr="00BB1E75">
        <w:rPr>
          <w:i/>
        </w:rPr>
        <w:t>et al.,</w:t>
      </w:r>
      <w:r>
        <w:t xml:space="preserve"> 2016). Likewise, 90% of national livestock production is dominated by a few global corporations. The majority of this production is exported to the US, and Asia (Davidson </w:t>
      </w:r>
      <w:r w:rsidRPr="00BB1E75">
        <w:rPr>
          <w:i/>
        </w:rPr>
        <w:t>et al</w:t>
      </w:r>
      <w:r>
        <w:t xml:space="preserve">., 2016), counteracting the </w:t>
      </w:r>
      <w:r w:rsidR="00097C1E">
        <w:t xml:space="preserve">former </w:t>
      </w:r>
      <w:r>
        <w:t xml:space="preserve">argument of local consumption. However, with climate change increasingly affecting global livelihood, action must be taken. There are going to be winners from a shift to a low-carbon society, and there will also be losers. Maybe it is time to lump the livestock sector in with </w:t>
      </w:r>
      <w:r>
        <w:lastRenderedPageBreak/>
        <w:t>employees from the fossil fuel industry, and recognize that change must be embraced.  Governments have a responsibility to balance sustainability with autonomy and prosperity of the industry that serves to supply food for public consumption, in a local and increasingly environmentally conscious manner (Duchin, 2005). However, government support does not have to subsidize the livestock industry</w:t>
      </w:r>
      <w:r w:rsidR="00097C1E">
        <w:t xml:space="preserve"> explicitly</w:t>
      </w:r>
      <w:r>
        <w:t>, but rather prov</w:t>
      </w:r>
      <w:r w:rsidR="00097C1E">
        <w:t xml:space="preserve">ide support through alternative, transitional </w:t>
      </w:r>
      <w:r>
        <w:t xml:space="preserve">mechanisms. </w:t>
      </w:r>
    </w:p>
    <w:p w14:paraId="2FC2DC5A" w14:textId="6B982A89" w:rsidR="00374D42" w:rsidRDefault="00374D42" w:rsidP="00374D42">
      <w:pPr>
        <w:spacing w:line="480" w:lineRule="auto"/>
        <w:ind w:firstLine="720"/>
        <w:jc w:val="both"/>
        <w:rPr>
          <w:lang w:val="en-CA"/>
        </w:rPr>
      </w:pPr>
      <w:r>
        <w:rPr>
          <w:lang w:val="en-CA"/>
        </w:rPr>
        <w:t xml:space="preserve">Reduction of subsidies for animal-sourced foods, and subsequent investment in plant-based foods are commonly suggested (Sabaté &amp; Rajaram, 2000; ADA, 2003; McMichael et al., 2007; McAlpine </w:t>
      </w:r>
      <w:r w:rsidRPr="003C68ED">
        <w:rPr>
          <w:i/>
          <w:lang w:val="en-CA"/>
        </w:rPr>
        <w:t>et al.,</w:t>
      </w:r>
      <w:r>
        <w:rPr>
          <w:lang w:val="en-CA"/>
        </w:rPr>
        <w:t xml:space="preserve"> 2009; Popkin, 2009; Joyce </w:t>
      </w:r>
      <w:r w:rsidRPr="00A86C5C">
        <w:rPr>
          <w:i/>
          <w:lang w:val="en-CA"/>
        </w:rPr>
        <w:t>et al.,</w:t>
      </w:r>
      <w:r>
        <w:rPr>
          <w:lang w:val="en-CA"/>
        </w:rPr>
        <w:t xml:space="preserve"> 2014; Wellesley </w:t>
      </w:r>
      <w:r w:rsidRPr="006E410F">
        <w:rPr>
          <w:i/>
          <w:lang w:val="en-CA"/>
        </w:rPr>
        <w:t>et al.,</w:t>
      </w:r>
      <w:r>
        <w:rPr>
          <w:lang w:val="en-CA"/>
        </w:rPr>
        <w:t xml:space="preserve"> 2015). This approach would lower the cost to consumers, and theoretically create financial incentives to influence consumer purchasing behaviour towards plant-based products (Riesch </w:t>
      </w:r>
      <w:r w:rsidRPr="00942526">
        <w:rPr>
          <w:i/>
          <w:lang w:val="en-CA"/>
        </w:rPr>
        <w:t xml:space="preserve">et al., </w:t>
      </w:r>
      <w:r>
        <w:rPr>
          <w:lang w:val="en-CA"/>
        </w:rPr>
        <w:t>2013)</w:t>
      </w:r>
      <w:r w:rsidR="00B141DE">
        <w:rPr>
          <w:lang w:val="en-CA"/>
        </w:rPr>
        <w:t>, while maintaining Canadian purchases</w:t>
      </w:r>
      <w:r>
        <w:rPr>
          <w:lang w:val="en-CA"/>
        </w:rPr>
        <w:t xml:space="preserve">. </w:t>
      </w:r>
    </w:p>
    <w:p w14:paraId="618C3293" w14:textId="77777777" w:rsidR="00374D42" w:rsidRDefault="00374D42" w:rsidP="00374D42">
      <w:pPr>
        <w:spacing w:line="480" w:lineRule="auto"/>
        <w:ind w:firstLine="720"/>
        <w:jc w:val="both"/>
        <w:rPr>
          <w:lang w:val="en-CA"/>
        </w:rPr>
      </w:pPr>
    </w:p>
    <w:p w14:paraId="5A7D0EFD" w14:textId="5EB0DCF6" w:rsidR="00374D42" w:rsidRPr="0004375B" w:rsidRDefault="0004375B" w:rsidP="00374D42">
      <w:pPr>
        <w:spacing w:line="480" w:lineRule="auto"/>
        <w:jc w:val="both"/>
        <w:rPr>
          <w:b/>
          <w:i/>
          <w:lang w:val="en-CA"/>
        </w:rPr>
      </w:pPr>
      <w:r w:rsidRPr="0004375B">
        <w:rPr>
          <w:b/>
          <w:i/>
          <w:lang w:val="en-CA"/>
        </w:rPr>
        <w:t xml:space="preserve">ii. </w:t>
      </w:r>
      <w:r w:rsidR="00374D42" w:rsidRPr="0004375B">
        <w:rPr>
          <w:b/>
          <w:i/>
          <w:lang w:val="en-CA"/>
        </w:rPr>
        <w:t>Meat Taxes</w:t>
      </w:r>
    </w:p>
    <w:p w14:paraId="0AB4D4BC" w14:textId="77777777" w:rsidR="00374D42" w:rsidRDefault="00374D42" w:rsidP="00374D42">
      <w:pPr>
        <w:spacing w:line="480" w:lineRule="auto"/>
        <w:jc w:val="both"/>
        <w:rPr>
          <w:lang w:val="en-CA"/>
        </w:rPr>
      </w:pPr>
      <w:r>
        <w:rPr>
          <w:lang w:val="en-CA"/>
        </w:rPr>
        <w:tab/>
        <w:t>A Pigovian tax is a well-known economic instrument used to combat negative externalities (Arthur Pigou, 1920). The underlying principal suggests implementing a tax on meat products, to account for the full social cost of production. The price of animal products would consequently increase, theoretically leading to a reduction in the quantity of meat that is purchased; ultimately reducing demand and supply (Lusk, 2011). Thus, a ‘meat-tax’ follows the basic principles of a carbon tax (</w:t>
      </w:r>
      <w:r>
        <w:t>Wellesley</w:t>
      </w:r>
      <w:r w:rsidRPr="003B2B48">
        <w:rPr>
          <w:i/>
        </w:rPr>
        <w:t xml:space="preserve"> et al., </w:t>
      </w:r>
      <w:r>
        <w:t>2015</w:t>
      </w:r>
      <w:r>
        <w:rPr>
          <w:lang w:val="en-CA"/>
        </w:rPr>
        <w:t>), however, instead of alleviating the negative externalities imposed by CO</w:t>
      </w:r>
      <w:r>
        <w:rPr>
          <w:vertAlign w:val="subscript"/>
          <w:lang w:val="en-CA"/>
        </w:rPr>
        <w:t>2</w:t>
      </w:r>
      <w:r>
        <w:rPr>
          <w:lang w:val="en-CA"/>
        </w:rPr>
        <w:t>, a meat tax would focus primarily on CH</w:t>
      </w:r>
      <w:r>
        <w:rPr>
          <w:vertAlign w:val="subscript"/>
          <w:lang w:val="en-CA"/>
        </w:rPr>
        <w:t>4</w:t>
      </w:r>
      <w:r>
        <w:rPr>
          <w:lang w:val="en-CA"/>
        </w:rPr>
        <w:t xml:space="preserve"> and NO</w:t>
      </w:r>
      <w:r>
        <w:rPr>
          <w:vertAlign w:val="subscript"/>
          <w:lang w:val="en-CA"/>
        </w:rPr>
        <w:t xml:space="preserve">2 </w:t>
      </w:r>
      <w:r>
        <w:rPr>
          <w:lang w:val="en-CA"/>
        </w:rPr>
        <w:t xml:space="preserve">emissions. </w:t>
      </w:r>
    </w:p>
    <w:p w14:paraId="5651D516" w14:textId="0C05189E" w:rsidR="00374D42" w:rsidRDefault="00374D42" w:rsidP="00374D42">
      <w:pPr>
        <w:spacing w:line="480" w:lineRule="auto"/>
        <w:jc w:val="both"/>
        <w:rPr>
          <w:lang w:val="en-CA"/>
        </w:rPr>
      </w:pPr>
      <w:r>
        <w:rPr>
          <w:lang w:val="en-CA"/>
        </w:rPr>
        <w:lastRenderedPageBreak/>
        <w:tab/>
        <w:t xml:space="preserve">However, a Pigovian tax also has noteworthy limitations. Unless the tax incorporated is substantial, and fully encompasses the social cost of industrial animal agriculture production, it is unlikely a meat-tax would lead to substantial reductions in purchasing behaviour by consumers (Lusk, 2011). Hence, the quantity of animal products would remain relatively stagnant. Estimates suggest that a 1% price increase for animal products, would result in less than a 1% decrease in purchasing behaviour (Gallet, 2010; Lusk, 2011), and thus, a high tax must be implemented to achieve a significant shift in extrinsically motivated purchasing behaviour. </w:t>
      </w:r>
    </w:p>
    <w:p w14:paraId="1C688DF4" w14:textId="77777777" w:rsidR="00374D42" w:rsidRDefault="00374D42" w:rsidP="00374D42">
      <w:pPr>
        <w:spacing w:line="480" w:lineRule="auto"/>
        <w:ind w:firstLine="720"/>
        <w:jc w:val="both"/>
        <w:rPr>
          <w:lang w:val="en-CA"/>
        </w:rPr>
      </w:pPr>
      <w:r>
        <w:rPr>
          <w:lang w:val="en-CA"/>
        </w:rPr>
        <w:t xml:space="preserve">In addition, it is important to emphasize that price elasticity of demand, and the associated opportunity for pricing mechanisms to change individual extrinsic behaviour, could actually lead to unpredicted, and negative consequences that were not intended (Andreyeva </w:t>
      </w:r>
      <w:r w:rsidRPr="005E4204">
        <w:rPr>
          <w:i/>
          <w:lang w:val="en-CA"/>
        </w:rPr>
        <w:t>et al.,</w:t>
      </w:r>
      <w:r>
        <w:rPr>
          <w:lang w:val="en-CA"/>
        </w:rPr>
        <w:t xml:space="preserve"> 2010). For example, if all meat products were to be taxed by 10%, the general public may shift their purchasing behaviour from chicken towards processed meats, or hamburger, given the comparatively low costs associated with the latter. This shift would actually be worse from an environmental perspective, given the higher environmental footprint associated with ruminant agriculture in comparison to poultry products (Andreyeva </w:t>
      </w:r>
      <w:r w:rsidRPr="005E4204">
        <w:rPr>
          <w:i/>
          <w:lang w:val="en-CA"/>
        </w:rPr>
        <w:t>et al.,</w:t>
      </w:r>
      <w:r>
        <w:rPr>
          <w:lang w:val="en-CA"/>
        </w:rPr>
        <w:t xml:space="preserve"> 2010).</w:t>
      </w:r>
    </w:p>
    <w:p w14:paraId="721A7EC3" w14:textId="697836FC" w:rsidR="00374D42" w:rsidRPr="00554223" w:rsidRDefault="00374D42" w:rsidP="00374D42">
      <w:pPr>
        <w:spacing w:line="480" w:lineRule="auto"/>
        <w:ind w:firstLine="720"/>
        <w:jc w:val="both"/>
        <w:rPr>
          <w:lang w:val="en-CA"/>
        </w:rPr>
      </w:pPr>
      <w:r>
        <w:rPr>
          <w:lang w:val="en-CA"/>
        </w:rPr>
        <w:t xml:space="preserve">However, the government revenue generated by the tax (double dividend) could be used to invest in clean technologies within the industry, or support research and development, similar to that of comparative climate policies. </w:t>
      </w:r>
      <w:r w:rsidR="001E2577">
        <w:rPr>
          <w:lang w:val="en-CA"/>
        </w:rPr>
        <w:t>As meat taxes are considered to be undesirable, especially by marginalized populations,</w:t>
      </w:r>
      <w:r>
        <w:rPr>
          <w:lang w:val="en-CA"/>
        </w:rPr>
        <w:t xml:space="preserve"> the revenue generated</w:t>
      </w:r>
      <w:r w:rsidR="001E2577">
        <w:rPr>
          <w:lang w:val="en-CA"/>
        </w:rPr>
        <w:t xml:space="preserve"> from the tax</w:t>
      </w:r>
      <w:r>
        <w:rPr>
          <w:lang w:val="en-CA"/>
        </w:rPr>
        <w:t xml:space="preserve"> could be used to decrease the price of plant-based products in grocery stores. In this manner, distortionary prices for healthier, more environmentally sustainable foods would become more affordable, especially for low-income families (</w:t>
      </w:r>
      <w:r>
        <w:rPr>
          <w:color w:val="000000" w:themeColor="text1"/>
          <w:lang w:val="en-CA"/>
        </w:rPr>
        <w:t xml:space="preserve">Andreyeva </w:t>
      </w:r>
      <w:r w:rsidRPr="00AD1DBC">
        <w:rPr>
          <w:i/>
          <w:color w:val="000000" w:themeColor="text1"/>
          <w:lang w:val="en-CA"/>
        </w:rPr>
        <w:t>et al.,</w:t>
      </w:r>
      <w:r>
        <w:rPr>
          <w:color w:val="000000" w:themeColor="text1"/>
          <w:lang w:val="en-CA"/>
        </w:rPr>
        <w:t xml:space="preserve"> 2010; Joyce </w:t>
      </w:r>
      <w:r w:rsidRPr="00E03A41">
        <w:rPr>
          <w:i/>
          <w:color w:val="000000" w:themeColor="text1"/>
          <w:lang w:val="en-CA"/>
        </w:rPr>
        <w:t>et al</w:t>
      </w:r>
      <w:r>
        <w:rPr>
          <w:color w:val="000000" w:themeColor="text1"/>
          <w:lang w:val="en-CA"/>
        </w:rPr>
        <w:t>., 2014</w:t>
      </w:r>
      <w:r>
        <w:rPr>
          <w:lang w:val="en-CA"/>
        </w:rPr>
        <w:t>)</w:t>
      </w:r>
      <w:r w:rsidR="001E2577">
        <w:rPr>
          <w:lang w:val="en-CA"/>
        </w:rPr>
        <w:t>, which would help alleviate the undesirability of a meat tax</w:t>
      </w:r>
      <w:r>
        <w:rPr>
          <w:lang w:val="en-CA"/>
        </w:rPr>
        <w:t xml:space="preserve">. Some policies have actually been implemented (ie. taxes on junk </w:t>
      </w:r>
      <w:r>
        <w:rPr>
          <w:lang w:val="en-CA"/>
        </w:rPr>
        <w:lastRenderedPageBreak/>
        <w:t xml:space="preserve">food, soda) (Nicholls </w:t>
      </w:r>
      <w:r w:rsidRPr="0025559B">
        <w:rPr>
          <w:i/>
          <w:lang w:val="en-CA"/>
        </w:rPr>
        <w:t>et al.,</w:t>
      </w:r>
      <w:r>
        <w:rPr>
          <w:lang w:val="en-CA"/>
        </w:rPr>
        <w:t xml:space="preserve"> 2011) and/or are under consideration in many regions, specifically with respect to boosting the consumption of fruits and vegetables (</w:t>
      </w:r>
      <w:r>
        <w:rPr>
          <w:color w:val="000000" w:themeColor="text1"/>
          <w:lang w:val="en-CA"/>
        </w:rPr>
        <w:t xml:space="preserve">Andreyeva </w:t>
      </w:r>
      <w:r w:rsidRPr="00AD1DBC">
        <w:rPr>
          <w:i/>
          <w:color w:val="000000" w:themeColor="text1"/>
          <w:lang w:val="en-CA"/>
        </w:rPr>
        <w:t>et al.,</w:t>
      </w:r>
      <w:r>
        <w:rPr>
          <w:color w:val="000000" w:themeColor="text1"/>
          <w:lang w:val="en-CA"/>
        </w:rPr>
        <w:t xml:space="preserve"> 2010)</w:t>
      </w:r>
      <w:r>
        <w:rPr>
          <w:lang w:val="en-CA"/>
        </w:rPr>
        <w:t>. Based on the aforementioned high elasticity of demand for these products, a 10% reduction in price could increase purchases by 7% for fruits, and 5.8% for vegetables (</w:t>
      </w:r>
      <w:r>
        <w:rPr>
          <w:color w:val="000000" w:themeColor="text1"/>
          <w:lang w:val="en-CA"/>
        </w:rPr>
        <w:t xml:space="preserve">Andreyeva </w:t>
      </w:r>
      <w:r w:rsidRPr="00AD1DBC">
        <w:rPr>
          <w:i/>
          <w:color w:val="000000" w:themeColor="text1"/>
          <w:lang w:val="en-CA"/>
        </w:rPr>
        <w:t>et al.,</w:t>
      </w:r>
      <w:r>
        <w:rPr>
          <w:color w:val="000000" w:themeColor="text1"/>
          <w:lang w:val="en-CA"/>
        </w:rPr>
        <w:t xml:space="preserve"> 2010)</w:t>
      </w:r>
      <w:r>
        <w:rPr>
          <w:lang w:val="en-CA"/>
        </w:rPr>
        <w:t xml:space="preserve">. </w:t>
      </w:r>
    </w:p>
    <w:p w14:paraId="7D7DF6B9" w14:textId="77777777" w:rsidR="00374D42" w:rsidRDefault="00374D42" w:rsidP="00374D42">
      <w:pPr>
        <w:spacing w:line="480" w:lineRule="auto"/>
        <w:jc w:val="both"/>
        <w:rPr>
          <w:i/>
          <w:lang w:val="en-CA"/>
        </w:rPr>
      </w:pPr>
    </w:p>
    <w:p w14:paraId="4219B497" w14:textId="4ECC7ABE" w:rsidR="0004375B" w:rsidRDefault="0004375B" w:rsidP="0004375B">
      <w:pPr>
        <w:spacing w:line="480" w:lineRule="auto"/>
        <w:jc w:val="both"/>
        <w:rPr>
          <w:b/>
          <w:sz w:val="28"/>
        </w:rPr>
      </w:pPr>
      <w:r>
        <w:rPr>
          <w:b/>
          <w:sz w:val="28"/>
        </w:rPr>
        <w:t>III</w:t>
      </w:r>
      <w:r w:rsidRPr="00BC715B">
        <w:rPr>
          <w:b/>
          <w:sz w:val="28"/>
        </w:rPr>
        <w:t xml:space="preserve">. </w:t>
      </w:r>
      <w:r w:rsidR="00E82277">
        <w:rPr>
          <w:b/>
          <w:sz w:val="28"/>
        </w:rPr>
        <w:t>Regulatory</w:t>
      </w:r>
    </w:p>
    <w:p w14:paraId="72BB338E" w14:textId="4C880C10" w:rsidR="00820A76" w:rsidRDefault="00374D42" w:rsidP="00374D42">
      <w:pPr>
        <w:spacing w:line="480" w:lineRule="auto"/>
        <w:jc w:val="both"/>
        <w:rPr>
          <w:lang w:val="en-CA"/>
        </w:rPr>
      </w:pPr>
      <w:r>
        <w:rPr>
          <w:lang w:val="en-CA"/>
        </w:rPr>
        <w:tab/>
        <w:t>Livestock agriculture could also be capped</w:t>
      </w:r>
      <w:r w:rsidR="00820A76">
        <w:rPr>
          <w:lang w:val="en-CA"/>
        </w:rPr>
        <w:t xml:space="preserve"> (quota-based)</w:t>
      </w:r>
      <w:r>
        <w:rPr>
          <w:lang w:val="en-CA"/>
        </w:rPr>
        <w:t xml:space="preserve"> to prevent </w:t>
      </w:r>
      <w:r w:rsidR="00820A76">
        <w:rPr>
          <w:lang w:val="en-CA"/>
        </w:rPr>
        <w:t>unsustainable harvesting</w:t>
      </w:r>
      <w:r>
        <w:rPr>
          <w:lang w:val="en-CA"/>
        </w:rPr>
        <w:t xml:space="preserve"> (Reisch </w:t>
      </w:r>
      <w:r w:rsidRPr="00500FFC">
        <w:rPr>
          <w:i/>
          <w:lang w:val="en-CA"/>
        </w:rPr>
        <w:t>et al.,</w:t>
      </w:r>
      <w:r>
        <w:rPr>
          <w:lang w:val="en-CA"/>
        </w:rPr>
        <w:t xml:space="preserve"> 2013)</w:t>
      </w:r>
      <w:r w:rsidR="00820A76">
        <w:rPr>
          <w:lang w:val="en-CA"/>
        </w:rPr>
        <w:t>, similar to the conceptual schema of a sustainable fishery</w:t>
      </w:r>
      <w:r>
        <w:rPr>
          <w:lang w:val="en-CA"/>
        </w:rPr>
        <w:t xml:space="preserve">. </w:t>
      </w:r>
      <w:r w:rsidR="00434603">
        <w:rPr>
          <w:lang w:val="en-CA"/>
        </w:rPr>
        <w:t>A cap or quota</w:t>
      </w:r>
      <w:r w:rsidR="00820A76">
        <w:rPr>
          <w:lang w:val="en-CA"/>
        </w:rPr>
        <w:t xml:space="preserve"> would also raise the price of animal products, as influenced by the interaction of supply and demand. The increased price would dissuade customers from purchasing high quantities of animal products, meanwhile the cap would ensure an emissions</w:t>
      </w:r>
      <w:r w:rsidR="008E51E7">
        <w:rPr>
          <w:lang w:val="en-CA"/>
        </w:rPr>
        <w:t xml:space="preserve"> reduction</w:t>
      </w:r>
      <w:r w:rsidR="000A3DE7">
        <w:rPr>
          <w:lang w:val="en-CA"/>
        </w:rPr>
        <w:t xml:space="preserve"> from the livestock sector</w:t>
      </w:r>
      <w:r w:rsidR="008E51E7">
        <w:rPr>
          <w:lang w:val="en-CA"/>
        </w:rPr>
        <w:t>.</w:t>
      </w:r>
    </w:p>
    <w:p w14:paraId="12BA01BA" w14:textId="491C42C3" w:rsidR="00374D42" w:rsidRDefault="00374D42" w:rsidP="00820A76">
      <w:pPr>
        <w:spacing w:line="480" w:lineRule="auto"/>
        <w:ind w:firstLine="720"/>
        <w:jc w:val="both"/>
        <w:rPr>
          <w:lang w:val="en-CA"/>
        </w:rPr>
      </w:pPr>
      <w:r>
        <w:rPr>
          <w:lang w:val="en-CA"/>
        </w:rPr>
        <w:t xml:space="preserve">Furthermore, the livestock sector could be contracted and retained to grassland that is inefficient for crop production (Audsley </w:t>
      </w:r>
      <w:r w:rsidRPr="00937F13">
        <w:rPr>
          <w:i/>
          <w:lang w:val="en-CA"/>
        </w:rPr>
        <w:t>et al.,</w:t>
      </w:r>
      <w:r>
        <w:rPr>
          <w:lang w:val="en-CA"/>
        </w:rPr>
        <w:t xml:space="preserve"> 2009). This retention could release arable land for crops which would compensate for an influx in produce demand (Audsley </w:t>
      </w:r>
      <w:r w:rsidRPr="00937F13">
        <w:rPr>
          <w:i/>
          <w:lang w:val="en-CA"/>
        </w:rPr>
        <w:t>et al.,</w:t>
      </w:r>
      <w:r>
        <w:rPr>
          <w:lang w:val="en-CA"/>
        </w:rPr>
        <w:t xml:space="preserve"> 2009; Gill </w:t>
      </w:r>
      <w:r w:rsidRPr="00937F13">
        <w:rPr>
          <w:i/>
          <w:lang w:val="en-CA"/>
        </w:rPr>
        <w:t>et al.,</w:t>
      </w:r>
      <w:r>
        <w:rPr>
          <w:lang w:val="en-CA"/>
        </w:rPr>
        <w:t xml:space="preserve"> 2009), given a shift to plant-based diets. In this instance, more land would not be required to compensate for dietary changes. Likewise, urban gardening and self-sustaining produce production could be encouraged to limit the need for arable land and dangerous overexpansion of crop agriculture; effectively </w:t>
      </w:r>
      <w:r w:rsidR="00434603">
        <w:rPr>
          <w:lang w:val="en-CA"/>
        </w:rPr>
        <w:t>restraining</w:t>
      </w:r>
      <w:r>
        <w:rPr>
          <w:lang w:val="en-CA"/>
        </w:rPr>
        <w:t xml:space="preserve"> </w:t>
      </w:r>
      <w:r w:rsidR="00434603">
        <w:rPr>
          <w:lang w:val="en-CA"/>
        </w:rPr>
        <w:t xml:space="preserve">potential </w:t>
      </w:r>
      <w:r>
        <w:rPr>
          <w:lang w:val="en-CA"/>
        </w:rPr>
        <w:t xml:space="preserve">consequential effects for dietary transition. </w:t>
      </w:r>
    </w:p>
    <w:p w14:paraId="04E0E82F" w14:textId="3A8E167A" w:rsidR="00374D42" w:rsidRDefault="00374D42" w:rsidP="00374D42">
      <w:pPr>
        <w:spacing w:line="480" w:lineRule="auto"/>
        <w:ind w:firstLine="720"/>
        <w:jc w:val="both"/>
        <w:rPr>
          <w:color w:val="000000" w:themeColor="text1"/>
          <w:lang w:val="en-CA"/>
        </w:rPr>
      </w:pPr>
      <w:r>
        <w:rPr>
          <w:lang w:val="en-CA"/>
        </w:rPr>
        <w:t>Command and control is considered to be a last resort because of the contentious issues surrounding regulati</w:t>
      </w:r>
      <w:r w:rsidR="00D96CA8">
        <w:rPr>
          <w:lang w:val="en-CA"/>
        </w:rPr>
        <w:t>on of public consumption trends. Likewise,</w:t>
      </w:r>
      <w:r>
        <w:rPr>
          <w:lang w:val="en-CA"/>
        </w:rPr>
        <w:t xml:space="preserve"> voluntary agreements are more common (Reisch </w:t>
      </w:r>
      <w:r w:rsidRPr="00381E9E">
        <w:rPr>
          <w:i/>
          <w:lang w:val="en-CA"/>
        </w:rPr>
        <w:t>et al.,</w:t>
      </w:r>
      <w:r>
        <w:rPr>
          <w:lang w:val="en-CA"/>
        </w:rPr>
        <w:t xml:space="preserve"> 2013). Nevertheless, command-and-control approaches have been </w:t>
      </w:r>
      <w:r>
        <w:rPr>
          <w:lang w:val="en-CA"/>
        </w:rPr>
        <w:lastRenderedPageBreak/>
        <w:t xml:space="preserve">suggested, namely emissions standards. If an industrial agricultural farm is over the emissions standard target or cap, then it will not be able to continue its </w:t>
      </w:r>
      <w:r w:rsidR="00426143">
        <w:rPr>
          <w:lang w:val="en-CA"/>
        </w:rPr>
        <w:t>production</w:t>
      </w:r>
      <w:r>
        <w:rPr>
          <w:lang w:val="en-CA"/>
        </w:rPr>
        <w:t xml:space="preserve">, unless it put in place measures to mitigate onsite emissions. In this regard, regulatory policies such as labelling, certification, inspection, and standardization could be used to facilitate informed decision making by consumers (Eberle </w:t>
      </w:r>
      <w:r w:rsidRPr="00381E9E">
        <w:rPr>
          <w:i/>
          <w:lang w:val="en-CA"/>
        </w:rPr>
        <w:t>et al</w:t>
      </w:r>
      <w:r>
        <w:rPr>
          <w:lang w:val="en-CA"/>
        </w:rPr>
        <w:t xml:space="preserve">., 2011; Reisch </w:t>
      </w:r>
      <w:r w:rsidRPr="00381E9E">
        <w:rPr>
          <w:i/>
          <w:lang w:val="en-CA"/>
        </w:rPr>
        <w:t>et al.,</w:t>
      </w:r>
      <w:r>
        <w:rPr>
          <w:lang w:val="en-CA"/>
        </w:rPr>
        <w:t xml:space="preserve"> 2013). In fact, from a health perspective, </w:t>
      </w:r>
      <w:r w:rsidRPr="00703100">
        <w:rPr>
          <w:color w:val="000000" w:themeColor="text1"/>
          <w:lang w:val="en-CA"/>
        </w:rPr>
        <w:t xml:space="preserve">regulatory policies (food labelling) have </w:t>
      </w:r>
      <w:r w:rsidR="00DE7EB7">
        <w:rPr>
          <w:color w:val="000000" w:themeColor="text1"/>
          <w:lang w:val="en-CA"/>
        </w:rPr>
        <w:t>reduced</w:t>
      </w:r>
      <w:r w:rsidRPr="00703100">
        <w:rPr>
          <w:color w:val="000000" w:themeColor="text1"/>
          <w:lang w:val="en-CA"/>
        </w:rPr>
        <w:t xml:space="preserve"> fat content of products, ultimately achieving public health benefits (Friel </w:t>
      </w:r>
      <w:r w:rsidRPr="00325B9E">
        <w:rPr>
          <w:i/>
          <w:color w:val="000000" w:themeColor="text1"/>
          <w:lang w:val="en-CA"/>
        </w:rPr>
        <w:t>et al.,</w:t>
      </w:r>
      <w:r w:rsidRPr="00703100">
        <w:rPr>
          <w:color w:val="000000" w:themeColor="text1"/>
          <w:lang w:val="en-CA"/>
        </w:rPr>
        <w:t xml:space="preserve"> 2009; Ratnayake et al., 2009).</w:t>
      </w:r>
      <w:r>
        <w:rPr>
          <w:color w:val="000000" w:themeColor="text1"/>
          <w:lang w:val="en-CA"/>
        </w:rPr>
        <w:t xml:space="preserve"> Likewise, environmentally-conscious labelling could focus on GHG emissions (ie. carbon labelling) (Reisch </w:t>
      </w:r>
      <w:r w:rsidRPr="00500FFC">
        <w:rPr>
          <w:i/>
          <w:color w:val="000000" w:themeColor="text1"/>
          <w:lang w:val="en-CA"/>
        </w:rPr>
        <w:t>et al.,</w:t>
      </w:r>
      <w:r>
        <w:rPr>
          <w:color w:val="000000" w:themeColor="text1"/>
          <w:lang w:val="en-CA"/>
        </w:rPr>
        <w:t xml:space="preserve"> 2013), to influence purchasing behaviour. </w:t>
      </w:r>
    </w:p>
    <w:p w14:paraId="4337FB9C" w14:textId="7D2D1A21" w:rsidR="00374D42" w:rsidRPr="0057177D" w:rsidRDefault="00812A2D" w:rsidP="00374D42">
      <w:pPr>
        <w:spacing w:line="480" w:lineRule="auto"/>
        <w:ind w:firstLine="720"/>
        <w:jc w:val="both"/>
        <w:rPr>
          <w:lang w:val="en-CA"/>
        </w:rPr>
      </w:pPr>
      <w:r>
        <w:rPr>
          <w:color w:val="000000" w:themeColor="text1"/>
          <w:lang w:val="en-CA"/>
        </w:rPr>
        <w:t>Lastly, p</w:t>
      </w:r>
      <w:r w:rsidR="00374D42">
        <w:rPr>
          <w:color w:val="000000" w:themeColor="text1"/>
          <w:lang w:val="en-CA"/>
        </w:rPr>
        <w:t xml:space="preserve">ublic procurement regulations and policies could also promote sustainable consumption in public organizations (Reisch </w:t>
      </w:r>
      <w:r w:rsidR="00374D42" w:rsidRPr="00387364">
        <w:rPr>
          <w:i/>
          <w:color w:val="000000" w:themeColor="text1"/>
          <w:lang w:val="en-CA"/>
        </w:rPr>
        <w:t>et al.,</w:t>
      </w:r>
      <w:r w:rsidR="00374D42">
        <w:rPr>
          <w:color w:val="000000" w:themeColor="text1"/>
          <w:lang w:val="en-CA"/>
        </w:rPr>
        <w:t xml:space="preserve"> 2013; Wellesley </w:t>
      </w:r>
      <w:r w:rsidR="00374D42" w:rsidRPr="004900D3">
        <w:rPr>
          <w:i/>
          <w:color w:val="000000" w:themeColor="text1"/>
          <w:lang w:val="en-CA"/>
        </w:rPr>
        <w:t>et al.,</w:t>
      </w:r>
      <w:r w:rsidR="00374D42">
        <w:rPr>
          <w:color w:val="000000" w:themeColor="text1"/>
          <w:lang w:val="en-CA"/>
        </w:rPr>
        <w:t xml:space="preserve"> 2015). Procurement regulations for catering occasions, and cafeterias in schools, hospitals, prisons, and the public sector could emphasize plant-based meal</w:t>
      </w:r>
      <w:r w:rsidR="000A3DE7">
        <w:rPr>
          <w:color w:val="000000" w:themeColor="text1"/>
          <w:lang w:val="en-CA"/>
        </w:rPr>
        <w:t>s</w:t>
      </w:r>
      <w:r w:rsidR="00374D42">
        <w:rPr>
          <w:color w:val="000000" w:themeColor="text1"/>
          <w:lang w:val="en-CA"/>
        </w:rPr>
        <w:t xml:space="preserve">, while reducing meat-based options (Wahlen </w:t>
      </w:r>
      <w:r w:rsidR="00374D42" w:rsidRPr="00387364">
        <w:rPr>
          <w:i/>
          <w:color w:val="000000" w:themeColor="text1"/>
          <w:lang w:val="en-CA"/>
        </w:rPr>
        <w:t>et al.,</w:t>
      </w:r>
      <w:r w:rsidR="00374D42">
        <w:rPr>
          <w:color w:val="000000" w:themeColor="text1"/>
          <w:lang w:val="en-CA"/>
        </w:rPr>
        <w:t xml:space="preserve"> 2012; Reisch </w:t>
      </w:r>
      <w:r w:rsidR="00374D42" w:rsidRPr="00387364">
        <w:rPr>
          <w:i/>
          <w:color w:val="000000" w:themeColor="text1"/>
          <w:lang w:val="en-CA"/>
        </w:rPr>
        <w:t>et al.,</w:t>
      </w:r>
      <w:r w:rsidR="00374D42">
        <w:rPr>
          <w:color w:val="000000" w:themeColor="text1"/>
          <w:lang w:val="en-CA"/>
        </w:rPr>
        <w:t xml:space="preserve"> 2013). The goal would be to foster support in the public sector, from a wide array of organizations, age groups, and income levels. However, in order to be effective, public procurement regulations must be adequately stringent, closely monitored, and well enforced (Dalmeny &amp; Jackson, 2010; Reisch </w:t>
      </w:r>
      <w:r w:rsidR="00374D42" w:rsidRPr="00387364">
        <w:rPr>
          <w:i/>
          <w:color w:val="000000" w:themeColor="text1"/>
          <w:lang w:val="en-CA"/>
        </w:rPr>
        <w:t>et al.,</w:t>
      </w:r>
      <w:r w:rsidR="00374D42">
        <w:rPr>
          <w:color w:val="000000" w:themeColor="text1"/>
          <w:lang w:val="en-CA"/>
        </w:rPr>
        <w:t xml:space="preserve"> 2013). Thus, p</w:t>
      </w:r>
      <w:r w:rsidR="00374D42">
        <w:rPr>
          <w:lang w:val="en-CA"/>
        </w:rPr>
        <w:t xml:space="preserve">ublic procurement strategies </w:t>
      </w:r>
      <w:r w:rsidR="000A3DE7">
        <w:rPr>
          <w:lang w:val="en-CA"/>
        </w:rPr>
        <w:t>may</w:t>
      </w:r>
      <w:r w:rsidR="00374D42">
        <w:rPr>
          <w:lang w:val="en-CA"/>
        </w:rPr>
        <w:t xml:space="preserve"> be effective with governments portraying role models to facilitate consumer transition of demand and supply for meat-based products (Mikkelsen </w:t>
      </w:r>
      <w:r w:rsidR="00374D42" w:rsidRPr="00942526">
        <w:rPr>
          <w:i/>
          <w:lang w:val="en-CA"/>
        </w:rPr>
        <w:t>et al.,</w:t>
      </w:r>
      <w:r w:rsidR="00374D42">
        <w:rPr>
          <w:lang w:val="en-CA"/>
        </w:rPr>
        <w:t xml:space="preserve"> 2006; Reisch </w:t>
      </w:r>
      <w:r w:rsidR="00374D42" w:rsidRPr="00130CCC">
        <w:rPr>
          <w:i/>
          <w:lang w:val="en-CA"/>
        </w:rPr>
        <w:t>et al.,</w:t>
      </w:r>
      <w:r w:rsidR="00374D42">
        <w:rPr>
          <w:lang w:val="en-CA"/>
        </w:rPr>
        <w:t xml:space="preserve"> 2013; </w:t>
      </w:r>
      <w:r w:rsidR="00374D42">
        <w:rPr>
          <w:color w:val="000000" w:themeColor="text1"/>
          <w:lang w:val="en-CA"/>
        </w:rPr>
        <w:t xml:space="preserve">Wellesley </w:t>
      </w:r>
      <w:r w:rsidR="00374D42" w:rsidRPr="004900D3">
        <w:rPr>
          <w:i/>
          <w:color w:val="000000" w:themeColor="text1"/>
          <w:lang w:val="en-CA"/>
        </w:rPr>
        <w:t>et al.,</w:t>
      </w:r>
      <w:r w:rsidR="00374D42">
        <w:rPr>
          <w:color w:val="000000" w:themeColor="text1"/>
          <w:lang w:val="en-CA"/>
        </w:rPr>
        <w:t xml:space="preserve"> 2015</w:t>
      </w:r>
      <w:r w:rsidR="00374D42">
        <w:rPr>
          <w:lang w:val="en-CA"/>
        </w:rPr>
        <w:t>).</w:t>
      </w:r>
    </w:p>
    <w:p w14:paraId="55BC73C6" w14:textId="77777777" w:rsidR="00374D42" w:rsidRDefault="00374D42" w:rsidP="00374D42">
      <w:pPr>
        <w:spacing w:line="480" w:lineRule="auto"/>
        <w:jc w:val="both"/>
        <w:rPr>
          <w:b/>
          <w:color w:val="C00000"/>
          <w:sz w:val="28"/>
          <w:lang w:val="en-CA"/>
        </w:rPr>
      </w:pPr>
    </w:p>
    <w:p w14:paraId="5C3A14D8" w14:textId="77777777" w:rsidR="00434603" w:rsidRDefault="00434603" w:rsidP="00374D42">
      <w:pPr>
        <w:spacing w:line="480" w:lineRule="auto"/>
        <w:jc w:val="both"/>
        <w:rPr>
          <w:b/>
          <w:color w:val="000000" w:themeColor="text1"/>
          <w:sz w:val="28"/>
          <w:lang w:val="en-CA"/>
        </w:rPr>
      </w:pPr>
    </w:p>
    <w:p w14:paraId="3B3E92C9" w14:textId="77777777" w:rsidR="00434603" w:rsidRDefault="00434603" w:rsidP="00374D42">
      <w:pPr>
        <w:spacing w:line="480" w:lineRule="auto"/>
        <w:jc w:val="both"/>
        <w:rPr>
          <w:b/>
          <w:color w:val="000000" w:themeColor="text1"/>
          <w:sz w:val="28"/>
          <w:lang w:val="en-CA"/>
        </w:rPr>
      </w:pPr>
    </w:p>
    <w:p w14:paraId="39B2668B" w14:textId="50EC0541" w:rsidR="00374D42" w:rsidRPr="009A03D0" w:rsidRDefault="008512C9" w:rsidP="00374D42">
      <w:pPr>
        <w:spacing w:line="480" w:lineRule="auto"/>
        <w:jc w:val="both"/>
        <w:rPr>
          <w:b/>
          <w:color w:val="000000" w:themeColor="text1"/>
          <w:sz w:val="28"/>
          <w:lang w:val="en-CA"/>
        </w:rPr>
      </w:pPr>
      <w:r>
        <w:rPr>
          <w:b/>
          <w:color w:val="000000" w:themeColor="text1"/>
          <w:sz w:val="28"/>
          <w:lang w:val="en-CA"/>
        </w:rPr>
        <w:lastRenderedPageBreak/>
        <w:t>I</w:t>
      </w:r>
      <w:r w:rsidR="0004375B">
        <w:rPr>
          <w:b/>
          <w:color w:val="000000" w:themeColor="text1"/>
          <w:sz w:val="28"/>
          <w:lang w:val="en-CA"/>
        </w:rPr>
        <w:t>V</w:t>
      </w:r>
      <w:r w:rsidR="00374D42" w:rsidRPr="009A03D0">
        <w:rPr>
          <w:b/>
          <w:color w:val="000000" w:themeColor="text1"/>
          <w:sz w:val="28"/>
          <w:lang w:val="en-CA"/>
        </w:rPr>
        <w:t>. Conclusion</w:t>
      </w:r>
    </w:p>
    <w:p w14:paraId="37771961" w14:textId="7A5A4887" w:rsidR="000C5BD7" w:rsidRDefault="0099770C" w:rsidP="00783E11">
      <w:pPr>
        <w:spacing w:line="480" w:lineRule="auto"/>
        <w:ind w:firstLine="720"/>
        <w:jc w:val="both"/>
        <w:rPr>
          <w:lang w:val="en-CA"/>
        </w:rPr>
      </w:pPr>
      <w:r>
        <w:rPr>
          <w:lang w:val="en-CA"/>
        </w:rPr>
        <w:t xml:space="preserve">Given the robust evidence-base regarding the negative environmental impacts associated with increasing demand for animal protein worldwide (Steinfeld </w:t>
      </w:r>
      <w:r w:rsidRPr="0099770C">
        <w:rPr>
          <w:i/>
          <w:lang w:val="en-CA"/>
        </w:rPr>
        <w:t>et al.,</w:t>
      </w:r>
      <w:r>
        <w:rPr>
          <w:lang w:val="en-CA"/>
        </w:rPr>
        <w:t xml:space="preserve"> 2006; Porter </w:t>
      </w:r>
      <w:r w:rsidRPr="0099770C">
        <w:rPr>
          <w:i/>
          <w:lang w:val="en-CA"/>
        </w:rPr>
        <w:t>et al.,</w:t>
      </w:r>
      <w:r>
        <w:rPr>
          <w:lang w:val="en-CA"/>
        </w:rPr>
        <w:t xml:space="preserve"> 2014; Sabaté &amp; Soret, 2014), </w:t>
      </w:r>
      <w:r w:rsidR="00741B3C">
        <w:rPr>
          <w:lang w:val="en-CA"/>
        </w:rPr>
        <w:t xml:space="preserve">a </w:t>
      </w:r>
      <w:r>
        <w:rPr>
          <w:lang w:val="en-CA"/>
        </w:rPr>
        <w:t xml:space="preserve">shift to plant-based diets has been increasingly suggested (Garnett, 2011; Garnett, 2013). </w:t>
      </w:r>
      <w:r w:rsidR="00741B3C">
        <w:rPr>
          <w:lang w:val="en-CA"/>
        </w:rPr>
        <w:t xml:space="preserve">However, perceived and real bottlenecks to sustainable consumption are prevalent, likely hindering widespread adoption of vegetarianism. </w:t>
      </w:r>
      <w:r w:rsidR="003A57C3">
        <w:rPr>
          <w:lang w:val="en-CA"/>
        </w:rPr>
        <w:t xml:space="preserve">Active discouragement of pro-environmental behavioural change is established from an individual to institutional level, with five key themes unveiled throughout the integrative literature review. In </w:t>
      </w:r>
      <w:r w:rsidR="008B5763">
        <w:rPr>
          <w:lang w:val="en-CA"/>
        </w:rPr>
        <w:t xml:space="preserve">increasing </w:t>
      </w:r>
      <w:r w:rsidR="003A57C3">
        <w:rPr>
          <w:lang w:val="en-CA"/>
        </w:rPr>
        <w:t>or</w:t>
      </w:r>
      <w:r w:rsidR="008B5763">
        <w:rPr>
          <w:lang w:val="en-CA"/>
        </w:rPr>
        <w:t>der of prevalence (frequency), Autonomy, C</w:t>
      </w:r>
      <w:r w:rsidR="003A57C3">
        <w:rPr>
          <w:lang w:val="en-CA"/>
        </w:rPr>
        <w:t>ognitive d</w:t>
      </w:r>
      <w:r w:rsidR="008B5763">
        <w:rPr>
          <w:lang w:val="en-CA"/>
        </w:rPr>
        <w:t>issonance, Social influence, Political economy, and I</w:t>
      </w:r>
      <w:r w:rsidR="003A57C3">
        <w:rPr>
          <w:lang w:val="en-CA"/>
        </w:rPr>
        <w:t xml:space="preserve">nformation asymmetry act as barriers to adopting a plant-based diet. Identification of these barriers is important, to further establish </w:t>
      </w:r>
      <w:r w:rsidR="00783E11">
        <w:rPr>
          <w:lang w:val="en-CA"/>
        </w:rPr>
        <w:t>targeted policy options to overcome each of the dietary bottlenecks</w:t>
      </w:r>
      <w:r w:rsidR="00464F55">
        <w:rPr>
          <w:lang w:val="en-CA"/>
        </w:rPr>
        <w:t xml:space="preserve"> respectively</w:t>
      </w:r>
      <w:r w:rsidR="00783E11">
        <w:rPr>
          <w:lang w:val="en-CA"/>
        </w:rPr>
        <w:t xml:space="preserve">. </w:t>
      </w:r>
    </w:p>
    <w:p w14:paraId="0C14C6C1" w14:textId="77777777" w:rsidR="00374D42" w:rsidRPr="00554223" w:rsidRDefault="00374D42" w:rsidP="00374D42">
      <w:pPr>
        <w:spacing w:line="480" w:lineRule="auto"/>
        <w:ind w:firstLine="720"/>
        <w:jc w:val="both"/>
        <w:rPr>
          <w:color w:val="000000" w:themeColor="text1"/>
          <w:lang w:val="en-CA"/>
        </w:rPr>
      </w:pPr>
      <w:r>
        <w:rPr>
          <w:lang w:val="en-CA"/>
        </w:rPr>
        <w:t xml:space="preserve">Though each of the aforementioned policy instruments have the potential to intrinsically and extrinsically motivate purchasing behaviour and consumption, the appropriate level of change may not be achieved. Hence, a coherent framework using a combination of policy mechanisms is likely to be the most effective in motivating </w:t>
      </w:r>
      <w:r w:rsidRPr="00554223">
        <w:rPr>
          <w:color w:val="000000" w:themeColor="text1"/>
          <w:lang w:val="en-CA"/>
        </w:rPr>
        <w:t>behaviour</w:t>
      </w:r>
      <w:r>
        <w:rPr>
          <w:color w:val="000000" w:themeColor="text1"/>
          <w:lang w:val="en-CA"/>
        </w:rPr>
        <w:t>:</w:t>
      </w:r>
      <w:r w:rsidRPr="00554223">
        <w:rPr>
          <w:color w:val="000000" w:themeColor="text1"/>
          <w:lang w:val="en-CA"/>
        </w:rPr>
        <w:t xml:space="preserve"> price changes, public education, </w:t>
      </w:r>
      <w:r>
        <w:rPr>
          <w:color w:val="000000" w:themeColor="text1"/>
          <w:lang w:val="en-CA"/>
        </w:rPr>
        <w:t xml:space="preserve">nudges, </w:t>
      </w:r>
      <w:r w:rsidRPr="00554223">
        <w:rPr>
          <w:color w:val="000000" w:themeColor="text1"/>
          <w:lang w:val="en-CA"/>
        </w:rPr>
        <w:t xml:space="preserve">and other regulations (Andreyeva </w:t>
      </w:r>
      <w:r w:rsidRPr="00554223">
        <w:rPr>
          <w:i/>
          <w:color w:val="000000" w:themeColor="text1"/>
          <w:lang w:val="en-CA"/>
        </w:rPr>
        <w:t>et al.,</w:t>
      </w:r>
      <w:r w:rsidRPr="00554223">
        <w:rPr>
          <w:color w:val="000000" w:themeColor="text1"/>
          <w:lang w:val="en-CA"/>
        </w:rPr>
        <w:t xml:space="preserve"> 2010</w:t>
      </w:r>
      <w:r>
        <w:rPr>
          <w:color w:val="000000" w:themeColor="text1"/>
          <w:lang w:val="en-CA"/>
        </w:rPr>
        <w:t xml:space="preserve">; </w:t>
      </w:r>
      <w:r>
        <w:rPr>
          <w:lang w:val="en-CA"/>
        </w:rPr>
        <w:t>de Bakker &amp; Dageovs, 2012</w:t>
      </w:r>
      <w:r w:rsidRPr="00554223">
        <w:rPr>
          <w:color w:val="000000" w:themeColor="text1"/>
          <w:lang w:val="en-CA"/>
        </w:rPr>
        <w:t xml:space="preserve">). </w:t>
      </w:r>
      <w:r>
        <w:rPr>
          <w:color w:val="000000" w:themeColor="text1"/>
          <w:lang w:val="en-CA"/>
        </w:rPr>
        <w:t xml:space="preserve">In addition, Bravo </w:t>
      </w:r>
      <w:r w:rsidRPr="00E03A41">
        <w:rPr>
          <w:i/>
          <w:color w:val="000000" w:themeColor="text1"/>
          <w:lang w:val="en-CA"/>
        </w:rPr>
        <w:t>et al.,</w:t>
      </w:r>
      <w:r>
        <w:rPr>
          <w:color w:val="000000" w:themeColor="text1"/>
          <w:lang w:val="en-CA"/>
        </w:rPr>
        <w:t xml:space="preserve"> (2013) emphasize that though taxation schemes and information campaigns orient individual consumption in the desired direction of environmental sustainability, policy mechanisms should be carefully calibrated. In order to produce significant effects, while maintaining cost-effectiveness, the target and intensity of policy instruments should be cautiously analyzed (Bravo </w:t>
      </w:r>
      <w:r w:rsidRPr="009E56BF">
        <w:rPr>
          <w:i/>
          <w:color w:val="000000" w:themeColor="text1"/>
          <w:lang w:val="en-CA"/>
        </w:rPr>
        <w:t>et al.,</w:t>
      </w:r>
      <w:r>
        <w:rPr>
          <w:color w:val="000000" w:themeColor="text1"/>
          <w:lang w:val="en-CA"/>
        </w:rPr>
        <w:t xml:space="preserve"> 2013).</w:t>
      </w:r>
    </w:p>
    <w:p w14:paraId="14198EF1" w14:textId="77777777" w:rsidR="00374D42" w:rsidRPr="009A03D0" w:rsidRDefault="00374D42" w:rsidP="00374D42">
      <w:pPr>
        <w:spacing w:line="480" w:lineRule="auto"/>
        <w:jc w:val="both"/>
        <w:rPr>
          <w:lang w:val="en-CA"/>
        </w:rPr>
      </w:pPr>
      <w:r>
        <w:rPr>
          <w:lang w:val="en-CA"/>
        </w:rPr>
        <w:lastRenderedPageBreak/>
        <w:tab/>
      </w:r>
      <w:r>
        <w:t xml:space="preserve">In addition, coordinated inter-sectoral cooperation and action between agricultural, environmental, health organizations, in addition to support from governments and NGOs, are needed to push effective change (Friel </w:t>
      </w:r>
      <w:r w:rsidRPr="00983126">
        <w:rPr>
          <w:i/>
        </w:rPr>
        <w:t>et al</w:t>
      </w:r>
      <w:r>
        <w:t xml:space="preserve">., 2009). Cooperation among may sectors will facilitate solutions to provide effective, affordable, healthy, and low-emissions diets in developed nations (Friel </w:t>
      </w:r>
      <w:r w:rsidRPr="00983126">
        <w:rPr>
          <w:i/>
        </w:rPr>
        <w:t>et al.,</w:t>
      </w:r>
      <w:r>
        <w:t xml:space="preserve"> 2009; Joyce </w:t>
      </w:r>
      <w:r>
        <w:rPr>
          <w:i/>
        </w:rPr>
        <w:t xml:space="preserve">et al., </w:t>
      </w:r>
      <w:r>
        <w:t xml:space="preserve">2014). </w:t>
      </w:r>
      <w:r>
        <w:rPr>
          <w:lang w:val="en-CA"/>
        </w:rPr>
        <w:t xml:space="preserve">Thus, given consumption behaviour is morally complex, and driven by many factors (de Bakker &amp; Dagevos, 2012), a combination of approaches would help to address more than one factor. By tackling different routes of change, a wider population can be reached to transform behaviour towards sustainable consumption (de Bakker &amp; Dageovs, 2012). </w:t>
      </w:r>
    </w:p>
    <w:p w14:paraId="338D6933" w14:textId="065207D3" w:rsidR="00374D42" w:rsidRDefault="00374D42" w:rsidP="00374D42">
      <w:pPr>
        <w:spacing w:line="480" w:lineRule="auto"/>
        <w:ind w:firstLine="720"/>
        <w:jc w:val="both"/>
        <w:rPr>
          <w:lang w:val="en-CA"/>
        </w:rPr>
      </w:pPr>
      <w:r>
        <w:rPr>
          <w:lang w:val="en-CA"/>
        </w:rPr>
        <w:t xml:space="preserve">Reducing meat consumption seems inescapable in order to mitigate the impacts associated with industrial animal agriculture. </w:t>
      </w:r>
      <w:r w:rsidRPr="007307F6">
        <w:rPr>
          <w:lang w:val="en-CA"/>
        </w:rPr>
        <w:t>Climate change necessitates radical action</w:t>
      </w:r>
      <w:r>
        <w:rPr>
          <w:lang w:val="en-CA"/>
        </w:rPr>
        <w:t xml:space="preserve"> (McMichael </w:t>
      </w:r>
      <w:r w:rsidRPr="00781C85">
        <w:rPr>
          <w:i/>
          <w:lang w:val="en-CA"/>
        </w:rPr>
        <w:t>et al.,</w:t>
      </w:r>
      <w:r>
        <w:rPr>
          <w:lang w:val="en-CA"/>
        </w:rPr>
        <w:t xml:space="preserve"> 2007), and governments need to reconsider previous assumptions that support of meat reduction is too risky and unviable (</w:t>
      </w:r>
      <w:r>
        <w:rPr>
          <w:color w:val="000000" w:themeColor="text1"/>
          <w:lang w:val="en-CA"/>
        </w:rPr>
        <w:t xml:space="preserve">Wellesley </w:t>
      </w:r>
      <w:r w:rsidRPr="004900D3">
        <w:rPr>
          <w:i/>
          <w:color w:val="000000" w:themeColor="text1"/>
          <w:lang w:val="en-CA"/>
        </w:rPr>
        <w:t>et al.,</w:t>
      </w:r>
      <w:r>
        <w:rPr>
          <w:color w:val="000000" w:themeColor="text1"/>
          <w:lang w:val="en-CA"/>
        </w:rPr>
        <w:t xml:space="preserve"> 2015</w:t>
      </w:r>
      <w:r>
        <w:rPr>
          <w:lang w:val="en-CA"/>
        </w:rPr>
        <w:t xml:space="preserve">). Government capacity to </w:t>
      </w:r>
      <w:r w:rsidR="00464F55">
        <w:rPr>
          <w:lang w:val="en-CA"/>
        </w:rPr>
        <w:t xml:space="preserve">overcome the synthesized barriers and </w:t>
      </w:r>
      <w:r>
        <w:rPr>
          <w:lang w:val="en-CA"/>
        </w:rPr>
        <w:t xml:space="preserve">influence public dietary choices is actually growing, given the </w:t>
      </w:r>
      <w:r w:rsidR="008B5763">
        <w:rPr>
          <w:lang w:val="en-CA"/>
        </w:rPr>
        <w:t>increasing</w:t>
      </w:r>
      <w:r>
        <w:rPr>
          <w:lang w:val="en-CA"/>
        </w:rPr>
        <w:t xml:space="preserve"> concern of obesity and heart disease in developed countries, in addition to environmental considerations associated with industrial livestock agriculture (</w:t>
      </w:r>
      <w:r>
        <w:rPr>
          <w:color w:val="000000" w:themeColor="text1"/>
          <w:lang w:val="en-CA"/>
        </w:rPr>
        <w:t xml:space="preserve">Wellesley </w:t>
      </w:r>
      <w:r w:rsidRPr="004900D3">
        <w:rPr>
          <w:i/>
          <w:color w:val="000000" w:themeColor="text1"/>
          <w:lang w:val="en-CA"/>
        </w:rPr>
        <w:t>et al.,</w:t>
      </w:r>
      <w:r>
        <w:rPr>
          <w:color w:val="000000" w:themeColor="text1"/>
          <w:lang w:val="en-CA"/>
        </w:rPr>
        <w:t xml:space="preserve"> 2015). </w:t>
      </w:r>
    </w:p>
    <w:p w14:paraId="5309A577" w14:textId="77777777" w:rsidR="00374D42" w:rsidRDefault="00374D42"/>
    <w:p w14:paraId="5B5743D0" w14:textId="77777777" w:rsidR="00261AD7" w:rsidRDefault="00261AD7" w:rsidP="00EE7457">
      <w:pPr>
        <w:spacing w:line="480" w:lineRule="auto"/>
        <w:jc w:val="both"/>
        <w:rPr>
          <w:b/>
          <w:color w:val="000000" w:themeColor="text1"/>
          <w:sz w:val="28"/>
          <w:lang w:val="en-CA"/>
        </w:rPr>
      </w:pPr>
    </w:p>
    <w:p w14:paraId="1402EE24" w14:textId="77777777" w:rsidR="008B5763" w:rsidRDefault="008B5763" w:rsidP="00EE7457">
      <w:pPr>
        <w:spacing w:line="480" w:lineRule="auto"/>
        <w:jc w:val="both"/>
        <w:rPr>
          <w:b/>
          <w:color w:val="000000" w:themeColor="text1"/>
          <w:sz w:val="28"/>
          <w:lang w:val="en-CA"/>
        </w:rPr>
      </w:pPr>
    </w:p>
    <w:p w14:paraId="4F768F4D" w14:textId="77777777" w:rsidR="008B5763" w:rsidRDefault="008B5763" w:rsidP="00EE7457">
      <w:pPr>
        <w:spacing w:line="480" w:lineRule="auto"/>
        <w:jc w:val="both"/>
        <w:rPr>
          <w:b/>
          <w:color w:val="000000" w:themeColor="text1"/>
          <w:sz w:val="28"/>
          <w:lang w:val="en-CA"/>
        </w:rPr>
      </w:pPr>
    </w:p>
    <w:p w14:paraId="12646DF8" w14:textId="77777777" w:rsidR="008B5763" w:rsidRDefault="008B5763" w:rsidP="00EE7457">
      <w:pPr>
        <w:spacing w:line="480" w:lineRule="auto"/>
        <w:jc w:val="both"/>
        <w:rPr>
          <w:b/>
          <w:color w:val="000000" w:themeColor="text1"/>
          <w:sz w:val="28"/>
          <w:lang w:val="en-CA"/>
        </w:rPr>
      </w:pPr>
    </w:p>
    <w:p w14:paraId="31DB7346" w14:textId="77777777" w:rsidR="008B5763" w:rsidRDefault="008B5763" w:rsidP="00EE7457">
      <w:pPr>
        <w:spacing w:line="480" w:lineRule="auto"/>
        <w:jc w:val="both"/>
        <w:rPr>
          <w:b/>
          <w:color w:val="000000" w:themeColor="text1"/>
          <w:sz w:val="28"/>
          <w:lang w:val="en-CA"/>
        </w:rPr>
      </w:pPr>
    </w:p>
    <w:p w14:paraId="21CACB7D" w14:textId="79FA3291" w:rsidR="00822C73" w:rsidRPr="004115E9" w:rsidRDefault="00822C73" w:rsidP="004115E9">
      <w:pPr>
        <w:spacing w:line="480" w:lineRule="auto"/>
        <w:jc w:val="both"/>
        <w:rPr>
          <w:b/>
          <w:color w:val="000000" w:themeColor="text1"/>
          <w:sz w:val="32"/>
          <w:u w:val="single"/>
          <w:lang w:val="en-CA"/>
        </w:rPr>
      </w:pPr>
      <w:r w:rsidRPr="00423601">
        <w:rPr>
          <w:b/>
          <w:color w:val="000000" w:themeColor="text1"/>
          <w:sz w:val="32"/>
          <w:u w:val="single"/>
          <w:lang w:val="en-CA"/>
        </w:rPr>
        <w:lastRenderedPageBreak/>
        <w:t>References</w:t>
      </w:r>
    </w:p>
    <w:p w14:paraId="7BED4F27" w14:textId="77777777" w:rsidR="00822C73" w:rsidRPr="00C02067" w:rsidRDefault="00822C73" w:rsidP="00822C73">
      <w:pPr>
        <w:rPr>
          <w:sz w:val="22"/>
          <w:szCs w:val="22"/>
        </w:rPr>
      </w:pPr>
      <w:r w:rsidRPr="00C02067">
        <w:rPr>
          <w:sz w:val="22"/>
          <w:szCs w:val="22"/>
        </w:rPr>
        <w:t xml:space="preserve">Abrams, K.M., Meyers, C.A., Irani, T.A. 2010. Naturally confused: Consumers’ perceptions of all-natural and organic pork products. Agriculture and Human Values. 27: 365-374. </w:t>
      </w:r>
    </w:p>
    <w:p w14:paraId="5A0275B7" w14:textId="77777777" w:rsidR="00822C73" w:rsidRPr="00C02067" w:rsidRDefault="00822C73" w:rsidP="00822C73">
      <w:pPr>
        <w:rPr>
          <w:sz w:val="22"/>
          <w:szCs w:val="22"/>
        </w:rPr>
      </w:pPr>
    </w:p>
    <w:p w14:paraId="2B6AD2B6" w14:textId="77777777" w:rsidR="00822C73" w:rsidRPr="00C02067" w:rsidRDefault="00822C73" w:rsidP="00822C73">
      <w:pPr>
        <w:rPr>
          <w:sz w:val="22"/>
          <w:szCs w:val="22"/>
        </w:rPr>
      </w:pPr>
      <w:r w:rsidRPr="00C02067">
        <w:rPr>
          <w:sz w:val="22"/>
          <w:szCs w:val="22"/>
        </w:rPr>
        <w:t>Agriculture and Agri-Food Canada (AAFC). 2000. Reducing greenhouse gas emissions from Canadian agriculture. Options report prepared by the Agriculture and Agri-Food Canada Climate Change Table. Publication no. 2028/E. Agriculture and Agri-Food Canada. Ottawa, Ontario. 72 pages.</w:t>
      </w:r>
    </w:p>
    <w:p w14:paraId="3C2252CE" w14:textId="77777777" w:rsidR="00822C73" w:rsidRPr="00C02067" w:rsidRDefault="00822C73" w:rsidP="00822C73">
      <w:pPr>
        <w:rPr>
          <w:sz w:val="22"/>
          <w:szCs w:val="22"/>
        </w:rPr>
      </w:pPr>
    </w:p>
    <w:p w14:paraId="0BCF75A4" w14:textId="77777777" w:rsidR="00822C73" w:rsidRPr="00C02067" w:rsidRDefault="00822C73" w:rsidP="00822C73">
      <w:pPr>
        <w:rPr>
          <w:sz w:val="22"/>
          <w:szCs w:val="22"/>
        </w:rPr>
      </w:pPr>
      <w:r w:rsidRPr="00C02067">
        <w:rPr>
          <w:sz w:val="22"/>
          <w:szCs w:val="22"/>
        </w:rPr>
        <w:t>Agriculture and Agri-Food Canada (AAFC). 2014. Per capita consumption. Agriculture and Agri-Food Canada. Ottawa, Ontario Retrieved January, 2016 from: http://www.agr.gc.ca/eng/industry-markets-and-trade/statistics-and-market-information/by-product-sector/poultry-and-eggs/poultry-and-egg-market-information/industry-indicators/per-capita-consumption/?id=1384971854413.</w:t>
      </w:r>
    </w:p>
    <w:p w14:paraId="30E0CF06" w14:textId="77777777" w:rsidR="00822C73" w:rsidRPr="00C02067" w:rsidRDefault="00822C73" w:rsidP="00822C73">
      <w:pPr>
        <w:rPr>
          <w:sz w:val="22"/>
          <w:szCs w:val="22"/>
        </w:rPr>
      </w:pPr>
    </w:p>
    <w:p w14:paraId="3B72E6BB" w14:textId="77777777" w:rsidR="00822C73" w:rsidRPr="00C02067" w:rsidRDefault="00822C73" w:rsidP="00822C73">
      <w:pPr>
        <w:rPr>
          <w:sz w:val="22"/>
          <w:szCs w:val="22"/>
        </w:rPr>
      </w:pPr>
      <w:r w:rsidRPr="00C02067">
        <w:rPr>
          <w:sz w:val="22"/>
          <w:szCs w:val="22"/>
        </w:rPr>
        <w:t>Agriculture and Agri-Food Canada (AAFC). 2015a. An overview of the Canadian Agriculture and Agri-Food system 2015. Agriculture and Agri-Food Canada. Ottawa, Ontario Retrieved March, 2016 from: http://www.agr.gc.ca/eng/about-us/publications/economic-publications/alphabetical-listing/an-overview-of-the-canadian-agriculture-and-agri-food-system-2015/?id=1428439111783. Ottawa, Ontario.</w:t>
      </w:r>
    </w:p>
    <w:p w14:paraId="420A6DB3" w14:textId="77777777" w:rsidR="00822C73" w:rsidRPr="00C02067" w:rsidRDefault="00822C73" w:rsidP="00822C73">
      <w:pPr>
        <w:rPr>
          <w:sz w:val="22"/>
          <w:szCs w:val="22"/>
        </w:rPr>
      </w:pPr>
    </w:p>
    <w:p w14:paraId="251F36BC" w14:textId="77777777" w:rsidR="00822C73" w:rsidRPr="00C02067" w:rsidRDefault="00822C73" w:rsidP="00822C73">
      <w:pPr>
        <w:rPr>
          <w:sz w:val="22"/>
          <w:szCs w:val="22"/>
        </w:rPr>
      </w:pPr>
      <w:r w:rsidRPr="00C02067">
        <w:rPr>
          <w:sz w:val="22"/>
          <w:szCs w:val="22"/>
        </w:rPr>
        <w:t>Agriculture and Agri-Food Canada (AAFC). 2015b. Supply management 101. Agriculture and Agri-Food Canada. Ottawa, Ontario Retrieved March, 2016 from: http://www.agr.gc.ca/eng/industry-markets-and-trade/agri-food-trade-policy/current-negotiations/bilateral-and-regional-negotiations-and-initiatives/trans-pacific-partnership/supply-management-101/?id=1443191400607. Ottawa, Ontario.</w:t>
      </w:r>
    </w:p>
    <w:p w14:paraId="39838172" w14:textId="77777777" w:rsidR="00822C73" w:rsidRPr="00C02067" w:rsidRDefault="00822C73" w:rsidP="00822C73">
      <w:pPr>
        <w:rPr>
          <w:sz w:val="22"/>
          <w:szCs w:val="22"/>
        </w:rPr>
      </w:pPr>
    </w:p>
    <w:p w14:paraId="0509C045" w14:textId="77777777" w:rsidR="00822C73" w:rsidRPr="00C02067" w:rsidRDefault="00822C73" w:rsidP="00822C73">
      <w:pPr>
        <w:pStyle w:val="CommentText"/>
        <w:rPr>
          <w:sz w:val="22"/>
          <w:szCs w:val="22"/>
        </w:rPr>
      </w:pPr>
      <w:r w:rsidRPr="00C02067">
        <w:rPr>
          <w:sz w:val="22"/>
          <w:szCs w:val="22"/>
        </w:rPr>
        <w:t xml:space="preserve">Agriculture and Agri-Food Canada (AAFC). 2016. Red meat and market livestock information – Canadian industry. Retrieved May, 2016 from: http://www.agr.gc.ca/eng/industry-markets-and-trade/statistics-and-market-information/by-product-sector/red-meat-and-livestock/red-meat-and-livestock-market-information/?id=1415860000001. Ottawa, Ontario. Government of Canada. </w:t>
      </w:r>
    </w:p>
    <w:p w14:paraId="6221BFFA" w14:textId="77777777" w:rsidR="00822C73" w:rsidRPr="00C02067" w:rsidRDefault="00822C73" w:rsidP="00822C73">
      <w:pPr>
        <w:rPr>
          <w:sz w:val="22"/>
          <w:szCs w:val="22"/>
        </w:rPr>
      </w:pPr>
    </w:p>
    <w:p w14:paraId="43CEBA67" w14:textId="77777777" w:rsidR="00822C73" w:rsidRPr="00C02067" w:rsidRDefault="00822C73" w:rsidP="00822C73">
      <w:pPr>
        <w:rPr>
          <w:sz w:val="22"/>
          <w:szCs w:val="22"/>
        </w:rPr>
      </w:pPr>
      <w:r w:rsidRPr="00C02067">
        <w:rPr>
          <w:sz w:val="22"/>
          <w:szCs w:val="22"/>
        </w:rPr>
        <w:t xml:space="preserve">Aiking, H., de Boer, J., Vereijken, J. (eds). 2006. Sustainable protein production and consumption: pigs or peas? Springer, Dordrecht. </w:t>
      </w:r>
    </w:p>
    <w:p w14:paraId="6CD1E06D" w14:textId="77777777" w:rsidR="00822C73" w:rsidRPr="00C02067" w:rsidRDefault="00822C73" w:rsidP="00822C73">
      <w:pPr>
        <w:rPr>
          <w:sz w:val="22"/>
          <w:szCs w:val="22"/>
        </w:rPr>
      </w:pPr>
    </w:p>
    <w:p w14:paraId="4A9B9BB9" w14:textId="77777777" w:rsidR="00822C73" w:rsidRPr="00C02067" w:rsidRDefault="00822C73" w:rsidP="00822C73">
      <w:pPr>
        <w:pStyle w:val="CommentText"/>
        <w:rPr>
          <w:sz w:val="22"/>
          <w:szCs w:val="22"/>
        </w:rPr>
      </w:pPr>
      <w:r w:rsidRPr="00C02067">
        <w:rPr>
          <w:sz w:val="22"/>
          <w:szCs w:val="22"/>
        </w:rPr>
        <w:t xml:space="preserve">Akerlof, G.A. 1970. The market for “lemons”: Quality uncertainty and the market mechanism. The Quarterly Journal of Economics. 84(3): 488-500. </w:t>
      </w:r>
    </w:p>
    <w:p w14:paraId="4EB1F839" w14:textId="77777777" w:rsidR="00822C73" w:rsidRPr="00C02067" w:rsidRDefault="00822C73" w:rsidP="00822C73">
      <w:pPr>
        <w:rPr>
          <w:sz w:val="22"/>
          <w:szCs w:val="22"/>
        </w:rPr>
      </w:pPr>
    </w:p>
    <w:p w14:paraId="1C8C91C1" w14:textId="77777777" w:rsidR="00822C73" w:rsidRPr="00C02067" w:rsidRDefault="00822C73" w:rsidP="00822C73">
      <w:pPr>
        <w:rPr>
          <w:sz w:val="22"/>
          <w:szCs w:val="22"/>
        </w:rPr>
      </w:pPr>
      <w:r w:rsidRPr="00C02067">
        <w:rPr>
          <w:sz w:val="22"/>
          <w:szCs w:val="22"/>
        </w:rPr>
        <w:t xml:space="preserve">Allodi, M., Chikobava, D., Lappalainen, J., Tarhonen, N. 2015. Towards sustainable diets: Decreasing meat consumption. Thesis. </w:t>
      </w:r>
      <w:r w:rsidRPr="00C02067">
        <w:rPr>
          <w:color w:val="000000" w:themeColor="text1"/>
          <w:sz w:val="22"/>
          <w:szCs w:val="22"/>
        </w:rPr>
        <w:t xml:space="preserve">Helsingin Yliopisto. </w:t>
      </w:r>
    </w:p>
    <w:p w14:paraId="57C053EE" w14:textId="77777777" w:rsidR="00822C73" w:rsidRPr="00C02067" w:rsidRDefault="00822C73" w:rsidP="00822C73">
      <w:pPr>
        <w:rPr>
          <w:sz w:val="22"/>
          <w:szCs w:val="22"/>
        </w:rPr>
      </w:pPr>
    </w:p>
    <w:p w14:paraId="0860C1DB" w14:textId="77777777" w:rsidR="00822C73" w:rsidRPr="00C02067" w:rsidRDefault="00822C73" w:rsidP="00822C73">
      <w:pPr>
        <w:rPr>
          <w:sz w:val="22"/>
          <w:szCs w:val="22"/>
        </w:rPr>
      </w:pPr>
      <w:r w:rsidRPr="00C02067">
        <w:rPr>
          <w:sz w:val="22"/>
          <w:szCs w:val="22"/>
        </w:rPr>
        <w:t>American Diabetic Association (ADA). 2003. Position of the American dietetic association and dieticians of Canada: vegetarian diets. Journal of the American Dietetic Association. 103(6): 748-764.</w:t>
      </w:r>
    </w:p>
    <w:p w14:paraId="02F9B3B9" w14:textId="77777777" w:rsidR="00822C73" w:rsidRPr="00C02067" w:rsidRDefault="00822C73" w:rsidP="00822C73">
      <w:pPr>
        <w:rPr>
          <w:sz w:val="22"/>
          <w:szCs w:val="22"/>
        </w:rPr>
      </w:pPr>
    </w:p>
    <w:p w14:paraId="4070666C" w14:textId="77777777" w:rsidR="00822C73" w:rsidRPr="00C02067" w:rsidRDefault="00822C73" w:rsidP="00822C73">
      <w:pPr>
        <w:rPr>
          <w:sz w:val="22"/>
          <w:szCs w:val="22"/>
        </w:rPr>
      </w:pPr>
      <w:r w:rsidRPr="00C02067">
        <w:rPr>
          <w:sz w:val="22"/>
          <w:szCs w:val="22"/>
        </w:rPr>
        <w:t>Amon, B., Kryvoruchko, V., Moitzi, G., Amon, T. 2006. Greenhouse has and ammonia emission abatement by slurry treatment. International Congress Series. 1293: 295-298.</w:t>
      </w:r>
    </w:p>
    <w:p w14:paraId="33160924" w14:textId="77777777" w:rsidR="00822C73" w:rsidRPr="00C02067" w:rsidRDefault="00822C73" w:rsidP="00822C73">
      <w:pPr>
        <w:rPr>
          <w:sz w:val="22"/>
          <w:szCs w:val="22"/>
        </w:rPr>
      </w:pPr>
    </w:p>
    <w:p w14:paraId="6F6974A1" w14:textId="77777777" w:rsidR="00822C73" w:rsidRPr="00C02067" w:rsidRDefault="00822C73" w:rsidP="00822C73">
      <w:pPr>
        <w:shd w:val="clear" w:color="auto" w:fill="FFFFFF"/>
        <w:rPr>
          <w:rFonts w:eastAsia="Arial Unicode MS"/>
          <w:color w:val="000000"/>
          <w:sz w:val="22"/>
          <w:szCs w:val="22"/>
        </w:rPr>
      </w:pPr>
      <w:r w:rsidRPr="00C02067">
        <w:rPr>
          <w:rFonts w:eastAsia="Arial Unicode MS"/>
          <w:color w:val="000000"/>
          <w:sz w:val="22"/>
          <w:szCs w:val="22"/>
        </w:rPr>
        <w:t xml:space="preserve">Andersen, K., Kuhn, K., A.U.M. 2014. Films &amp; Media (Organization),, &amp; First Spark Media,. </w:t>
      </w:r>
      <w:r w:rsidRPr="00C02067">
        <w:rPr>
          <w:rFonts w:eastAsia="Arial Unicode MS"/>
          <w:iCs/>
          <w:color w:val="000000"/>
          <w:sz w:val="22"/>
          <w:szCs w:val="22"/>
        </w:rPr>
        <w:t>Cowspiracy: The sustainability secret</w:t>
      </w:r>
      <w:r w:rsidRPr="00C02067">
        <w:rPr>
          <w:rFonts w:eastAsia="Arial Unicode MS"/>
          <w:color w:val="000000"/>
          <w:sz w:val="22"/>
          <w:szCs w:val="22"/>
        </w:rPr>
        <w:t>.</w:t>
      </w:r>
    </w:p>
    <w:p w14:paraId="3BAC3A6D" w14:textId="77777777" w:rsidR="00822C73" w:rsidRPr="00C02067" w:rsidRDefault="00822C73" w:rsidP="00822C73">
      <w:pPr>
        <w:shd w:val="clear" w:color="auto" w:fill="FFFFFF"/>
        <w:rPr>
          <w:rFonts w:eastAsia="Arial Unicode MS"/>
          <w:color w:val="000000"/>
          <w:sz w:val="22"/>
          <w:szCs w:val="22"/>
        </w:rPr>
      </w:pPr>
    </w:p>
    <w:p w14:paraId="594A3DD7" w14:textId="77777777" w:rsidR="00822C73" w:rsidRPr="00C02067" w:rsidRDefault="00822C73" w:rsidP="00822C73">
      <w:pPr>
        <w:shd w:val="clear" w:color="auto" w:fill="FFFFFF"/>
        <w:rPr>
          <w:rFonts w:eastAsia="Arial Unicode MS"/>
          <w:color w:val="000000"/>
          <w:sz w:val="22"/>
          <w:szCs w:val="22"/>
        </w:rPr>
      </w:pPr>
      <w:r w:rsidRPr="00C02067">
        <w:rPr>
          <w:sz w:val="22"/>
          <w:szCs w:val="22"/>
        </w:rPr>
        <w:t>Andreyeva, T., Long, M.W., Brownell, K.D. 2010. The impact of food prices on consumption: A systematic review of research on the price elasticity of demand for food. American Journal of Public Health. 100(2): 216-222.</w:t>
      </w:r>
    </w:p>
    <w:p w14:paraId="10333D92" w14:textId="77777777" w:rsidR="00822C73" w:rsidRPr="00C02067" w:rsidRDefault="00822C73" w:rsidP="00822C73">
      <w:pPr>
        <w:shd w:val="clear" w:color="auto" w:fill="FFFFFF"/>
        <w:rPr>
          <w:rFonts w:eastAsia="Arial Unicode MS"/>
          <w:color w:val="000000"/>
          <w:sz w:val="22"/>
          <w:szCs w:val="22"/>
        </w:rPr>
      </w:pPr>
    </w:p>
    <w:p w14:paraId="18CDC310" w14:textId="77777777" w:rsidR="00822C73" w:rsidRPr="00C02067" w:rsidRDefault="00822C73" w:rsidP="00822C73">
      <w:pPr>
        <w:shd w:val="clear" w:color="auto" w:fill="FFFFFF"/>
        <w:rPr>
          <w:rFonts w:eastAsia="Arial Unicode MS"/>
          <w:color w:val="000000"/>
          <w:sz w:val="22"/>
          <w:szCs w:val="22"/>
        </w:rPr>
      </w:pPr>
      <w:r w:rsidRPr="00C02067">
        <w:rPr>
          <w:sz w:val="22"/>
          <w:szCs w:val="22"/>
        </w:rPr>
        <w:t xml:space="preserve">Arnould, E.J., Thompson, C.J. 2005. Consumer culture theory (CCT): Twenty years of research. Journal of Consumer Research. 31(4): 868-882. </w:t>
      </w:r>
    </w:p>
    <w:p w14:paraId="28C0F90E" w14:textId="77777777" w:rsidR="00822C73" w:rsidRPr="00C02067" w:rsidRDefault="00822C73" w:rsidP="00822C73">
      <w:pPr>
        <w:pStyle w:val="CommentText"/>
        <w:rPr>
          <w:sz w:val="22"/>
          <w:szCs w:val="22"/>
        </w:rPr>
      </w:pPr>
    </w:p>
    <w:p w14:paraId="0E1F696D" w14:textId="77777777" w:rsidR="00822C73" w:rsidRPr="00C02067" w:rsidRDefault="00822C73" w:rsidP="00822C73">
      <w:pPr>
        <w:pStyle w:val="CommentText"/>
        <w:rPr>
          <w:sz w:val="22"/>
          <w:szCs w:val="22"/>
        </w:rPr>
      </w:pPr>
      <w:r w:rsidRPr="00C02067">
        <w:rPr>
          <w:sz w:val="22"/>
          <w:szCs w:val="22"/>
        </w:rPr>
        <w:t xml:space="preserve">Asch, S.E. 1961. Issues in the study of social influences on judgment (pp. 143-158). In Berg, I.A., Bass, B.M. 1961. Conformity and deviation. New York, US: Harper and Brothers. pp. 449. </w:t>
      </w:r>
    </w:p>
    <w:p w14:paraId="661C3E2E" w14:textId="77777777" w:rsidR="00822C73" w:rsidRPr="00C02067" w:rsidRDefault="00822C73" w:rsidP="00822C73">
      <w:pPr>
        <w:rPr>
          <w:sz w:val="22"/>
          <w:szCs w:val="22"/>
        </w:rPr>
      </w:pPr>
    </w:p>
    <w:p w14:paraId="648A64C4" w14:textId="77777777" w:rsidR="00822C73" w:rsidRPr="00C02067" w:rsidRDefault="00822C73" w:rsidP="00822C73">
      <w:pPr>
        <w:rPr>
          <w:sz w:val="22"/>
          <w:szCs w:val="22"/>
        </w:rPr>
      </w:pPr>
      <w:r w:rsidRPr="00C02067">
        <w:rPr>
          <w:sz w:val="22"/>
          <w:szCs w:val="22"/>
        </w:rPr>
        <w:t xml:space="preserve">Asner, G.P., Elmore, A.J., Olander, L.P., Martin, R.E., Harris, A.T. 2004. Grazing systems, ecosystem response and global change. Annual Review of Environment and Resources. 29: 261-299. </w:t>
      </w:r>
    </w:p>
    <w:p w14:paraId="2C48AF49" w14:textId="77777777" w:rsidR="00822C73" w:rsidRPr="00C02067" w:rsidRDefault="00822C73" w:rsidP="00822C73">
      <w:pPr>
        <w:rPr>
          <w:sz w:val="22"/>
          <w:szCs w:val="22"/>
        </w:rPr>
      </w:pPr>
    </w:p>
    <w:p w14:paraId="7B795590" w14:textId="77777777" w:rsidR="00822C73" w:rsidRPr="00C02067" w:rsidRDefault="00822C73" w:rsidP="00822C73">
      <w:pPr>
        <w:rPr>
          <w:sz w:val="22"/>
          <w:szCs w:val="22"/>
        </w:rPr>
      </w:pPr>
      <w:r w:rsidRPr="00C02067">
        <w:rPr>
          <w:sz w:val="22"/>
          <w:szCs w:val="22"/>
        </w:rPr>
        <w:t xml:space="preserve">Audsley, E., Brander, M., Chatterton, J., Murphy-Bokern, D., Webster, C., Williams, A. 2009. How long can we go? An assessment of greenhouse gas emissions from the UK food system and the scope to reduce them by 2050. Food Climate Research Network &amp; WWF. London, UK. </w:t>
      </w:r>
    </w:p>
    <w:p w14:paraId="78D4718A" w14:textId="77777777" w:rsidR="00822C73" w:rsidRPr="00C02067" w:rsidRDefault="00822C73" w:rsidP="00822C73">
      <w:pPr>
        <w:rPr>
          <w:sz w:val="22"/>
          <w:szCs w:val="22"/>
        </w:rPr>
      </w:pPr>
    </w:p>
    <w:p w14:paraId="0914C1A2" w14:textId="77777777" w:rsidR="00822C73" w:rsidRPr="00C02067" w:rsidRDefault="00822C73" w:rsidP="00822C73">
      <w:pPr>
        <w:rPr>
          <w:sz w:val="22"/>
          <w:szCs w:val="22"/>
          <w:lang w:val="en-CA"/>
        </w:rPr>
      </w:pPr>
      <w:r w:rsidRPr="00C02067">
        <w:rPr>
          <w:sz w:val="22"/>
          <w:szCs w:val="22"/>
          <w:lang w:val="en-CA"/>
        </w:rPr>
        <w:t xml:space="preserve">Bardone-Cone, A.M., Fitzsimmons-Craft, E.E., Harney, M.B., Maldonado, C.R., Lawson, M.A., Smith, R., Robinson, P. 2012. The inter-relationships between vegetarianism and eating disorders among females. Journal of the Academy of Nutrition and Dietetics. 112: 1247-1252. </w:t>
      </w:r>
    </w:p>
    <w:p w14:paraId="7C55191F" w14:textId="77777777" w:rsidR="00822C73" w:rsidRPr="00C02067" w:rsidRDefault="00822C73" w:rsidP="00822C73">
      <w:pPr>
        <w:pStyle w:val="CommentText"/>
        <w:rPr>
          <w:sz w:val="22"/>
          <w:szCs w:val="22"/>
        </w:rPr>
      </w:pPr>
    </w:p>
    <w:p w14:paraId="67B1C015" w14:textId="77777777" w:rsidR="00822C73" w:rsidRPr="00C02067" w:rsidRDefault="00822C73" w:rsidP="00822C73">
      <w:pPr>
        <w:pStyle w:val="CommentText"/>
        <w:rPr>
          <w:sz w:val="22"/>
          <w:szCs w:val="22"/>
        </w:rPr>
      </w:pPr>
      <w:r w:rsidRPr="00C02067">
        <w:rPr>
          <w:sz w:val="22"/>
          <w:szCs w:val="22"/>
        </w:rPr>
        <w:t>Bargh, J.A., Morsella, E. 2008. The unconscious mind. Perspectives on Psychological Science. 3: 73-79.</w:t>
      </w:r>
    </w:p>
    <w:p w14:paraId="2922CF5B" w14:textId="77777777" w:rsidR="00822C73" w:rsidRPr="00C02067" w:rsidRDefault="00822C73" w:rsidP="00822C73">
      <w:pPr>
        <w:pStyle w:val="CommentText"/>
        <w:rPr>
          <w:sz w:val="22"/>
          <w:szCs w:val="22"/>
        </w:rPr>
      </w:pPr>
    </w:p>
    <w:p w14:paraId="377994D9"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 xml:space="preserve">Baroni, L., Cenci, L., Tettamanti, M., Berati, M. 2007. Evaluating the environmental impact of various dietary patterns combined with different food production systems. European Journal of Clinical Nutrition. 61: 279-286. </w:t>
      </w:r>
    </w:p>
    <w:p w14:paraId="4E502AEA" w14:textId="77777777" w:rsidR="00822C73" w:rsidRPr="00C02067" w:rsidRDefault="00822C73" w:rsidP="00822C73">
      <w:pPr>
        <w:rPr>
          <w:sz w:val="22"/>
          <w:szCs w:val="22"/>
        </w:rPr>
      </w:pPr>
    </w:p>
    <w:p w14:paraId="748B23ED" w14:textId="77777777" w:rsidR="00822C73" w:rsidRPr="00C02067" w:rsidRDefault="00822C73" w:rsidP="00822C73">
      <w:pPr>
        <w:rPr>
          <w:sz w:val="22"/>
          <w:szCs w:val="22"/>
          <w:lang w:val="en-CA"/>
        </w:rPr>
      </w:pPr>
      <w:r w:rsidRPr="00C02067">
        <w:rPr>
          <w:sz w:val="22"/>
          <w:szCs w:val="22"/>
          <w:lang w:val="en-CA"/>
        </w:rPr>
        <w:t xml:space="preserve">Barr, S.I, Chapman, G.E. 2002. Perceptions and practices of self-defined current vegetarian, former vegetarian, and nonvegetarian women. Journal of the American Dietetic Association. 102: 354-260.  </w:t>
      </w:r>
    </w:p>
    <w:p w14:paraId="18EE41E5" w14:textId="77777777" w:rsidR="00822C73" w:rsidRPr="00C02067" w:rsidRDefault="00822C73" w:rsidP="00822C73">
      <w:pPr>
        <w:rPr>
          <w:sz w:val="22"/>
          <w:szCs w:val="22"/>
        </w:rPr>
      </w:pPr>
    </w:p>
    <w:p w14:paraId="0762BF58" w14:textId="77777777" w:rsidR="00822C73" w:rsidRPr="00C02067" w:rsidRDefault="00822C73" w:rsidP="00822C73">
      <w:pPr>
        <w:rPr>
          <w:sz w:val="22"/>
          <w:szCs w:val="22"/>
          <w:lang w:val="en-CA"/>
        </w:rPr>
      </w:pPr>
      <w:r w:rsidRPr="00C02067">
        <w:rPr>
          <w:sz w:val="22"/>
          <w:szCs w:val="22"/>
          <w:lang w:val="en-CA"/>
        </w:rPr>
        <w:t xml:space="preserve">Batison, B., Loughnan, S., Haslam, N., Radke, H.R.M. 2012. Don’t mind meat? The denial of mind to animals used for human consumption. Personality and Social Psychology Bulletin. 38(2): 247-256. </w:t>
      </w:r>
    </w:p>
    <w:p w14:paraId="72533B94" w14:textId="77777777" w:rsidR="00822C73" w:rsidRPr="00C02067" w:rsidRDefault="00822C73" w:rsidP="00822C73">
      <w:pPr>
        <w:rPr>
          <w:sz w:val="22"/>
          <w:szCs w:val="22"/>
        </w:rPr>
      </w:pPr>
      <w:r w:rsidRPr="00C02067">
        <w:rPr>
          <w:sz w:val="22"/>
          <w:szCs w:val="22"/>
        </w:rPr>
        <w:t>Beardsworth, A., Keil, T. 1991. Health-related beliefs and dietary practices among vegetarians and vegans: A qualitative study. Health Education journal. 50(1): 38-42.</w:t>
      </w:r>
    </w:p>
    <w:p w14:paraId="7E2187D6" w14:textId="77777777" w:rsidR="00822C73" w:rsidRPr="00C02067" w:rsidRDefault="00822C73" w:rsidP="00822C73">
      <w:pPr>
        <w:rPr>
          <w:sz w:val="22"/>
          <w:szCs w:val="22"/>
        </w:rPr>
      </w:pPr>
    </w:p>
    <w:p w14:paraId="67650C4F" w14:textId="77777777" w:rsidR="00822C73" w:rsidRPr="00C02067" w:rsidRDefault="00822C73" w:rsidP="00822C73">
      <w:pPr>
        <w:rPr>
          <w:sz w:val="22"/>
          <w:szCs w:val="22"/>
          <w:lang w:val="en-CA"/>
        </w:rPr>
      </w:pPr>
      <w:r w:rsidRPr="00C02067">
        <w:rPr>
          <w:sz w:val="22"/>
          <w:szCs w:val="22"/>
          <w:lang w:val="en-CA"/>
        </w:rPr>
        <w:t>Beardsworth, A.D., Keil, E.T. 1993. Contemporary vegetarianism in the UK: Challenge and incorporation? Appetite. 20: 229-234E</w:t>
      </w:r>
    </w:p>
    <w:p w14:paraId="2A961E5F" w14:textId="77777777" w:rsidR="00822C73" w:rsidRPr="00C02067" w:rsidRDefault="00822C73" w:rsidP="00822C73">
      <w:pPr>
        <w:rPr>
          <w:sz w:val="22"/>
          <w:szCs w:val="22"/>
        </w:rPr>
      </w:pPr>
    </w:p>
    <w:p w14:paraId="5C17FD06" w14:textId="77777777" w:rsidR="00822C73" w:rsidRPr="00C02067" w:rsidRDefault="00822C73" w:rsidP="00822C73">
      <w:pPr>
        <w:rPr>
          <w:sz w:val="22"/>
          <w:szCs w:val="22"/>
        </w:rPr>
      </w:pPr>
      <w:r w:rsidRPr="00C02067">
        <w:rPr>
          <w:sz w:val="22"/>
          <w:szCs w:val="22"/>
        </w:rPr>
        <w:t xml:space="preserve">Beardsworth, A., Keil, T. 2002. Sociology on the menu: An invitation to the Study of Food and Society. Routledge. 288 pages. </w:t>
      </w:r>
    </w:p>
    <w:p w14:paraId="1F52B935" w14:textId="77777777" w:rsidR="00822C73" w:rsidRPr="00C02067" w:rsidRDefault="00822C73" w:rsidP="00822C73">
      <w:pPr>
        <w:rPr>
          <w:sz w:val="22"/>
          <w:szCs w:val="22"/>
        </w:rPr>
      </w:pPr>
    </w:p>
    <w:p w14:paraId="4397DA8E" w14:textId="77777777" w:rsidR="00822C73" w:rsidRPr="00C02067" w:rsidRDefault="00822C73" w:rsidP="00822C73">
      <w:pPr>
        <w:rPr>
          <w:sz w:val="22"/>
          <w:szCs w:val="22"/>
        </w:rPr>
      </w:pPr>
      <w:r w:rsidRPr="00C02067">
        <w:rPr>
          <w:sz w:val="22"/>
          <w:szCs w:val="22"/>
        </w:rPr>
        <w:t>Beauchemin, K.A., Janzen, H.H., Little, S.M., McAllister, T.A., McGinn, S.M. 2010. Life cycle assessment of greenhouse gas emissions from beef production in western Canada: A case study. Agricultural Systems. 103: 371-379.</w:t>
      </w:r>
    </w:p>
    <w:p w14:paraId="33A84B2F" w14:textId="77777777" w:rsidR="00822C73" w:rsidRPr="00C02067" w:rsidRDefault="00822C73" w:rsidP="00822C73">
      <w:pPr>
        <w:rPr>
          <w:sz w:val="22"/>
          <w:szCs w:val="22"/>
        </w:rPr>
      </w:pPr>
    </w:p>
    <w:p w14:paraId="5A591C7E" w14:textId="77777777" w:rsidR="00822C73" w:rsidRPr="00C02067" w:rsidRDefault="00822C73" w:rsidP="00822C73">
      <w:pPr>
        <w:rPr>
          <w:sz w:val="22"/>
          <w:szCs w:val="22"/>
        </w:rPr>
      </w:pPr>
      <w:r w:rsidRPr="00C02067">
        <w:rPr>
          <w:sz w:val="22"/>
          <w:szCs w:val="22"/>
        </w:rPr>
        <w:t xml:space="preserve">Beauchemin, K.A., McGinn, S.M., Petit, H.V. 2007. Methane abatement strategies for cattle: Lipid supplementation of diets. Canadian Journal of Animal Science. 87: 431-440. </w:t>
      </w:r>
    </w:p>
    <w:p w14:paraId="27A7067C" w14:textId="77777777" w:rsidR="00822C73" w:rsidRPr="00C02067" w:rsidRDefault="00822C73" w:rsidP="00822C73">
      <w:pPr>
        <w:rPr>
          <w:sz w:val="22"/>
          <w:szCs w:val="22"/>
        </w:rPr>
      </w:pPr>
    </w:p>
    <w:p w14:paraId="4DB08E6D" w14:textId="77777777" w:rsidR="00822C73" w:rsidRPr="00C02067" w:rsidRDefault="00822C73" w:rsidP="00822C73">
      <w:pPr>
        <w:rPr>
          <w:sz w:val="22"/>
          <w:szCs w:val="22"/>
        </w:rPr>
      </w:pPr>
      <w:r w:rsidRPr="00C02067">
        <w:rPr>
          <w:sz w:val="22"/>
          <w:szCs w:val="22"/>
        </w:rPr>
        <w:t xml:space="preserve">Beaulieu, M.S. 2014. Demographic changes in Canadian agriculture. In Canadian agriculture at a glance. 96-325-X. Statistics Canada. Ottawa, Ontario. </w:t>
      </w:r>
    </w:p>
    <w:p w14:paraId="0954BB1A" w14:textId="77777777" w:rsidR="00822C73" w:rsidRPr="00C02067" w:rsidRDefault="00822C73" w:rsidP="00822C73">
      <w:pPr>
        <w:rPr>
          <w:sz w:val="22"/>
          <w:szCs w:val="22"/>
        </w:rPr>
      </w:pPr>
    </w:p>
    <w:p w14:paraId="129A7D36" w14:textId="77777777" w:rsidR="00822C73" w:rsidRPr="00C02067" w:rsidRDefault="00822C73" w:rsidP="00822C73">
      <w:pPr>
        <w:rPr>
          <w:sz w:val="22"/>
          <w:szCs w:val="22"/>
        </w:rPr>
      </w:pPr>
      <w:r w:rsidRPr="00C02067">
        <w:rPr>
          <w:sz w:val="22"/>
          <w:szCs w:val="22"/>
        </w:rPr>
        <w:t xml:space="preserve">Bellarby, J., Foereid, B., Hastings, A., Smith, P. 2008. Cool farming: Climate impacts of agriculture and mitigation potential. Greenpeace, Amsterdam. </w:t>
      </w:r>
    </w:p>
    <w:p w14:paraId="4BC22CE6" w14:textId="77777777" w:rsidR="00822C73" w:rsidRPr="00C02067" w:rsidRDefault="00822C73" w:rsidP="00822C73">
      <w:pPr>
        <w:rPr>
          <w:sz w:val="22"/>
          <w:szCs w:val="22"/>
        </w:rPr>
      </w:pPr>
    </w:p>
    <w:p w14:paraId="73415ACE" w14:textId="77777777" w:rsidR="00822C73" w:rsidRPr="00C02067" w:rsidRDefault="00822C73" w:rsidP="00822C73">
      <w:pPr>
        <w:rPr>
          <w:sz w:val="22"/>
          <w:szCs w:val="22"/>
        </w:rPr>
      </w:pPr>
      <w:r w:rsidRPr="00C02067">
        <w:rPr>
          <w:sz w:val="22"/>
          <w:szCs w:val="22"/>
        </w:rPr>
        <w:lastRenderedPageBreak/>
        <w:t xml:space="preserve">Berady, A. 2015. Finding the future of food: Sustainable consumption lessons from and for veganism. Thesis Dissertation. Arizona State University. 172 pages. </w:t>
      </w:r>
    </w:p>
    <w:p w14:paraId="2D457637" w14:textId="77777777" w:rsidR="00822C73" w:rsidRPr="00C02067" w:rsidRDefault="00822C73" w:rsidP="00822C73">
      <w:pPr>
        <w:rPr>
          <w:sz w:val="22"/>
          <w:szCs w:val="22"/>
        </w:rPr>
      </w:pPr>
    </w:p>
    <w:p w14:paraId="5CD4ECAD" w14:textId="77777777" w:rsidR="00822C73" w:rsidRPr="00C02067" w:rsidRDefault="00822C73" w:rsidP="00822C73">
      <w:pPr>
        <w:rPr>
          <w:color w:val="000000" w:themeColor="text1"/>
          <w:sz w:val="22"/>
          <w:szCs w:val="22"/>
          <w:lang w:val="en-CA"/>
        </w:rPr>
      </w:pPr>
      <w:r w:rsidRPr="00C02067">
        <w:rPr>
          <w:sz w:val="22"/>
          <w:szCs w:val="22"/>
        </w:rPr>
        <w:t>Berg, A. 2012. The multiple faces of a sustainability strategy: Analyzing Findlands’s programme to promote sustainable consumption and production. Dissertations of the National Consumer Research Centre 6. Tampere University Press, Tampere.</w:t>
      </w:r>
    </w:p>
    <w:p w14:paraId="6F889ABC" w14:textId="77777777" w:rsidR="00822C73" w:rsidRPr="00C02067" w:rsidRDefault="00822C73" w:rsidP="00822C73">
      <w:pPr>
        <w:rPr>
          <w:sz w:val="22"/>
          <w:szCs w:val="22"/>
        </w:rPr>
      </w:pPr>
    </w:p>
    <w:p w14:paraId="66A52218" w14:textId="77777777" w:rsidR="00822C73" w:rsidRPr="00C02067" w:rsidRDefault="00822C73" w:rsidP="00822C73">
      <w:pPr>
        <w:rPr>
          <w:sz w:val="22"/>
          <w:szCs w:val="22"/>
        </w:rPr>
      </w:pPr>
      <w:r w:rsidRPr="00C02067">
        <w:rPr>
          <w:sz w:val="22"/>
          <w:szCs w:val="22"/>
        </w:rPr>
        <w:t xml:space="preserve">Beverland, M.B. 2014. Sustainable eating: Mainstreaming plant-based diets in developed economies. Journal of Macromarketing. 34(3): 369-382. </w:t>
      </w:r>
    </w:p>
    <w:p w14:paraId="6819E009" w14:textId="77777777" w:rsidR="00822C73" w:rsidRPr="00C02067" w:rsidRDefault="00822C73" w:rsidP="00822C73">
      <w:pPr>
        <w:rPr>
          <w:color w:val="000000" w:themeColor="text1"/>
          <w:sz w:val="22"/>
          <w:szCs w:val="22"/>
          <w:lang w:val="en-CA"/>
        </w:rPr>
      </w:pPr>
    </w:p>
    <w:p w14:paraId="43B4B9FF" w14:textId="77777777" w:rsidR="00822C73" w:rsidRPr="00C02067" w:rsidRDefault="00822C73" w:rsidP="00822C73">
      <w:pPr>
        <w:rPr>
          <w:sz w:val="22"/>
          <w:szCs w:val="22"/>
          <w:lang w:val="en-CA"/>
        </w:rPr>
      </w:pPr>
      <w:r w:rsidRPr="00C02067">
        <w:rPr>
          <w:sz w:val="22"/>
          <w:szCs w:val="22"/>
          <w:lang w:val="en-CA"/>
        </w:rPr>
        <w:t xml:space="preserve">Bilewicz, M., Imhoff, R., Drogosz, M. 2011. The humanity of what we eat: Conceptions of human uniqueness among vegetarians and omnivores. European Journal of Social Psychology. 41(2): 201-209. </w:t>
      </w:r>
    </w:p>
    <w:p w14:paraId="075047BA" w14:textId="77777777" w:rsidR="00822C73" w:rsidRPr="00DA2494" w:rsidRDefault="00822C73" w:rsidP="00822C73">
      <w:pPr>
        <w:rPr>
          <w:sz w:val="22"/>
          <w:szCs w:val="22"/>
          <w:lang w:val="en-CA"/>
        </w:rPr>
      </w:pPr>
      <w:r w:rsidRPr="00C02067">
        <w:rPr>
          <w:sz w:val="22"/>
          <w:szCs w:val="22"/>
          <w:lang w:val="en-CA"/>
        </w:rPr>
        <w:t xml:space="preserve">Bobić, J., Cvijetić, S., Brić, I.C., Šatalić, Z. 2012. Personality traits, motivation and bone health in </w:t>
      </w:r>
      <w:r w:rsidRPr="00DA2494">
        <w:rPr>
          <w:sz w:val="22"/>
          <w:szCs w:val="22"/>
          <w:lang w:val="en-CA"/>
        </w:rPr>
        <w:t xml:space="preserve">vegetarians. Collegium Antropologicum. 36(3): 795-800. </w:t>
      </w:r>
    </w:p>
    <w:p w14:paraId="2C3E865B" w14:textId="77777777" w:rsidR="00DA2494" w:rsidRPr="00DA2494" w:rsidRDefault="00DA2494" w:rsidP="00822C73">
      <w:pPr>
        <w:rPr>
          <w:sz w:val="22"/>
          <w:szCs w:val="22"/>
          <w:lang w:val="en-CA"/>
        </w:rPr>
      </w:pPr>
    </w:p>
    <w:p w14:paraId="75B50D13" w14:textId="3DC37EB3" w:rsidR="00DA2494" w:rsidRPr="00DA2494" w:rsidRDefault="00DA2494" w:rsidP="00822C73">
      <w:pPr>
        <w:rPr>
          <w:sz w:val="22"/>
          <w:szCs w:val="22"/>
          <w:lang w:val="en-CA"/>
        </w:rPr>
      </w:pPr>
      <w:r w:rsidRPr="00DA2494">
        <w:rPr>
          <w:sz w:val="22"/>
          <w:szCs w:val="22"/>
        </w:rPr>
        <w:t>Blue, G. 2008. If it ain’t Alberta, it ain’t beef: local food, regional identity, (inter)national politics. Food, Culture &amp; Society. 11(1): 69-85</w:t>
      </w:r>
    </w:p>
    <w:p w14:paraId="2DDC671D" w14:textId="77777777" w:rsidR="00822C73" w:rsidRPr="00C02067" w:rsidRDefault="00822C73" w:rsidP="00822C73">
      <w:pPr>
        <w:rPr>
          <w:color w:val="000000" w:themeColor="text1"/>
          <w:sz w:val="22"/>
          <w:szCs w:val="22"/>
          <w:lang w:val="en-CA"/>
        </w:rPr>
      </w:pPr>
    </w:p>
    <w:p w14:paraId="7B6C9461"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 xml:space="preserve">Boyatzis, R.E. 1998. Transforming qualitative information: Thematic analysis and code development. Sage Publications Inc. 200 pages. </w:t>
      </w:r>
      <w:r w:rsidRPr="00C02067">
        <w:rPr>
          <w:sz w:val="22"/>
          <w:szCs w:val="22"/>
        </w:rPr>
        <w:t xml:space="preserve"> </w:t>
      </w:r>
    </w:p>
    <w:p w14:paraId="0F854D12" w14:textId="77777777" w:rsidR="00822C73" w:rsidRPr="00C02067" w:rsidRDefault="00822C73" w:rsidP="00822C73">
      <w:pPr>
        <w:rPr>
          <w:sz w:val="22"/>
          <w:szCs w:val="22"/>
        </w:rPr>
      </w:pPr>
    </w:p>
    <w:p w14:paraId="07EA5A86" w14:textId="77777777" w:rsidR="00822C73" w:rsidRPr="00C02067" w:rsidRDefault="00822C73" w:rsidP="00822C73">
      <w:pPr>
        <w:rPr>
          <w:sz w:val="22"/>
          <w:szCs w:val="22"/>
          <w:lang w:val="en-CA"/>
        </w:rPr>
      </w:pPr>
      <w:r w:rsidRPr="00C02067">
        <w:rPr>
          <w:sz w:val="22"/>
          <w:szCs w:val="22"/>
          <w:lang w:val="en-CA"/>
        </w:rPr>
        <w:t xml:space="preserve">Boyland, E.J., Nolan, S., Kelly, B., Trudur-Smith, C., Jones, A., Halford, J.C.G., Robinson, E. 2016. Advertising as a cue to consumer: A systematic review and meta-analysis of the effects of acute exposure to unhealthy food and non-alcoholic beverage advertising on intake in children and adults. The American Journal of Clinical Nutrition. 103: 519-533. </w:t>
      </w:r>
    </w:p>
    <w:p w14:paraId="449F75E2" w14:textId="77777777" w:rsidR="00822C73" w:rsidRPr="00C02067" w:rsidRDefault="00822C73" w:rsidP="00822C73">
      <w:pPr>
        <w:rPr>
          <w:sz w:val="22"/>
          <w:szCs w:val="22"/>
          <w:lang w:val="en-CA"/>
        </w:rPr>
      </w:pPr>
    </w:p>
    <w:p w14:paraId="347A4993" w14:textId="77777777" w:rsidR="00822C73" w:rsidRPr="00C02067" w:rsidRDefault="00822C73" w:rsidP="00822C73">
      <w:pPr>
        <w:rPr>
          <w:sz w:val="22"/>
          <w:szCs w:val="22"/>
          <w:lang w:val="en-CA"/>
        </w:rPr>
      </w:pPr>
      <w:r w:rsidRPr="00C02067">
        <w:rPr>
          <w:sz w:val="22"/>
          <w:szCs w:val="22"/>
          <w:lang w:val="en-CA"/>
        </w:rPr>
        <w:t xml:space="preserve">Bratanova, B., Loughnan, S., Bastian, B. 2011. The effect of categorization as food on the perceived moral standing of animals. Appetite. 57(1): 193-196. </w:t>
      </w:r>
    </w:p>
    <w:p w14:paraId="52656A83" w14:textId="77777777" w:rsidR="00822C73" w:rsidRPr="00C02067" w:rsidRDefault="00822C73" w:rsidP="00822C73">
      <w:pPr>
        <w:rPr>
          <w:sz w:val="22"/>
          <w:szCs w:val="22"/>
          <w:lang w:val="en-CA"/>
        </w:rPr>
      </w:pPr>
    </w:p>
    <w:p w14:paraId="17B402D4" w14:textId="77777777" w:rsidR="00822C73" w:rsidRPr="00C02067" w:rsidRDefault="00822C73" w:rsidP="00822C73">
      <w:pPr>
        <w:rPr>
          <w:sz w:val="22"/>
          <w:szCs w:val="22"/>
        </w:rPr>
      </w:pPr>
      <w:r w:rsidRPr="00C02067">
        <w:rPr>
          <w:sz w:val="22"/>
          <w:szCs w:val="22"/>
        </w:rPr>
        <w:t xml:space="preserve">Bravo, G., Vallino, E., Cerutti, A.K., Pairotti, M.B. 2013. Alternative scenarios of green consumption in Itlay: An empirically grounded model. Environmental Modelling &amp; Software. 47: 225-234. </w:t>
      </w:r>
    </w:p>
    <w:p w14:paraId="6FDD2D52" w14:textId="77777777" w:rsidR="00822C73" w:rsidRPr="00C02067" w:rsidRDefault="00822C73" w:rsidP="00822C73">
      <w:pPr>
        <w:rPr>
          <w:sz w:val="22"/>
          <w:szCs w:val="22"/>
        </w:rPr>
      </w:pPr>
    </w:p>
    <w:p w14:paraId="1320865F" w14:textId="77777777" w:rsidR="00822C73" w:rsidRPr="00C02067" w:rsidRDefault="00822C73" w:rsidP="00822C73">
      <w:pPr>
        <w:rPr>
          <w:sz w:val="22"/>
          <w:szCs w:val="22"/>
          <w:lang w:val="en-CA"/>
        </w:rPr>
      </w:pPr>
      <w:r w:rsidRPr="00C02067">
        <w:rPr>
          <w:sz w:val="22"/>
          <w:szCs w:val="22"/>
          <w:lang w:val="en-CA"/>
        </w:rPr>
        <w:t xml:space="preserve">Brinkman, B.G., Khan, A., Edner, B., Rosén, L.A. 2014. Self-objection, feminist activism and conformity to feminine norms among female vegetarians, semi-vegetarians and non-vegetarians. Eating Behaviours. 15: 171-174. </w:t>
      </w:r>
    </w:p>
    <w:p w14:paraId="61CFAD6C" w14:textId="77777777" w:rsidR="00822C73" w:rsidRPr="00C02067" w:rsidRDefault="00822C73" w:rsidP="00822C73">
      <w:pPr>
        <w:rPr>
          <w:sz w:val="22"/>
          <w:szCs w:val="22"/>
        </w:rPr>
      </w:pPr>
    </w:p>
    <w:p w14:paraId="773CE9F0" w14:textId="77777777" w:rsidR="00822C73" w:rsidRPr="00C02067" w:rsidRDefault="00822C73" w:rsidP="00822C73">
      <w:pPr>
        <w:rPr>
          <w:sz w:val="22"/>
          <w:szCs w:val="22"/>
          <w:lang w:val="en-CA"/>
        </w:rPr>
      </w:pPr>
      <w:r w:rsidRPr="00C02067">
        <w:rPr>
          <w:sz w:val="22"/>
          <w:szCs w:val="22"/>
          <w:lang w:val="en-CA"/>
        </w:rPr>
        <w:t xml:space="preserve">Bugge, A.B. 2016. Food advertising towards children and young people in Norway. Appetite. 98: 12-18. </w:t>
      </w:r>
    </w:p>
    <w:p w14:paraId="76E796FE" w14:textId="77777777" w:rsidR="00822C73" w:rsidRPr="00DA2494" w:rsidRDefault="00822C73" w:rsidP="00822C73">
      <w:pPr>
        <w:rPr>
          <w:sz w:val="22"/>
          <w:szCs w:val="22"/>
        </w:rPr>
      </w:pPr>
    </w:p>
    <w:p w14:paraId="2D988363" w14:textId="77777777" w:rsidR="00822C73" w:rsidRPr="00DA2494" w:rsidRDefault="00822C73" w:rsidP="00822C73">
      <w:pPr>
        <w:rPr>
          <w:sz w:val="22"/>
          <w:szCs w:val="22"/>
        </w:rPr>
      </w:pPr>
      <w:r w:rsidRPr="00DA2494">
        <w:rPr>
          <w:sz w:val="22"/>
          <w:szCs w:val="22"/>
        </w:rPr>
        <w:t xml:space="preserve">Burke, L., Lashof, D. 1989. Greenhouse gas emissions related to agricultural and land use practices. Paper presented at the Annual Meeting of the Agronomy Society of America, Anaheim, California. </w:t>
      </w:r>
    </w:p>
    <w:p w14:paraId="4B74DB0C" w14:textId="77777777" w:rsidR="00DA2494" w:rsidRPr="00DA2494" w:rsidRDefault="00DA2494" w:rsidP="00822C73">
      <w:pPr>
        <w:rPr>
          <w:sz w:val="22"/>
          <w:szCs w:val="22"/>
        </w:rPr>
      </w:pPr>
    </w:p>
    <w:p w14:paraId="5D043127" w14:textId="04DE7E30" w:rsidR="00DA2494" w:rsidRPr="00DA2494" w:rsidRDefault="00DA2494" w:rsidP="00822C73">
      <w:pPr>
        <w:rPr>
          <w:sz w:val="22"/>
          <w:szCs w:val="22"/>
        </w:rPr>
      </w:pPr>
      <w:r w:rsidRPr="00DA2494">
        <w:rPr>
          <w:sz w:val="22"/>
          <w:szCs w:val="22"/>
        </w:rPr>
        <w:t xml:space="preserve">Campbell, I.D., Durant, D.G., Hunter, K.L., Hyatt, K.D. 2014. Food production. </w:t>
      </w:r>
      <w:r w:rsidRPr="00DA2494">
        <w:rPr>
          <w:i/>
          <w:sz w:val="22"/>
          <w:szCs w:val="22"/>
        </w:rPr>
        <w:t xml:space="preserve">In </w:t>
      </w:r>
      <w:r w:rsidRPr="00DA2494">
        <w:rPr>
          <w:sz w:val="22"/>
          <w:szCs w:val="22"/>
        </w:rPr>
        <w:t>Warren, F.J., Lemmen, D.S.2014. Canada in a changing climate: Sector perspectives on impacts and adaptation. Government of Canada, Ottawa, Ontario:  99-134.</w:t>
      </w:r>
    </w:p>
    <w:p w14:paraId="4EF54335" w14:textId="77777777" w:rsidR="00822C73" w:rsidRPr="00DA2494" w:rsidRDefault="00822C73" w:rsidP="00822C73">
      <w:pPr>
        <w:rPr>
          <w:sz w:val="22"/>
          <w:szCs w:val="22"/>
        </w:rPr>
      </w:pPr>
    </w:p>
    <w:p w14:paraId="322024B7" w14:textId="77777777" w:rsidR="00822C73" w:rsidRPr="00DA2494" w:rsidRDefault="00822C73" w:rsidP="00822C73">
      <w:pPr>
        <w:rPr>
          <w:sz w:val="22"/>
          <w:szCs w:val="22"/>
        </w:rPr>
      </w:pPr>
      <w:r w:rsidRPr="00DA2494">
        <w:rPr>
          <w:sz w:val="22"/>
          <w:szCs w:val="22"/>
        </w:rPr>
        <w:t xml:space="preserve">Campbell-Arvai, V., Arvai, J., Kalof, L. 2014. Motivating sustainable food choices: The role of nudges, value orientation, and information provision. Environment and Behaviour. 46(4): 453-475. </w:t>
      </w:r>
    </w:p>
    <w:p w14:paraId="162D5FDE" w14:textId="77777777" w:rsidR="00822C73" w:rsidRPr="00C02067" w:rsidRDefault="00822C73" w:rsidP="00822C73">
      <w:pPr>
        <w:rPr>
          <w:sz w:val="22"/>
          <w:szCs w:val="22"/>
        </w:rPr>
      </w:pPr>
    </w:p>
    <w:p w14:paraId="65C383E4" w14:textId="77777777" w:rsidR="00822C73" w:rsidRPr="00C02067" w:rsidRDefault="00822C73" w:rsidP="00822C73">
      <w:pPr>
        <w:rPr>
          <w:sz w:val="22"/>
          <w:szCs w:val="22"/>
        </w:rPr>
      </w:pPr>
      <w:r w:rsidRPr="00C02067">
        <w:rPr>
          <w:sz w:val="22"/>
          <w:szCs w:val="22"/>
        </w:rPr>
        <w:t>Canadian Dairy Information Center (CDIC). 2015. Dairy facts and figures. Retrieved May, 2016 from: http://www.dairyinfo.gc.ca/index_e.php?s1=dff-fcil&amp;s2=imp-exp&amp;s3=imp. Ottawa, Ontario. Government of Canada.</w:t>
      </w:r>
    </w:p>
    <w:p w14:paraId="18A79D2B" w14:textId="77777777" w:rsidR="00822C73" w:rsidRPr="00C02067" w:rsidRDefault="00822C73" w:rsidP="00822C73">
      <w:pPr>
        <w:rPr>
          <w:sz w:val="22"/>
          <w:szCs w:val="22"/>
        </w:rPr>
      </w:pPr>
    </w:p>
    <w:p w14:paraId="71453E34" w14:textId="77777777" w:rsidR="00822C73" w:rsidRPr="00C02067" w:rsidRDefault="00822C73" w:rsidP="00822C73">
      <w:pPr>
        <w:pStyle w:val="CommentText"/>
        <w:rPr>
          <w:sz w:val="22"/>
          <w:szCs w:val="22"/>
        </w:rPr>
      </w:pPr>
      <w:r w:rsidRPr="00C02067">
        <w:rPr>
          <w:sz w:val="22"/>
          <w:szCs w:val="22"/>
        </w:rPr>
        <w:t xml:space="preserve">Canadian Food Guide. 2012. Retrieved May 2016 from: http://www.hc-sc.gc.ca/fn-an/alt_formats/hpfb-dgpsa/pdf/food-guide-aliment/view_eatwell_vue_bienmang-eng.pdf. Health Canada, Canada. </w:t>
      </w:r>
    </w:p>
    <w:p w14:paraId="08704AF4" w14:textId="77777777" w:rsidR="00822C73" w:rsidRPr="00C02067" w:rsidRDefault="00822C73" w:rsidP="00822C73">
      <w:pPr>
        <w:rPr>
          <w:sz w:val="22"/>
          <w:szCs w:val="22"/>
        </w:rPr>
      </w:pPr>
    </w:p>
    <w:p w14:paraId="56F82212" w14:textId="77777777" w:rsidR="00822C73" w:rsidRPr="00C02067" w:rsidRDefault="00822C73" w:rsidP="00822C73">
      <w:pPr>
        <w:rPr>
          <w:sz w:val="22"/>
          <w:szCs w:val="22"/>
          <w:lang w:val="en-CA"/>
        </w:rPr>
      </w:pPr>
      <w:r w:rsidRPr="00822C73">
        <w:rPr>
          <w:sz w:val="22"/>
          <w:szCs w:val="22"/>
          <w:lang w:val="fr-CA"/>
        </w:rPr>
        <w:t xml:space="preserve">Caracciolo, F., Cicia, G., Guidice, T.D., Cembalo, L., Krystallic, A., Grunert, K.G., Lombardi, P. 2016. </w:t>
      </w:r>
      <w:r w:rsidRPr="00C02067">
        <w:rPr>
          <w:sz w:val="22"/>
          <w:szCs w:val="22"/>
          <w:lang w:val="en-CA"/>
        </w:rPr>
        <w:t xml:space="preserve">Human values and preferences for cleaner livestock production. Journal of Cleaner Production. 112: 121-130. </w:t>
      </w:r>
    </w:p>
    <w:p w14:paraId="083FE58F" w14:textId="77777777" w:rsidR="00822C73" w:rsidRPr="00C02067" w:rsidRDefault="00822C73" w:rsidP="00822C73">
      <w:pPr>
        <w:pStyle w:val="CommentText"/>
        <w:rPr>
          <w:sz w:val="22"/>
          <w:szCs w:val="22"/>
        </w:rPr>
      </w:pPr>
    </w:p>
    <w:p w14:paraId="16564A56" w14:textId="77777777" w:rsidR="00822C73" w:rsidRPr="00C02067" w:rsidRDefault="00822C73" w:rsidP="00822C73">
      <w:pPr>
        <w:rPr>
          <w:sz w:val="22"/>
          <w:szCs w:val="22"/>
          <w:lang w:val="en-CA"/>
        </w:rPr>
      </w:pPr>
      <w:r w:rsidRPr="00C02067">
        <w:rPr>
          <w:sz w:val="22"/>
          <w:szCs w:val="22"/>
          <w:lang w:val="en-CA"/>
        </w:rPr>
        <w:t xml:space="preserve">Carlsson-Kanyama, A. 1998. Climate change and dietary choices – how can emissions of greenhouse gases from food consumption be reduced. Food Policy. 23: 277-293. </w:t>
      </w:r>
    </w:p>
    <w:p w14:paraId="076E7F3E" w14:textId="77777777" w:rsidR="00822C73" w:rsidRPr="00C02067" w:rsidRDefault="00822C73" w:rsidP="00822C73">
      <w:pPr>
        <w:pStyle w:val="CommentText"/>
        <w:rPr>
          <w:sz w:val="22"/>
          <w:szCs w:val="22"/>
        </w:rPr>
      </w:pPr>
    </w:p>
    <w:p w14:paraId="35141144" w14:textId="77777777" w:rsidR="00822C73" w:rsidRPr="00C02067" w:rsidRDefault="00822C73" w:rsidP="00822C73">
      <w:pPr>
        <w:pStyle w:val="CommentText"/>
        <w:rPr>
          <w:sz w:val="22"/>
          <w:szCs w:val="22"/>
        </w:rPr>
      </w:pPr>
      <w:r w:rsidRPr="00C02067">
        <w:rPr>
          <w:sz w:val="22"/>
          <w:szCs w:val="22"/>
        </w:rPr>
        <w:t xml:space="preserve">CBC. 2016. Health Canada reviewing food guide, critics demand drastic changes now. Retrieved May, 2016 from: http://www.cbc.ca/news/business/health-canada-food-guide-1.3501318. Harris, S. of CBC News, Canada. </w:t>
      </w:r>
    </w:p>
    <w:p w14:paraId="5DE729D4" w14:textId="77777777" w:rsidR="00822C73" w:rsidRPr="00C02067" w:rsidRDefault="00822C73" w:rsidP="00822C73">
      <w:pPr>
        <w:rPr>
          <w:sz w:val="22"/>
          <w:szCs w:val="22"/>
        </w:rPr>
      </w:pPr>
    </w:p>
    <w:p w14:paraId="083C98D7" w14:textId="77777777" w:rsidR="00822C73" w:rsidRPr="00C02067" w:rsidRDefault="00822C73" w:rsidP="00822C73">
      <w:pPr>
        <w:rPr>
          <w:sz w:val="22"/>
          <w:szCs w:val="22"/>
          <w:lang w:val="en-CA"/>
        </w:rPr>
      </w:pPr>
      <w:r w:rsidRPr="00C02067">
        <w:rPr>
          <w:sz w:val="22"/>
          <w:szCs w:val="22"/>
          <w:lang w:val="en-CA"/>
        </w:rPr>
        <w:t>Chekima, B., Chekima, S., Wafa, S.A.W.S.K., Igau, O.A., Sondoh Jr., S.L. 2016. Sustainable consumption: the effects of knowledge, cultural values, environmental advertising, and demographics. International Journal of Sustainable Development &amp; World Ecology. 23(2): 210-220.</w:t>
      </w:r>
    </w:p>
    <w:p w14:paraId="17C01606" w14:textId="77777777" w:rsidR="00822C73" w:rsidRPr="00C02067" w:rsidRDefault="00822C73" w:rsidP="00822C73">
      <w:pPr>
        <w:rPr>
          <w:sz w:val="22"/>
          <w:szCs w:val="22"/>
          <w:lang w:val="en-CA"/>
        </w:rPr>
      </w:pPr>
    </w:p>
    <w:p w14:paraId="3F199436" w14:textId="77777777" w:rsidR="00822C73" w:rsidRPr="00C02067" w:rsidRDefault="00822C73" w:rsidP="00822C73">
      <w:pPr>
        <w:rPr>
          <w:sz w:val="22"/>
          <w:szCs w:val="22"/>
          <w:lang w:val="en-CA"/>
        </w:rPr>
      </w:pPr>
      <w:r w:rsidRPr="00C02067">
        <w:rPr>
          <w:sz w:val="22"/>
          <w:szCs w:val="22"/>
          <w:lang w:val="en-CA"/>
        </w:rPr>
        <w:t xml:space="preserve">Cherry, E. 2015. I was a teenage vegan: Motivation and maintenance of lifestyle movements. Sociological Inquiry. 85(1): 55-74. </w:t>
      </w:r>
    </w:p>
    <w:p w14:paraId="53579FA7" w14:textId="77777777" w:rsidR="00822C73" w:rsidRPr="00C02067" w:rsidRDefault="00822C73" w:rsidP="00822C73">
      <w:pPr>
        <w:rPr>
          <w:color w:val="000000" w:themeColor="text1"/>
          <w:sz w:val="22"/>
          <w:szCs w:val="22"/>
          <w:lang w:val="en-CA"/>
        </w:rPr>
      </w:pPr>
    </w:p>
    <w:p w14:paraId="6394A0CF" w14:textId="77777777" w:rsidR="00822C73" w:rsidRPr="00C02067" w:rsidRDefault="00822C73" w:rsidP="00822C73">
      <w:pPr>
        <w:rPr>
          <w:sz w:val="22"/>
          <w:szCs w:val="22"/>
          <w:lang w:val="en-CA"/>
        </w:rPr>
      </w:pPr>
      <w:r w:rsidRPr="00C02067">
        <w:rPr>
          <w:sz w:val="22"/>
          <w:szCs w:val="22"/>
          <w:lang w:val="en-CA"/>
        </w:rPr>
        <w:t>Chin, M.G., Fiask Jr., B., Sims, V.K. 2002. Development of the attitudes toward vegetarians scale. Anthrozoös. 15(4): 332-342.</w:t>
      </w:r>
    </w:p>
    <w:p w14:paraId="57EA088E" w14:textId="77777777" w:rsidR="00822C73" w:rsidRPr="00C02067" w:rsidRDefault="00822C73" w:rsidP="00822C73">
      <w:pPr>
        <w:rPr>
          <w:color w:val="000000" w:themeColor="text1"/>
          <w:sz w:val="22"/>
          <w:szCs w:val="22"/>
          <w:lang w:val="en-CA"/>
        </w:rPr>
      </w:pPr>
    </w:p>
    <w:p w14:paraId="485703E1" w14:textId="77777777" w:rsidR="00822C73" w:rsidRPr="00C02067" w:rsidRDefault="00822C73" w:rsidP="00822C73">
      <w:pPr>
        <w:rPr>
          <w:sz w:val="22"/>
          <w:szCs w:val="22"/>
          <w:lang w:val="en-CA"/>
        </w:rPr>
      </w:pPr>
      <w:r w:rsidRPr="00C02067">
        <w:rPr>
          <w:sz w:val="22"/>
          <w:szCs w:val="22"/>
          <w:lang w:val="en-CA"/>
        </w:rPr>
        <w:t xml:space="preserve">Cho, S.H., Chang, K-L., Yeo, J., Head, L.W., Zastrow, M., Zdorovtsov, C., Skjonsberg, L., Stluka, S. 2015. Comparison of fruit and vegetable consumption among Native and non-Native American populations in rural communities. International Journal of Consumer Studies. 39: 67-73. </w:t>
      </w:r>
    </w:p>
    <w:p w14:paraId="4D3CB5D7" w14:textId="77777777" w:rsidR="00822C73" w:rsidRPr="00C02067" w:rsidRDefault="00822C73" w:rsidP="00822C73">
      <w:pPr>
        <w:rPr>
          <w:color w:val="000000" w:themeColor="text1"/>
          <w:sz w:val="22"/>
          <w:szCs w:val="22"/>
          <w:lang w:val="en-CA"/>
        </w:rPr>
      </w:pPr>
    </w:p>
    <w:p w14:paraId="2D18D08C" w14:textId="77777777" w:rsidR="00822C73" w:rsidRPr="00C02067" w:rsidRDefault="00822C73" w:rsidP="00822C73">
      <w:pPr>
        <w:rPr>
          <w:sz w:val="22"/>
          <w:szCs w:val="22"/>
          <w:lang w:val="en-CA"/>
        </w:rPr>
      </w:pPr>
      <w:r w:rsidRPr="00C02067">
        <w:rPr>
          <w:sz w:val="22"/>
          <w:szCs w:val="22"/>
          <w:lang w:val="en-CA"/>
        </w:rPr>
        <w:t xml:space="preserve">Choi, H., Reid, L.N. 2015. Differential impact of message appeals, food healthiness, and poverty status on evaluative responses to nutrient-content claimed food advertisements. Journal of Health Communication. 20: 1355-1365. </w:t>
      </w:r>
    </w:p>
    <w:p w14:paraId="2C0563BA" w14:textId="77777777" w:rsidR="00822C73" w:rsidRPr="00C02067" w:rsidRDefault="00822C73" w:rsidP="00822C73">
      <w:pPr>
        <w:rPr>
          <w:sz w:val="22"/>
          <w:szCs w:val="22"/>
          <w:lang w:val="en-CA"/>
        </w:rPr>
      </w:pPr>
    </w:p>
    <w:p w14:paraId="65CF9A61" w14:textId="77777777" w:rsidR="00822C73" w:rsidRPr="00C02067" w:rsidRDefault="00822C73" w:rsidP="00822C73">
      <w:pPr>
        <w:rPr>
          <w:sz w:val="22"/>
          <w:szCs w:val="22"/>
          <w:lang w:val="en-CA"/>
        </w:rPr>
      </w:pPr>
      <w:r w:rsidRPr="00C02067">
        <w:rPr>
          <w:sz w:val="22"/>
          <w:szCs w:val="22"/>
          <w:lang w:val="en-CA"/>
        </w:rPr>
        <w:t>Clarys, P., Deliens, T., Huybrechts, I., Deriemaeker, P., Vanaelst, B., De Keyzer, W., Hebbelinck, M., Mullie, P. 2014. Comparison of nutritional quality of the vegan, vegetarian, semi-vegetarian, pesco-vegetarian and omnivorous diet. Nutrients. 6: 1318-1332.</w:t>
      </w:r>
    </w:p>
    <w:p w14:paraId="686263D6" w14:textId="77777777" w:rsidR="00822C73" w:rsidRPr="00C02067" w:rsidRDefault="00822C73" w:rsidP="00822C73">
      <w:pPr>
        <w:rPr>
          <w:color w:val="000000" w:themeColor="text1"/>
          <w:sz w:val="22"/>
          <w:szCs w:val="22"/>
          <w:lang w:val="en-CA"/>
        </w:rPr>
      </w:pPr>
    </w:p>
    <w:p w14:paraId="219CF876" w14:textId="77777777" w:rsidR="00822C73" w:rsidRPr="00C02067" w:rsidRDefault="00822C73" w:rsidP="00822C73">
      <w:pPr>
        <w:rPr>
          <w:sz w:val="22"/>
          <w:szCs w:val="22"/>
          <w:lang w:val="en-CA"/>
        </w:rPr>
      </w:pPr>
      <w:r w:rsidRPr="00C02067">
        <w:rPr>
          <w:sz w:val="22"/>
          <w:szCs w:val="22"/>
          <w:lang w:val="en-CA"/>
        </w:rPr>
        <w:t>Classen, H.L., Schwean, K.V. 1998. Perspective from western Canada and the Canadian meat industry. Symposium: Partnerships in poultry science – perspectives of change. Poultry Science 77(2): 220-225.</w:t>
      </w:r>
    </w:p>
    <w:p w14:paraId="1DF49A0A" w14:textId="77777777" w:rsidR="00822C73" w:rsidRPr="00C02067" w:rsidRDefault="00822C73" w:rsidP="00822C73">
      <w:pPr>
        <w:rPr>
          <w:color w:val="000000" w:themeColor="text1"/>
          <w:sz w:val="22"/>
          <w:szCs w:val="22"/>
          <w:lang w:val="en-CA"/>
        </w:rPr>
      </w:pPr>
    </w:p>
    <w:p w14:paraId="4BC63CEF"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 xml:space="preserve">Conference Board of Canada. 2015. Canada’s food manufacturing industry: Industrial outlook summer 2015. The Conference Board of Canada. 15 pages. </w:t>
      </w:r>
    </w:p>
    <w:p w14:paraId="0F1C8BB9" w14:textId="77777777" w:rsidR="00822C73" w:rsidRPr="00C02067" w:rsidRDefault="00822C73" w:rsidP="00822C73">
      <w:pPr>
        <w:rPr>
          <w:color w:val="000000" w:themeColor="text1"/>
          <w:sz w:val="22"/>
          <w:szCs w:val="22"/>
          <w:lang w:val="en-CA"/>
        </w:rPr>
      </w:pPr>
    </w:p>
    <w:p w14:paraId="5528E517" w14:textId="77777777" w:rsidR="00822C73" w:rsidRPr="0032743E" w:rsidRDefault="00822C73" w:rsidP="00822C73">
      <w:pPr>
        <w:rPr>
          <w:color w:val="000000" w:themeColor="text1"/>
          <w:sz w:val="22"/>
          <w:szCs w:val="22"/>
          <w:lang w:val="en-CA"/>
        </w:rPr>
      </w:pPr>
      <w:r w:rsidRPr="00C02067">
        <w:rPr>
          <w:color w:val="000000" w:themeColor="text1"/>
          <w:sz w:val="22"/>
          <w:szCs w:val="22"/>
          <w:lang w:val="en-CA"/>
        </w:rPr>
        <w:t xml:space="preserve">Council for Agricultural Science and Technology (CAST). 1999. Animal Agriculture and Global Food </w:t>
      </w:r>
      <w:r w:rsidRPr="0032743E">
        <w:rPr>
          <w:color w:val="000000" w:themeColor="text1"/>
          <w:sz w:val="22"/>
          <w:szCs w:val="22"/>
          <w:lang w:val="en-CA"/>
        </w:rPr>
        <w:t xml:space="preserve">Supply. Task Force Report no. 135. Council for Agricultural Science and Technology. Iowa, USA. </w:t>
      </w:r>
    </w:p>
    <w:p w14:paraId="38F340DE" w14:textId="77777777" w:rsidR="0032743E" w:rsidRPr="0032743E" w:rsidRDefault="0032743E" w:rsidP="0032743E">
      <w:pPr>
        <w:pStyle w:val="CommentText"/>
        <w:rPr>
          <w:sz w:val="22"/>
          <w:szCs w:val="22"/>
        </w:rPr>
      </w:pPr>
    </w:p>
    <w:p w14:paraId="435265E6" w14:textId="1019086B" w:rsidR="00822C73" w:rsidRPr="00C02067" w:rsidRDefault="00822C73" w:rsidP="0032743E">
      <w:pPr>
        <w:rPr>
          <w:sz w:val="22"/>
          <w:szCs w:val="22"/>
        </w:rPr>
      </w:pPr>
      <w:r w:rsidRPr="0032743E">
        <w:rPr>
          <w:sz w:val="22"/>
          <w:szCs w:val="22"/>
        </w:rPr>
        <w:t>Crosson, P., Shalloo, L., O’Brien, D., Lanigan, G.J., Foley, P.A., Boland, T.M., Kenny, D.A. 2011. A review of whole farm systems modes of greenhouse gas emissions from beef and dairy cattle production systems</w:t>
      </w:r>
      <w:r w:rsidRPr="00C02067">
        <w:rPr>
          <w:sz w:val="22"/>
          <w:szCs w:val="22"/>
        </w:rPr>
        <w:t>. Animal Feed Science and Technology. 166: 29-45.</w:t>
      </w:r>
    </w:p>
    <w:p w14:paraId="4B1BFC2D" w14:textId="77777777" w:rsidR="00822C73" w:rsidRPr="00C02067" w:rsidRDefault="00822C73" w:rsidP="00822C73">
      <w:pPr>
        <w:rPr>
          <w:sz w:val="22"/>
          <w:szCs w:val="22"/>
        </w:rPr>
      </w:pPr>
    </w:p>
    <w:p w14:paraId="0BA6191A" w14:textId="77777777" w:rsidR="00822C73" w:rsidRPr="00C02067" w:rsidRDefault="00822C73" w:rsidP="00822C73">
      <w:pPr>
        <w:rPr>
          <w:sz w:val="22"/>
          <w:szCs w:val="22"/>
        </w:rPr>
      </w:pPr>
      <w:r w:rsidRPr="00C02067">
        <w:rPr>
          <w:sz w:val="22"/>
          <w:szCs w:val="22"/>
        </w:rPr>
        <w:lastRenderedPageBreak/>
        <w:t>Crowther, M.A., Cook, D.J. 2007. Trials and tribulations of systematic reviews and meta-analyses. American Society of Hematology Education Program Book. pp. 493-497.</w:t>
      </w:r>
    </w:p>
    <w:p w14:paraId="7E1DAA3F" w14:textId="77777777" w:rsidR="00822C73" w:rsidRPr="00C02067" w:rsidRDefault="00822C73" w:rsidP="00822C73">
      <w:pPr>
        <w:rPr>
          <w:sz w:val="22"/>
          <w:szCs w:val="22"/>
        </w:rPr>
      </w:pPr>
    </w:p>
    <w:p w14:paraId="53192EBE" w14:textId="77777777" w:rsidR="00822C73" w:rsidRPr="00C02067" w:rsidRDefault="00822C73" w:rsidP="00822C73">
      <w:pPr>
        <w:rPr>
          <w:sz w:val="22"/>
          <w:szCs w:val="22"/>
        </w:rPr>
      </w:pPr>
      <w:r w:rsidRPr="00C02067">
        <w:rPr>
          <w:sz w:val="22"/>
          <w:szCs w:val="22"/>
        </w:rPr>
        <w:t xml:space="preserve">Crutzen, P.J., Aselmann, I., Seiler, W. 1986. Methane production by domestic animals, wild ruminants, other herbivorous fauna and humans. Tellus. 38B: 271-294. </w:t>
      </w:r>
    </w:p>
    <w:p w14:paraId="0823129B" w14:textId="77777777" w:rsidR="00822C73" w:rsidRPr="00C02067" w:rsidRDefault="00822C73" w:rsidP="00822C73">
      <w:pPr>
        <w:rPr>
          <w:sz w:val="22"/>
          <w:szCs w:val="22"/>
        </w:rPr>
      </w:pPr>
    </w:p>
    <w:p w14:paraId="448D8725" w14:textId="30124DC1" w:rsidR="00822C73" w:rsidRDefault="00822C73" w:rsidP="00822C73">
      <w:pPr>
        <w:rPr>
          <w:sz w:val="22"/>
          <w:szCs w:val="22"/>
        </w:rPr>
      </w:pPr>
      <w:r w:rsidRPr="00C02067">
        <w:rPr>
          <w:sz w:val="22"/>
          <w:szCs w:val="22"/>
        </w:rPr>
        <w:t>Csutora, M. 2012. One more awareness gap? The behavio</w:t>
      </w:r>
      <w:r w:rsidR="004D5563">
        <w:rPr>
          <w:sz w:val="22"/>
          <w:szCs w:val="22"/>
        </w:rPr>
        <w:t>u</w:t>
      </w:r>
      <w:r w:rsidRPr="00C02067">
        <w:rPr>
          <w:sz w:val="22"/>
          <w:szCs w:val="22"/>
        </w:rPr>
        <w:t xml:space="preserve">r-impact gap problem. Journal of Consumer Policy. 35: 145-163. </w:t>
      </w:r>
    </w:p>
    <w:p w14:paraId="2CB6DB0F" w14:textId="77777777" w:rsidR="00386F31" w:rsidRDefault="00386F31" w:rsidP="00822C73">
      <w:pPr>
        <w:rPr>
          <w:sz w:val="22"/>
          <w:szCs w:val="22"/>
        </w:rPr>
      </w:pPr>
    </w:p>
    <w:p w14:paraId="7DFEA463" w14:textId="03D322C9" w:rsidR="00386F31" w:rsidRPr="00C02067" w:rsidRDefault="00386F31" w:rsidP="00822C73">
      <w:pPr>
        <w:rPr>
          <w:sz w:val="22"/>
          <w:szCs w:val="22"/>
        </w:rPr>
      </w:pPr>
      <w:r>
        <w:rPr>
          <w:sz w:val="22"/>
          <w:szCs w:val="22"/>
        </w:rPr>
        <w:t>Cucurachi, S., Yang, Y., Bergesen, J.D., Qin, Y., Suh, S. 2016. Challenges in assessing the environmental consequences of dietary challenges. Environment Systems and Decisions. 36: 217-219.</w:t>
      </w:r>
    </w:p>
    <w:p w14:paraId="0486712F" w14:textId="77777777" w:rsidR="00822C73" w:rsidRPr="00C02067" w:rsidRDefault="00822C73" w:rsidP="00822C73">
      <w:pPr>
        <w:rPr>
          <w:sz w:val="22"/>
          <w:szCs w:val="22"/>
        </w:rPr>
      </w:pPr>
    </w:p>
    <w:p w14:paraId="34B0CA47" w14:textId="77777777" w:rsidR="00822C73" w:rsidRPr="00C02067" w:rsidRDefault="00822C73" w:rsidP="00822C73">
      <w:pPr>
        <w:rPr>
          <w:sz w:val="22"/>
          <w:szCs w:val="22"/>
          <w:lang w:val="en-CA"/>
        </w:rPr>
      </w:pPr>
      <w:r w:rsidRPr="00C02067">
        <w:rPr>
          <w:sz w:val="22"/>
          <w:szCs w:val="22"/>
          <w:lang w:val="en-CA"/>
        </w:rPr>
        <w:t xml:space="preserve">Curran, S.R., de Sherbinin, A. 2004. Completing the picture: The challenges of bringing ‘consumption’ into the population-environment equation. Population and Environment. 26(2): 107-131. </w:t>
      </w:r>
    </w:p>
    <w:p w14:paraId="7D4CD417" w14:textId="77777777" w:rsidR="00822C73" w:rsidRPr="00C02067" w:rsidRDefault="00822C73" w:rsidP="00822C73">
      <w:pPr>
        <w:rPr>
          <w:sz w:val="22"/>
          <w:szCs w:val="22"/>
        </w:rPr>
      </w:pPr>
    </w:p>
    <w:p w14:paraId="07716F72" w14:textId="77777777" w:rsidR="00822C73" w:rsidRPr="00C02067" w:rsidRDefault="00822C73" w:rsidP="00822C73">
      <w:pPr>
        <w:rPr>
          <w:sz w:val="22"/>
          <w:szCs w:val="22"/>
        </w:rPr>
      </w:pPr>
      <w:r w:rsidRPr="00C02067">
        <w:rPr>
          <w:sz w:val="22"/>
          <w:szCs w:val="22"/>
        </w:rPr>
        <w:t>Dagevos, H., Voordouw, J. 2013. Sustainability and meat consumption: Is reduction realistic? Sustainability: Science, Practice and Policy. 9(2): 60-69.</w:t>
      </w:r>
    </w:p>
    <w:p w14:paraId="25CD09E9" w14:textId="77777777" w:rsidR="00822C73" w:rsidRPr="00C02067" w:rsidRDefault="00822C73" w:rsidP="00822C73">
      <w:pPr>
        <w:rPr>
          <w:sz w:val="22"/>
          <w:szCs w:val="22"/>
        </w:rPr>
      </w:pPr>
    </w:p>
    <w:p w14:paraId="4601EA8A" w14:textId="77777777" w:rsidR="00822C73" w:rsidRPr="00DA2494" w:rsidRDefault="00822C73" w:rsidP="00822C73">
      <w:pPr>
        <w:rPr>
          <w:sz w:val="22"/>
          <w:szCs w:val="22"/>
        </w:rPr>
      </w:pPr>
      <w:r w:rsidRPr="00C02067">
        <w:rPr>
          <w:sz w:val="22"/>
          <w:szCs w:val="22"/>
        </w:rPr>
        <w:t xml:space="preserve">Dalmeny, K., Jackson, A. 2010. </w:t>
      </w:r>
      <w:r w:rsidRPr="00DA2494">
        <w:rPr>
          <w:sz w:val="22"/>
          <w:szCs w:val="22"/>
        </w:rPr>
        <w:t xml:space="preserve">Yet more hospital food failure: The bill rises to $54 Million and still counting…Updated evidence on over ten years of failed voluntary initiatives to improve hospital food. London: Sustain. </w:t>
      </w:r>
    </w:p>
    <w:p w14:paraId="2F30099D" w14:textId="77777777" w:rsidR="00DA2494" w:rsidRPr="00DA2494" w:rsidRDefault="00DA2494" w:rsidP="00822C73">
      <w:pPr>
        <w:rPr>
          <w:sz w:val="22"/>
          <w:szCs w:val="22"/>
        </w:rPr>
      </w:pPr>
    </w:p>
    <w:p w14:paraId="60ED8F2B" w14:textId="149A5B3C" w:rsidR="00DA2494" w:rsidRPr="00DA2494" w:rsidRDefault="00DA2494" w:rsidP="00822C73">
      <w:pPr>
        <w:rPr>
          <w:sz w:val="22"/>
          <w:szCs w:val="22"/>
        </w:rPr>
      </w:pPr>
      <w:r w:rsidRPr="00DA2494">
        <w:rPr>
          <w:sz w:val="22"/>
          <w:szCs w:val="22"/>
        </w:rPr>
        <w:t>Davidson, D.J., Jones, K.E., Parkins, J.R. 2016. Food safety risks, disruptive events and alternative beef production: a case study of agricultural transition in Alberta. Agricultural Human Values. 33: 359-371</w:t>
      </w:r>
    </w:p>
    <w:p w14:paraId="528F8121" w14:textId="77777777" w:rsidR="00822C73" w:rsidRPr="00DA2494" w:rsidRDefault="00822C73" w:rsidP="00822C73">
      <w:pPr>
        <w:rPr>
          <w:sz w:val="22"/>
          <w:szCs w:val="22"/>
        </w:rPr>
      </w:pPr>
    </w:p>
    <w:p w14:paraId="6659B663" w14:textId="77777777" w:rsidR="00822C73" w:rsidRPr="00C02067" w:rsidRDefault="00822C73" w:rsidP="00822C73">
      <w:pPr>
        <w:rPr>
          <w:sz w:val="22"/>
          <w:szCs w:val="22"/>
          <w:lang w:val="en-CA"/>
        </w:rPr>
      </w:pPr>
      <w:r w:rsidRPr="00DA2494">
        <w:rPr>
          <w:sz w:val="22"/>
          <w:szCs w:val="22"/>
          <w:lang w:val="en-CA"/>
        </w:rPr>
        <w:t>de Backer, C., Hudders, L. 2014. From</w:t>
      </w:r>
      <w:r w:rsidRPr="00C02067">
        <w:rPr>
          <w:sz w:val="22"/>
          <w:szCs w:val="22"/>
          <w:lang w:val="en-CA"/>
        </w:rPr>
        <w:t xml:space="preserve"> meatless Mondays to meatless Sundays: Motivations for meat reduction among vegetarians and semi-vegetarians who mildly or significantly reduce their meat intake. Ecology of Food and Nutrition. 53: 639-657. </w:t>
      </w:r>
    </w:p>
    <w:p w14:paraId="1AB6E748" w14:textId="77777777" w:rsidR="00822C73" w:rsidRPr="00C02067" w:rsidRDefault="00822C73" w:rsidP="00822C73">
      <w:pPr>
        <w:rPr>
          <w:color w:val="000000" w:themeColor="text1"/>
          <w:sz w:val="22"/>
          <w:szCs w:val="22"/>
          <w:lang w:val="en-CA"/>
        </w:rPr>
      </w:pPr>
    </w:p>
    <w:p w14:paraId="75D37D89" w14:textId="77777777" w:rsidR="00822C73" w:rsidRPr="00C02067" w:rsidRDefault="00822C73" w:rsidP="00822C73">
      <w:pPr>
        <w:rPr>
          <w:sz w:val="22"/>
          <w:szCs w:val="22"/>
        </w:rPr>
      </w:pPr>
      <w:r w:rsidRPr="00C02067">
        <w:rPr>
          <w:color w:val="000000" w:themeColor="text1"/>
          <w:sz w:val="22"/>
          <w:szCs w:val="22"/>
          <w:lang w:val="en-CA"/>
        </w:rPr>
        <w:t xml:space="preserve">de Bakker, E., Dagevos., H. 2012. Reducing meat consumption in today’s consumer society: Questioning the citizen-consumer gap. Journal of Agricultural and Environmental Ethics. 25: 877-894. </w:t>
      </w:r>
    </w:p>
    <w:p w14:paraId="4D83DC71" w14:textId="77777777" w:rsidR="00822C73" w:rsidRPr="00C02067" w:rsidRDefault="00822C73" w:rsidP="00822C73">
      <w:pPr>
        <w:rPr>
          <w:sz w:val="22"/>
          <w:szCs w:val="22"/>
        </w:rPr>
      </w:pPr>
    </w:p>
    <w:p w14:paraId="56ACB5A3" w14:textId="77777777" w:rsidR="00822C73" w:rsidRPr="00C02067" w:rsidRDefault="00822C73" w:rsidP="00822C73">
      <w:pPr>
        <w:rPr>
          <w:sz w:val="22"/>
          <w:szCs w:val="22"/>
          <w:lang w:val="en-CA"/>
        </w:rPr>
      </w:pPr>
      <w:r w:rsidRPr="00C02067">
        <w:rPr>
          <w:color w:val="000000" w:themeColor="text1"/>
          <w:sz w:val="22"/>
          <w:szCs w:val="22"/>
          <w:lang w:val="en-CA"/>
        </w:rPr>
        <w:t xml:space="preserve">de Boer, J., de Witt, A., Aiking, H. </w:t>
      </w:r>
      <w:r w:rsidRPr="00C02067">
        <w:rPr>
          <w:sz w:val="22"/>
          <w:szCs w:val="22"/>
          <w:lang w:val="en-CA"/>
        </w:rPr>
        <w:t xml:space="preserve">2016. Help the climate, change your diet: A cross-sectional study on how to involve consumers in a transition to a low carbon society. Appetite. 98: 19-27. </w:t>
      </w:r>
    </w:p>
    <w:p w14:paraId="3AC11F35" w14:textId="77777777" w:rsidR="00822C73" w:rsidRPr="00C02067" w:rsidRDefault="00822C73" w:rsidP="00822C73">
      <w:pPr>
        <w:rPr>
          <w:sz w:val="22"/>
          <w:szCs w:val="22"/>
        </w:rPr>
      </w:pPr>
    </w:p>
    <w:p w14:paraId="1DD70ACC" w14:textId="493DA434" w:rsidR="00822C73" w:rsidRPr="00C02067" w:rsidRDefault="00822C73" w:rsidP="00822C73">
      <w:pPr>
        <w:rPr>
          <w:sz w:val="22"/>
          <w:szCs w:val="22"/>
        </w:rPr>
      </w:pPr>
      <w:r w:rsidRPr="00C02067">
        <w:rPr>
          <w:sz w:val="22"/>
          <w:szCs w:val="22"/>
        </w:rPr>
        <w:t>Deci, E.L., Ryan, R.M. 1987. The support of autonomy and the control of behavio</w:t>
      </w:r>
      <w:r w:rsidR="004D5563">
        <w:rPr>
          <w:sz w:val="22"/>
          <w:szCs w:val="22"/>
        </w:rPr>
        <w:t>u</w:t>
      </w:r>
      <w:r w:rsidRPr="00C02067">
        <w:rPr>
          <w:sz w:val="22"/>
          <w:szCs w:val="22"/>
        </w:rPr>
        <w:t xml:space="preserve">r. Journal of Personality and Social Psychology. 53(6): 1024-1037. </w:t>
      </w:r>
    </w:p>
    <w:p w14:paraId="5DC60614" w14:textId="197A2C26" w:rsidR="00822C73" w:rsidRPr="00DA2494" w:rsidRDefault="00DA2494" w:rsidP="00822C73">
      <w:pPr>
        <w:rPr>
          <w:sz w:val="22"/>
          <w:szCs w:val="22"/>
        </w:rPr>
      </w:pPr>
      <w:r w:rsidRPr="00DA2494">
        <w:rPr>
          <w:sz w:val="22"/>
          <w:szCs w:val="22"/>
        </w:rPr>
        <w:t>Department of Fisheries and Oceans (DFO). 2015. Lobster. Retrieved July, 2016 from: http://www.dfo-mpo.gc.ca/fm-gp/sustainable-durable/fisheries-peches/lobster-homard-eng.htm. Government of Canada, Ottawa, Ontario.</w:t>
      </w:r>
    </w:p>
    <w:p w14:paraId="7EFC6C37" w14:textId="77777777" w:rsidR="00DA2494" w:rsidRPr="00DA2494" w:rsidRDefault="00DA2494" w:rsidP="00822C73">
      <w:pPr>
        <w:rPr>
          <w:sz w:val="22"/>
          <w:szCs w:val="22"/>
        </w:rPr>
      </w:pPr>
    </w:p>
    <w:p w14:paraId="10E42288" w14:textId="77777777" w:rsidR="00822C73" w:rsidRPr="00DA2494" w:rsidRDefault="00822C73" w:rsidP="00822C73">
      <w:pPr>
        <w:rPr>
          <w:sz w:val="22"/>
          <w:szCs w:val="22"/>
          <w:lang w:val="en-CA"/>
        </w:rPr>
      </w:pPr>
      <w:r w:rsidRPr="00DA2494">
        <w:rPr>
          <w:sz w:val="22"/>
          <w:szCs w:val="22"/>
          <w:lang w:val="en-CA"/>
        </w:rPr>
        <w:t xml:space="preserve">Dietz, T. 2014. Understanding environmentally significant consumption. PNAS 111(14): 5067-5068. </w:t>
      </w:r>
    </w:p>
    <w:p w14:paraId="1B0D7926" w14:textId="77777777" w:rsidR="00822C73" w:rsidRPr="00C02067" w:rsidRDefault="00822C73" w:rsidP="00822C73">
      <w:pPr>
        <w:rPr>
          <w:sz w:val="22"/>
          <w:szCs w:val="22"/>
        </w:rPr>
      </w:pPr>
    </w:p>
    <w:p w14:paraId="6EED740E" w14:textId="77777777" w:rsidR="00822C73" w:rsidRPr="00C02067" w:rsidRDefault="00822C73" w:rsidP="00822C73">
      <w:pPr>
        <w:rPr>
          <w:sz w:val="22"/>
          <w:szCs w:val="22"/>
        </w:rPr>
      </w:pPr>
      <w:r w:rsidRPr="00C02067">
        <w:rPr>
          <w:sz w:val="22"/>
          <w:szCs w:val="22"/>
        </w:rPr>
        <w:t>Dobbie, K.E., Smith, K.A. 2003. Impact of different forms of N fertilizer on N</w:t>
      </w:r>
      <w:r w:rsidRPr="00C02067">
        <w:rPr>
          <w:sz w:val="22"/>
          <w:szCs w:val="22"/>
          <w:vertAlign w:val="subscript"/>
        </w:rPr>
        <w:t>2</w:t>
      </w:r>
      <w:r w:rsidRPr="00C02067">
        <w:rPr>
          <w:sz w:val="22"/>
          <w:szCs w:val="22"/>
        </w:rPr>
        <w:t xml:space="preserve">O emissions from intensive grassland. Nutrient Cycling in Agroecosystems. 67: 37-46. </w:t>
      </w:r>
    </w:p>
    <w:p w14:paraId="268A2158" w14:textId="77777777" w:rsidR="00822C73" w:rsidRPr="00C02067" w:rsidRDefault="00822C73" w:rsidP="00822C73">
      <w:pPr>
        <w:rPr>
          <w:sz w:val="22"/>
          <w:szCs w:val="22"/>
        </w:rPr>
      </w:pPr>
    </w:p>
    <w:p w14:paraId="1C2DE1F2"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 xml:space="preserve">Dompere, K.K. 2014. Social goal-objective formation, democracy and national interest: A theory of political economy under fuzzy rationality. Springer Science &amp; Business Media. 223 pages. </w:t>
      </w:r>
    </w:p>
    <w:p w14:paraId="2741C480" w14:textId="77777777" w:rsidR="00822C73" w:rsidRPr="00C02067" w:rsidRDefault="00822C73" w:rsidP="00822C73">
      <w:pPr>
        <w:rPr>
          <w:sz w:val="22"/>
          <w:szCs w:val="22"/>
        </w:rPr>
      </w:pPr>
    </w:p>
    <w:p w14:paraId="211C3632"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 xml:space="preserve">Doty, D.H., Glock, W.H. 1994. Typologies as a unique form of theory building: Toward improved understanding and modeling. Academy of Management Review. 19(2): 230-251. </w:t>
      </w:r>
    </w:p>
    <w:p w14:paraId="5257F1E2" w14:textId="77777777" w:rsidR="00822C73" w:rsidRPr="00C02067" w:rsidRDefault="00822C73" w:rsidP="00822C73">
      <w:pPr>
        <w:rPr>
          <w:sz w:val="22"/>
          <w:szCs w:val="22"/>
        </w:rPr>
      </w:pPr>
    </w:p>
    <w:p w14:paraId="12E73D27" w14:textId="77777777" w:rsidR="00822C73" w:rsidRPr="00C02067" w:rsidRDefault="00822C73" w:rsidP="00822C73">
      <w:pPr>
        <w:rPr>
          <w:sz w:val="22"/>
          <w:szCs w:val="22"/>
        </w:rPr>
      </w:pPr>
      <w:r w:rsidRPr="00C02067">
        <w:rPr>
          <w:sz w:val="22"/>
          <w:szCs w:val="22"/>
        </w:rPr>
        <w:t xml:space="preserve">Duchene, T.N. 2014. The effects of motivation framing and content domain on intentions to eat plant-based foods. Honors Thesis. King’s University College at The University of Western Ontario. </w:t>
      </w:r>
    </w:p>
    <w:p w14:paraId="4C21B0AC" w14:textId="77777777" w:rsidR="00822C73" w:rsidRPr="00C02067" w:rsidRDefault="00822C73" w:rsidP="00822C73">
      <w:pPr>
        <w:rPr>
          <w:sz w:val="22"/>
          <w:szCs w:val="22"/>
        </w:rPr>
      </w:pPr>
    </w:p>
    <w:p w14:paraId="43839678" w14:textId="77777777" w:rsidR="00822C73" w:rsidRPr="00C02067" w:rsidRDefault="00822C73" w:rsidP="00822C73">
      <w:pPr>
        <w:rPr>
          <w:sz w:val="22"/>
          <w:szCs w:val="22"/>
          <w:lang w:val="en-CA"/>
        </w:rPr>
      </w:pPr>
      <w:r w:rsidRPr="00C02067">
        <w:rPr>
          <w:sz w:val="22"/>
          <w:szCs w:val="22"/>
          <w:lang w:val="en-CA"/>
        </w:rPr>
        <w:t>Duchin, F. 2005. Sustainable consumption of food: A framework for analyzing scenarios about changes in diets. Journal of Industrial Ecology. 9: 99-114.</w:t>
      </w:r>
    </w:p>
    <w:p w14:paraId="2A304739" w14:textId="77777777" w:rsidR="00822C73" w:rsidRPr="00C02067" w:rsidRDefault="00822C73" w:rsidP="00822C73">
      <w:pPr>
        <w:rPr>
          <w:sz w:val="22"/>
          <w:szCs w:val="22"/>
        </w:rPr>
      </w:pPr>
    </w:p>
    <w:p w14:paraId="19291014" w14:textId="77777777" w:rsidR="00822C73" w:rsidRPr="00C02067" w:rsidRDefault="00822C73" w:rsidP="00822C73">
      <w:pPr>
        <w:rPr>
          <w:sz w:val="22"/>
          <w:szCs w:val="22"/>
        </w:rPr>
      </w:pPr>
      <w:r w:rsidRPr="00C02067">
        <w:rPr>
          <w:sz w:val="22"/>
          <w:szCs w:val="22"/>
        </w:rPr>
        <w:t>Easterling, W.E., Aggarwal. P.K., Batima, P., Brander, K.M., Erder, L., Howden, S.M., Kirilenko, A., Morton, J., SOussana, J.F., Schmidhuber, J., Tubiello, F.N. 2007. Food, fibre and forest products. In: Parry, M.L., Canziani, O.E., Palutikof, J.P., van der Linden, P.J., Hanson, C.E. (eds.) Climate Change 2007: Impacts, adaptation and vulnerability. Contribution II to the Fourth Assessment Report of the Intergovernmental Panel on Climate Change. Cambridge University Press, Cambridge, UK and New York, NY, USA.</w:t>
      </w:r>
    </w:p>
    <w:p w14:paraId="575A95D9" w14:textId="77777777" w:rsidR="00822C73" w:rsidRPr="00C02067" w:rsidRDefault="00822C73" w:rsidP="00822C73">
      <w:pPr>
        <w:rPr>
          <w:sz w:val="22"/>
          <w:szCs w:val="22"/>
        </w:rPr>
      </w:pPr>
    </w:p>
    <w:p w14:paraId="493383B8" w14:textId="77777777" w:rsidR="00822C73" w:rsidRPr="00C02067" w:rsidRDefault="00822C73" w:rsidP="00822C73">
      <w:pPr>
        <w:pStyle w:val="CommentText"/>
        <w:rPr>
          <w:sz w:val="22"/>
          <w:szCs w:val="22"/>
        </w:rPr>
      </w:pPr>
      <w:r w:rsidRPr="00C02067">
        <w:rPr>
          <w:sz w:val="22"/>
          <w:szCs w:val="22"/>
        </w:rPr>
        <w:t xml:space="preserve">Eatwell Guide. 2016. Retrieved May, 2016 from: https://www.gov.uk/government/uploads/system/uploads/attachment_data/file/510363/UPDATED_Eatwell_guide_2016_FINAL_MAR23.pdf. Public Health England, UK. </w:t>
      </w:r>
    </w:p>
    <w:p w14:paraId="5850F42C" w14:textId="77777777" w:rsidR="00822C73" w:rsidRPr="00C02067" w:rsidRDefault="00822C73" w:rsidP="00822C73">
      <w:pPr>
        <w:rPr>
          <w:sz w:val="22"/>
          <w:szCs w:val="22"/>
        </w:rPr>
      </w:pPr>
    </w:p>
    <w:p w14:paraId="34B41D04" w14:textId="77777777" w:rsidR="00822C73" w:rsidRPr="00C02067" w:rsidRDefault="00822C73" w:rsidP="00822C73">
      <w:pPr>
        <w:rPr>
          <w:sz w:val="22"/>
          <w:szCs w:val="22"/>
        </w:rPr>
      </w:pPr>
      <w:r w:rsidRPr="00C02067">
        <w:rPr>
          <w:sz w:val="22"/>
          <w:szCs w:val="22"/>
          <w:lang w:val="en-CA"/>
        </w:rPr>
        <w:t>Eberle, U., Spiller, A., Becker, T., Heissenhuber, A., Leonhäuser, I., Sundrum, A. 2011. Political strategy for food labelling. Berlin: Federal Ministry of Food. Agriculture and Consumer Protection.</w:t>
      </w:r>
    </w:p>
    <w:p w14:paraId="7CCA04E8" w14:textId="77777777" w:rsidR="00822C73" w:rsidRDefault="00822C73" w:rsidP="00822C73">
      <w:pPr>
        <w:rPr>
          <w:sz w:val="22"/>
          <w:szCs w:val="22"/>
        </w:rPr>
      </w:pPr>
      <w:r w:rsidRPr="00EA5505">
        <w:rPr>
          <w:sz w:val="22"/>
          <w:szCs w:val="22"/>
        </w:rPr>
        <w:t>Encyclopedia Britannica. 2016. Political economy. Retrieved May, 2016 from: http://www.britannica.com/topic/political-economy. Encyclopedia Britannica Online. Encyclopedia Britannica Inc.</w:t>
      </w:r>
    </w:p>
    <w:p w14:paraId="6D2B2C0B" w14:textId="77777777" w:rsidR="00822C73" w:rsidRDefault="00822C73" w:rsidP="00822C73">
      <w:pPr>
        <w:rPr>
          <w:sz w:val="22"/>
          <w:szCs w:val="22"/>
        </w:rPr>
      </w:pPr>
    </w:p>
    <w:p w14:paraId="2C459443" w14:textId="77777777" w:rsidR="00822C73" w:rsidRPr="00C02067" w:rsidRDefault="00822C73" w:rsidP="00822C73">
      <w:pPr>
        <w:rPr>
          <w:sz w:val="22"/>
          <w:szCs w:val="22"/>
        </w:rPr>
      </w:pPr>
      <w:r w:rsidRPr="00C02067">
        <w:rPr>
          <w:sz w:val="22"/>
          <w:szCs w:val="22"/>
        </w:rPr>
        <w:t>Environment Canada. 2015. National Inventory Report 1990-2013: Greenhouse gas sources and sinks in Canada – Executive summary.</w:t>
      </w:r>
    </w:p>
    <w:p w14:paraId="0455A855" w14:textId="77777777" w:rsidR="00822C73" w:rsidRPr="00C02067" w:rsidRDefault="00822C73" w:rsidP="00822C73">
      <w:pPr>
        <w:rPr>
          <w:sz w:val="22"/>
          <w:szCs w:val="22"/>
        </w:rPr>
      </w:pPr>
    </w:p>
    <w:p w14:paraId="65277E1F" w14:textId="77777777" w:rsidR="00822C73" w:rsidRPr="00C02067" w:rsidRDefault="00822C73" w:rsidP="00822C73">
      <w:pPr>
        <w:rPr>
          <w:sz w:val="22"/>
          <w:szCs w:val="22"/>
          <w:lang w:val="en-CA"/>
        </w:rPr>
      </w:pPr>
      <w:r w:rsidRPr="00C02067">
        <w:rPr>
          <w:sz w:val="22"/>
          <w:szCs w:val="22"/>
          <w:lang w:val="en-CA"/>
        </w:rPr>
        <w:t xml:space="preserve">Erinosho, T.O., Pinard, C.A., Nebeling, L.C., Moser, R.P., Shaikh, A.R., Resnicow, K., Oh, A.Y., Yaroch, A.L. 2015. Development and implementation of the National Cancer Institue’s food attitudes and behaviours survey to assess correlates of fruit and vegetable intake in adults. PLoS One. 10(2): e0115017, doi: 10.1371/journal.pone.0115017. </w:t>
      </w:r>
    </w:p>
    <w:p w14:paraId="371E62C6" w14:textId="77777777" w:rsidR="00822C73" w:rsidRPr="00C02067" w:rsidRDefault="00822C73" w:rsidP="00822C73">
      <w:pPr>
        <w:rPr>
          <w:color w:val="000000" w:themeColor="text1"/>
          <w:sz w:val="22"/>
          <w:szCs w:val="22"/>
          <w:lang w:val="en-CA"/>
        </w:rPr>
      </w:pPr>
    </w:p>
    <w:p w14:paraId="23C014E8"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 xml:space="preserve">Eshel, G., Martin, P.A. Diet, energy, and global warming. Earth interactions. 10(9): 1-17. </w:t>
      </w:r>
    </w:p>
    <w:p w14:paraId="1AEECCFE" w14:textId="77777777" w:rsidR="00822C73" w:rsidRPr="00C02067" w:rsidRDefault="00822C73" w:rsidP="00822C73">
      <w:pPr>
        <w:rPr>
          <w:sz w:val="22"/>
          <w:szCs w:val="22"/>
        </w:rPr>
      </w:pPr>
    </w:p>
    <w:p w14:paraId="563AF567"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 xml:space="preserve">Farm Credit Canada (FCC). 2015. The 2015 beef sector report. Retrieved May, 2016 from: https://www.fcc-fac.ca/fcc/about-fcc/corporate-profile/reports/beef-sector/beef-sector-report-2015.pdf. 16 pages. </w:t>
      </w:r>
    </w:p>
    <w:p w14:paraId="2EE5550C" w14:textId="77777777" w:rsidR="00822C73" w:rsidRPr="00C02067" w:rsidRDefault="00822C73" w:rsidP="00822C73">
      <w:pPr>
        <w:rPr>
          <w:sz w:val="22"/>
          <w:szCs w:val="22"/>
        </w:rPr>
      </w:pPr>
    </w:p>
    <w:p w14:paraId="2EFC8507" w14:textId="77777777" w:rsidR="00822C73" w:rsidRPr="00C02067" w:rsidRDefault="00822C73" w:rsidP="00822C73">
      <w:pPr>
        <w:rPr>
          <w:sz w:val="22"/>
          <w:szCs w:val="22"/>
        </w:rPr>
      </w:pPr>
      <w:r w:rsidRPr="00C02067">
        <w:rPr>
          <w:sz w:val="22"/>
          <w:szCs w:val="22"/>
        </w:rPr>
        <w:t>Festinger, L. 1957. A theory of cognitive dissonance. Stanford, CA. Stanford University Press.</w:t>
      </w:r>
    </w:p>
    <w:p w14:paraId="288824F4" w14:textId="77777777" w:rsidR="00822C73" w:rsidRPr="00C02067" w:rsidRDefault="00822C73" w:rsidP="00822C73">
      <w:pPr>
        <w:rPr>
          <w:sz w:val="22"/>
          <w:szCs w:val="22"/>
        </w:rPr>
      </w:pPr>
    </w:p>
    <w:p w14:paraId="09FE5C17" w14:textId="77777777" w:rsidR="00822C73" w:rsidRPr="00C02067" w:rsidRDefault="00822C73" w:rsidP="00822C73">
      <w:pPr>
        <w:rPr>
          <w:sz w:val="22"/>
          <w:szCs w:val="22"/>
        </w:rPr>
      </w:pPr>
      <w:r w:rsidRPr="00C02067">
        <w:rPr>
          <w:sz w:val="22"/>
          <w:szCs w:val="22"/>
        </w:rPr>
        <w:t xml:space="preserve">Fiddes, N. 1994. Social aspects of meat eating. Proceedings of the Nutrition Society. 53: 271-280. </w:t>
      </w:r>
    </w:p>
    <w:p w14:paraId="7E1FA1B6" w14:textId="77777777" w:rsidR="00822C73" w:rsidRPr="00C02067" w:rsidRDefault="00822C73" w:rsidP="00822C73">
      <w:pPr>
        <w:rPr>
          <w:sz w:val="22"/>
          <w:szCs w:val="22"/>
        </w:rPr>
      </w:pPr>
    </w:p>
    <w:p w14:paraId="1E8BCEA3" w14:textId="77777777" w:rsidR="00822C73" w:rsidRPr="00C02067" w:rsidRDefault="00822C73" w:rsidP="00822C73">
      <w:pPr>
        <w:widowControl w:val="0"/>
        <w:autoSpaceDE w:val="0"/>
        <w:autoSpaceDN w:val="0"/>
        <w:adjustRightInd w:val="0"/>
        <w:rPr>
          <w:color w:val="101010"/>
          <w:sz w:val="22"/>
          <w:szCs w:val="22"/>
        </w:rPr>
      </w:pPr>
      <w:r w:rsidRPr="00C02067">
        <w:rPr>
          <w:color w:val="101010"/>
          <w:sz w:val="22"/>
          <w:szCs w:val="22"/>
        </w:rPr>
        <w:t>Fisher, B., Nakicenovic, N., Alfsen, K., Corfee Morlot, J., de la Chesnaye, F., Hourcade, J-C., Jiang, K., Kainuma, M., La Rovere, E., Matysek, A., Rana, A., Riahi, K., Richels, R., Rose, S., van Vuuren, D.P., Warren, R., Ambrosi, P., Birol, F., Bouille, D., Clapp, C., Eickhout, B., Hanaoka, T., Mastrandrea, M.D., Matsuoko, Y., O’Neill, B., Pitcher, H., Rao, S., Toth, F. 2007. Issues related to mitigation in the long- term context. In: Metz, B., Davidson, O., Bosch P,, Dave. R,, Meyer, L. (eds) Climate change 2007. Mitigation of climate change. Contribution of working group III to the fourth assessment report of the intergovernmental panel on climate change. IPCC. Cambridge University Press, New York, pp 169–250.</w:t>
      </w:r>
    </w:p>
    <w:p w14:paraId="7482FF14" w14:textId="77777777" w:rsidR="00822C73" w:rsidRPr="00C02067" w:rsidRDefault="00822C73" w:rsidP="00822C73">
      <w:pPr>
        <w:rPr>
          <w:sz w:val="22"/>
          <w:szCs w:val="22"/>
        </w:rPr>
      </w:pPr>
    </w:p>
    <w:p w14:paraId="6080A77D" w14:textId="77777777" w:rsidR="00822C73" w:rsidRPr="00C02067" w:rsidRDefault="00822C73" w:rsidP="00822C73">
      <w:pPr>
        <w:rPr>
          <w:sz w:val="22"/>
          <w:szCs w:val="22"/>
          <w:lang w:val="en-CA"/>
        </w:rPr>
      </w:pPr>
      <w:r w:rsidRPr="00C02067">
        <w:rPr>
          <w:sz w:val="22"/>
          <w:szCs w:val="22"/>
          <w:lang w:val="en-CA"/>
        </w:rPr>
        <w:lastRenderedPageBreak/>
        <w:t>Fleming, S., Kelleher, C., O’Connor, M. 1997. Eating patterns and factors influencing likely change in the workplace in Ireland. Health Promotion International. 12(3): 187-196.</w:t>
      </w:r>
    </w:p>
    <w:p w14:paraId="42A63EC0" w14:textId="77777777" w:rsidR="00822C73" w:rsidRPr="00C02067" w:rsidRDefault="00822C73" w:rsidP="00822C73">
      <w:pPr>
        <w:rPr>
          <w:sz w:val="22"/>
          <w:szCs w:val="22"/>
        </w:rPr>
      </w:pPr>
    </w:p>
    <w:p w14:paraId="7EC22B81" w14:textId="77777777" w:rsidR="00822C73" w:rsidRPr="00C02067" w:rsidRDefault="00822C73" w:rsidP="00822C73">
      <w:pPr>
        <w:rPr>
          <w:sz w:val="22"/>
          <w:szCs w:val="22"/>
          <w:lang w:val="en-CA"/>
        </w:rPr>
      </w:pPr>
      <w:r w:rsidRPr="00C02067">
        <w:rPr>
          <w:sz w:val="22"/>
          <w:szCs w:val="22"/>
          <w:lang w:val="en-CA"/>
        </w:rPr>
        <w:t xml:space="preserve">Flynn, M.A.T., O’Brien, C.M., Faulkner, G., Flynn, C.A., Gajownik, M., Burke, S.J. 2011. Revision of food-based dietary guidelines for Ireland, Phase 1: Evaluation of Ireland’s food guide. Public Health Nutrition. 15(3): 518-526. </w:t>
      </w:r>
    </w:p>
    <w:p w14:paraId="7A0BF94F" w14:textId="77777777" w:rsidR="00822C73" w:rsidRPr="00C02067" w:rsidRDefault="00822C73" w:rsidP="00822C73">
      <w:pPr>
        <w:rPr>
          <w:sz w:val="22"/>
          <w:szCs w:val="22"/>
        </w:rPr>
      </w:pPr>
    </w:p>
    <w:p w14:paraId="386838DF" w14:textId="77777777" w:rsidR="00822C73" w:rsidRPr="00C02067" w:rsidRDefault="00822C73" w:rsidP="00822C73">
      <w:pPr>
        <w:rPr>
          <w:color w:val="000000" w:themeColor="text1"/>
          <w:sz w:val="22"/>
          <w:szCs w:val="22"/>
          <w:lang w:val="en-CA"/>
        </w:rPr>
      </w:pPr>
      <w:r w:rsidRPr="00C02067">
        <w:rPr>
          <w:sz w:val="22"/>
          <w:szCs w:val="22"/>
        </w:rPr>
        <w:t>Food and Agriculture Organization (FAO) of the United Nationshan. 2010. Sustainable diets and biodiversity: Directions and solutions for policy, research and action. Proceedings of the International Scientific Symposium. Biodiversity and Sustainable Diets United Against Hunger. Rome.</w:t>
      </w:r>
    </w:p>
    <w:p w14:paraId="115A8F84" w14:textId="77777777" w:rsidR="00822C73" w:rsidRPr="00C02067" w:rsidRDefault="00822C73" w:rsidP="00822C73">
      <w:pPr>
        <w:rPr>
          <w:sz w:val="22"/>
          <w:szCs w:val="22"/>
        </w:rPr>
      </w:pPr>
    </w:p>
    <w:p w14:paraId="5A407FE3" w14:textId="77777777" w:rsidR="00822C73" w:rsidRPr="00C02067" w:rsidRDefault="00822C73" w:rsidP="00822C73">
      <w:pPr>
        <w:rPr>
          <w:sz w:val="22"/>
          <w:szCs w:val="22"/>
        </w:rPr>
      </w:pPr>
      <w:r w:rsidRPr="00C02067">
        <w:rPr>
          <w:sz w:val="22"/>
          <w:szCs w:val="22"/>
        </w:rPr>
        <w:t>Food and Agriculture Organization (FAO) of the United Nations. 2013. Current worldwide annual meat consumption per capita: Livestock and fish primary equivalent. Rome.</w:t>
      </w:r>
    </w:p>
    <w:p w14:paraId="7777057F" w14:textId="77777777" w:rsidR="00822C73" w:rsidRPr="00C02067" w:rsidRDefault="00822C73" w:rsidP="00822C73">
      <w:pPr>
        <w:rPr>
          <w:sz w:val="22"/>
          <w:szCs w:val="22"/>
        </w:rPr>
      </w:pPr>
    </w:p>
    <w:p w14:paraId="2C1AD7C4" w14:textId="77777777" w:rsidR="00822C73" w:rsidRPr="00C02067" w:rsidRDefault="00822C73" w:rsidP="00822C73">
      <w:pPr>
        <w:rPr>
          <w:sz w:val="22"/>
          <w:szCs w:val="22"/>
          <w:lang w:val="en-CA"/>
        </w:rPr>
      </w:pPr>
      <w:r w:rsidRPr="00C02067">
        <w:rPr>
          <w:sz w:val="22"/>
          <w:szCs w:val="22"/>
          <w:lang w:val="en-CA"/>
        </w:rPr>
        <w:t xml:space="preserve">Forestell, C.A., Spaeth, A.M., Kane, S.A. 2012. To eat or not to eat red meat. A closer look at the relationship between restrained eating and vegetarianism in college females. Appetite. 58: 319-325. </w:t>
      </w:r>
    </w:p>
    <w:p w14:paraId="1CD45325" w14:textId="77777777" w:rsidR="00822C73" w:rsidRPr="00C02067" w:rsidRDefault="00822C73" w:rsidP="00822C73">
      <w:pPr>
        <w:rPr>
          <w:sz w:val="22"/>
          <w:szCs w:val="22"/>
        </w:rPr>
      </w:pPr>
    </w:p>
    <w:p w14:paraId="18867D39" w14:textId="77777777" w:rsidR="00822C73" w:rsidRPr="00C02067" w:rsidRDefault="00822C73" w:rsidP="00822C73">
      <w:pPr>
        <w:rPr>
          <w:sz w:val="22"/>
          <w:szCs w:val="22"/>
        </w:rPr>
      </w:pPr>
      <w:r w:rsidRPr="00C02067">
        <w:rPr>
          <w:sz w:val="22"/>
          <w:szCs w:val="22"/>
        </w:rPr>
        <w:t xml:space="preserve">Fox, N., Ward, K. 2008. Health, ethics and environment: A qualitative study of vegetarian motivations. Appetite. 50: 422-429. </w:t>
      </w:r>
    </w:p>
    <w:p w14:paraId="7A7EB1D2" w14:textId="77777777" w:rsidR="00822C73" w:rsidRPr="00C02067" w:rsidRDefault="00822C73" w:rsidP="00822C73">
      <w:pPr>
        <w:rPr>
          <w:sz w:val="22"/>
          <w:szCs w:val="22"/>
        </w:rPr>
      </w:pPr>
    </w:p>
    <w:p w14:paraId="6978B561" w14:textId="77777777" w:rsidR="00822C73" w:rsidRPr="00C02067" w:rsidRDefault="00822C73" w:rsidP="00822C73">
      <w:pPr>
        <w:rPr>
          <w:sz w:val="22"/>
          <w:szCs w:val="22"/>
        </w:rPr>
      </w:pPr>
      <w:r w:rsidRPr="00C02067">
        <w:rPr>
          <w:sz w:val="22"/>
          <w:szCs w:val="22"/>
        </w:rPr>
        <w:t xml:space="preserve">Fransson, N., Gärling, T. 1999. Environmental concern. Conceptual definitions, measurement methods and research findings. Journal of Environmental Psychology. 19: 369-382. </w:t>
      </w:r>
    </w:p>
    <w:p w14:paraId="56D34040" w14:textId="77777777" w:rsidR="00822C73" w:rsidRPr="00C02067" w:rsidRDefault="00822C73" w:rsidP="00822C73">
      <w:pPr>
        <w:rPr>
          <w:sz w:val="22"/>
          <w:szCs w:val="22"/>
        </w:rPr>
      </w:pPr>
    </w:p>
    <w:p w14:paraId="0154B451" w14:textId="77777777" w:rsidR="00822C73" w:rsidRPr="00C02067" w:rsidRDefault="00822C73" w:rsidP="00822C73">
      <w:pPr>
        <w:rPr>
          <w:sz w:val="22"/>
          <w:szCs w:val="22"/>
          <w:lang w:val="en-CA"/>
        </w:rPr>
      </w:pPr>
      <w:r w:rsidRPr="00C02067">
        <w:rPr>
          <w:sz w:val="22"/>
          <w:szCs w:val="22"/>
          <w:lang w:val="en-CA"/>
        </w:rPr>
        <w:t xml:space="preserve">Friel, S., Barosh, L.J., Lawrence, M. 2013. Towards healthy and sustainable food consumption: an Australian case study. Public Health Nutrition. 17(5): 1156-1166. </w:t>
      </w:r>
    </w:p>
    <w:p w14:paraId="29962B78" w14:textId="77777777" w:rsidR="00822C73" w:rsidRPr="00C02067" w:rsidRDefault="00822C73" w:rsidP="00822C73">
      <w:pPr>
        <w:widowControl w:val="0"/>
        <w:autoSpaceDE w:val="0"/>
        <w:autoSpaceDN w:val="0"/>
        <w:adjustRightInd w:val="0"/>
        <w:rPr>
          <w:color w:val="101010"/>
          <w:sz w:val="22"/>
          <w:szCs w:val="22"/>
        </w:rPr>
      </w:pPr>
    </w:p>
    <w:p w14:paraId="010E5C3C" w14:textId="77777777" w:rsidR="00822C73" w:rsidRPr="00C02067" w:rsidRDefault="00822C73" w:rsidP="00822C73">
      <w:pPr>
        <w:widowControl w:val="0"/>
        <w:autoSpaceDE w:val="0"/>
        <w:autoSpaceDN w:val="0"/>
        <w:adjustRightInd w:val="0"/>
        <w:rPr>
          <w:color w:val="101010"/>
          <w:sz w:val="22"/>
          <w:szCs w:val="22"/>
        </w:rPr>
      </w:pPr>
      <w:r w:rsidRPr="00C02067">
        <w:rPr>
          <w:color w:val="101010"/>
          <w:sz w:val="22"/>
          <w:szCs w:val="22"/>
        </w:rPr>
        <w:t xml:space="preserve">Friel, S., Dangour, A.D., Garnett, T., Lock, K., Chalabi, Z., Roberts, I., Butler, A., Butler, C.D., Waage, J., McMichael, A.J., Haines, A. 2009. Public health benefits of strategies to reduce greenhouse gas emissions: food and agriculture. Health &amp; Climate Change 4. 374: 2016-2025. </w:t>
      </w:r>
    </w:p>
    <w:p w14:paraId="1EF52D46" w14:textId="77777777" w:rsidR="00822C73" w:rsidRPr="00C02067" w:rsidRDefault="00822C73" w:rsidP="00822C73">
      <w:pPr>
        <w:rPr>
          <w:color w:val="000000" w:themeColor="text1"/>
          <w:sz w:val="22"/>
          <w:szCs w:val="22"/>
          <w:lang w:val="en-CA"/>
        </w:rPr>
      </w:pPr>
    </w:p>
    <w:p w14:paraId="3ED68C7E" w14:textId="5CD141FB" w:rsidR="00822C73" w:rsidRPr="00C02067" w:rsidRDefault="00822C73" w:rsidP="00822C73">
      <w:pPr>
        <w:rPr>
          <w:color w:val="000000" w:themeColor="text1"/>
          <w:sz w:val="22"/>
          <w:szCs w:val="22"/>
          <w:lang w:val="en-CA"/>
        </w:rPr>
      </w:pPr>
      <w:r w:rsidRPr="00C02067">
        <w:rPr>
          <w:color w:val="000000" w:themeColor="text1"/>
          <w:sz w:val="22"/>
          <w:szCs w:val="22"/>
          <w:lang w:val="en-CA"/>
        </w:rPr>
        <w:t>Gagné, M., Deci, E.E.L. 2005. Self-determination theory and work motivation. Journal of Organizational Behavio</w:t>
      </w:r>
      <w:r w:rsidR="004D5563">
        <w:rPr>
          <w:color w:val="000000" w:themeColor="text1"/>
          <w:sz w:val="22"/>
          <w:szCs w:val="22"/>
          <w:lang w:val="en-CA"/>
        </w:rPr>
        <w:t>u</w:t>
      </w:r>
      <w:r w:rsidRPr="00C02067">
        <w:rPr>
          <w:color w:val="000000" w:themeColor="text1"/>
          <w:sz w:val="22"/>
          <w:szCs w:val="22"/>
          <w:lang w:val="en-CA"/>
        </w:rPr>
        <w:t xml:space="preserve">r. 26(4): 331-362. </w:t>
      </w:r>
    </w:p>
    <w:p w14:paraId="47D891FE" w14:textId="77777777" w:rsidR="00822C73" w:rsidRPr="00C02067" w:rsidRDefault="00822C73" w:rsidP="00822C73">
      <w:pPr>
        <w:rPr>
          <w:sz w:val="22"/>
          <w:szCs w:val="22"/>
        </w:rPr>
      </w:pPr>
    </w:p>
    <w:p w14:paraId="5A659D68" w14:textId="77777777" w:rsidR="00822C73" w:rsidRPr="00C02067" w:rsidRDefault="00822C73" w:rsidP="00822C73">
      <w:pPr>
        <w:widowControl w:val="0"/>
        <w:autoSpaceDE w:val="0"/>
        <w:autoSpaceDN w:val="0"/>
        <w:adjustRightInd w:val="0"/>
        <w:rPr>
          <w:color w:val="101010"/>
          <w:sz w:val="22"/>
          <w:szCs w:val="22"/>
        </w:rPr>
      </w:pPr>
      <w:r w:rsidRPr="00C02067">
        <w:rPr>
          <w:color w:val="101010"/>
          <w:sz w:val="22"/>
          <w:szCs w:val="22"/>
        </w:rPr>
        <w:t xml:space="preserve">Gallet, C.A. 2010. Meat meets meta: A quantitative review of the price elasticity of meat. American Journal of Agricultural Economics. 92: 258-272. </w:t>
      </w:r>
    </w:p>
    <w:p w14:paraId="07547A59" w14:textId="77777777" w:rsidR="00822C73" w:rsidRPr="00C02067" w:rsidRDefault="00822C73" w:rsidP="00822C73">
      <w:pPr>
        <w:rPr>
          <w:sz w:val="22"/>
          <w:szCs w:val="22"/>
        </w:rPr>
      </w:pPr>
    </w:p>
    <w:p w14:paraId="4EE65A75" w14:textId="77777777" w:rsidR="00822C73" w:rsidRPr="00C02067" w:rsidRDefault="00822C73" w:rsidP="00822C73">
      <w:pPr>
        <w:rPr>
          <w:sz w:val="22"/>
          <w:szCs w:val="22"/>
        </w:rPr>
      </w:pPr>
      <w:r w:rsidRPr="00C02067">
        <w:rPr>
          <w:sz w:val="22"/>
          <w:szCs w:val="22"/>
        </w:rPr>
        <w:t xml:space="preserve">Garnett, T. 2008. Cooking up a storm. Food, greenhouse gas emissions and our changing climate. Food Climate Research Network. Guildford, UK. </w:t>
      </w:r>
    </w:p>
    <w:p w14:paraId="76292832" w14:textId="77777777" w:rsidR="00822C73" w:rsidRPr="00C02067" w:rsidRDefault="00822C73" w:rsidP="00822C73">
      <w:pPr>
        <w:rPr>
          <w:sz w:val="22"/>
          <w:szCs w:val="22"/>
        </w:rPr>
      </w:pPr>
    </w:p>
    <w:p w14:paraId="23F8035F" w14:textId="77777777" w:rsidR="00822C73" w:rsidRPr="00C02067" w:rsidRDefault="00822C73" w:rsidP="00822C73">
      <w:pPr>
        <w:rPr>
          <w:sz w:val="22"/>
          <w:szCs w:val="22"/>
        </w:rPr>
      </w:pPr>
      <w:r w:rsidRPr="00C02067">
        <w:rPr>
          <w:sz w:val="22"/>
          <w:szCs w:val="22"/>
        </w:rPr>
        <w:t>Garnett, T. 2011. Where are the best opportunities for reducing greenhouse gas emissions in the food system (including the food chain)? Food Policy. 36: 523-532.</w:t>
      </w:r>
    </w:p>
    <w:p w14:paraId="7CA61B11" w14:textId="77777777" w:rsidR="00822C73" w:rsidRPr="00C02067" w:rsidRDefault="00822C73" w:rsidP="00822C73">
      <w:pPr>
        <w:rPr>
          <w:sz w:val="22"/>
          <w:szCs w:val="22"/>
        </w:rPr>
      </w:pPr>
    </w:p>
    <w:p w14:paraId="0B6946ED" w14:textId="77777777" w:rsidR="00822C73" w:rsidRPr="00C02067" w:rsidRDefault="00822C73" w:rsidP="00822C73">
      <w:pPr>
        <w:rPr>
          <w:sz w:val="22"/>
          <w:szCs w:val="22"/>
        </w:rPr>
      </w:pPr>
      <w:r w:rsidRPr="00C02067">
        <w:rPr>
          <w:sz w:val="22"/>
          <w:szCs w:val="22"/>
        </w:rPr>
        <w:t>Garnett, T. 2013. Food sustainability: Problems, perspectives and solutions. In: Conference on Future food and health. Symposium I: Sustainability and food security. Proceedings of the Nutrition Society. 72: 29-39.</w:t>
      </w:r>
    </w:p>
    <w:p w14:paraId="60D2AD5D" w14:textId="77777777" w:rsidR="00822C73" w:rsidRPr="00C02067" w:rsidRDefault="00822C73" w:rsidP="00822C73">
      <w:pPr>
        <w:rPr>
          <w:sz w:val="22"/>
          <w:szCs w:val="22"/>
        </w:rPr>
      </w:pPr>
    </w:p>
    <w:p w14:paraId="0D51BCA1" w14:textId="77777777" w:rsidR="00822C73" w:rsidRPr="00C02067" w:rsidRDefault="00822C73" w:rsidP="00822C73">
      <w:pPr>
        <w:rPr>
          <w:sz w:val="22"/>
          <w:szCs w:val="22"/>
        </w:rPr>
      </w:pPr>
      <w:r w:rsidRPr="00C02067">
        <w:rPr>
          <w:sz w:val="22"/>
          <w:szCs w:val="22"/>
        </w:rPr>
        <w:t xml:space="preserve">Gill, M., Smith, P., Wilkinson, J.M. 2010. Mitigating climate change: The role of domestic livestock. Animal. 4(3): 323-333. </w:t>
      </w:r>
    </w:p>
    <w:p w14:paraId="13BE18EC" w14:textId="77777777" w:rsidR="00822C73" w:rsidRPr="00C02067" w:rsidRDefault="00822C73" w:rsidP="00822C73">
      <w:pPr>
        <w:rPr>
          <w:sz w:val="22"/>
          <w:szCs w:val="22"/>
        </w:rPr>
      </w:pPr>
    </w:p>
    <w:p w14:paraId="7ECEE48E" w14:textId="77777777" w:rsidR="00822C73" w:rsidRDefault="00822C73" w:rsidP="00822C73">
      <w:pPr>
        <w:rPr>
          <w:sz w:val="22"/>
          <w:szCs w:val="22"/>
        </w:rPr>
      </w:pPr>
      <w:r w:rsidRPr="00C02067">
        <w:rPr>
          <w:sz w:val="22"/>
          <w:szCs w:val="22"/>
        </w:rPr>
        <w:t xml:space="preserve">Glanz, K., Yaroch, A.L. 2004. Strategies for increasing fruit and vegetable intake in grocery stores and communities: policy, pricing, and environmental change. Preventive Medicine. 39: S75-S80. </w:t>
      </w:r>
    </w:p>
    <w:p w14:paraId="17928870" w14:textId="77777777" w:rsidR="00835F25" w:rsidRDefault="00835F25" w:rsidP="00822C73">
      <w:pPr>
        <w:rPr>
          <w:sz w:val="22"/>
          <w:szCs w:val="22"/>
        </w:rPr>
      </w:pPr>
    </w:p>
    <w:p w14:paraId="0F4C8EC1" w14:textId="446CBD79" w:rsidR="00835F25" w:rsidRPr="00C02067" w:rsidRDefault="00835F25" w:rsidP="00822C73">
      <w:pPr>
        <w:rPr>
          <w:sz w:val="22"/>
          <w:szCs w:val="22"/>
        </w:rPr>
      </w:pPr>
      <w:r>
        <w:rPr>
          <w:sz w:val="22"/>
          <w:szCs w:val="22"/>
        </w:rPr>
        <w:t xml:space="preserve">Globe and Mail. (2015). Freedhoff, Y. Canada’s Food Guide is broken – and no one wants to fix it. Retrieved July, 2016 from: </w:t>
      </w:r>
      <w:r w:rsidRPr="00835F25">
        <w:rPr>
          <w:sz w:val="22"/>
          <w:szCs w:val="22"/>
        </w:rPr>
        <w:t>http://www.theglobeandmail.com/life/health-and-fitness/health-advisor/canadas-food-guide-is-broken-and-no-one-wants-to-fix-it/article24111642/</w:t>
      </w:r>
      <w:r>
        <w:rPr>
          <w:sz w:val="22"/>
          <w:szCs w:val="22"/>
        </w:rPr>
        <w:t xml:space="preserve">. The Globe and Mail. </w:t>
      </w:r>
    </w:p>
    <w:p w14:paraId="62231F15" w14:textId="77777777" w:rsidR="00822C73" w:rsidRPr="00C02067" w:rsidRDefault="00822C73" w:rsidP="00822C73">
      <w:pPr>
        <w:rPr>
          <w:sz w:val="22"/>
          <w:szCs w:val="22"/>
        </w:rPr>
      </w:pPr>
    </w:p>
    <w:p w14:paraId="786C6070" w14:textId="77777777" w:rsidR="00822C73" w:rsidRPr="00C02067" w:rsidRDefault="00822C73" w:rsidP="00822C73">
      <w:pPr>
        <w:rPr>
          <w:sz w:val="22"/>
          <w:szCs w:val="22"/>
          <w:lang w:val="en-CA"/>
        </w:rPr>
      </w:pPr>
      <w:r w:rsidRPr="00C02067">
        <w:rPr>
          <w:sz w:val="22"/>
          <w:szCs w:val="22"/>
          <w:lang w:val="en-CA"/>
        </w:rPr>
        <w:t xml:space="preserve">Gobert, C.P., Duncan, A.M. 2009. Consumption, perceptions and knowledge of soy among adults with Type 2 diabetes. Journal of the American College of Nutrition. 28(2): 203-218. </w:t>
      </w:r>
    </w:p>
    <w:p w14:paraId="70BC9388" w14:textId="77777777" w:rsidR="00822C73" w:rsidRPr="00C02067" w:rsidRDefault="00822C73" w:rsidP="00822C73">
      <w:pPr>
        <w:rPr>
          <w:sz w:val="22"/>
          <w:szCs w:val="22"/>
        </w:rPr>
      </w:pPr>
    </w:p>
    <w:p w14:paraId="0D74C983" w14:textId="77777777" w:rsidR="00822C73" w:rsidRPr="00C02067" w:rsidRDefault="00822C73" w:rsidP="00822C73">
      <w:pPr>
        <w:rPr>
          <w:sz w:val="22"/>
          <w:szCs w:val="22"/>
        </w:rPr>
      </w:pPr>
      <w:r w:rsidRPr="00C02067">
        <w:rPr>
          <w:sz w:val="22"/>
          <w:szCs w:val="22"/>
        </w:rPr>
        <w:t>Godfray, H.C.J., Beddington, J.R., Crute, I.R., Haddad, L., Lawrence, D., Muir, J.F., Pretty, J., Robinson, S., Thomas, S.M., Toulmin, C. 2010. Food security: The challenge of feeding 9 billion people. Science. 327 (5967): 812-818.</w:t>
      </w:r>
    </w:p>
    <w:p w14:paraId="546358DE" w14:textId="77777777" w:rsidR="00822C73" w:rsidRPr="00C02067" w:rsidRDefault="00822C73" w:rsidP="00822C73">
      <w:pPr>
        <w:rPr>
          <w:sz w:val="22"/>
          <w:szCs w:val="22"/>
          <w:lang w:val="en-CA"/>
        </w:rPr>
      </w:pPr>
    </w:p>
    <w:p w14:paraId="025511EC" w14:textId="77777777" w:rsidR="00822C73" w:rsidRPr="00C02067" w:rsidRDefault="00822C73" w:rsidP="00822C73">
      <w:pPr>
        <w:rPr>
          <w:sz w:val="22"/>
          <w:szCs w:val="22"/>
          <w:lang w:val="en-CA"/>
        </w:rPr>
      </w:pPr>
      <w:r w:rsidRPr="00C02067">
        <w:rPr>
          <w:sz w:val="22"/>
          <w:szCs w:val="22"/>
          <w:lang w:val="en-CA"/>
        </w:rPr>
        <w:t xml:space="preserve">Golding, C., Cade, J., Kirk, S., Lawton, C., Greenwood, D. 2003. Comparison of low and high fat consumers in the UK women’s cohort study. Nutrition research. 23: 377-388. </w:t>
      </w:r>
    </w:p>
    <w:p w14:paraId="149D32F9" w14:textId="77777777" w:rsidR="00822C73" w:rsidRPr="00C02067" w:rsidRDefault="00822C73" w:rsidP="00822C73">
      <w:pPr>
        <w:rPr>
          <w:sz w:val="22"/>
          <w:szCs w:val="22"/>
          <w:lang w:val="en-CA"/>
        </w:rPr>
      </w:pPr>
    </w:p>
    <w:p w14:paraId="6DB942B0" w14:textId="77777777" w:rsidR="00822C73" w:rsidRPr="00C02067" w:rsidRDefault="00822C73" w:rsidP="00822C73">
      <w:pPr>
        <w:rPr>
          <w:sz w:val="22"/>
          <w:szCs w:val="22"/>
          <w:lang w:val="en-CA"/>
        </w:rPr>
      </w:pPr>
      <w:r w:rsidRPr="00C02067">
        <w:rPr>
          <w:sz w:val="22"/>
          <w:szCs w:val="22"/>
          <w:lang w:val="en-CA"/>
        </w:rPr>
        <w:t xml:space="preserve">Grabs, J. 2014. The rebound effects of switching to vegetarianism. A microeconomic analysis of Swedish consumption behaviour. Ecological Economics. 116: 270-279. </w:t>
      </w:r>
    </w:p>
    <w:p w14:paraId="77404EAC" w14:textId="77777777" w:rsidR="00822C73" w:rsidRPr="00C02067" w:rsidRDefault="00822C73" w:rsidP="00822C73">
      <w:pPr>
        <w:rPr>
          <w:sz w:val="22"/>
          <w:szCs w:val="22"/>
        </w:rPr>
      </w:pPr>
    </w:p>
    <w:p w14:paraId="79171CAF" w14:textId="77777777" w:rsidR="00822C73" w:rsidRPr="00C02067" w:rsidRDefault="00822C73" w:rsidP="00822C73">
      <w:pPr>
        <w:rPr>
          <w:sz w:val="22"/>
          <w:szCs w:val="22"/>
        </w:rPr>
      </w:pPr>
      <w:r w:rsidRPr="00C02067">
        <w:rPr>
          <w:sz w:val="22"/>
          <w:szCs w:val="22"/>
        </w:rPr>
        <w:t>Graça, J., Calheiros, M.M., Oliveira, A. 2014. Moral disengagement in harmful but cherished food practices? An exploration into the case of meat. Journal of Agriculture and Environmental Ethics. 27: 749-765.</w:t>
      </w:r>
    </w:p>
    <w:p w14:paraId="06B45DB0" w14:textId="77777777" w:rsidR="00822C73" w:rsidRPr="00C02067" w:rsidRDefault="00822C73" w:rsidP="00822C73">
      <w:pPr>
        <w:rPr>
          <w:sz w:val="22"/>
          <w:szCs w:val="22"/>
        </w:rPr>
      </w:pPr>
    </w:p>
    <w:p w14:paraId="507AE302" w14:textId="77777777" w:rsidR="00822C73" w:rsidRPr="00C02067" w:rsidRDefault="00822C73" w:rsidP="00822C73">
      <w:pPr>
        <w:rPr>
          <w:sz w:val="22"/>
          <w:szCs w:val="22"/>
          <w:lang w:val="en-CA"/>
        </w:rPr>
      </w:pPr>
      <w:r w:rsidRPr="00C02067">
        <w:rPr>
          <w:sz w:val="22"/>
          <w:szCs w:val="22"/>
          <w:lang w:val="en-CA"/>
        </w:rPr>
        <w:t xml:space="preserve">Graça, J., Oliveria, A., Calheiros, M.M. 2015. Meat, beyond the plate. Data-driven hypothesis for understanding consumer willingness to adopt a more plant-based diet. Appetite. 90: 80-90. </w:t>
      </w:r>
    </w:p>
    <w:p w14:paraId="156394CD" w14:textId="77777777" w:rsidR="00822C73" w:rsidRPr="00C02067" w:rsidRDefault="00822C73" w:rsidP="00822C73">
      <w:pPr>
        <w:rPr>
          <w:sz w:val="22"/>
          <w:szCs w:val="22"/>
          <w:lang w:val="en-CA"/>
        </w:rPr>
      </w:pPr>
    </w:p>
    <w:p w14:paraId="2850447B" w14:textId="77777777" w:rsidR="00822C73" w:rsidRPr="00C02067" w:rsidRDefault="00822C73" w:rsidP="00822C73">
      <w:pPr>
        <w:rPr>
          <w:sz w:val="22"/>
          <w:szCs w:val="22"/>
          <w:lang w:val="en-CA"/>
        </w:rPr>
      </w:pPr>
      <w:r w:rsidRPr="00C02067">
        <w:rPr>
          <w:sz w:val="22"/>
          <w:szCs w:val="22"/>
          <w:lang w:val="en-CA"/>
        </w:rPr>
        <w:t xml:space="preserve">Graça, J., Calheiros, M.M., Oliveira, A. 2016. Situating moral disengagement: Motivated reasoning in meat consumption and substitution. Personality and Individual Differences. 90: 353-364. </w:t>
      </w:r>
    </w:p>
    <w:p w14:paraId="2A5FEB84" w14:textId="77777777" w:rsidR="00822C73" w:rsidRPr="00C02067" w:rsidRDefault="00822C73" w:rsidP="00822C73">
      <w:pPr>
        <w:rPr>
          <w:sz w:val="22"/>
          <w:szCs w:val="22"/>
        </w:rPr>
      </w:pPr>
    </w:p>
    <w:p w14:paraId="3CDAEFB6" w14:textId="77777777" w:rsidR="00822C73" w:rsidRPr="00C02067" w:rsidRDefault="00822C73" w:rsidP="00822C73">
      <w:pPr>
        <w:rPr>
          <w:sz w:val="22"/>
          <w:szCs w:val="22"/>
        </w:rPr>
      </w:pPr>
      <w:r w:rsidRPr="00C02067">
        <w:rPr>
          <w:sz w:val="22"/>
          <w:szCs w:val="22"/>
        </w:rPr>
        <w:t xml:space="preserve">Griffin, M.K., Sobal, J. 2013. Sustainable food activities among consumers: A community study. Journal of Hunger &amp; Environmental Nutrition. 8: 379-396. </w:t>
      </w:r>
    </w:p>
    <w:p w14:paraId="362ADAE8" w14:textId="77777777" w:rsidR="00822C73" w:rsidRPr="00C02067" w:rsidRDefault="00822C73" w:rsidP="00822C73">
      <w:pPr>
        <w:rPr>
          <w:sz w:val="22"/>
          <w:szCs w:val="22"/>
        </w:rPr>
      </w:pPr>
    </w:p>
    <w:p w14:paraId="251CBC31" w14:textId="77777777" w:rsidR="00822C73" w:rsidRPr="00C02067" w:rsidRDefault="00822C73" w:rsidP="00822C73">
      <w:pPr>
        <w:rPr>
          <w:sz w:val="22"/>
          <w:szCs w:val="22"/>
        </w:rPr>
      </w:pPr>
      <w:r w:rsidRPr="00C02067">
        <w:rPr>
          <w:sz w:val="22"/>
          <w:szCs w:val="22"/>
        </w:rPr>
        <w:t xml:space="preserve">Hallström, E., Carlsson-Kanyama, A., Börjesson, P. 2014. Environmental impact of dietary change: a systematic review. Journal of Cleaner Production. 91: 1-11. </w:t>
      </w:r>
    </w:p>
    <w:p w14:paraId="5A6C6955" w14:textId="77777777" w:rsidR="00822C73" w:rsidRPr="00C02067" w:rsidRDefault="00822C73" w:rsidP="00822C73">
      <w:pPr>
        <w:rPr>
          <w:sz w:val="22"/>
          <w:szCs w:val="22"/>
        </w:rPr>
      </w:pPr>
    </w:p>
    <w:p w14:paraId="0C11D14D" w14:textId="77777777" w:rsidR="00822C73" w:rsidRPr="00C02067" w:rsidRDefault="00822C73" w:rsidP="00822C73">
      <w:pPr>
        <w:rPr>
          <w:color w:val="000000" w:themeColor="text1"/>
          <w:sz w:val="22"/>
          <w:szCs w:val="22"/>
          <w:lang w:val="en-CA"/>
        </w:rPr>
      </w:pPr>
      <w:r w:rsidRPr="00C02067">
        <w:rPr>
          <w:sz w:val="22"/>
          <w:szCs w:val="22"/>
        </w:rPr>
        <w:t>Hansen, U., Schrader, U. 1997. A modern model of consumption for a sustainable society. Journal of Consumer Policy. 20: 443-468.</w:t>
      </w:r>
    </w:p>
    <w:p w14:paraId="22972E46" w14:textId="77777777" w:rsidR="00822C73" w:rsidRPr="00C02067" w:rsidRDefault="00822C73" w:rsidP="00822C73">
      <w:pPr>
        <w:rPr>
          <w:sz w:val="22"/>
          <w:szCs w:val="22"/>
        </w:rPr>
      </w:pPr>
    </w:p>
    <w:p w14:paraId="1CD6E8DB" w14:textId="77777777" w:rsidR="00822C73" w:rsidRPr="00C02067" w:rsidRDefault="00822C73" w:rsidP="00822C73">
      <w:pPr>
        <w:rPr>
          <w:sz w:val="22"/>
          <w:szCs w:val="22"/>
          <w:lang w:val="en-CA"/>
        </w:rPr>
      </w:pPr>
      <w:r w:rsidRPr="00C02067">
        <w:rPr>
          <w:sz w:val="22"/>
          <w:szCs w:val="22"/>
          <w:lang w:val="en-CA"/>
        </w:rPr>
        <w:t xml:space="preserve">Haverstock, K., Forgays, D.K. 2012. To eat or not to eat. A comparison of current and former animal product limiters. Appetite. 58: 1030-1036. </w:t>
      </w:r>
    </w:p>
    <w:p w14:paraId="7BAFE096" w14:textId="77777777" w:rsidR="00822C73" w:rsidRPr="00C02067" w:rsidRDefault="00822C73" w:rsidP="00822C73">
      <w:pPr>
        <w:rPr>
          <w:sz w:val="22"/>
          <w:szCs w:val="22"/>
        </w:rPr>
      </w:pPr>
    </w:p>
    <w:p w14:paraId="2547E230" w14:textId="77777777" w:rsidR="00822C73" w:rsidRPr="00C02067" w:rsidRDefault="00822C73" w:rsidP="00822C73">
      <w:pPr>
        <w:rPr>
          <w:sz w:val="22"/>
          <w:szCs w:val="22"/>
        </w:rPr>
      </w:pPr>
      <w:r w:rsidRPr="00C02067">
        <w:rPr>
          <w:sz w:val="22"/>
          <w:szCs w:val="22"/>
        </w:rPr>
        <w:t>Hendrie, G.A., Ridoutt, B.G., Wiedmann, T.O., Noakes, M. 2014. Greenhouse gas emissions and the Australian diet – comparing dietary recommendations with average intakes. Nutrients. 6(1): 289-303.</w:t>
      </w:r>
    </w:p>
    <w:p w14:paraId="51BD237A" w14:textId="77777777" w:rsidR="00822C73" w:rsidRPr="00C02067" w:rsidRDefault="00822C73" w:rsidP="00822C73">
      <w:pPr>
        <w:rPr>
          <w:sz w:val="22"/>
          <w:szCs w:val="22"/>
        </w:rPr>
      </w:pPr>
    </w:p>
    <w:p w14:paraId="6006E991" w14:textId="77777777" w:rsidR="00822C73" w:rsidRPr="00C02067" w:rsidRDefault="00822C73" w:rsidP="00822C73">
      <w:pPr>
        <w:rPr>
          <w:sz w:val="22"/>
          <w:szCs w:val="22"/>
          <w:lang w:val="en-CA"/>
        </w:rPr>
      </w:pPr>
      <w:r w:rsidRPr="00C02067">
        <w:rPr>
          <w:sz w:val="22"/>
          <w:szCs w:val="22"/>
          <w:lang w:val="en-CA"/>
        </w:rPr>
        <w:t xml:space="preserve">Hill, A.J. 2002. Developmental issues in attitudes to food and diet. Proceedings of the Nutrition Society. 61: 259-266. </w:t>
      </w:r>
    </w:p>
    <w:p w14:paraId="043B4F3F" w14:textId="77777777" w:rsidR="00822C73" w:rsidRPr="00C02067" w:rsidRDefault="00822C73" w:rsidP="00822C73">
      <w:pPr>
        <w:rPr>
          <w:sz w:val="22"/>
          <w:szCs w:val="22"/>
        </w:rPr>
      </w:pPr>
    </w:p>
    <w:p w14:paraId="725BE91E" w14:textId="77777777" w:rsidR="00822C73" w:rsidRPr="00C02067" w:rsidRDefault="00822C73" w:rsidP="00822C73">
      <w:pPr>
        <w:rPr>
          <w:sz w:val="22"/>
          <w:szCs w:val="22"/>
          <w:lang w:val="en-CA"/>
        </w:rPr>
      </w:pPr>
      <w:r w:rsidRPr="00C02067">
        <w:rPr>
          <w:sz w:val="22"/>
          <w:szCs w:val="22"/>
          <w:lang w:val="en-CA"/>
        </w:rPr>
        <w:t xml:space="preserve">Hirschler, C.A. 2011. “What pushed me over the edge was a deer hunter”: Being vegan in North America. Society and Animals. 19: 156-174. </w:t>
      </w:r>
    </w:p>
    <w:p w14:paraId="4B0B1DCE" w14:textId="77777777" w:rsidR="00822C73" w:rsidRPr="00C02067" w:rsidRDefault="00822C73" w:rsidP="00822C73">
      <w:pPr>
        <w:rPr>
          <w:sz w:val="22"/>
          <w:szCs w:val="22"/>
        </w:rPr>
      </w:pPr>
    </w:p>
    <w:p w14:paraId="0483560F" w14:textId="77777777" w:rsidR="00822C73" w:rsidRPr="00C02067" w:rsidRDefault="00822C73" w:rsidP="00822C73">
      <w:pPr>
        <w:rPr>
          <w:sz w:val="22"/>
          <w:szCs w:val="22"/>
          <w:lang w:val="en-CA"/>
        </w:rPr>
      </w:pPr>
      <w:r w:rsidRPr="00C02067">
        <w:rPr>
          <w:sz w:val="22"/>
          <w:szCs w:val="22"/>
          <w:lang w:val="en-CA"/>
        </w:rPr>
        <w:lastRenderedPageBreak/>
        <w:t xml:space="preserve">Hoek, A.C., Luning, P.A., Stafleu, A., de Graff, C. 2004. Food-related lifestyle and health attitudes of Dutch vegetarians, non-vegetarian consumers of meat substitutes, and meat consumers. Appetite. 42: 265-272. </w:t>
      </w:r>
    </w:p>
    <w:p w14:paraId="3D893858" w14:textId="77777777" w:rsidR="00822C73" w:rsidRPr="00C02067" w:rsidRDefault="00822C73" w:rsidP="00822C73">
      <w:pPr>
        <w:rPr>
          <w:sz w:val="22"/>
          <w:szCs w:val="22"/>
          <w:lang w:val="en-CA"/>
        </w:rPr>
      </w:pPr>
    </w:p>
    <w:p w14:paraId="544358F7" w14:textId="77777777" w:rsidR="00822C73" w:rsidRPr="00C02067" w:rsidRDefault="00822C73" w:rsidP="00822C73">
      <w:pPr>
        <w:rPr>
          <w:sz w:val="22"/>
          <w:szCs w:val="22"/>
          <w:lang w:val="en-CA"/>
        </w:rPr>
      </w:pPr>
      <w:r w:rsidRPr="00C02067">
        <w:rPr>
          <w:sz w:val="22"/>
          <w:szCs w:val="22"/>
          <w:lang w:val="en-CA"/>
        </w:rPr>
        <w:t xml:space="preserve">Hoek, A.C., Luning, P.A., Weijzen, P., Engels, W., Kok, F.J., de Graaf, C. 2011. Replacement of meat by meat substitutes. A survey on person- and product-related factors in consumer acceptance. Appetitie. 56: 662-673. </w:t>
      </w:r>
    </w:p>
    <w:p w14:paraId="36B8E322" w14:textId="77777777" w:rsidR="00822C73" w:rsidRPr="00C02067" w:rsidRDefault="00822C73" w:rsidP="00822C73">
      <w:pPr>
        <w:rPr>
          <w:sz w:val="22"/>
          <w:szCs w:val="22"/>
        </w:rPr>
      </w:pPr>
    </w:p>
    <w:p w14:paraId="6DEE5C4D" w14:textId="77777777" w:rsidR="00822C73" w:rsidRPr="00C02067" w:rsidRDefault="00822C73" w:rsidP="00822C73">
      <w:pPr>
        <w:rPr>
          <w:sz w:val="22"/>
          <w:szCs w:val="22"/>
        </w:rPr>
      </w:pPr>
      <w:r w:rsidRPr="00C02067">
        <w:rPr>
          <w:sz w:val="22"/>
          <w:szCs w:val="22"/>
        </w:rPr>
        <w:t>Hoffman, S.R., Stallings, S.F., Bessinger, R.C., Brooks. 2013. Differences between health and ethical vegetarians. Strength of conviction, nutrition knowledge, dietary restriction and duration of adherence. Appetite. 65: 139-144.</w:t>
      </w:r>
    </w:p>
    <w:p w14:paraId="6C57E4B7" w14:textId="77777777" w:rsidR="00822C73" w:rsidRPr="00C02067" w:rsidRDefault="00822C73" w:rsidP="00822C73">
      <w:pPr>
        <w:rPr>
          <w:sz w:val="22"/>
          <w:szCs w:val="22"/>
        </w:rPr>
      </w:pPr>
    </w:p>
    <w:p w14:paraId="02EE2C4E" w14:textId="77777777" w:rsidR="00822C73" w:rsidRPr="00C02067" w:rsidRDefault="00822C73" w:rsidP="00822C73">
      <w:pPr>
        <w:rPr>
          <w:sz w:val="22"/>
          <w:szCs w:val="22"/>
          <w:lang w:val="en-CA"/>
        </w:rPr>
      </w:pPr>
      <w:r w:rsidRPr="00C02067">
        <w:rPr>
          <w:sz w:val="22"/>
          <w:szCs w:val="22"/>
          <w:lang w:val="en-CA"/>
        </w:rPr>
        <w:t xml:space="preserve">Hopkins, P.D. 2015. Cultured meat in western media: The disproportionate coverage of vegetarian reactions, demographic realties and implications for cultured meat marketing. Journal of Integrative Agriculture. 14(2): 264-272. </w:t>
      </w:r>
    </w:p>
    <w:p w14:paraId="06266E80" w14:textId="77777777" w:rsidR="00822C73" w:rsidRPr="00C02067" w:rsidRDefault="00822C73" w:rsidP="00822C73">
      <w:pPr>
        <w:rPr>
          <w:color w:val="000000" w:themeColor="text1"/>
          <w:sz w:val="22"/>
          <w:szCs w:val="22"/>
          <w:lang w:val="en-CA"/>
        </w:rPr>
      </w:pPr>
    </w:p>
    <w:p w14:paraId="0B69E6E4"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International Food Policy Research Institute (IFPRI). 2016. 2016 global food policy report. Washington, DC: International Food Policy Research Institute. pp. 153.</w:t>
      </w:r>
    </w:p>
    <w:p w14:paraId="78CB80BF" w14:textId="77777777" w:rsidR="00822C73" w:rsidRPr="00C02067" w:rsidRDefault="00822C73" w:rsidP="00822C73">
      <w:pPr>
        <w:rPr>
          <w:sz w:val="22"/>
          <w:szCs w:val="22"/>
        </w:rPr>
      </w:pPr>
    </w:p>
    <w:p w14:paraId="32171EB8" w14:textId="77777777" w:rsidR="00822C73" w:rsidRPr="00C02067" w:rsidRDefault="00822C73" w:rsidP="00822C73">
      <w:pPr>
        <w:rPr>
          <w:sz w:val="22"/>
          <w:szCs w:val="22"/>
        </w:rPr>
      </w:pPr>
      <w:r w:rsidRPr="00C02067">
        <w:rPr>
          <w:sz w:val="22"/>
          <w:szCs w:val="22"/>
        </w:rPr>
        <w:t>Intergovernmental Panel on Climate Change (IPCC). 1994. Radiative forcing of climate change. The 1994 Report of Scientific Assessment. Working Group of IPCC WMO. UNEP. pp 1-28.</w:t>
      </w:r>
    </w:p>
    <w:p w14:paraId="3C024B0A" w14:textId="77777777" w:rsidR="00822C73" w:rsidRPr="00C02067" w:rsidRDefault="00822C73" w:rsidP="00822C73">
      <w:pPr>
        <w:rPr>
          <w:sz w:val="22"/>
          <w:szCs w:val="22"/>
        </w:rPr>
      </w:pPr>
    </w:p>
    <w:p w14:paraId="3F05A270" w14:textId="77777777" w:rsidR="00822C73" w:rsidRPr="00C02067" w:rsidRDefault="00822C73" w:rsidP="00822C73">
      <w:pPr>
        <w:rPr>
          <w:sz w:val="22"/>
          <w:szCs w:val="22"/>
        </w:rPr>
      </w:pPr>
      <w:r w:rsidRPr="00C02067">
        <w:rPr>
          <w:sz w:val="22"/>
          <w:szCs w:val="22"/>
        </w:rPr>
        <w:t xml:space="preserve">Ipsos-Reid. 2004. Consumer perceptions of food safety and quality. Prepared for Agriculture and Agri-Food Canada. Ipsos-Reid Corporation. Winnipeg, Manitoba. 98 pages. </w:t>
      </w:r>
    </w:p>
    <w:p w14:paraId="56357A6D" w14:textId="77777777" w:rsidR="00822C73" w:rsidRPr="00C02067" w:rsidRDefault="00822C73" w:rsidP="00822C73">
      <w:pPr>
        <w:rPr>
          <w:sz w:val="22"/>
          <w:szCs w:val="22"/>
          <w:lang w:val="en-CA"/>
        </w:rPr>
      </w:pPr>
    </w:p>
    <w:p w14:paraId="5CA69C56" w14:textId="77777777" w:rsidR="00822C73" w:rsidRPr="00C02067" w:rsidRDefault="00822C73" w:rsidP="00822C73">
      <w:pPr>
        <w:rPr>
          <w:sz w:val="22"/>
          <w:szCs w:val="22"/>
          <w:lang w:val="en-CA"/>
        </w:rPr>
      </w:pPr>
      <w:r w:rsidRPr="00C02067">
        <w:rPr>
          <w:sz w:val="22"/>
          <w:szCs w:val="22"/>
          <w:lang w:val="en-CA"/>
        </w:rPr>
        <w:t xml:space="preserve">Jabs, J., Sobal, J., Devine, C.M. 2000. Managing vegetarianism: Identities, norms and interactions. Ecology of Food and Nutrition. 39: 375-394.  </w:t>
      </w:r>
    </w:p>
    <w:p w14:paraId="7EC868EE" w14:textId="77777777" w:rsidR="00822C73" w:rsidRPr="00C02067" w:rsidRDefault="00822C73" w:rsidP="00822C73">
      <w:pPr>
        <w:rPr>
          <w:sz w:val="22"/>
          <w:szCs w:val="22"/>
          <w:lang w:val="en-CA"/>
        </w:rPr>
      </w:pPr>
    </w:p>
    <w:p w14:paraId="696E5C8F" w14:textId="77777777" w:rsidR="00822C73" w:rsidRDefault="00822C73" w:rsidP="00822C73">
      <w:pPr>
        <w:rPr>
          <w:sz w:val="22"/>
          <w:szCs w:val="22"/>
          <w:lang w:val="en-CA"/>
        </w:rPr>
      </w:pPr>
      <w:r w:rsidRPr="00C02067">
        <w:rPr>
          <w:sz w:val="22"/>
          <w:szCs w:val="22"/>
          <w:lang w:val="en-CA"/>
        </w:rPr>
        <w:t>Jahns, L., Scheett, A.J., Johnson, L.K., Krebs-Smith, S.M., Payne, C.R., Whigham, L.D., Hoverson, B.S. 2016. Diet quality of items advertised in the supermarket sales circulars compared to diets of the US population, as assessed by the healthy eating index-2010. Journal of the Academy of Nutrition and Dietetics. 116(1): 115-123.</w:t>
      </w:r>
    </w:p>
    <w:p w14:paraId="49E1BB95" w14:textId="77777777" w:rsidR="00822C73" w:rsidRDefault="00822C73" w:rsidP="00822C73">
      <w:pPr>
        <w:rPr>
          <w:sz w:val="22"/>
          <w:szCs w:val="22"/>
          <w:lang w:val="en-CA"/>
        </w:rPr>
      </w:pPr>
    </w:p>
    <w:p w14:paraId="73E6109A" w14:textId="77777777" w:rsidR="00822C73" w:rsidRPr="00C02067" w:rsidRDefault="00822C73" w:rsidP="00822C73">
      <w:pPr>
        <w:rPr>
          <w:sz w:val="22"/>
          <w:szCs w:val="22"/>
          <w:lang w:val="en-CA"/>
        </w:rPr>
      </w:pPr>
      <w:r>
        <w:rPr>
          <w:sz w:val="22"/>
          <w:szCs w:val="22"/>
          <w:lang w:val="en-CA"/>
        </w:rPr>
        <w:t xml:space="preserve">Jägerskog, A., Clausen, T.J. 2012. Feeding a thirsty world – challenges and opportunities for a water and food secure future. Stockholm International Waster Institution (SIWI). Stockholm. </w:t>
      </w:r>
    </w:p>
    <w:p w14:paraId="5C17DD1A" w14:textId="77777777" w:rsidR="00822C73" w:rsidRPr="00C02067" w:rsidRDefault="00822C73" w:rsidP="00822C73">
      <w:pPr>
        <w:rPr>
          <w:sz w:val="22"/>
          <w:szCs w:val="22"/>
          <w:lang w:val="en-CA"/>
        </w:rPr>
      </w:pPr>
    </w:p>
    <w:p w14:paraId="1A8A23B6" w14:textId="77777777" w:rsidR="00822C73" w:rsidRPr="00C02067" w:rsidRDefault="00822C73" w:rsidP="00822C73">
      <w:pPr>
        <w:rPr>
          <w:sz w:val="22"/>
          <w:szCs w:val="22"/>
          <w:lang w:val="en-CA"/>
        </w:rPr>
      </w:pPr>
      <w:r w:rsidRPr="00C02067">
        <w:rPr>
          <w:sz w:val="22"/>
          <w:szCs w:val="22"/>
          <w:lang w:val="en-CA"/>
        </w:rPr>
        <w:t xml:space="preserve">Janda, S., Trocchia, P.J. 2001. Vegetarianism: Toward a greater understanding. Psychology and Marketing. 18(12): 1205-1240. </w:t>
      </w:r>
    </w:p>
    <w:p w14:paraId="4088BADC" w14:textId="77777777" w:rsidR="00822C73" w:rsidRPr="00C02067" w:rsidRDefault="00822C73" w:rsidP="00822C73">
      <w:pPr>
        <w:rPr>
          <w:sz w:val="22"/>
          <w:szCs w:val="22"/>
          <w:lang w:val="en-CA"/>
        </w:rPr>
      </w:pPr>
    </w:p>
    <w:p w14:paraId="5875572C" w14:textId="77777777" w:rsidR="00822C73" w:rsidRDefault="00822C73" w:rsidP="00822C73">
      <w:pPr>
        <w:rPr>
          <w:sz w:val="22"/>
          <w:szCs w:val="22"/>
          <w:lang w:val="en-CA"/>
        </w:rPr>
      </w:pPr>
      <w:r w:rsidRPr="00C02067">
        <w:rPr>
          <w:sz w:val="22"/>
          <w:szCs w:val="22"/>
          <w:lang w:val="en-CA"/>
        </w:rPr>
        <w:t xml:space="preserve">Jeong, E., Jang, S. 2016. Imagine yourself being healthy: The mental simulation effect of advertisements on healthy menu promotion. International Journal of Hospitality Management. 53: 81-93. </w:t>
      </w:r>
    </w:p>
    <w:p w14:paraId="289E173D" w14:textId="77777777" w:rsidR="00822C73" w:rsidRDefault="00822C73" w:rsidP="00822C73">
      <w:pPr>
        <w:rPr>
          <w:sz w:val="22"/>
          <w:szCs w:val="22"/>
          <w:lang w:val="en-CA"/>
        </w:rPr>
      </w:pPr>
    </w:p>
    <w:p w14:paraId="53EE5A59" w14:textId="77777777" w:rsidR="00822C73" w:rsidRPr="00C02067" w:rsidRDefault="00822C73" w:rsidP="00822C73">
      <w:pPr>
        <w:rPr>
          <w:sz w:val="22"/>
          <w:szCs w:val="22"/>
          <w:lang w:val="en-CA"/>
        </w:rPr>
      </w:pPr>
      <w:r w:rsidRPr="00EA5505">
        <w:rPr>
          <w:sz w:val="22"/>
          <w:szCs w:val="22"/>
          <w:lang w:val="en-CA"/>
        </w:rPr>
        <w:t>Jevons, W.S. 1871.The theory of political economy. Macmillan and Co. London.</w:t>
      </w:r>
      <w:r>
        <w:rPr>
          <w:sz w:val="22"/>
          <w:szCs w:val="22"/>
          <w:lang w:val="en-CA"/>
        </w:rPr>
        <w:t xml:space="preserve"> </w:t>
      </w:r>
    </w:p>
    <w:p w14:paraId="7A0CE457" w14:textId="77777777" w:rsidR="00822C73" w:rsidRPr="00C02067" w:rsidRDefault="00822C73" w:rsidP="00822C73">
      <w:pPr>
        <w:rPr>
          <w:sz w:val="22"/>
          <w:szCs w:val="22"/>
          <w:lang w:val="en-CA"/>
        </w:rPr>
      </w:pPr>
    </w:p>
    <w:p w14:paraId="5BA0DFE8" w14:textId="77777777" w:rsidR="00822C73" w:rsidRPr="00C02067" w:rsidRDefault="00822C73" w:rsidP="00822C73">
      <w:pPr>
        <w:rPr>
          <w:sz w:val="22"/>
          <w:szCs w:val="22"/>
          <w:lang w:val="en-CA"/>
        </w:rPr>
      </w:pPr>
      <w:r w:rsidRPr="00C02067">
        <w:rPr>
          <w:sz w:val="22"/>
          <w:szCs w:val="22"/>
          <w:lang w:val="en-CA"/>
        </w:rPr>
        <w:t>Jones, J.L., Krummel, D.A., Wheeler, K., Forbes, B., Fitch, C. 2004. The prevalence of heart-healthy menu items in West Virginia restaurants. American Journal of Health Behaviour. 28(4): 328-334.</w:t>
      </w:r>
    </w:p>
    <w:p w14:paraId="45BA9C53" w14:textId="77777777" w:rsidR="00822C73" w:rsidRPr="00C02067" w:rsidRDefault="00822C73" w:rsidP="00822C73">
      <w:pPr>
        <w:rPr>
          <w:sz w:val="22"/>
          <w:szCs w:val="22"/>
          <w:lang w:val="en-CA"/>
        </w:rPr>
      </w:pPr>
    </w:p>
    <w:p w14:paraId="230BFC36" w14:textId="77777777" w:rsidR="00822C73" w:rsidRPr="00C02067" w:rsidRDefault="00822C73" w:rsidP="00822C73">
      <w:pPr>
        <w:rPr>
          <w:sz w:val="22"/>
          <w:szCs w:val="22"/>
        </w:rPr>
      </w:pPr>
      <w:r w:rsidRPr="00C02067">
        <w:rPr>
          <w:sz w:val="22"/>
          <w:szCs w:val="22"/>
          <w:lang w:val="en-CA"/>
        </w:rPr>
        <w:t>Joyce, A.W., Hallett, J.D., Hannelly, T., Carey, G. 2014. The impact of nutritional choices on global warming and policy implications: examining the link between dietary choices and greenhouse gas emissions. Energy and Emission Control Technologies. 2: 33-43.</w:t>
      </w:r>
    </w:p>
    <w:p w14:paraId="1DD77837" w14:textId="77777777" w:rsidR="00822C73" w:rsidRPr="00C02067" w:rsidRDefault="00822C73" w:rsidP="00822C73">
      <w:pPr>
        <w:rPr>
          <w:color w:val="000000" w:themeColor="text1"/>
          <w:sz w:val="22"/>
          <w:szCs w:val="22"/>
          <w:lang w:val="en-CA"/>
        </w:rPr>
      </w:pPr>
    </w:p>
    <w:p w14:paraId="6E2B8C3A" w14:textId="77777777" w:rsidR="00822C73" w:rsidRPr="00C02067" w:rsidRDefault="00822C73" w:rsidP="00822C73">
      <w:pPr>
        <w:rPr>
          <w:sz w:val="22"/>
          <w:szCs w:val="22"/>
          <w:lang w:val="en-CA"/>
        </w:rPr>
      </w:pPr>
      <w:r w:rsidRPr="00C02067">
        <w:rPr>
          <w:sz w:val="22"/>
          <w:szCs w:val="22"/>
          <w:lang w:val="en-CA"/>
        </w:rPr>
        <w:lastRenderedPageBreak/>
        <w:t xml:space="preserve">Katcher, H.I., Ferdowsian, H.R., Hoover, V.J., Cohen, J.L., Barnard, N.D. 2010. A worksite vegan nutrition program is well-accepted and improves health-related quality of life and work productivity. Annals of Nutrition and Metabolism. 56: 245-252. </w:t>
      </w:r>
    </w:p>
    <w:p w14:paraId="17AF7A65" w14:textId="77777777" w:rsidR="00822C73" w:rsidRPr="00C02067" w:rsidRDefault="00822C73" w:rsidP="00822C73">
      <w:pPr>
        <w:rPr>
          <w:rFonts w:eastAsia="Times New Roman"/>
          <w:sz w:val="22"/>
          <w:szCs w:val="22"/>
        </w:rPr>
      </w:pPr>
    </w:p>
    <w:p w14:paraId="41F728C4" w14:textId="77777777" w:rsidR="00822C73" w:rsidRPr="00C02067" w:rsidRDefault="00822C73" w:rsidP="00822C73">
      <w:pPr>
        <w:rPr>
          <w:sz w:val="22"/>
          <w:szCs w:val="22"/>
          <w:lang w:val="en-CA"/>
        </w:rPr>
      </w:pPr>
      <w:r w:rsidRPr="00C02067">
        <w:rPr>
          <w:sz w:val="22"/>
          <w:szCs w:val="22"/>
          <w:lang w:val="en-CA"/>
        </w:rPr>
        <w:t xml:space="preserve">Kearney, J. 2010. Food consumption trends and drivers. Philosophical Transactions of the Royal Society. 365: 2793-2807. </w:t>
      </w:r>
    </w:p>
    <w:p w14:paraId="41E3CA42" w14:textId="77777777" w:rsidR="00822C73" w:rsidRPr="00C02067" w:rsidRDefault="00822C73" w:rsidP="00822C73">
      <w:pPr>
        <w:rPr>
          <w:rFonts w:eastAsia="Times New Roman"/>
          <w:sz w:val="22"/>
          <w:szCs w:val="22"/>
        </w:rPr>
      </w:pPr>
    </w:p>
    <w:p w14:paraId="5AD324C2" w14:textId="77777777" w:rsidR="00822C73" w:rsidRPr="00C02067" w:rsidRDefault="00822C73" w:rsidP="00822C73">
      <w:pPr>
        <w:rPr>
          <w:rFonts w:eastAsia="Times New Roman"/>
          <w:sz w:val="22"/>
          <w:szCs w:val="22"/>
        </w:rPr>
      </w:pPr>
      <w:r w:rsidRPr="00C02067">
        <w:rPr>
          <w:rFonts w:eastAsia="Times New Roman"/>
          <w:sz w:val="22"/>
          <w:szCs w:val="22"/>
        </w:rPr>
        <w:t xml:space="preserve">Kickert, W.J.M., Klijn, E., Koppenjan, J.F.M. 1997. Management perspective on policy networks. In: Walter, J.M., Kickert, E.H., Koppenjan, J.F.M, editors. Managing complex networks: Strategies for the public sector. London, Sage. 224. </w:t>
      </w:r>
    </w:p>
    <w:p w14:paraId="71361E0F" w14:textId="77777777" w:rsidR="00822C73" w:rsidRPr="00C02067" w:rsidRDefault="00822C73" w:rsidP="00822C73">
      <w:pPr>
        <w:rPr>
          <w:rFonts w:eastAsia="Times New Roman"/>
          <w:sz w:val="22"/>
          <w:szCs w:val="22"/>
        </w:rPr>
      </w:pPr>
    </w:p>
    <w:p w14:paraId="442C21C1" w14:textId="77777777" w:rsidR="00822C73" w:rsidRPr="00C02067" w:rsidRDefault="00822C73" w:rsidP="00822C73">
      <w:pPr>
        <w:rPr>
          <w:sz w:val="22"/>
          <w:szCs w:val="22"/>
          <w:lang w:val="en-CA"/>
        </w:rPr>
      </w:pPr>
      <w:r w:rsidRPr="00C02067">
        <w:rPr>
          <w:sz w:val="22"/>
          <w:szCs w:val="22"/>
          <w:lang w:val="en-CA"/>
        </w:rPr>
        <w:t xml:space="preserve">Kim, H., Lee, D., Hong, Y., Ahn, J., Lee, K-Y. 2016a. A content analysis of television food advertising to children: Comparing low and general-nutrition food. International Journal of Consumer Studies. 40: 201-210. </w:t>
      </w:r>
    </w:p>
    <w:p w14:paraId="6C17D023" w14:textId="77777777" w:rsidR="00822C73" w:rsidRPr="00C02067" w:rsidRDefault="00822C73" w:rsidP="00822C73">
      <w:pPr>
        <w:rPr>
          <w:sz w:val="22"/>
          <w:szCs w:val="22"/>
          <w:lang w:val="en-CA"/>
        </w:rPr>
      </w:pPr>
    </w:p>
    <w:p w14:paraId="6898C58D" w14:textId="77777777" w:rsidR="00822C73" w:rsidRPr="00C02067" w:rsidRDefault="00822C73" w:rsidP="00822C73">
      <w:pPr>
        <w:rPr>
          <w:sz w:val="22"/>
          <w:szCs w:val="22"/>
          <w:lang w:val="en-CA"/>
        </w:rPr>
      </w:pPr>
      <w:r w:rsidRPr="00C02067">
        <w:rPr>
          <w:sz w:val="22"/>
          <w:szCs w:val="22"/>
          <w:lang w:val="en-CA"/>
        </w:rPr>
        <w:t xml:space="preserve">Kim, E.H.J., Schroeder, K.M., Houser, R.F., Dwyer, J.T. 1999. Two small surveys, 25 years apart, investigating motivations of dietary choice in 2 groups of vegetarians in the Boston area. Journal of the American Dietetic Association. 99(5): 596-601. </w:t>
      </w:r>
    </w:p>
    <w:p w14:paraId="47DF8F5C" w14:textId="77777777" w:rsidR="00822C73" w:rsidRPr="00C02067" w:rsidRDefault="00822C73" w:rsidP="00822C73">
      <w:pPr>
        <w:rPr>
          <w:color w:val="000000" w:themeColor="text1"/>
          <w:sz w:val="22"/>
          <w:szCs w:val="22"/>
          <w:lang w:val="en-CA"/>
        </w:rPr>
      </w:pPr>
    </w:p>
    <w:p w14:paraId="668B8DCB" w14:textId="77777777" w:rsidR="00822C73" w:rsidRPr="00C02067" w:rsidRDefault="00822C73" w:rsidP="00822C73">
      <w:pPr>
        <w:rPr>
          <w:sz w:val="22"/>
          <w:szCs w:val="22"/>
          <w:lang w:val="en-CA"/>
        </w:rPr>
      </w:pPr>
      <w:r w:rsidRPr="00C02067">
        <w:rPr>
          <w:sz w:val="22"/>
          <w:szCs w:val="22"/>
          <w:lang w:val="en-CA"/>
        </w:rPr>
        <w:t xml:space="preserve">Kim, K.K., Williams, J.D., Wilcox, G.B. 2016b. ‘Kid-tested, mother approved’: The relationship between advertising expenditures and ‘most-loved’ brands. International Journal of Advertising. 35(1): 42-60. </w:t>
      </w:r>
    </w:p>
    <w:p w14:paraId="12CB88A1" w14:textId="77777777" w:rsidR="00822C73" w:rsidRPr="00C02067" w:rsidRDefault="00822C73" w:rsidP="00822C73">
      <w:pPr>
        <w:rPr>
          <w:color w:val="000000" w:themeColor="text1"/>
          <w:sz w:val="22"/>
          <w:szCs w:val="22"/>
          <w:lang w:val="en-CA"/>
        </w:rPr>
      </w:pPr>
    </w:p>
    <w:p w14:paraId="254540D6"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 xml:space="preserve">Klopp, S.A., Heiss, C.J., Smith, H.S. 2003. Self-reported vegetarianism may be a marker for college women at risk for disordered eating. Journal of the American Dietetic Association. 103(6): 745-747. </w:t>
      </w:r>
    </w:p>
    <w:p w14:paraId="6CD51BFE" w14:textId="77777777" w:rsidR="00822C73" w:rsidRPr="00C02067" w:rsidRDefault="00822C73" w:rsidP="00822C73">
      <w:pPr>
        <w:outlineLvl w:val="0"/>
        <w:rPr>
          <w:sz w:val="22"/>
          <w:szCs w:val="22"/>
        </w:rPr>
      </w:pPr>
    </w:p>
    <w:p w14:paraId="469FDFB3" w14:textId="77777777" w:rsidR="00822C73" w:rsidRPr="00C02067" w:rsidRDefault="00822C73" w:rsidP="00822C73">
      <w:pPr>
        <w:rPr>
          <w:sz w:val="22"/>
          <w:szCs w:val="22"/>
          <w:lang w:val="en-CA"/>
        </w:rPr>
      </w:pPr>
      <w:r w:rsidRPr="00C02067">
        <w:rPr>
          <w:sz w:val="22"/>
          <w:szCs w:val="22"/>
          <w:lang w:val="en-CA"/>
        </w:rPr>
        <w:t xml:space="preserve">Kongsback, I., Skov, L.R., Nielsen, B.K., Ahlmann, F.K., Schaldemose, H., Atkinson, L., Wichmann, M., Pérez-Cueto. 2016. Increasing fruit and vegetable intake among male university students in an </w:t>
      </w:r>
      <w:r w:rsidRPr="00C02067">
        <w:rPr>
          <w:i/>
          <w:sz w:val="22"/>
          <w:szCs w:val="22"/>
          <w:lang w:val="en-CA"/>
        </w:rPr>
        <w:t xml:space="preserve">ad libitum </w:t>
      </w:r>
      <w:r w:rsidRPr="00C02067">
        <w:rPr>
          <w:sz w:val="22"/>
          <w:szCs w:val="22"/>
          <w:lang w:val="en-CA"/>
        </w:rPr>
        <w:t xml:space="preserve">buffet setting: A choice architectural nudge intervention. Food Quality and Preference. 49: 183-188. </w:t>
      </w:r>
    </w:p>
    <w:p w14:paraId="7E55BCC0" w14:textId="77777777" w:rsidR="00822C73" w:rsidRPr="00C02067" w:rsidRDefault="00822C73" w:rsidP="00822C73">
      <w:pPr>
        <w:rPr>
          <w:sz w:val="22"/>
          <w:szCs w:val="22"/>
          <w:lang w:val="en-CA"/>
        </w:rPr>
      </w:pPr>
    </w:p>
    <w:p w14:paraId="3A371314" w14:textId="77777777" w:rsidR="00822C73" w:rsidRPr="00C02067" w:rsidRDefault="00822C73" w:rsidP="00822C73">
      <w:pPr>
        <w:rPr>
          <w:sz w:val="22"/>
          <w:szCs w:val="22"/>
          <w:lang w:val="en-CA"/>
        </w:rPr>
      </w:pPr>
      <w:r w:rsidRPr="00C02067">
        <w:rPr>
          <w:sz w:val="22"/>
          <w:szCs w:val="22"/>
          <w:lang w:val="en-CA"/>
        </w:rPr>
        <w:t xml:space="preserve">Kouvari, M., Tyrovolas, S., Panagiotakos, D.B. 2016. Red meat consumption and healthy ageing: A review. Maturitas. 84: 17-24. </w:t>
      </w:r>
    </w:p>
    <w:p w14:paraId="6DE3AD85" w14:textId="77777777" w:rsidR="00822C73" w:rsidRPr="00C02067" w:rsidRDefault="00822C73" w:rsidP="00822C73">
      <w:pPr>
        <w:outlineLvl w:val="0"/>
        <w:rPr>
          <w:sz w:val="22"/>
          <w:szCs w:val="22"/>
        </w:rPr>
      </w:pPr>
    </w:p>
    <w:p w14:paraId="5284BD8D" w14:textId="77777777" w:rsidR="00822C73" w:rsidRPr="00C02067" w:rsidRDefault="00822C73" w:rsidP="00822C73">
      <w:pPr>
        <w:outlineLvl w:val="0"/>
        <w:rPr>
          <w:sz w:val="22"/>
          <w:szCs w:val="22"/>
        </w:rPr>
      </w:pPr>
      <w:r w:rsidRPr="00C02067">
        <w:rPr>
          <w:sz w:val="22"/>
          <w:szCs w:val="22"/>
        </w:rPr>
        <w:t>Krizmanic, J. 1992. Here’s who we are. Vegetarian Times. 182(72-76): 78-80.</w:t>
      </w:r>
    </w:p>
    <w:p w14:paraId="4968BC57" w14:textId="77777777" w:rsidR="00822C73" w:rsidRPr="00C02067" w:rsidRDefault="00822C73" w:rsidP="00822C73">
      <w:pPr>
        <w:rPr>
          <w:sz w:val="22"/>
          <w:szCs w:val="22"/>
        </w:rPr>
      </w:pPr>
    </w:p>
    <w:p w14:paraId="520E2195" w14:textId="77777777" w:rsidR="00822C73" w:rsidRPr="00C02067" w:rsidRDefault="00822C73" w:rsidP="00822C73">
      <w:pPr>
        <w:rPr>
          <w:sz w:val="22"/>
          <w:szCs w:val="22"/>
        </w:rPr>
      </w:pPr>
      <w:r w:rsidRPr="00C02067">
        <w:rPr>
          <w:sz w:val="22"/>
          <w:szCs w:val="22"/>
        </w:rPr>
        <w:t xml:space="preserve">Kulshreshtha, S.N., Bonneau, M., Boehm, M., Giraldez, J.C. 1999. Canadian economic and emissions model for agriculture (CEEMA Version 1.0): Report 1 model description. Ottawa: Policy Branch, Agri-culture and Agri-Food Canada (AAFC). </w:t>
      </w:r>
    </w:p>
    <w:p w14:paraId="032B3204" w14:textId="77777777" w:rsidR="00822C73" w:rsidRPr="00C02067" w:rsidRDefault="00822C73" w:rsidP="00822C73">
      <w:pPr>
        <w:rPr>
          <w:sz w:val="22"/>
          <w:szCs w:val="22"/>
        </w:rPr>
      </w:pPr>
    </w:p>
    <w:p w14:paraId="2B2A719C" w14:textId="77777777" w:rsidR="00822C73" w:rsidRPr="00C02067" w:rsidRDefault="00822C73" w:rsidP="00822C73">
      <w:pPr>
        <w:rPr>
          <w:sz w:val="22"/>
          <w:szCs w:val="22"/>
        </w:rPr>
      </w:pPr>
      <w:r w:rsidRPr="00C02067">
        <w:rPr>
          <w:sz w:val="22"/>
          <w:szCs w:val="22"/>
        </w:rPr>
        <w:t xml:space="preserve">Laestadius, L., Neff, R., Barry, C., Frattaroli, S. 2013. Meat consumption and climate change: the role of non-governmental organizations. Climate Change. 120: 25-38. </w:t>
      </w:r>
    </w:p>
    <w:p w14:paraId="16554352" w14:textId="77777777" w:rsidR="00822C73" w:rsidRPr="00C02067" w:rsidRDefault="00822C73" w:rsidP="00822C73">
      <w:pPr>
        <w:rPr>
          <w:color w:val="000000" w:themeColor="text1"/>
          <w:sz w:val="22"/>
          <w:szCs w:val="22"/>
          <w:lang w:val="en-CA"/>
        </w:rPr>
      </w:pPr>
    </w:p>
    <w:p w14:paraId="60045C81" w14:textId="77777777" w:rsidR="00822C73" w:rsidRPr="00C02067" w:rsidRDefault="00822C73" w:rsidP="00822C73">
      <w:pPr>
        <w:rPr>
          <w:sz w:val="22"/>
          <w:szCs w:val="22"/>
          <w:lang w:val="en-CA"/>
        </w:rPr>
      </w:pPr>
      <w:r w:rsidRPr="00C02067">
        <w:rPr>
          <w:sz w:val="22"/>
          <w:szCs w:val="22"/>
          <w:lang w:val="en-CA"/>
        </w:rPr>
        <w:t xml:space="preserve">Laestadius, L.I., Neff, R.A., Barry, C.L., Frattaroli, S. 2014. “we don’t tell people water to do”: An examination of the factors influencing NGO decisions to campaign for reduced meat consumption in light of climate change. Global Environmental Change. 29: 32-40. </w:t>
      </w:r>
    </w:p>
    <w:p w14:paraId="225DB827" w14:textId="77777777" w:rsidR="00822C73" w:rsidRPr="00C02067" w:rsidRDefault="00822C73" w:rsidP="00822C73">
      <w:pPr>
        <w:rPr>
          <w:sz w:val="22"/>
          <w:szCs w:val="22"/>
          <w:lang w:val="en-CA"/>
        </w:rPr>
      </w:pPr>
    </w:p>
    <w:p w14:paraId="006E6A3E" w14:textId="77777777" w:rsidR="00822C73" w:rsidRPr="00C02067" w:rsidRDefault="00822C73" w:rsidP="00822C73">
      <w:pPr>
        <w:rPr>
          <w:sz w:val="22"/>
          <w:szCs w:val="22"/>
          <w:lang w:val="en-CA"/>
        </w:rPr>
      </w:pPr>
      <w:r w:rsidRPr="00C02067">
        <w:rPr>
          <w:sz w:val="22"/>
          <w:szCs w:val="22"/>
          <w:lang w:val="en-CA"/>
        </w:rPr>
        <w:t xml:space="preserve">Larsson, C.L., Klock, K., Åstrøm, A.N., Haugejorden, O., Johansson, G. 2002. Lifestycle-related characteristics of young low-meat consumers and omnivores in Sweden and Norway. Journal of adolescent health. 31: 190-198. </w:t>
      </w:r>
    </w:p>
    <w:p w14:paraId="26EE773C" w14:textId="77777777" w:rsidR="00822C73" w:rsidRPr="00C02067" w:rsidRDefault="00822C73" w:rsidP="00822C73">
      <w:pPr>
        <w:rPr>
          <w:color w:val="000000" w:themeColor="text1"/>
          <w:sz w:val="22"/>
          <w:szCs w:val="22"/>
          <w:lang w:val="en-CA"/>
        </w:rPr>
      </w:pPr>
    </w:p>
    <w:p w14:paraId="256100CE"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 xml:space="preserve">Latané, B. 1981. The psychology of social impact. American Psychologist. 36: 343-356. </w:t>
      </w:r>
    </w:p>
    <w:p w14:paraId="1568B32C" w14:textId="77777777" w:rsidR="00822C73" w:rsidRPr="00C02067" w:rsidRDefault="00822C73" w:rsidP="00822C73">
      <w:pPr>
        <w:rPr>
          <w:sz w:val="22"/>
          <w:szCs w:val="22"/>
        </w:rPr>
      </w:pPr>
    </w:p>
    <w:p w14:paraId="6CAE5006" w14:textId="77777777" w:rsidR="00822C73" w:rsidRDefault="00822C73" w:rsidP="00822C73">
      <w:pPr>
        <w:rPr>
          <w:sz w:val="22"/>
          <w:szCs w:val="22"/>
          <w:lang w:val="en-CA"/>
        </w:rPr>
      </w:pPr>
      <w:r w:rsidRPr="00C02067">
        <w:rPr>
          <w:sz w:val="22"/>
          <w:szCs w:val="22"/>
          <w:lang w:val="en-CA"/>
        </w:rPr>
        <w:lastRenderedPageBreak/>
        <w:t xml:space="preserve">Lea, E.J., Crawford, D., Worsley, A. 2006a. Consumers’ readiness to eat a plant-based diet. European Journal of Clinical Nutrition. 60: 342-351. </w:t>
      </w:r>
    </w:p>
    <w:p w14:paraId="0A3448C8" w14:textId="77777777" w:rsidR="00CF3D80" w:rsidRDefault="00CF3D80" w:rsidP="00822C73">
      <w:pPr>
        <w:rPr>
          <w:sz w:val="22"/>
          <w:szCs w:val="22"/>
          <w:lang w:val="en-CA"/>
        </w:rPr>
      </w:pPr>
    </w:p>
    <w:p w14:paraId="185216FF" w14:textId="4B74900E" w:rsidR="00CF3D80" w:rsidRPr="00C02067" w:rsidRDefault="00CF3D80" w:rsidP="00822C73">
      <w:pPr>
        <w:rPr>
          <w:sz w:val="22"/>
          <w:szCs w:val="22"/>
          <w:lang w:val="en-CA"/>
        </w:rPr>
      </w:pPr>
      <w:r>
        <w:rPr>
          <w:sz w:val="22"/>
          <w:szCs w:val="22"/>
          <w:lang w:val="en-CA"/>
        </w:rPr>
        <w:t xml:space="preserve">Lea, E.J., Crawford, D., Worsley, A. 2006b. 60: 828-837. Public views of the benefits and barriers to the consumption of a plant-based diet. </w:t>
      </w:r>
    </w:p>
    <w:p w14:paraId="7640DEBD" w14:textId="77777777" w:rsidR="00822C73" w:rsidRPr="00C02067" w:rsidRDefault="00822C73" w:rsidP="00822C73">
      <w:pPr>
        <w:rPr>
          <w:sz w:val="22"/>
          <w:szCs w:val="22"/>
          <w:lang w:val="en-CA"/>
        </w:rPr>
      </w:pPr>
    </w:p>
    <w:p w14:paraId="31ADF81D" w14:textId="77777777" w:rsidR="00822C73" w:rsidRPr="00C02067" w:rsidRDefault="00822C73" w:rsidP="00822C73">
      <w:pPr>
        <w:rPr>
          <w:sz w:val="22"/>
          <w:szCs w:val="22"/>
          <w:lang w:val="en-CA"/>
        </w:rPr>
      </w:pPr>
      <w:r w:rsidRPr="00C02067">
        <w:rPr>
          <w:sz w:val="22"/>
          <w:szCs w:val="22"/>
          <w:lang w:val="en-CA"/>
        </w:rPr>
        <w:t xml:space="preserve">Lea, E., Worsley, A. 2002. The cognitive contexts of beliefs about the healthiness of meat. Public Health nutrition 5(1): 37-45. </w:t>
      </w:r>
    </w:p>
    <w:p w14:paraId="7A144952" w14:textId="77777777" w:rsidR="00822C73" w:rsidRPr="00C02067" w:rsidRDefault="00822C73" w:rsidP="00822C73">
      <w:pPr>
        <w:rPr>
          <w:sz w:val="22"/>
          <w:szCs w:val="22"/>
          <w:lang w:val="en-CA"/>
        </w:rPr>
      </w:pPr>
    </w:p>
    <w:p w14:paraId="774DD85B" w14:textId="77777777" w:rsidR="00822C73" w:rsidRPr="00C02067" w:rsidRDefault="00822C73" w:rsidP="00822C73">
      <w:pPr>
        <w:rPr>
          <w:sz w:val="22"/>
          <w:szCs w:val="22"/>
          <w:lang w:val="en-CA"/>
        </w:rPr>
      </w:pPr>
      <w:r w:rsidRPr="00C02067">
        <w:rPr>
          <w:sz w:val="22"/>
          <w:szCs w:val="22"/>
          <w:lang w:val="en-CA"/>
        </w:rPr>
        <w:t xml:space="preserve">Lea, E., Worsley, A. 2003. Benefits and barriers to the consumption of a vegetarian diet in Australia. Public Health Nutrition. 6(5): 505-511. </w:t>
      </w:r>
    </w:p>
    <w:p w14:paraId="007207C9" w14:textId="77777777" w:rsidR="00822C73" w:rsidRPr="00C02067" w:rsidRDefault="00822C73" w:rsidP="00822C73">
      <w:pPr>
        <w:rPr>
          <w:sz w:val="22"/>
          <w:szCs w:val="22"/>
          <w:lang w:val="en-CA"/>
        </w:rPr>
      </w:pPr>
    </w:p>
    <w:p w14:paraId="31A14CB6" w14:textId="77777777" w:rsidR="00822C73" w:rsidRPr="00C02067" w:rsidRDefault="00822C73" w:rsidP="00822C73">
      <w:pPr>
        <w:rPr>
          <w:sz w:val="22"/>
          <w:szCs w:val="22"/>
          <w:lang w:val="en-CA"/>
        </w:rPr>
      </w:pPr>
      <w:r w:rsidRPr="00C02067">
        <w:rPr>
          <w:sz w:val="22"/>
          <w:szCs w:val="22"/>
          <w:lang w:val="en-CA"/>
        </w:rPr>
        <w:t>Leitzmann, C. 2005. Vegetarian diets: What are the advantages. Forum of Nutrition. 57: 147-156</w:t>
      </w:r>
    </w:p>
    <w:p w14:paraId="1408BFC8" w14:textId="77777777" w:rsidR="00822C73" w:rsidRPr="00C02067" w:rsidRDefault="00822C73" w:rsidP="00822C73">
      <w:pPr>
        <w:rPr>
          <w:sz w:val="22"/>
          <w:szCs w:val="22"/>
          <w:lang w:val="en-CA"/>
        </w:rPr>
      </w:pPr>
    </w:p>
    <w:p w14:paraId="2EB21C95" w14:textId="77777777" w:rsidR="00822C73" w:rsidRPr="00C02067" w:rsidRDefault="00822C73" w:rsidP="00822C73">
      <w:pPr>
        <w:rPr>
          <w:sz w:val="22"/>
          <w:szCs w:val="22"/>
          <w:lang w:val="en-CA"/>
        </w:rPr>
      </w:pPr>
      <w:r w:rsidRPr="00C02067">
        <w:rPr>
          <w:sz w:val="22"/>
          <w:szCs w:val="22"/>
          <w:lang w:val="en-CA"/>
        </w:rPr>
        <w:t>Leitzmann, C. 2014. Vegetarian nutrition: past, present, future. American Journal of Clinical Nutrition. 100: 496S-502S</w:t>
      </w:r>
    </w:p>
    <w:p w14:paraId="01FF55D0" w14:textId="77777777" w:rsidR="00822C73" w:rsidRPr="00C02067" w:rsidRDefault="00822C73" w:rsidP="00822C73">
      <w:pPr>
        <w:rPr>
          <w:sz w:val="22"/>
          <w:szCs w:val="22"/>
          <w:lang w:val="en-CA"/>
        </w:rPr>
      </w:pPr>
    </w:p>
    <w:p w14:paraId="3B8BC7F2" w14:textId="77777777" w:rsidR="00822C73" w:rsidRPr="00C02067" w:rsidRDefault="00822C73" w:rsidP="00822C73">
      <w:pPr>
        <w:rPr>
          <w:sz w:val="22"/>
          <w:szCs w:val="22"/>
          <w:lang w:val="en-CA"/>
        </w:rPr>
      </w:pPr>
      <w:r w:rsidRPr="00C02067">
        <w:rPr>
          <w:sz w:val="22"/>
          <w:szCs w:val="22"/>
          <w:lang w:val="en-CA"/>
        </w:rPr>
        <w:t xml:space="preserve">Lerner, H., Algers, B., Gunnarsson, S., Nordgren, A. 2013. Stakeholders on meat production, meat consumption and mitigation of climate change: Sweden as a case. Journal of Agriculture and Environmental Ethics. 26: 663-678. </w:t>
      </w:r>
    </w:p>
    <w:p w14:paraId="7C8253A9" w14:textId="77777777" w:rsidR="00822C73" w:rsidRPr="00C02067" w:rsidRDefault="00822C73" w:rsidP="00822C73">
      <w:pPr>
        <w:rPr>
          <w:sz w:val="22"/>
          <w:szCs w:val="22"/>
          <w:lang w:val="en-CA"/>
        </w:rPr>
      </w:pPr>
    </w:p>
    <w:p w14:paraId="2ED07128" w14:textId="77777777" w:rsidR="00822C73" w:rsidRPr="00C02067" w:rsidRDefault="00822C73" w:rsidP="00822C73">
      <w:pPr>
        <w:rPr>
          <w:sz w:val="22"/>
          <w:szCs w:val="22"/>
          <w:lang w:val="en-CA"/>
        </w:rPr>
      </w:pPr>
      <w:r w:rsidRPr="00C02067">
        <w:rPr>
          <w:sz w:val="22"/>
          <w:szCs w:val="22"/>
          <w:lang w:val="en-CA"/>
        </w:rPr>
        <w:t xml:space="preserve">Leroy, F., Praet, I. 2015. Meat traditions. The co-evolution of humans and meat. Appetite. 20: 200-211. </w:t>
      </w:r>
    </w:p>
    <w:p w14:paraId="0D91E1A1" w14:textId="77777777" w:rsidR="00822C73" w:rsidRPr="00C02067" w:rsidRDefault="00822C73" w:rsidP="00822C73">
      <w:pPr>
        <w:rPr>
          <w:sz w:val="22"/>
          <w:szCs w:val="22"/>
          <w:lang w:val="en-CA"/>
        </w:rPr>
      </w:pPr>
    </w:p>
    <w:p w14:paraId="308985A7" w14:textId="77777777" w:rsidR="00822C73" w:rsidRPr="00C02067" w:rsidRDefault="00822C73" w:rsidP="00822C73">
      <w:pPr>
        <w:rPr>
          <w:sz w:val="22"/>
          <w:szCs w:val="22"/>
          <w:lang w:val="en-CA"/>
        </w:rPr>
      </w:pPr>
      <w:r w:rsidRPr="00C02067">
        <w:rPr>
          <w:sz w:val="22"/>
          <w:szCs w:val="22"/>
          <w:lang w:val="en-CA"/>
        </w:rPr>
        <w:t xml:space="preserve">Lorenzoni, L., Nicholson-Cole, S., Whitmarsh, L. 2007. Barriers perceived to engaging with climate change among the UK. Global Environmental Change. 17: 445-459. </w:t>
      </w:r>
    </w:p>
    <w:p w14:paraId="26D918EF" w14:textId="77777777" w:rsidR="00822C73" w:rsidRPr="00C02067" w:rsidRDefault="00822C73" w:rsidP="00822C73">
      <w:pPr>
        <w:rPr>
          <w:sz w:val="22"/>
          <w:szCs w:val="22"/>
          <w:lang w:val="en-CA"/>
        </w:rPr>
      </w:pPr>
    </w:p>
    <w:p w14:paraId="719E4451" w14:textId="77777777" w:rsidR="00822C73" w:rsidRPr="00C02067" w:rsidRDefault="00822C73" w:rsidP="00822C73">
      <w:pPr>
        <w:rPr>
          <w:sz w:val="22"/>
          <w:szCs w:val="22"/>
          <w:lang w:val="en-CA"/>
        </w:rPr>
      </w:pPr>
      <w:r w:rsidRPr="00C02067">
        <w:rPr>
          <w:sz w:val="22"/>
          <w:szCs w:val="22"/>
          <w:lang w:val="en-CA"/>
        </w:rPr>
        <w:t xml:space="preserve">Loughnan, S., Haslam, N., Bastian, B. 2010. The role of meat consumption in the denial or moral status and mind to meat animals. Appetite. 55(1): 156-159.  </w:t>
      </w:r>
    </w:p>
    <w:p w14:paraId="5FAFB9CE" w14:textId="77777777" w:rsidR="00822C73" w:rsidRPr="00C02067" w:rsidRDefault="00822C73" w:rsidP="00822C73">
      <w:pPr>
        <w:rPr>
          <w:sz w:val="22"/>
          <w:szCs w:val="22"/>
          <w:lang w:val="en-CA"/>
        </w:rPr>
      </w:pPr>
    </w:p>
    <w:p w14:paraId="737800B4" w14:textId="77777777" w:rsidR="00822C73" w:rsidRPr="00C02067" w:rsidRDefault="00822C73" w:rsidP="00822C73">
      <w:pPr>
        <w:rPr>
          <w:sz w:val="22"/>
          <w:szCs w:val="22"/>
        </w:rPr>
      </w:pPr>
      <w:r w:rsidRPr="00C02067">
        <w:rPr>
          <w:sz w:val="22"/>
          <w:szCs w:val="22"/>
          <w:lang w:val="en-CA"/>
        </w:rPr>
        <w:t>Lusk, J.L. 2011. The market for animal welfare. Agriculture and Human Values. 28: 561-575.</w:t>
      </w:r>
    </w:p>
    <w:p w14:paraId="5DBFF6AB" w14:textId="77777777" w:rsidR="00822C73" w:rsidRPr="00C02067" w:rsidRDefault="00822C73" w:rsidP="00822C73">
      <w:pPr>
        <w:rPr>
          <w:sz w:val="22"/>
          <w:szCs w:val="22"/>
        </w:rPr>
      </w:pPr>
    </w:p>
    <w:p w14:paraId="2866F2F0" w14:textId="77777777" w:rsidR="00822C73" w:rsidRPr="00C02067" w:rsidRDefault="00822C73" w:rsidP="00822C73">
      <w:pPr>
        <w:rPr>
          <w:sz w:val="22"/>
          <w:szCs w:val="22"/>
        </w:rPr>
      </w:pPr>
      <w:r w:rsidRPr="00C02067">
        <w:rPr>
          <w:sz w:val="22"/>
          <w:szCs w:val="22"/>
        </w:rPr>
        <w:t xml:space="preserve">Lusk, J.L., Norwood, F.B. 2009. Some economic benefits and costs of vegetarianism. Agricultural and Resources Economics Review. 38(2): 109-124. </w:t>
      </w:r>
    </w:p>
    <w:p w14:paraId="10829B7C" w14:textId="77777777" w:rsidR="00822C73" w:rsidRPr="00C02067" w:rsidRDefault="00822C73" w:rsidP="00822C73">
      <w:pPr>
        <w:rPr>
          <w:sz w:val="22"/>
          <w:szCs w:val="22"/>
        </w:rPr>
      </w:pPr>
    </w:p>
    <w:p w14:paraId="7D93A3A8" w14:textId="77777777" w:rsidR="00822C73" w:rsidRPr="00C02067" w:rsidRDefault="00822C73" w:rsidP="00822C73">
      <w:pPr>
        <w:rPr>
          <w:sz w:val="22"/>
          <w:szCs w:val="22"/>
        </w:rPr>
      </w:pPr>
      <w:r w:rsidRPr="00C02067">
        <w:rPr>
          <w:sz w:val="22"/>
          <w:szCs w:val="22"/>
        </w:rPr>
        <w:t xml:space="preserve">Macdiarmid, J.I., Kyle, J., Horgan, G.W., Loe, J., Fyfe, C., Johnstone, A., McNeill, G.. 2012. Sustainable diets for the future: can we contribute to reducing greenhouse gas emissions by eating a healthy diet? The American Journal of Clinical Nutrition. 96(3): 632-639. </w:t>
      </w:r>
    </w:p>
    <w:p w14:paraId="23FA6C67" w14:textId="77777777" w:rsidR="00822C73" w:rsidRPr="00C02067" w:rsidRDefault="00822C73" w:rsidP="00822C73">
      <w:pPr>
        <w:rPr>
          <w:sz w:val="22"/>
          <w:szCs w:val="22"/>
        </w:rPr>
      </w:pPr>
    </w:p>
    <w:p w14:paraId="591D755F" w14:textId="77777777" w:rsidR="00822C73" w:rsidRPr="00C02067" w:rsidRDefault="00822C73" w:rsidP="00822C73">
      <w:pPr>
        <w:rPr>
          <w:sz w:val="22"/>
          <w:szCs w:val="22"/>
        </w:rPr>
      </w:pPr>
      <w:r w:rsidRPr="00C02067">
        <w:rPr>
          <w:sz w:val="22"/>
          <w:szCs w:val="22"/>
        </w:rPr>
        <w:t xml:space="preserve">Mäkiniemi, J-P., Vainio, A. 2014. Barriers to climate-friendly food choices among young adults in Finland. Appetite. 74: 12-19. </w:t>
      </w:r>
    </w:p>
    <w:p w14:paraId="5A2CA210" w14:textId="77777777" w:rsidR="00822C73" w:rsidRPr="00C02067" w:rsidRDefault="00822C73" w:rsidP="00822C73">
      <w:pPr>
        <w:rPr>
          <w:sz w:val="22"/>
          <w:szCs w:val="22"/>
        </w:rPr>
      </w:pPr>
    </w:p>
    <w:p w14:paraId="7D5236DF" w14:textId="77777777" w:rsidR="00822C73" w:rsidRPr="00F502DD" w:rsidRDefault="00822C73" w:rsidP="00822C73">
      <w:pPr>
        <w:rPr>
          <w:sz w:val="22"/>
          <w:szCs w:val="22"/>
          <w:lang w:val="fr-CA"/>
        </w:rPr>
      </w:pPr>
      <w:r w:rsidRPr="00C02067">
        <w:rPr>
          <w:sz w:val="22"/>
          <w:szCs w:val="22"/>
        </w:rPr>
        <w:t xml:space="preserve">Marlow, H.J., Hayes, W.K., Soret, S., Carter, R.L., Schwab, E.R., Sabaté, J. 2009. Diet and the environment: Does what you eat matter? The American Journal of Clinical Nutrition. </w:t>
      </w:r>
      <w:r w:rsidRPr="00F502DD">
        <w:rPr>
          <w:sz w:val="22"/>
          <w:szCs w:val="22"/>
          <w:lang w:val="fr-CA"/>
        </w:rPr>
        <w:t xml:space="preserve">89(suppl): 1699S-703S. </w:t>
      </w:r>
    </w:p>
    <w:p w14:paraId="560FFAE7" w14:textId="77777777" w:rsidR="00822C73" w:rsidRPr="00F502DD" w:rsidRDefault="00822C73" w:rsidP="00822C73">
      <w:pPr>
        <w:rPr>
          <w:sz w:val="22"/>
          <w:szCs w:val="22"/>
          <w:lang w:val="fr-CA"/>
        </w:rPr>
      </w:pPr>
    </w:p>
    <w:p w14:paraId="3E194D5B" w14:textId="77777777" w:rsidR="00822C73" w:rsidRPr="00C02067" w:rsidRDefault="00822C73" w:rsidP="00822C73">
      <w:pPr>
        <w:rPr>
          <w:sz w:val="22"/>
          <w:szCs w:val="22"/>
        </w:rPr>
      </w:pPr>
      <w:r w:rsidRPr="00F502DD">
        <w:rPr>
          <w:sz w:val="22"/>
          <w:szCs w:val="22"/>
          <w:lang w:val="fr-CA"/>
        </w:rPr>
        <w:t xml:space="preserve">Masset, G., Vieux, F., Verger, E.O., Soler, L-G., Touazi, D., Darmon, N. 2014. </w:t>
      </w:r>
      <w:r w:rsidRPr="00C02067">
        <w:rPr>
          <w:sz w:val="22"/>
          <w:szCs w:val="22"/>
        </w:rPr>
        <w:t xml:space="preserve">Reducing energy intake and energy density for a sustainable diet: a study based on self-selected diets in French adults. American Journal of Clinical Nutrition. 99: 1460-1469. </w:t>
      </w:r>
    </w:p>
    <w:p w14:paraId="6BB962F0" w14:textId="77777777" w:rsidR="00822C73" w:rsidRPr="00C02067" w:rsidRDefault="00822C73" w:rsidP="00822C73">
      <w:pPr>
        <w:rPr>
          <w:sz w:val="22"/>
          <w:szCs w:val="22"/>
        </w:rPr>
      </w:pPr>
    </w:p>
    <w:p w14:paraId="42158AF2" w14:textId="77777777" w:rsidR="00822C73" w:rsidRPr="00C02067" w:rsidRDefault="00822C73" w:rsidP="00822C73">
      <w:pPr>
        <w:rPr>
          <w:sz w:val="22"/>
          <w:szCs w:val="22"/>
        </w:rPr>
      </w:pPr>
      <w:r w:rsidRPr="00C02067">
        <w:rPr>
          <w:sz w:val="22"/>
          <w:szCs w:val="22"/>
        </w:rPr>
        <w:lastRenderedPageBreak/>
        <w:t xml:space="preserve">McAllister, T.A., Okine, E.K., Mathison, G.W., Cheng, K.J. 1996. Dietary, environmental and microbiological aspects of methane production in ruminants. Canadian Journal of Animal Science. 76: 231-243. </w:t>
      </w:r>
    </w:p>
    <w:p w14:paraId="4F804632" w14:textId="77777777" w:rsidR="00822C73" w:rsidRPr="00C02067" w:rsidRDefault="00822C73" w:rsidP="00822C73">
      <w:pPr>
        <w:rPr>
          <w:sz w:val="22"/>
          <w:szCs w:val="22"/>
        </w:rPr>
      </w:pPr>
    </w:p>
    <w:p w14:paraId="0711D5AB" w14:textId="77777777" w:rsidR="00822C73" w:rsidRPr="00C02067" w:rsidRDefault="00822C73" w:rsidP="00822C73">
      <w:pPr>
        <w:rPr>
          <w:sz w:val="22"/>
          <w:szCs w:val="22"/>
        </w:rPr>
      </w:pPr>
      <w:r w:rsidRPr="00C02067">
        <w:rPr>
          <w:sz w:val="22"/>
          <w:szCs w:val="22"/>
        </w:rPr>
        <w:t xml:space="preserve">McAlpine, C.A., Etter, A., Fearnside, P.M., Seabrook, L., Laurance, W.F. 2009. Increasing world consumption of beef as a driver of regional and global change: A call for policy action based on evidence from Queensland (Australia), Colombia, and Brazil. Global Environmental Change. 19: 21-33. </w:t>
      </w:r>
    </w:p>
    <w:p w14:paraId="523EAB01" w14:textId="77777777" w:rsidR="00822C73" w:rsidRPr="00C02067" w:rsidRDefault="00822C73" w:rsidP="00822C73">
      <w:pPr>
        <w:rPr>
          <w:sz w:val="22"/>
          <w:szCs w:val="22"/>
        </w:rPr>
      </w:pPr>
    </w:p>
    <w:p w14:paraId="493333CF" w14:textId="77777777" w:rsidR="00822C73" w:rsidRPr="00C02067" w:rsidRDefault="00822C73" w:rsidP="00822C73">
      <w:pPr>
        <w:rPr>
          <w:sz w:val="22"/>
          <w:szCs w:val="22"/>
        </w:rPr>
      </w:pPr>
      <w:r w:rsidRPr="00C02067">
        <w:rPr>
          <w:sz w:val="22"/>
          <w:szCs w:val="22"/>
        </w:rPr>
        <w:t xml:space="preserve">McKenna, B. 2013. Taxpayers oblivious to the cost of farm subsidies. The Globe and Mail. Retrieved March, 2016 from: http://www.theglobeandmail.com/report-on-business/taxpayers-oblivious-to-the-cost-of-farm-subsidies/article13055078/. Ottawa, Ontario. </w:t>
      </w:r>
    </w:p>
    <w:p w14:paraId="4C575BFF" w14:textId="77777777" w:rsidR="00822C73" w:rsidRPr="00C02067" w:rsidRDefault="00822C73" w:rsidP="00822C73">
      <w:pPr>
        <w:rPr>
          <w:sz w:val="22"/>
          <w:szCs w:val="22"/>
        </w:rPr>
      </w:pPr>
    </w:p>
    <w:p w14:paraId="4E7130A2" w14:textId="77777777" w:rsidR="00822C73" w:rsidRPr="00C02067" w:rsidRDefault="00822C73" w:rsidP="00822C73">
      <w:pPr>
        <w:rPr>
          <w:sz w:val="22"/>
          <w:szCs w:val="22"/>
        </w:rPr>
      </w:pPr>
      <w:r w:rsidRPr="00C02067">
        <w:rPr>
          <w:sz w:val="22"/>
          <w:szCs w:val="22"/>
        </w:rPr>
        <w:t xml:space="preserve">McMichael, A.J., Powles, J.W., Butler, C.D., Uauy, R. 2007. Food, livestock production, energy, climate change and health. Lancet. 370: 1253-263. </w:t>
      </w:r>
    </w:p>
    <w:p w14:paraId="67639F60" w14:textId="77777777" w:rsidR="00822C73" w:rsidRPr="00C02067" w:rsidRDefault="00822C73" w:rsidP="00822C73">
      <w:pPr>
        <w:rPr>
          <w:sz w:val="22"/>
          <w:szCs w:val="22"/>
        </w:rPr>
      </w:pPr>
    </w:p>
    <w:p w14:paraId="73E60E9F" w14:textId="77777777" w:rsidR="00822C73" w:rsidRPr="00C02067" w:rsidRDefault="00822C73" w:rsidP="00822C73">
      <w:pPr>
        <w:rPr>
          <w:sz w:val="22"/>
          <w:szCs w:val="22"/>
          <w:lang w:val="en-CA"/>
        </w:rPr>
      </w:pPr>
      <w:r w:rsidRPr="00C02067">
        <w:rPr>
          <w:sz w:val="22"/>
          <w:szCs w:val="22"/>
          <w:lang w:val="en-CA"/>
        </w:rPr>
        <w:t xml:space="preserve">Meier, T., Christen, O., Semler, E., Jahries, G., Voget-Klechin, L., Schrode, A., Artmann, M. 2014. Balancing virtual land imports by a shift in the diet. Using a land balance approach to assess the sustainability of food consumption. Germany as an example. Appetite. 74: 20-34. </w:t>
      </w:r>
    </w:p>
    <w:p w14:paraId="5BCBE76A" w14:textId="77777777" w:rsidR="00822C73" w:rsidRPr="00C02067" w:rsidRDefault="00822C73" w:rsidP="00822C73">
      <w:pPr>
        <w:rPr>
          <w:sz w:val="22"/>
          <w:szCs w:val="22"/>
        </w:rPr>
      </w:pPr>
    </w:p>
    <w:p w14:paraId="3879BEE0" w14:textId="77777777" w:rsidR="00822C73" w:rsidRPr="00C02067" w:rsidRDefault="00822C73" w:rsidP="00822C73">
      <w:pPr>
        <w:rPr>
          <w:sz w:val="22"/>
          <w:szCs w:val="22"/>
        </w:rPr>
      </w:pPr>
      <w:r w:rsidRPr="00C02067">
        <w:rPr>
          <w:sz w:val="22"/>
          <w:szCs w:val="22"/>
        </w:rPr>
        <w:t>Mendelsohn, R., Nordhaus, W.D., Shaw, D. 1994. The impact of global warming on agriculture: A ricardian analysis. The American Economic Review. 84(4): 753-771.</w:t>
      </w:r>
    </w:p>
    <w:p w14:paraId="319C6A66" w14:textId="77777777" w:rsidR="00822C73" w:rsidRPr="00C02067" w:rsidRDefault="00822C73" w:rsidP="00822C73">
      <w:pPr>
        <w:rPr>
          <w:sz w:val="22"/>
          <w:szCs w:val="22"/>
        </w:rPr>
      </w:pPr>
    </w:p>
    <w:p w14:paraId="58AA886B" w14:textId="77777777" w:rsidR="00822C73" w:rsidRPr="00C02067" w:rsidRDefault="00822C73" w:rsidP="00822C73">
      <w:pPr>
        <w:rPr>
          <w:sz w:val="22"/>
          <w:szCs w:val="22"/>
          <w:lang w:val="en-CA"/>
        </w:rPr>
      </w:pPr>
      <w:r w:rsidRPr="00C02067">
        <w:rPr>
          <w:sz w:val="22"/>
          <w:szCs w:val="22"/>
          <w:lang w:val="en-CA"/>
        </w:rPr>
        <w:t xml:space="preserve">Messina, V., Melina, V., Mangels, A.R. 2003. A new food guide for North American vegetarians. Canadian Journal of Dietetic Practice and Research. 64(2): 82-86. </w:t>
      </w:r>
    </w:p>
    <w:p w14:paraId="21406802" w14:textId="77777777" w:rsidR="00822C73" w:rsidRPr="00C02067" w:rsidRDefault="00822C73" w:rsidP="00822C73">
      <w:pPr>
        <w:widowControl w:val="0"/>
        <w:autoSpaceDE w:val="0"/>
        <w:autoSpaceDN w:val="0"/>
        <w:adjustRightInd w:val="0"/>
        <w:rPr>
          <w:color w:val="101010"/>
          <w:sz w:val="22"/>
          <w:szCs w:val="22"/>
        </w:rPr>
      </w:pPr>
    </w:p>
    <w:p w14:paraId="3EE2E739" w14:textId="77777777" w:rsidR="00822C73" w:rsidRPr="00C02067" w:rsidRDefault="00822C73" w:rsidP="00822C73">
      <w:pPr>
        <w:widowControl w:val="0"/>
        <w:autoSpaceDE w:val="0"/>
        <w:autoSpaceDN w:val="0"/>
        <w:adjustRightInd w:val="0"/>
        <w:rPr>
          <w:color w:val="101010"/>
          <w:sz w:val="22"/>
          <w:szCs w:val="22"/>
        </w:rPr>
      </w:pPr>
      <w:r w:rsidRPr="00C02067">
        <w:rPr>
          <w:color w:val="101010"/>
          <w:sz w:val="22"/>
          <w:szCs w:val="22"/>
        </w:rPr>
        <w:t>Metz, B., Davidson, O., Bosch, P., Dave, R., Meyer, L. (eds). 2007. Climate change 2007. Mitigation of climate change. Contribution of working group III to the fourth assessment report of the intergovernmental panel on climate change. IPCC. Cambridge University Press, New York.</w:t>
      </w:r>
    </w:p>
    <w:p w14:paraId="21CD4F06" w14:textId="77777777" w:rsidR="00822C73" w:rsidRPr="00C02067" w:rsidRDefault="00822C73" w:rsidP="00822C73">
      <w:pPr>
        <w:widowControl w:val="0"/>
        <w:autoSpaceDE w:val="0"/>
        <w:autoSpaceDN w:val="0"/>
        <w:adjustRightInd w:val="0"/>
        <w:rPr>
          <w:color w:val="101010"/>
          <w:sz w:val="22"/>
          <w:szCs w:val="22"/>
        </w:rPr>
      </w:pPr>
    </w:p>
    <w:p w14:paraId="5C5D606F" w14:textId="77777777" w:rsidR="00822C73" w:rsidRPr="00C02067" w:rsidRDefault="00822C73" w:rsidP="00822C73">
      <w:pPr>
        <w:widowControl w:val="0"/>
        <w:autoSpaceDE w:val="0"/>
        <w:autoSpaceDN w:val="0"/>
        <w:adjustRightInd w:val="0"/>
        <w:rPr>
          <w:color w:val="101010"/>
          <w:sz w:val="22"/>
          <w:szCs w:val="22"/>
        </w:rPr>
      </w:pPr>
      <w:r w:rsidRPr="00C02067">
        <w:rPr>
          <w:color w:val="101010"/>
          <w:sz w:val="22"/>
          <w:szCs w:val="22"/>
        </w:rPr>
        <w:t xml:space="preserve">Mikkelsen, B., Kristensen, N., Nielsen, T. 2006. Innovation processes in large-scale public foodservice-case findings from the implementation of organic foods in a Danish country. Journal of Foodservice Business Research. 8(2): 87-105. </w:t>
      </w:r>
    </w:p>
    <w:p w14:paraId="05497891" w14:textId="77777777" w:rsidR="00822C73" w:rsidRPr="00C02067" w:rsidRDefault="00822C73" w:rsidP="00822C73">
      <w:pPr>
        <w:rPr>
          <w:sz w:val="22"/>
          <w:szCs w:val="22"/>
        </w:rPr>
      </w:pPr>
    </w:p>
    <w:p w14:paraId="6EA2F7EA" w14:textId="77777777" w:rsidR="00822C73" w:rsidRPr="00C02067" w:rsidRDefault="00822C73" w:rsidP="00822C73">
      <w:pPr>
        <w:rPr>
          <w:sz w:val="22"/>
          <w:szCs w:val="22"/>
        </w:rPr>
      </w:pPr>
      <w:r w:rsidRPr="00C02067">
        <w:rPr>
          <w:sz w:val="22"/>
          <w:szCs w:val="22"/>
        </w:rPr>
        <w:t xml:space="preserve">Minichiello, V., Aroni, R., Timewell, E., Alexander, L. 1990. In-depth interviewing: Researching people. Hong Kong. Longman Cheshire. </w:t>
      </w:r>
    </w:p>
    <w:p w14:paraId="7D0DB069" w14:textId="77777777" w:rsidR="00822C73" w:rsidRPr="00C02067" w:rsidRDefault="00822C73" w:rsidP="00822C73">
      <w:pPr>
        <w:rPr>
          <w:sz w:val="22"/>
          <w:szCs w:val="22"/>
        </w:rPr>
      </w:pPr>
    </w:p>
    <w:p w14:paraId="11359546" w14:textId="77777777" w:rsidR="00822C73" w:rsidRPr="00C02067" w:rsidRDefault="00822C73" w:rsidP="00822C73">
      <w:pPr>
        <w:rPr>
          <w:sz w:val="22"/>
          <w:szCs w:val="22"/>
          <w:lang w:val="en-CA"/>
        </w:rPr>
      </w:pPr>
      <w:r w:rsidRPr="00C02067">
        <w:rPr>
          <w:sz w:val="22"/>
          <w:szCs w:val="22"/>
          <w:lang w:val="en-CA"/>
        </w:rPr>
        <w:t xml:space="preserve">Missbach, B., Weber, A., Huber, E.M., König, J.S. 2015. Inverting the pyramid! Extent and quality of food advertised on Austrian television. BMC Public Health. 15: 910-920. </w:t>
      </w:r>
    </w:p>
    <w:p w14:paraId="4FAC4BE9" w14:textId="77777777" w:rsidR="00822C73" w:rsidRPr="00C02067" w:rsidRDefault="00822C73" w:rsidP="00822C73">
      <w:pPr>
        <w:rPr>
          <w:sz w:val="22"/>
          <w:szCs w:val="22"/>
          <w:lang w:val="en-CA"/>
        </w:rPr>
      </w:pPr>
    </w:p>
    <w:p w14:paraId="1FE90D4D" w14:textId="77777777" w:rsidR="00822C73" w:rsidRPr="00C02067" w:rsidRDefault="00822C73" w:rsidP="00822C73">
      <w:pPr>
        <w:rPr>
          <w:sz w:val="22"/>
          <w:szCs w:val="22"/>
          <w:lang w:val="en-CA"/>
        </w:rPr>
      </w:pPr>
      <w:r w:rsidRPr="00C02067">
        <w:rPr>
          <w:sz w:val="22"/>
          <w:szCs w:val="22"/>
          <w:lang w:val="en-CA"/>
        </w:rPr>
        <w:t xml:space="preserve">Neacsu, M., Fyfe, C., Horgan, G., Johnstone, A.M. 2014. Appetite control and biomarkers of satiety with vegetarian (soy) and meat-based high-protein diets for weight loss in obese men: a randomized crossover trial. The American Journal of Clinical Nutrition. 100: 548-558. </w:t>
      </w:r>
    </w:p>
    <w:p w14:paraId="4AB00CC7" w14:textId="77777777" w:rsidR="00822C73" w:rsidRPr="00C02067" w:rsidRDefault="00822C73" w:rsidP="00822C73">
      <w:pPr>
        <w:rPr>
          <w:color w:val="000000" w:themeColor="text1"/>
          <w:sz w:val="22"/>
          <w:szCs w:val="22"/>
          <w:lang w:val="en-CA"/>
        </w:rPr>
      </w:pPr>
    </w:p>
    <w:p w14:paraId="5EE704E9" w14:textId="77777777" w:rsidR="00822C73" w:rsidRPr="00C02067" w:rsidRDefault="00822C73" w:rsidP="00822C73">
      <w:pPr>
        <w:rPr>
          <w:sz w:val="22"/>
          <w:szCs w:val="22"/>
          <w:lang w:val="en-CA"/>
        </w:rPr>
      </w:pPr>
      <w:r w:rsidRPr="00C02067">
        <w:rPr>
          <w:sz w:val="22"/>
          <w:szCs w:val="22"/>
          <w:lang w:val="en-CA"/>
        </w:rPr>
        <w:t xml:space="preserve">Nederkoorn C., Guerrieri, R., Havermans, R.C., Roefs, A., Jansen, A. 2009. The interactive effect of hunger and impulsivity on food intake and purchase in a virtual supermarket. International Journal of Obesity. 33: 905-912. </w:t>
      </w:r>
    </w:p>
    <w:p w14:paraId="5FB43795" w14:textId="77777777" w:rsidR="00822C73" w:rsidRPr="00C02067" w:rsidRDefault="00822C73" w:rsidP="00822C73">
      <w:pPr>
        <w:rPr>
          <w:sz w:val="22"/>
          <w:szCs w:val="22"/>
          <w:lang w:val="en-CA"/>
        </w:rPr>
      </w:pPr>
    </w:p>
    <w:p w14:paraId="1FC54046" w14:textId="77777777" w:rsidR="00822C73" w:rsidRPr="00C02067" w:rsidRDefault="00822C73" w:rsidP="00822C73">
      <w:pPr>
        <w:rPr>
          <w:sz w:val="22"/>
          <w:szCs w:val="22"/>
          <w:lang w:val="en-CA"/>
        </w:rPr>
      </w:pPr>
      <w:r w:rsidRPr="00C02067">
        <w:rPr>
          <w:sz w:val="22"/>
          <w:szCs w:val="22"/>
          <w:lang w:val="en-CA"/>
        </w:rPr>
        <w:t xml:space="preserve">Nestle, M. 1999. Animal </w:t>
      </w:r>
      <w:r w:rsidRPr="00C02067">
        <w:rPr>
          <w:i/>
          <w:sz w:val="22"/>
          <w:szCs w:val="22"/>
          <w:lang w:val="en-CA"/>
        </w:rPr>
        <w:t>v.</w:t>
      </w:r>
      <w:r w:rsidRPr="00C02067">
        <w:rPr>
          <w:sz w:val="22"/>
          <w:szCs w:val="22"/>
          <w:lang w:val="en-CA"/>
        </w:rPr>
        <w:t xml:space="preserve"> plant foods in human diets and health: Is the historical record unequivocal? Proceedings of the Nutrition Society. 58: 211-218. </w:t>
      </w:r>
    </w:p>
    <w:p w14:paraId="6D3F7B8B" w14:textId="77777777" w:rsidR="00822C73" w:rsidRPr="00C02067" w:rsidRDefault="00822C73" w:rsidP="00822C73">
      <w:pPr>
        <w:rPr>
          <w:color w:val="000000" w:themeColor="text1"/>
          <w:sz w:val="22"/>
          <w:szCs w:val="22"/>
          <w:lang w:val="en-CA"/>
        </w:rPr>
      </w:pPr>
    </w:p>
    <w:p w14:paraId="37737397"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lastRenderedPageBreak/>
        <w:t>Nereng, G. Samini, M., Romsdal, A., Brekke, A. 2009. Can innovations in the supply chain lead to reduction of GHG emissions from food products? A framework. Proceedings of the Conference on Joint Actions on Climate Change. 22 pages.</w:t>
      </w:r>
    </w:p>
    <w:p w14:paraId="63263781" w14:textId="77777777" w:rsidR="00822C73" w:rsidRPr="00C02067" w:rsidRDefault="00822C73" w:rsidP="00822C73">
      <w:pPr>
        <w:rPr>
          <w:sz w:val="22"/>
          <w:szCs w:val="22"/>
        </w:rPr>
      </w:pPr>
    </w:p>
    <w:p w14:paraId="4C2C2CEC" w14:textId="77777777" w:rsidR="00822C73" w:rsidRPr="00C02067" w:rsidRDefault="00822C73" w:rsidP="00822C73">
      <w:pPr>
        <w:rPr>
          <w:sz w:val="22"/>
          <w:szCs w:val="22"/>
          <w:lang w:val="en-CA"/>
        </w:rPr>
      </w:pPr>
      <w:r w:rsidRPr="00C02067">
        <w:rPr>
          <w:sz w:val="22"/>
          <w:szCs w:val="22"/>
          <w:lang w:val="en-CA"/>
        </w:rPr>
        <w:t xml:space="preserve">Neumark-Sztainer, D., Story, M., Perry, C., Casey, M.A. 1999. Factors influencing food choices of adolescents: Findings from focus-group discussions with adolescents. Journal of the American Dietetic Association. 99: 929-934. </w:t>
      </w:r>
    </w:p>
    <w:p w14:paraId="55C44A80" w14:textId="77777777" w:rsidR="00822C73" w:rsidRPr="00C02067" w:rsidRDefault="00822C73" w:rsidP="00822C73">
      <w:pPr>
        <w:rPr>
          <w:sz w:val="22"/>
          <w:szCs w:val="22"/>
        </w:rPr>
      </w:pPr>
    </w:p>
    <w:p w14:paraId="666AF880" w14:textId="77777777" w:rsidR="00822C73" w:rsidRPr="00C02067" w:rsidRDefault="00822C73" w:rsidP="00822C73">
      <w:pPr>
        <w:rPr>
          <w:sz w:val="22"/>
          <w:szCs w:val="22"/>
        </w:rPr>
      </w:pPr>
      <w:r w:rsidRPr="00C02067">
        <w:rPr>
          <w:sz w:val="22"/>
          <w:szCs w:val="22"/>
        </w:rPr>
        <w:t>Nguyen, T.T.H. Doreau, M., Eugène, M., Corson, M.S., Garcia-Launay, F., Chesneau, G., van der Werf, H.M.G. 2013. Effect of farming practices for greenhouse gas mitigation and subsequent alternative land use on environmental impacts of beef cattle production systems. Animal. 7(5): 860-869.</w:t>
      </w:r>
    </w:p>
    <w:p w14:paraId="30CC24D6" w14:textId="77777777" w:rsidR="00822C73" w:rsidRPr="00C02067" w:rsidRDefault="00822C73" w:rsidP="00822C73">
      <w:pPr>
        <w:rPr>
          <w:sz w:val="22"/>
          <w:szCs w:val="22"/>
        </w:rPr>
      </w:pPr>
    </w:p>
    <w:p w14:paraId="22ADF385" w14:textId="77777777" w:rsidR="00822C73" w:rsidRPr="00C02067" w:rsidRDefault="00822C73" w:rsidP="00822C73">
      <w:pPr>
        <w:rPr>
          <w:sz w:val="22"/>
          <w:szCs w:val="22"/>
        </w:rPr>
      </w:pPr>
      <w:r w:rsidRPr="00C02067">
        <w:rPr>
          <w:sz w:val="22"/>
          <w:szCs w:val="22"/>
        </w:rPr>
        <w:t xml:space="preserve">Nicholls, S., Gwordz, W., Riesch, L., Voigt, K. 2011. Fiscal food policy: Equity and practice. Public Health Perspectives. 131(4): 157-158. </w:t>
      </w:r>
    </w:p>
    <w:p w14:paraId="0663FDA0" w14:textId="77777777" w:rsidR="00822C73" w:rsidRPr="00C02067" w:rsidRDefault="00822C73" w:rsidP="00822C73">
      <w:pPr>
        <w:rPr>
          <w:sz w:val="22"/>
          <w:szCs w:val="22"/>
        </w:rPr>
      </w:pPr>
    </w:p>
    <w:p w14:paraId="4505A177" w14:textId="77777777" w:rsidR="00822C73" w:rsidRPr="00C02067" w:rsidRDefault="00822C73" w:rsidP="00822C73">
      <w:pPr>
        <w:rPr>
          <w:sz w:val="22"/>
          <w:szCs w:val="22"/>
          <w:lang w:val="en-CA"/>
        </w:rPr>
      </w:pPr>
      <w:r w:rsidRPr="00C02067">
        <w:rPr>
          <w:sz w:val="22"/>
          <w:szCs w:val="22"/>
          <w:lang w:val="en-CA"/>
        </w:rPr>
        <w:t xml:space="preserve">Ogden, J., Karim, L., Choudry, A., Brown, K. 2007. Understanding successful behaviour change: The role of intentions, attitudes to the target and motivations and the example of diet. Health Education Research. 22(3): 397-405. </w:t>
      </w:r>
    </w:p>
    <w:p w14:paraId="041030DE" w14:textId="77777777" w:rsidR="00822C73" w:rsidRPr="00C02067" w:rsidRDefault="00822C73" w:rsidP="00822C73">
      <w:pPr>
        <w:rPr>
          <w:sz w:val="22"/>
          <w:szCs w:val="22"/>
        </w:rPr>
      </w:pPr>
    </w:p>
    <w:p w14:paraId="7C2F77EE" w14:textId="77777777" w:rsidR="00822C73" w:rsidRPr="00C02067" w:rsidRDefault="00822C73" w:rsidP="00822C73">
      <w:pPr>
        <w:rPr>
          <w:sz w:val="22"/>
          <w:szCs w:val="22"/>
        </w:rPr>
      </w:pPr>
      <w:r w:rsidRPr="00C02067">
        <w:rPr>
          <w:sz w:val="22"/>
          <w:szCs w:val="22"/>
        </w:rPr>
        <w:t>Olson-Sawyer, K. 2013. Meat’s large water footprint: why raising livestock and poultry for meat is so resource-intensive. Foodtank. Retrieved March, 2016 from: http://foodtank.com/news/2013/12/why-meat-eats-resources.</w:t>
      </w:r>
    </w:p>
    <w:p w14:paraId="4418EA02" w14:textId="77777777" w:rsidR="00822C73" w:rsidRPr="00C02067" w:rsidRDefault="00822C73" w:rsidP="00822C73">
      <w:pPr>
        <w:rPr>
          <w:sz w:val="22"/>
          <w:szCs w:val="22"/>
        </w:rPr>
      </w:pPr>
    </w:p>
    <w:p w14:paraId="0AD63502" w14:textId="77777777" w:rsidR="00822C73" w:rsidRPr="00C02067" w:rsidRDefault="00822C73" w:rsidP="00822C73">
      <w:pPr>
        <w:rPr>
          <w:sz w:val="22"/>
          <w:szCs w:val="22"/>
        </w:rPr>
      </w:pPr>
      <w:r w:rsidRPr="00C02067">
        <w:rPr>
          <w:sz w:val="22"/>
          <w:szCs w:val="22"/>
        </w:rPr>
        <w:t>O’Mara, F.P. 2011. The significance of livestock as a contributor to global greenhouse emissions today and in the near future. Animal Feed and Science Technology. 166: 7-15.</w:t>
      </w:r>
    </w:p>
    <w:p w14:paraId="56BC3EE1" w14:textId="77777777" w:rsidR="00822C73" w:rsidRPr="00C02067" w:rsidRDefault="00822C73" w:rsidP="00822C73">
      <w:pPr>
        <w:rPr>
          <w:sz w:val="22"/>
          <w:szCs w:val="22"/>
        </w:rPr>
      </w:pPr>
    </w:p>
    <w:p w14:paraId="0EC51D93" w14:textId="77777777" w:rsidR="00822C73" w:rsidRPr="00C02067" w:rsidRDefault="00822C73" w:rsidP="00822C73">
      <w:pPr>
        <w:rPr>
          <w:sz w:val="22"/>
          <w:szCs w:val="22"/>
          <w:lang w:val="en-CA"/>
        </w:rPr>
      </w:pPr>
      <w:r w:rsidRPr="00C02067">
        <w:rPr>
          <w:sz w:val="22"/>
          <w:szCs w:val="22"/>
          <w:lang w:val="en-CA"/>
        </w:rPr>
        <w:t>Palaniswamy, U.R. 2003. Vegetarianism and human health. Horticultural Technology. 13(2): 243-251</w:t>
      </w:r>
    </w:p>
    <w:p w14:paraId="3B0C5018" w14:textId="77777777" w:rsidR="00822C73" w:rsidRPr="00C02067" w:rsidRDefault="00822C73" w:rsidP="00822C73">
      <w:pPr>
        <w:rPr>
          <w:sz w:val="22"/>
          <w:szCs w:val="22"/>
          <w:lang w:val="en-CA"/>
        </w:rPr>
      </w:pPr>
    </w:p>
    <w:p w14:paraId="62696B54" w14:textId="77777777" w:rsidR="00822C73" w:rsidRDefault="00822C73" w:rsidP="00822C73">
      <w:pPr>
        <w:rPr>
          <w:sz w:val="22"/>
          <w:szCs w:val="22"/>
        </w:rPr>
      </w:pPr>
      <w:r w:rsidRPr="00C02067">
        <w:rPr>
          <w:sz w:val="22"/>
          <w:szCs w:val="22"/>
        </w:rPr>
        <w:t>Parry, M.L., Ruttan, V.W. 1991. Climate change and world agriculture. Environment: Science and Policy for Sustainable Development. 33(6): 25-29.</w:t>
      </w:r>
    </w:p>
    <w:p w14:paraId="014761B7" w14:textId="77777777" w:rsidR="00822C73" w:rsidRDefault="00822C73" w:rsidP="00822C73">
      <w:pPr>
        <w:rPr>
          <w:sz w:val="22"/>
          <w:szCs w:val="22"/>
        </w:rPr>
      </w:pPr>
    </w:p>
    <w:p w14:paraId="2A7C680C" w14:textId="77777777" w:rsidR="00822C73" w:rsidRDefault="00822C73" w:rsidP="00822C73">
      <w:pPr>
        <w:rPr>
          <w:sz w:val="22"/>
          <w:szCs w:val="22"/>
        </w:rPr>
      </w:pPr>
      <w:r>
        <w:rPr>
          <w:sz w:val="22"/>
          <w:szCs w:val="22"/>
        </w:rPr>
        <w:t xml:space="preserve">Pautasso, M. 2013. Ten simple rules for writing a literature review. PLoS Computational Biology. 9(7): e1003149. </w:t>
      </w:r>
    </w:p>
    <w:p w14:paraId="01B0618A" w14:textId="77777777" w:rsidR="00822C73" w:rsidRDefault="00822C73" w:rsidP="00822C73">
      <w:pPr>
        <w:rPr>
          <w:sz w:val="22"/>
          <w:szCs w:val="22"/>
        </w:rPr>
      </w:pPr>
    </w:p>
    <w:p w14:paraId="669AAD8E" w14:textId="77777777" w:rsidR="00822C73" w:rsidRPr="00C02067" w:rsidRDefault="00822C73" w:rsidP="00822C73">
      <w:pPr>
        <w:rPr>
          <w:sz w:val="22"/>
          <w:szCs w:val="22"/>
        </w:rPr>
      </w:pPr>
      <w:r>
        <w:rPr>
          <w:sz w:val="22"/>
          <w:szCs w:val="22"/>
        </w:rPr>
        <w:t xml:space="preserve">Petticrew, M., Roberts, H. 2008. Systematic reviews in the social sciences: A practical guide. John Wiley &amp; Sons. 352 pages. </w:t>
      </w:r>
    </w:p>
    <w:p w14:paraId="57010E8B" w14:textId="77777777" w:rsidR="00822C73" w:rsidRPr="00C02067" w:rsidRDefault="00822C73" w:rsidP="00822C73">
      <w:pPr>
        <w:rPr>
          <w:sz w:val="22"/>
          <w:szCs w:val="22"/>
        </w:rPr>
      </w:pPr>
    </w:p>
    <w:p w14:paraId="5E97DD82" w14:textId="77777777" w:rsidR="00822C73" w:rsidRPr="00C02067" w:rsidRDefault="00822C73" w:rsidP="00822C73">
      <w:pPr>
        <w:rPr>
          <w:sz w:val="22"/>
          <w:szCs w:val="22"/>
          <w:lang w:val="en-CA"/>
        </w:rPr>
      </w:pPr>
      <w:r w:rsidRPr="00C02067">
        <w:rPr>
          <w:sz w:val="22"/>
          <w:szCs w:val="22"/>
          <w:lang w:val="en-CA"/>
        </w:rPr>
        <w:t xml:space="preserve">Piccoli, G.B., Clari, R., Vigotti, F.N., Leone, F., Attini, R., Cabiddu, G., Mauro, G., Castelluccia, N., Colombi, N., Capizzi, I., Pani, A., Todros, T., Avagnina, P. 2015. Vegan-vegetarian diets in pregnancy: danger of panacea? A systematic narrative review. An International Journal of Obstetrics and Gynaecology (BJOG) 122:623-633. </w:t>
      </w:r>
    </w:p>
    <w:p w14:paraId="0319BD77" w14:textId="77777777" w:rsidR="00822C73" w:rsidRPr="00C02067" w:rsidRDefault="00822C73" w:rsidP="00822C73">
      <w:pPr>
        <w:rPr>
          <w:sz w:val="22"/>
          <w:szCs w:val="22"/>
        </w:rPr>
      </w:pPr>
    </w:p>
    <w:p w14:paraId="0D862DAA" w14:textId="77777777" w:rsidR="00822C73" w:rsidRPr="00C02067" w:rsidRDefault="00822C73" w:rsidP="00822C73">
      <w:pPr>
        <w:rPr>
          <w:sz w:val="22"/>
          <w:szCs w:val="22"/>
        </w:rPr>
      </w:pPr>
      <w:r w:rsidRPr="00C02067">
        <w:rPr>
          <w:sz w:val="22"/>
          <w:szCs w:val="22"/>
        </w:rPr>
        <w:t>Pimentel D, Pimentel M. 1996. Food, energy and society. Niwot, CO: Colorado University Press.</w:t>
      </w:r>
    </w:p>
    <w:p w14:paraId="6F928569" w14:textId="77777777" w:rsidR="00822C73" w:rsidRPr="00C02067" w:rsidRDefault="00822C73" w:rsidP="00822C73">
      <w:pPr>
        <w:rPr>
          <w:sz w:val="22"/>
          <w:szCs w:val="22"/>
        </w:rPr>
      </w:pPr>
    </w:p>
    <w:p w14:paraId="28B1A38C" w14:textId="77777777" w:rsidR="0032743E" w:rsidRPr="0032743E" w:rsidRDefault="0032743E" w:rsidP="0032743E">
      <w:pPr>
        <w:rPr>
          <w:sz w:val="22"/>
          <w:szCs w:val="22"/>
        </w:rPr>
      </w:pPr>
      <w:r w:rsidRPr="0032743E">
        <w:rPr>
          <w:sz w:val="22"/>
          <w:szCs w:val="22"/>
        </w:rPr>
        <w:t xml:space="preserve">Pimentel, D., Pimentel, M. 2001. Agricultural production. Encyclopedia of Life Sciences. Nature Publishing Group. 7 pages. </w:t>
      </w:r>
    </w:p>
    <w:p w14:paraId="41DC0B66" w14:textId="77777777" w:rsidR="0032743E" w:rsidRDefault="0032743E" w:rsidP="00822C73">
      <w:pPr>
        <w:rPr>
          <w:sz w:val="22"/>
          <w:szCs w:val="22"/>
        </w:rPr>
      </w:pPr>
    </w:p>
    <w:p w14:paraId="6314F5E4" w14:textId="77777777" w:rsidR="00822C73" w:rsidRPr="00C02067" w:rsidRDefault="00822C73" w:rsidP="00822C73">
      <w:pPr>
        <w:rPr>
          <w:sz w:val="22"/>
          <w:szCs w:val="22"/>
        </w:rPr>
      </w:pPr>
      <w:r w:rsidRPr="00C02067">
        <w:rPr>
          <w:sz w:val="22"/>
          <w:szCs w:val="22"/>
        </w:rPr>
        <w:t>Pimentel, D., Pimentel, M. 2003. Sustainability of meat-based and plant-based diets and the environment. American Journal of Clinical Nutrition. 78: 660S-663S.</w:t>
      </w:r>
    </w:p>
    <w:p w14:paraId="362A29A2" w14:textId="77777777" w:rsidR="00822C73" w:rsidRPr="00C02067" w:rsidRDefault="00822C73" w:rsidP="00822C73">
      <w:pPr>
        <w:rPr>
          <w:sz w:val="22"/>
          <w:szCs w:val="22"/>
        </w:rPr>
      </w:pPr>
    </w:p>
    <w:p w14:paraId="0A8C04B8" w14:textId="77777777" w:rsidR="00822C73" w:rsidRPr="00DA2494" w:rsidRDefault="00822C73" w:rsidP="00822C73">
      <w:pPr>
        <w:rPr>
          <w:sz w:val="22"/>
          <w:szCs w:val="22"/>
          <w:lang w:val="en-CA"/>
        </w:rPr>
      </w:pPr>
      <w:r w:rsidRPr="00C02067">
        <w:rPr>
          <w:sz w:val="22"/>
          <w:szCs w:val="22"/>
          <w:lang w:val="en-CA"/>
        </w:rPr>
        <w:lastRenderedPageBreak/>
        <w:t>Pistollato, F., Cano, S.S., Elio, I., Vergaea, M.M., Giampieri, F., Battino, M. 2015. Plant-based and plant-rich diet patterns during gestati</w:t>
      </w:r>
      <w:r w:rsidRPr="00DA2494">
        <w:rPr>
          <w:sz w:val="22"/>
          <w:szCs w:val="22"/>
          <w:lang w:val="en-CA"/>
        </w:rPr>
        <w:t xml:space="preserve">on: Beneficial effects and possible shortcomings. Advances in Nutrition. 6: 581-591. </w:t>
      </w:r>
    </w:p>
    <w:p w14:paraId="0C65E03C" w14:textId="77777777" w:rsidR="00DA2494" w:rsidRPr="00DA2494" w:rsidRDefault="00DA2494" w:rsidP="00822C73">
      <w:pPr>
        <w:rPr>
          <w:sz w:val="22"/>
          <w:szCs w:val="22"/>
          <w:lang w:val="en-CA"/>
        </w:rPr>
      </w:pPr>
    </w:p>
    <w:p w14:paraId="3B580878" w14:textId="3B49BB4C" w:rsidR="00DA2494" w:rsidRPr="00DA2494" w:rsidRDefault="00DA2494" w:rsidP="00822C73">
      <w:pPr>
        <w:rPr>
          <w:sz w:val="22"/>
          <w:szCs w:val="22"/>
          <w:lang w:val="en-CA"/>
        </w:rPr>
      </w:pPr>
      <w:r w:rsidRPr="00DA2494">
        <w:rPr>
          <w:sz w:val="22"/>
          <w:szCs w:val="22"/>
        </w:rPr>
        <w:t>Poetschke, T. 1984. Community dependence on fishing in the Atlantic provinces. The Canadian Journal of Regional Science. 7(2): 211-226.</w:t>
      </w:r>
    </w:p>
    <w:p w14:paraId="389DCAA8" w14:textId="77777777" w:rsidR="00822C73" w:rsidRPr="00DA2494" w:rsidRDefault="00822C73" w:rsidP="00822C73">
      <w:pPr>
        <w:rPr>
          <w:sz w:val="22"/>
          <w:szCs w:val="22"/>
          <w:lang w:val="en-CA"/>
        </w:rPr>
      </w:pPr>
    </w:p>
    <w:p w14:paraId="18745145" w14:textId="77777777" w:rsidR="00822C73" w:rsidRPr="00C02067" w:rsidRDefault="00822C73" w:rsidP="00822C73">
      <w:pPr>
        <w:rPr>
          <w:sz w:val="22"/>
          <w:szCs w:val="22"/>
          <w:lang w:val="en-CA"/>
        </w:rPr>
      </w:pPr>
      <w:r w:rsidRPr="00DA2494">
        <w:rPr>
          <w:sz w:val="22"/>
          <w:szCs w:val="22"/>
          <w:lang w:val="en-CA"/>
        </w:rPr>
        <w:t>Pohjolainen, P., Vinnari, M., Jokinen, P. 2014. Consumers’ perceived barriers to following a plant-based diet. British Food Journal. 117(</w:t>
      </w:r>
      <w:r w:rsidRPr="00C02067">
        <w:rPr>
          <w:sz w:val="22"/>
          <w:szCs w:val="22"/>
          <w:lang w:val="en-CA"/>
        </w:rPr>
        <w:t xml:space="preserve">3): 1150-1167. </w:t>
      </w:r>
    </w:p>
    <w:p w14:paraId="415E8D6C" w14:textId="77777777" w:rsidR="00822C73" w:rsidRPr="00C02067" w:rsidRDefault="00822C73" w:rsidP="00822C73">
      <w:pPr>
        <w:rPr>
          <w:sz w:val="22"/>
          <w:szCs w:val="22"/>
        </w:rPr>
      </w:pPr>
    </w:p>
    <w:p w14:paraId="63643B67" w14:textId="77777777" w:rsidR="00822C73" w:rsidRPr="00C02067" w:rsidRDefault="00822C73" w:rsidP="00822C73">
      <w:pPr>
        <w:rPr>
          <w:sz w:val="22"/>
          <w:szCs w:val="22"/>
          <w:lang w:val="en-CA"/>
        </w:rPr>
      </w:pPr>
      <w:r w:rsidRPr="00C02067">
        <w:rPr>
          <w:sz w:val="22"/>
          <w:szCs w:val="22"/>
          <w:lang w:val="en-CA"/>
        </w:rPr>
        <w:t xml:space="preserve">Pollard, J., Greenwood, D., Kirk, S., Cade, J. 2001. Lifestyle factors affecting fruit and vegetable consumption in the UK women’s cohort study. Appetite. 37: 71-79. </w:t>
      </w:r>
    </w:p>
    <w:p w14:paraId="1747D016" w14:textId="77777777" w:rsidR="00822C73" w:rsidRPr="00C02067" w:rsidRDefault="00822C73" w:rsidP="00822C73">
      <w:pPr>
        <w:rPr>
          <w:sz w:val="22"/>
          <w:szCs w:val="22"/>
        </w:rPr>
      </w:pPr>
    </w:p>
    <w:p w14:paraId="3906A486" w14:textId="77777777" w:rsidR="00822C73" w:rsidRPr="00C02067" w:rsidRDefault="00822C73" w:rsidP="00822C73">
      <w:pPr>
        <w:rPr>
          <w:sz w:val="22"/>
          <w:szCs w:val="22"/>
          <w:lang w:val="en-CA"/>
        </w:rPr>
      </w:pPr>
      <w:r w:rsidRPr="00C02067">
        <w:rPr>
          <w:sz w:val="22"/>
          <w:szCs w:val="22"/>
          <w:lang w:val="en-CA"/>
        </w:rPr>
        <w:t xml:space="preserve">Ponzio, E., Mazzarini, G., Gasperi, G., Bottoni, M.C., Vallorani, S. 2015. The vegetarian habit in Italy: Prevalence and characteristics of consumers. Ecology of Food and Nutrition. 54: 370-379. </w:t>
      </w:r>
    </w:p>
    <w:p w14:paraId="4EE27BED" w14:textId="77777777" w:rsidR="00822C73" w:rsidRPr="00C02067" w:rsidRDefault="00822C73" w:rsidP="00822C73">
      <w:pPr>
        <w:rPr>
          <w:sz w:val="22"/>
          <w:szCs w:val="22"/>
        </w:rPr>
      </w:pPr>
    </w:p>
    <w:p w14:paraId="61B9055E" w14:textId="77777777" w:rsidR="00822C73" w:rsidRPr="00C02067" w:rsidRDefault="00822C73" w:rsidP="00822C73">
      <w:pPr>
        <w:rPr>
          <w:sz w:val="22"/>
          <w:szCs w:val="22"/>
        </w:rPr>
      </w:pPr>
      <w:r w:rsidRPr="00C02067">
        <w:rPr>
          <w:sz w:val="22"/>
          <w:szCs w:val="22"/>
        </w:rPr>
        <w:t xml:space="preserve">Popkin, B.M. 2009. Reducing meat consumption has multiple benefits for the world’s health. Archives of Internal Medicine. 169(6): 543-545. </w:t>
      </w:r>
    </w:p>
    <w:p w14:paraId="120FD1ED" w14:textId="77777777" w:rsidR="00822C73" w:rsidRPr="00C02067" w:rsidRDefault="00822C73" w:rsidP="00822C73">
      <w:pPr>
        <w:rPr>
          <w:sz w:val="22"/>
          <w:szCs w:val="22"/>
        </w:rPr>
      </w:pPr>
    </w:p>
    <w:p w14:paraId="03F51E5C" w14:textId="77777777" w:rsidR="00822C73" w:rsidRPr="00C02067" w:rsidRDefault="00822C73" w:rsidP="00822C73">
      <w:pPr>
        <w:rPr>
          <w:sz w:val="22"/>
          <w:szCs w:val="22"/>
        </w:rPr>
      </w:pPr>
      <w:r w:rsidRPr="00C02067">
        <w:rPr>
          <w:sz w:val="22"/>
          <w:szCs w:val="22"/>
        </w:rPr>
        <w:t>Porter, J.R., Xie, L., Challinor, A.J., Cochrane, K., Howden, S.M., Iqbal, M.M., Lobell, D.B., Travasso, M.I. 2014. Food security and food production systems. In: Climate change 2014: Impacts, adaptation and vulnerability. Part A: Global and sectoral aspects. Contribution of Working Group II to the Fifth Assessment Report of the Intergovernmental Panel on Climate Change [Field, C.B., Barros, V.R., Dokken, D.J., Mach, K.J., Mastrendrea, M.D., Bilir, T.E., Chatterjee, M., Ebi, K.L., Estrada, Y.O., Genova, R.C., Girma, B., Kissel, E.S., Levy, A.N., MacCracken, S., Mastrandrea, P.R., White, L.L. (eds.)]. Cambridge University Press, Cambridge, United Kingdom and New York, NY, USA, pp. 485-533.</w:t>
      </w:r>
    </w:p>
    <w:p w14:paraId="6D9A57CE" w14:textId="77777777" w:rsidR="00822C73" w:rsidRPr="00C02067" w:rsidRDefault="00822C73" w:rsidP="00822C73">
      <w:pPr>
        <w:rPr>
          <w:sz w:val="22"/>
          <w:szCs w:val="22"/>
        </w:rPr>
      </w:pPr>
    </w:p>
    <w:p w14:paraId="5527765E" w14:textId="77777777" w:rsidR="00822C73" w:rsidRPr="00C02067" w:rsidRDefault="00822C73" w:rsidP="00822C73">
      <w:pPr>
        <w:rPr>
          <w:sz w:val="22"/>
          <w:szCs w:val="22"/>
        </w:rPr>
      </w:pPr>
      <w:r w:rsidRPr="00C02067">
        <w:rPr>
          <w:sz w:val="22"/>
          <w:szCs w:val="22"/>
        </w:rPr>
        <w:t>Potts, A., White, M. 2008. New Zealand Vegetarians: At odds with their nation. Society and Animals. 16: 336-353.</w:t>
      </w:r>
    </w:p>
    <w:p w14:paraId="65F4C9CA" w14:textId="77777777" w:rsidR="00822C73" w:rsidRPr="00C02067" w:rsidRDefault="00822C73" w:rsidP="00822C73">
      <w:pPr>
        <w:rPr>
          <w:sz w:val="22"/>
          <w:szCs w:val="22"/>
        </w:rPr>
      </w:pPr>
    </w:p>
    <w:p w14:paraId="7AEE3BD2" w14:textId="77777777" w:rsidR="00822C73" w:rsidRPr="00C02067" w:rsidRDefault="00822C73" w:rsidP="00822C73">
      <w:pPr>
        <w:rPr>
          <w:sz w:val="22"/>
          <w:szCs w:val="22"/>
        </w:rPr>
      </w:pPr>
      <w:r w:rsidRPr="00C02067">
        <w:rPr>
          <w:sz w:val="22"/>
          <w:szCs w:val="22"/>
        </w:rPr>
        <w:t>Ratnayake, W.M., L’Abbe, M.R., Mozaffarian, D. 2009. Nationwide product reformulations to reduce trans fatty acids in Canada: when trans fat goes out, what goes in? European Journal of Clinical Nutrition. 63: 808-811.</w:t>
      </w:r>
    </w:p>
    <w:p w14:paraId="2079E7A5" w14:textId="77777777" w:rsidR="00822C73" w:rsidRPr="00C02067" w:rsidRDefault="00822C73" w:rsidP="00822C73">
      <w:pPr>
        <w:rPr>
          <w:color w:val="000000" w:themeColor="text1"/>
          <w:sz w:val="22"/>
          <w:szCs w:val="22"/>
          <w:lang w:val="en-CA"/>
        </w:rPr>
      </w:pPr>
    </w:p>
    <w:p w14:paraId="7FB85E42" w14:textId="77777777" w:rsidR="00822C73" w:rsidRPr="00C02067" w:rsidRDefault="00822C73" w:rsidP="00822C73">
      <w:pPr>
        <w:rPr>
          <w:sz w:val="22"/>
          <w:szCs w:val="22"/>
        </w:rPr>
      </w:pPr>
      <w:r w:rsidRPr="00C02067">
        <w:rPr>
          <w:sz w:val="22"/>
          <w:szCs w:val="22"/>
        </w:rPr>
        <w:t xml:space="preserve">Reisch, L., Eberle, U., Lorek, S. 2013. Sustainable food consumption: an overview of contemporary issues and policies. Sustainability: Science, Practice &amp; Policy. 9(2): 7-25. </w:t>
      </w:r>
    </w:p>
    <w:p w14:paraId="5F050874" w14:textId="77777777" w:rsidR="00822C73" w:rsidRPr="00C02067" w:rsidRDefault="00822C73" w:rsidP="00822C73">
      <w:pPr>
        <w:rPr>
          <w:color w:val="000000" w:themeColor="text1"/>
          <w:sz w:val="22"/>
          <w:szCs w:val="22"/>
          <w:lang w:val="en-CA"/>
        </w:rPr>
      </w:pPr>
    </w:p>
    <w:p w14:paraId="5F223B5B"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 xml:space="preserve">Rejinders, L., Soret, S. 2003. Quantification of the environmental impact of different dietary protein choices. American Journal of Clinical Nutrition. 78: 6645-6685. </w:t>
      </w:r>
    </w:p>
    <w:p w14:paraId="3F4BFD82" w14:textId="77777777" w:rsidR="00822C73" w:rsidRPr="00C02067" w:rsidRDefault="00822C73" w:rsidP="00822C73">
      <w:pPr>
        <w:rPr>
          <w:sz w:val="22"/>
          <w:szCs w:val="22"/>
        </w:rPr>
      </w:pPr>
    </w:p>
    <w:p w14:paraId="614929D5" w14:textId="77777777" w:rsidR="00822C73" w:rsidRPr="00C02067" w:rsidRDefault="00822C73" w:rsidP="00822C73">
      <w:pPr>
        <w:rPr>
          <w:sz w:val="22"/>
          <w:szCs w:val="22"/>
        </w:rPr>
      </w:pPr>
      <w:r w:rsidRPr="00C02067">
        <w:rPr>
          <w:sz w:val="22"/>
          <w:szCs w:val="22"/>
        </w:rPr>
        <w:t xml:space="preserve">Rockström, J., Steffen, W., Noone, K., Persson, Å., Chapin III, F.S., Lambin, E.F., Lenton, T.M., Scheffer, M., Folke, C., Joachim, S., Nykvist, B., de Wit, C.A., Hughes, T., van der Leeuw, S., Rodhe, H., Sörlin, S., Snyder, P.K., Costanze, R., Svedin, U., Falkenmark, M., Kalberg, L., Corell, R.W., Fabry, V.J., Hansen, J., Walker, B., Liverman, D., Richardson, K., Crutzen, P., Foley, J.A. 2009. A safe operating space for humanity. Nature. 461: 472-475. </w:t>
      </w:r>
    </w:p>
    <w:p w14:paraId="4ED6C6C4" w14:textId="77777777" w:rsidR="00822C73" w:rsidRPr="00C02067" w:rsidRDefault="00822C73" w:rsidP="00822C73">
      <w:pPr>
        <w:rPr>
          <w:sz w:val="22"/>
          <w:szCs w:val="22"/>
        </w:rPr>
      </w:pPr>
    </w:p>
    <w:p w14:paraId="209426BF" w14:textId="77777777" w:rsidR="00822C73" w:rsidRPr="00C02067" w:rsidRDefault="00822C73" w:rsidP="00822C73">
      <w:pPr>
        <w:rPr>
          <w:sz w:val="22"/>
          <w:szCs w:val="22"/>
          <w:lang w:val="en-CA"/>
        </w:rPr>
      </w:pPr>
      <w:r w:rsidRPr="00C02067">
        <w:rPr>
          <w:sz w:val="22"/>
          <w:szCs w:val="22"/>
          <w:lang w:val="en-CA"/>
        </w:rPr>
        <w:t xml:space="preserve">Rothgerber, H. 2013. Real men don’t eat (vegetable) quiche: Masculinity and the justification of meat consumption. Psychology of Men &amp; Masculinity. 14(4): 363-375. </w:t>
      </w:r>
    </w:p>
    <w:p w14:paraId="6E9F232F" w14:textId="77777777" w:rsidR="00822C73" w:rsidRPr="00C02067" w:rsidRDefault="00822C73" w:rsidP="00822C73">
      <w:pPr>
        <w:rPr>
          <w:sz w:val="22"/>
          <w:szCs w:val="22"/>
        </w:rPr>
      </w:pPr>
    </w:p>
    <w:p w14:paraId="6A15ABF2" w14:textId="77777777" w:rsidR="00822C73" w:rsidRPr="00C02067" w:rsidRDefault="00822C73" w:rsidP="00822C73">
      <w:pPr>
        <w:rPr>
          <w:sz w:val="22"/>
          <w:szCs w:val="22"/>
        </w:rPr>
      </w:pPr>
      <w:r w:rsidRPr="00C02067">
        <w:rPr>
          <w:sz w:val="22"/>
          <w:szCs w:val="22"/>
        </w:rPr>
        <w:lastRenderedPageBreak/>
        <w:t>Rozin, P., Markwith, M., Stoess, C. 1997. Moralization and becoming a vegetarian: The transformation of preferences into values and the recruitment of disgust. Psychological Science. 8(2): 67-73.</w:t>
      </w:r>
    </w:p>
    <w:p w14:paraId="5C725614" w14:textId="77777777" w:rsidR="00822C73" w:rsidRPr="00C02067" w:rsidRDefault="00822C73" w:rsidP="00822C73">
      <w:pPr>
        <w:rPr>
          <w:sz w:val="22"/>
          <w:szCs w:val="22"/>
        </w:rPr>
      </w:pPr>
    </w:p>
    <w:p w14:paraId="295D1E13" w14:textId="77777777" w:rsidR="00822C73" w:rsidRPr="00C02067" w:rsidRDefault="00822C73" w:rsidP="00822C73">
      <w:pPr>
        <w:rPr>
          <w:sz w:val="22"/>
          <w:szCs w:val="22"/>
          <w:lang w:val="en-CA"/>
        </w:rPr>
      </w:pPr>
      <w:r w:rsidRPr="00C02067">
        <w:rPr>
          <w:sz w:val="22"/>
          <w:szCs w:val="22"/>
          <w:lang w:val="en-CA"/>
        </w:rPr>
        <w:t xml:space="preserve">Ruby, M.B. 2012. Vegetarianism. A blossoming field of study. Appetite. 58: 141-150. </w:t>
      </w:r>
    </w:p>
    <w:p w14:paraId="74578C73" w14:textId="77777777" w:rsidR="00822C73" w:rsidRPr="00C02067" w:rsidRDefault="00822C73" w:rsidP="00822C73">
      <w:pPr>
        <w:rPr>
          <w:color w:val="000000" w:themeColor="text1"/>
          <w:sz w:val="22"/>
          <w:szCs w:val="22"/>
          <w:lang w:val="en-CA"/>
        </w:rPr>
      </w:pPr>
    </w:p>
    <w:p w14:paraId="5DB417E7" w14:textId="77777777" w:rsidR="00822C73" w:rsidRPr="00C02067" w:rsidRDefault="00822C73" w:rsidP="00822C73">
      <w:pPr>
        <w:rPr>
          <w:sz w:val="22"/>
          <w:szCs w:val="22"/>
          <w:lang w:val="en-CA"/>
        </w:rPr>
      </w:pPr>
      <w:r w:rsidRPr="00C02067">
        <w:rPr>
          <w:sz w:val="22"/>
          <w:szCs w:val="22"/>
          <w:lang w:val="en-CA"/>
        </w:rPr>
        <w:t xml:space="preserve">Ruby, M.B., Alvarenga, M.S., Rozin, P., Kirby, T.A., Richer, E., Rutsztein, G. 2016. Attitudes toward beef and vegetarians in Argentina, Brazil, France, and the USA. Appetite. 96: 546-554. </w:t>
      </w:r>
    </w:p>
    <w:p w14:paraId="6105EA22" w14:textId="77777777" w:rsidR="00822C73" w:rsidRPr="00C02067" w:rsidRDefault="00822C73" w:rsidP="00822C73">
      <w:pPr>
        <w:rPr>
          <w:sz w:val="22"/>
          <w:szCs w:val="22"/>
          <w:lang w:val="en-CA"/>
        </w:rPr>
      </w:pPr>
    </w:p>
    <w:p w14:paraId="3AF405CD" w14:textId="77777777" w:rsidR="00822C73" w:rsidRPr="00C02067" w:rsidRDefault="00822C73" w:rsidP="00822C73">
      <w:pPr>
        <w:rPr>
          <w:sz w:val="22"/>
          <w:szCs w:val="22"/>
          <w:lang w:val="en-CA"/>
        </w:rPr>
      </w:pPr>
      <w:r w:rsidRPr="00C02067">
        <w:rPr>
          <w:sz w:val="22"/>
          <w:szCs w:val="22"/>
          <w:lang w:val="en-CA"/>
        </w:rPr>
        <w:t xml:space="preserve">Ruby, M.B., Heine, S.J. 2011. Meat, morals, and masculinity. Appetite. 56: 447-450. </w:t>
      </w:r>
    </w:p>
    <w:p w14:paraId="3E8F4F15" w14:textId="77777777" w:rsidR="00822C73" w:rsidRPr="00C02067" w:rsidRDefault="00822C73" w:rsidP="00822C73">
      <w:pPr>
        <w:rPr>
          <w:sz w:val="22"/>
          <w:szCs w:val="22"/>
          <w:lang w:val="en-CA"/>
        </w:rPr>
      </w:pPr>
    </w:p>
    <w:p w14:paraId="1AD9A8A8" w14:textId="77777777" w:rsidR="00822C73" w:rsidRPr="00C02067" w:rsidRDefault="00822C73" w:rsidP="00822C73">
      <w:pPr>
        <w:rPr>
          <w:sz w:val="22"/>
          <w:szCs w:val="22"/>
          <w:lang w:val="en-CA"/>
        </w:rPr>
      </w:pPr>
      <w:r w:rsidRPr="00C02067">
        <w:rPr>
          <w:sz w:val="22"/>
          <w:szCs w:val="22"/>
          <w:lang w:val="en-CA"/>
        </w:rPr>
        <w:t xml:space="preserve">Ruby, M.B., Heine, S.J., Kamble, S., Cheng, T.K., Waddar, M. 2013. Compassion and contamination. Cultural differences in vegetarianism. Appetite. 71: 340-348. </w:t>
      </w:r>
    </w:p>
    <w:p w14:paraId="2B27E835" w14:textId="77777777" w:rsidR="00822C73" w:rsidRPr="00C02067" w:rsidRDefault="00822C73" w:rsidP="00822C73">
      <w:pPr>
        <w:rPr>
          <w:color w:val="000000" w:themeColor="text1"/>
          <w:sz w:val="22"/>
          <w:szCs w:val="22"/>
          <w:lang w:val="en-CA"/>
        </w:rPr>
      </w:pPr>
    </w:p>
    <w:p w14:paraId="3504156B"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 xml:space="preserve">Ryan, M.R., Deci, E. 2000. Self-determination theory and facilitation of intrinsic motivation. American Psychologist. 55(1): 68-78. </w:t>
      </w:r>
    </w:p>
    <w:p w14:paraId="78B66D61" w14:textId="77777777" w:rsidR="00822C73" w:rsidRPr="00C02067" w:rsidRDefault="00822C73" w:rsidP="00822C73">
      <w:pPr>
        <w:rPr>
          <w:color w:val="000000" w:themeColor="text1"/>
          <w:sz w:val="22"/>
          <w:szCs w:val="22"/>
          <w:lang w:val="en-CA"/>
        </w:rPr>
      </w:pPr>
    </w:p>
    <w:p w14:paraId="098F1555"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 xml:space="preserve">Sabaté, J. 2001. Vegetarian nutrition. The CRC Press Modern Nutrition Series. CRC Press. 576 pages. </w:t>
      </w:r>
    </w:p>
    <w:p w14:paraId="5132115B" w14:textId="77777777" w:rsidR="00822C73" w:rsidRPr="00C02067" w:rsidRDefault="00822C73" w:rsidP="00822C73">
      <w:pPr>
        <w:rPr>
          <w:sz w:val="22"/>
          <w:szCs w:val="22"/>
        </w:rPr>
      </w:pPr>
    </w:p>
    <w:p w14:paraId="08D0A1BC" w14:textId="77777777" w:rsidR="00822C73" w:rsidRPr="00C02067" w:rsidRDefault="00822C73" w:rsidP="00822C73">
      <w:pPr>
        <w:rPr>
          <w:sz w:val="22"/>
          <w:szCs w:val="22"/>
        </w:rPr>
      </w:pPr>
      <w:r w:rsidRPr="00C02067">
        <w:rPr>
          <w:sz w:val="22"/>
          <w:szCs w:val="22"/>
        </w:rPr>
        <w:t xml:space="preserve">Sabaté, J., Rajaram, S. 2000. Health benefits of a vegetarian diet. Nutrition. 16(7): 531-533. </w:t>
      </w:r>
    </w:p>
    <w:p w14:paraId="46D95C53" w14:textId="77777777" w:rsidR="00822C73" w:rsidRPr="00C02067" w:rsidRDefault="00822C73" w:rsidP="00822C73">
      <w:pPr>
        <w:rPr>
          <w:sz w:val="22"/>
          <w:szCs w:val="22"/>
        </w:rPr>
      </w:pPr>
    </w:p>
    <w:p w14:paraId="1BB7AA61" w14:textId="77777777" w:rsidR="00822C73" w:rsidRPr="00C02067" w:rsidRDefault="00822C73" w:rsidP="00822C73">
      <w:pPr>
        <w:rPr>
          <w:sz w:val="22"/>
          <w:szCs w:val="22"/>
        </w:rPr>
      </w:pPr>
      <w:r w:rsidRPr="00C02067">
        <w:rPr>
          <w:sz w:val="22"/>
          <w:szCs w:val="22"/>
        </w:rPr>
        <w:t xml:space="preserve">Sabaté, J., Soret, S. 2014. Sustainability of plant-based diets: back to the future. The American Journal of Clinical Nutrition. 100: 476S-482S. </w:t>
      </w:r>
    </w:p>
    <w:p w14:paraId="701016FD" w14:textId="77777777" w:rsidR="00822C73" w:rsidRPr="00C02067" w:rsidRDefault="00822C73" w:rsidP="00822C73">
      <w:pPr>
        <w:rPr>
          <w:sz w:val="22"/>
          <w:szCs w:val="22"/>
        </w:rPr>
      </w:pPr>
    </w:p>
    <w:p w14:paraId="344EDA40" w14:textId="77777777" w:rsidR="00822C73" w:rsidRPr="00C02067" w:rsidRDefault="00822C73" w:rsidP="00822C73">
      <w:pPr>
        <w:pStyle w:val="CommentText"/>
        <w:rPr>
          <w:sz w:val="22"/>
          <w:szCs w:val="22"/>
        </w:rPr>
      </w:pPr>
      <w:r w:rsidRPr="00C02067">
        <w:rPr>
          <w:sz w:val="22"/>
          <w:szCs w:val="22"/>
        </w:rPr>
        <w:t xml:space="preserve">Sadalla, E., Burroughs, J. 1981. Profiles on eating: Sexy vegetarians and other diet-based stereotypes. Psychology Today. 15: 51-57. </w:t>
      </w:r>
    </w:p>
    <w:p w14:paraId="5017AA48" w14:textId="77777777" w:rsidR="00822C73" w:rsidRPr="00C02067" w:rsidRDefault="00822C73" w:rsidP="00822C73">
      <w:pPr>
        <w:rPr>
          <w:sz w:val="22"/>
          <w:szCs w:val="22"/>
        </w:rPr>
      </w:pPr>
    </w:p>
    <w:p w14:paraId="36EC6E9D" w14:textId="77777777" w:rsidR="00822C73" w:rsidRPr="00C02067" w:rsidRDefault="00822C73" w:rsidP="00822C73">
      <w:pPr>
        <w:rPr>
          <w:sz w:val="22"/>
          <w:szCs w:val="22"/>
        </w:rPr>
      </w:pPr>
      <w:r w:rsidRPr="00C02067">
        <w:rPr>
          <w:sz w:val="22"/>
          <w:szCs w:val="22"/>
        </w:rPr>
        <w:t xml:space="preserve">Salonen, A.O., Helne, T.T. 2012. Vegetarian diets: A way towards a sustainable society. Journal of Sustainable Development. 5(6): 10-24. </w:t>
      </w:r>
    </w:p>
    <w:p w14:paraId="275C4A70" w14:textId="77777777" w:rsidR="00822C73" w:rsidRPr="00C02067" w:rsidRDefault="00822C73" w:rsidP="00822C73">
      <w:pPr>
        <w:rPr>
          <w:sz w:val="22"/>
          <w:szCs w:val="22"/>
        </w:rPr>
      </w:pPr>
    </w:p>
    <w:p w14:paraId="1AA07684" w14:textId="77777777" w:rsidR="00822C73" w:rsidRPr="00C02067" w:rsidRDefault="00822C73" w:rsidP="00822C73">
      <w:pPr>
        <w:rPr>
          <w:sz w:val="22"/>
          <w:szCs w:val="22"/>
        </w:rPr>
      </w:pPr>
      <w:r w:rsidRPr="00C02067">
        <w:rPr>
          <w:sz w:val="22"/>
          <w:szCs w:val="22"/>
        </w:rPr>
        <w:t>Saxena, A.D. 2011. The vegetarian imperative. Baltimore, MD: The John Hopkins University Press.</w:t>
      </w:r>
    </w:p>
    <w:p w14:paraId="18EF78E7" w14:textId="77777777" w:rsidR="00822C73" w:rsidRPr="00C02067" w:rsidRDefault="00822C73" w:rsidP="00822C73">
      <w:pPr>
        <w:rPr>
          <w:sz w:val="22"/>
          <w:szCs w:val="22"/>
        </w:rPr>
      </w:pPr>
    </w:p>
    <w:p w14:paraId="35FDEC51" w14:textId="77777777" w:rsidR="00822C73" w:rsidRPr="00C02067" w:rsidRDefault="00822C73" w:rsidP="00822C73">
      <w:pPr>
        <w:rPr>
          <w:sz w:val="22"/>
          <w:szCs w:val="22"/>
        </w:rPr>
      </w:pPr>
      <w:r w:rsidRPr="00C02067">
        <w:rPr>
          <w:sz w:val="22"/>
          <w:szCs w:val="22"/>
        </w:rPr>
        <w:t>Scarborough, P., Appleby, P.N., Mizdrak, A., Briggs, A.D.M., Travis, R.C., Bradbury, K.E., Key, T.J. 2014. Dietary greenhouse gas emissions of meat-eaters, fish-eaters, vegetarians and vegans in the UK. Climatic Change. 125: 179-192.</w:t>
      </w:r>
    </w:p>
    <w:p w14:paraId="695FB451" w14:textId="77777777" w:rsidR="00822C73" w:rsidRPr="00C02067" w:rsidRDefault="00822C73" w:rsidP="00822C73">
      <w:pPr>
        <w:rPr>
          <w:sz w:val="22"/>
          <w:szCs w:val="22"/>
        </w:rPr>
      </w:pPr>
    </w:p>
    <w:p w14:paraId="17957FEA" w14:textId="77777777" w:rsidR="00822C73" w:rsidRPr="00C02067" w:rsidRDefault="00822C73" w:rsidP="00822C73">
      <w:pPr>
        <w:rPr>
          <w:sz w:val="22"/>
          <w:szCs w:val="22"/>
          <w:lang w:val="en-CA"/>
        </w:rPr>
      </w:pPr>
      <w:r w:rsidRPr="00C02067">
        <w:rPr>
          <w:sz w:val="22"/>
          <w:szCs w:val="22"/>
          <w:lang w:val="en-CA"/>
        </w:rPr>
        <w:t xml:space="preserve">Schyver, T., Smith, C. 2005. Reported attitudes and beliefs toward soy food consumption of soy consumers versus nonconsumers in natural foods or mainstream grocery stores. Journal of Nutrition Education and Behaviour. 37: 292-299. </w:t>
      </w:r>
    </w:p>
    <w:p w14:paraId="5D58EA7B" w14:textId="77777777" w:rsidR="00822C73" w:rsidRPr="00C02067" w:rsidRDefault="00822C73" w:rsidP="00822C73">
      <w:pPr>
        <w:rPr>
          <w:sz w:val="22"/>
          <w:szCs w:val="22"/>
        </w:rPr>
      </w:pPr>
    </w:p>
    <w:p w14:paraId="37284C8C" w14:textId="77777777" w:rsidR="00822C73" w:rsidRPr="00C02067" w:rsidRDefault="00822C73" w:rsidP="00822C73">
      <w:pPr>
        <w:rPr>
          <w:sz w:val="22"/>
          <w:szCs w:val="22"/>
          <w:lang w:val="en-CA"/>
        </w:rPr>
      </w:pPr>
      <w:r w:rsidRPr="00C02067">
        <w:rPr>
          <w:sz w:val="22"/>
          <w:szCs w:val="22"/>
          <w:lang w:val="en-CA"/>
        </w:rPr>
        <w:t xml:space="preserve">Seyfang, G. 2005. Shopping for sustainability: Can sustainable consumption promote ecological citizenship? Environmental Politics. 14(2): 290-306. </w:t>
      </w:r>
    </w:p>
    <w:p w14:paraId="200D64DD" w14:textId="77777777" w:rsidR="00822C73" w:rsidRPr="00C02067" w:rsidRDefault="00822C73" w:rsidP="00822C73">
      <w:pPr>
        <w:rPr>
          <w:sz w:val="22"/>
          <w:szCs w:val="22"/>
        </w:rPr>
      </w:pPr>
    </w:p>
    <w:p w14:paraId="3CE32922" w14:textId="77777777" w:rsidR="00822C73" w:rsidRPr="00C02067" w:rsidRDefault="00822C73" w:rsidP="00822C73">
      <w:pPr>
        <w:rPr>
          <w:sz w:val="22"/>
          <w:szCs w:val="22"/>
          <w:lang w:val="en-CA"/>
        </w:rPr>
      </w:pPr>
      <w:r w:rsidRPr="00C02067">
        <w:rPr>
          <w:sz w:val="22"/>
          <w:szCs w:val="22"/>
          <w:lang w:val="en-CA"/>
        </w:rPr>
        <w:t>Seyfang, G., Smith, A. 2007. Grassroots innovations for sustainable development: Towards a new research and policy agenda. Environmental Politics. 16(4): 584-603.</w:t>
      </w:r>
    </w:p>
    <w:p w14:paraId="71ADD5B0" w14:textId="77777777" w:rsidR="00822C73" w:rsidRPr="00C02067" w:rsidRDefault="00822C73" w:rsidP="00822C73">
      <w:pPr>
        <w:rPr>
          <w:sz w:val="22"/>
          <w:szCs w:val="22"/>
        </w:rPr>
      </w:pPr>
    </w:p>
    <w:p w14:paraId="34EBC70F" w14:textId="62DD2FAB" w:rsidR="00822C73" w:rsidRDefault="00822C73" w:rsidP="00822C73">
      <w:pPr>
        <w:rPr>
          <w:sz w:val="22"/>
          <w:szCs w:val="22"/>
        </w:rPr>
      </w:pPr>
      <w:r w:rsidRPr="00C02067">
        <w:rPr>
          <w:sz w:val="22"/>
          <w:szCs w:val="22"/>
        </w:rPr>
        <w:t>Siergist, M., Visschers, V.H.M., Hartmann, C. 2015. Factors influencing changes in sustainability perception of various food behavio</w:t>
      </w:r>
      <w:r w:rsidR="004D5563">
        <w:rPr>
          <w:sz w:val="22"/>
          <w:szCs w:val="22"/>
        </w:rPr>
        <w:t>u</w:t>
      </w:r>
      <w:r w:rsidRPr="00C02067">
        <w:rPr>
          <w:sz w:val="22"/>
          <w:szCs w:val="22"/>
        </w:rPr>
        <w:t xml:space="preserve">rs: Results of a longitudinal study. Food Quality and Preference. 46: 33-39. </w:t>
      </w:r>
    </w:p>
    <w:p w14:paraId="544069AF" w14:textId="77777777" w:rsidR="00822C73" w:rsidRDefault="00822C73" w:rsidP="00822C73">
      <w:pPr>
        <w:rPr>
          <w:sz w:val="22"/>
          <w:szCs w:val="22"/>
        </w:rPr>
      </w:pPr>
    </w:p>
    <w:p w14:paraId="4623333E" w14:textId="77777777" w:rsidR="00822C73" w:rsidRPr="00C02067" w:rsidRDefault="00822C73" w:rsidP="00822C73">
      <w:pPr>
        <w:rPr>
          <w:sz w:val="22"/>
          <w:szCs w:val="22"/>
        </w:rPr>
      </w:pPr>
      <w:r>
        <w:rPr>
          <w:sz w:val="22"/>
          <w:szCs w:val="22"/>
        </w:rPr>
        <w:t xml:space="preserve">Silva, M.N., Marques, M.M., Teixeira, P.J. 2014. Testing theory in practice: The example of self-determination theory-based interventions. The European Health Psychologist. 16(5): 171-180. </w:t>
      </w:r>
    </w:p>
    <w:p w14:paraId="4F71B51A" w14:textId="77777777" w:rsidR="00822C73" w:rsidRPr="00C02067" w:rsidRDefault="00822C73" w:rsidP="00822C73">
      <w:pPr>
        <w:rPr>
          <w:sz w:val="22"/>
          <w:szCs w:val="22"/>
        </w:rPr>
      </w:pPr>
    </w:p>
    <w:p w14:paraId="583D8FA5" w14:textId="77777777" w:rsidR="00822C73" w:rsidRPr="00F502DD" w:rsidRDefault="00822C73" w:rsidP="00822C73">
      <w:pPr>
        <w:rPr>
          <w:sz w:val="22"/>
          <w:szCs w:val="22"/>
          <w:lang w:val="fr-CA"/>
        </w:rPr>
      </w:pPr>
      <w:r>
        <w:rPr>
          <w:sz w:val="22"/>
          <w:szCs w:val="22"/>
          <w:lang w:val="en-CA"/>
        </w:rPr>
        <w:t xml:space="preserve">Simopoulos, A.P., Fargeman, O., Bourner, P.G. 2011. Action plan for a healthy agriculture, healthy nutrition, healthy people. </w:t>
      </w:r>
      <w:r w:rsidRPr="00F502DD">
        <w:rPr>
          <w:sz w:val="22"/>
          <w:szCs w:val="22"/>
          <w:lang w:val="fr-CA"/>
        </w:rPr>
        <w:t xml:space="preserve">Journal of Nutrigenet. Nutrigen. 4: 65-68. </w:t>
      </w:r>
    </w:p>
    <w:p w14:paraId="4CBC87AE" w14:textId="77777777" w:rsidR="00822C73" w:rsidRPr="00F502DD" w:rsidRDefault="00822C73" w:rsidP="00822C73">
      <w:pPr>
        <w:rPr>
          <w:sz w:val="22"/>
          <w:szCs w:val="22"/>
          <w:lang w:val="fr-CA"/>
        </w:rPr>
      </w:pPr>
    </w:p>
    <w:p w14:paraId="77ADF6C6" w14:textId="77777777" w:rsidR="00822C73" w:rsidRPr="00C02067" w:rsidRDefault="00822C73" w:rsidP="00822C73">
      <w:pPr>
        <w:rPr>
          <w:sz w:val="22"/>
          <w:szCs w:val="22"/>
          <w:lang w:val="en-CA"/>
        </w:rPr>
      </w:pPr>
      <w:r w:rsidRPr="00F502DD">
        <w:rPr>
          <w:sz w:val="22"/>
          <w:szCs w:val="22"/>
          <w:lang w:val="fr-CA"/>
        </w:rPr>
        <w:t xml:space="preserve">Soldateli, B., Vigo, A., Glugliani, E.R.J. 2016. </w:t>
      </w:r>
      <w:r w:rsidRPr="00C02067">
        <w:rPr>
          <w:sz w:val="22"/>
          <w:szCs w:val="22"/>
          <w:lang w:val="en-CA"/>
        </w:rPr>
        <w:t xml:space="preserve">Effect of pattern and duration of breastfeeding on the consumption of fruits and vegetables among preschool children. PLoS One. 11(2): e0148357. doi: 10.137/journal.pone.0148357. </w:t>
      </w:r>
    </w:p>
    <w:p w14:paraId="67E0FE97" w14:textId="77777777" w:rsidR="00822C73" w:rsidRPr="00C02067" w:rsidRDefault="00822C73" w:rsidP="00822C73">
      <w:pPr>
        <w:rPr>
          <w:sz w:val="22"/>
          <w:szCs w:val="22"/>
        </w:rPr>
      </w:pPr>
    </w:p>
    <w:p w14:paraId="3D93E004" w14:textId="77777777" w:rsidR="00822C73" w:rsidRPr="00C02067" w:rsidRDefault="00822C73" w:rsidP="00822C73">
      <w:pPr>
        <w:rPr>
          <w:sz w:val="22"/>
          <w:szCs w:val="22"/>
        </w:rPr>
      </w:pPr>
      <w:r w:rsidRPr="00C02067">
        <w:rPr>
          <w:sz w:val="22"/>
          <w:szCs w:val="22"/>
        </w:rPr>
        <w:t xml:space="preserve">Soloman, S., Qin, D., Manning, M., Chen, Z., Marquis, M., Averyt, K.B., Tignor, M., Miller, H.L. 2007. Global warming potentials and other metrics for comparing different emissions. In: Contribution of Working Group I to the Fourth Assessment Report of the Intergovernmental Panel on Climate Change, 2007. IPCC (Intergovernmental Panel on Climate Change). </w:t>
      </w:r>
    </w:p>
    <w:p w14:paraId="6D05C846" w14:textId="77777777" w:rsidR="00822C73" w:rsidRPr="00C02067" w:rsidRDefault="00822C73" w:rsidP="00822C73">
      <w:pPr>
        <w:rPr>
          <w:sz w:val="22"/>
          <w:szCs w:val="22"/>
        </w:rPr>
      </w:pPr>
    </w:p>
    <w:p w14:paraId="11E128EF" w14:textId="77777777" w:rsidR="00822C73" w:rsidRPr="00C02067" w:rsidRDefault="00822C73" w:rsidP="00822C73">
      <w:pPr>
        <w:rPr>
          <w:sz w:val="22"/>
          <w:szCs w:val="22"/>
          <w:lang w:val="en-CA"/>
        </w:rPr>
      </w:pPr>
      <w:r w:rsidRPr="00C02067">
        <w:rPr>
          <w:sz w:val="22"/>
          <w:szCs w:val="22"/>
          <w:lang w:val="en-CA"/>
        </w:rPr>
        <w:t>Sonntag, D., Schnieder, S., Mdege, N., Ali, S., Schmidt. 2015. Beyond food promotion: A systematic review on the influence of the food industry on obesity-related dietary behaviour among children. Nutrients. 7: 8565-8576.</w:t>
      </w:r>
    </w:p>
    <w:p w14:paraId="05EC03E9" w14:textId="77777777" w:rsidR="00822C73" w:rsidRPr="00C02067" w:rsidRDefault="00822C73" w:rsidP="00822C73">
      <w:pPr>
        <w:rPr>
          <w:sz w:val="22"/>
          <w:szCs w:val="22"/>
        </w:rPr>
      </w:pPr>
    </w:p>
    <w:p w14:paraId="4A5EC621" w14:textId="77777777" w:rsidR="00822C73" w:rsidRPr="00C02067" w:rsidRDefault="00822C73" w:rsidP="00822C73">
      <w:pPr>
        <w:rPr>
          <w:sz w:val="22"/>
          <w:szCs w:val="22"/>
        </w:rPr>
      </w:pPr>
      <w:r w:rsidRPr="00C02067">
        <w:rPr>
          <w:sz w:val="22"/>
          <w:szCs w:val="22"/>
        </w:rPr>
        <w:t>Soret, S., Mejia, A., Batech, M., Jaceldo-Siegl, K., Harwatt, H., Sabaté, J. 2014. Climate change mitigation and health effects of varied dietary patterns in real-life settings throughout North America. American Journal of Clinical Nutrition. 100(suppl): 490S-495S.</w:t>
      </w:r>
    </w:p>
    <w:p w14:paraId="30E3BA94" w14:textId="77777777" w:rsidR="00822C73" w:rsidRPr="00C02067" w:rsidRDefault="00822C73" w:rsidP="00822C73">
      <w:pPr>
        <w:rPr>
          <w:sz w:val="22"/>
          <w:szCs w:val="22"/>
        </w:rPr>
      </w:pPr>
    </w:p>
    <w:p w14:paraId="2B798A65" w14:textId="77777777" w:rsidR="00822C73" w:rsidRPr="00C02067" w:rsidRDefault="00822C73" w:rsidP="00822C73">
      <w:pPr>
        <w:rPr>
          <w:sz w:val="22"/>
          <w:szCs w:val="22"/>
          <w:lang w:val="en-CA"/>
        </w:rPr>
      </w:pPr>
      <w:r w:rsidRPr="00C02067">
        <w:rPr>
          <w:sz w:val="22"/>
          <w:szCs w:val="22"/>
          <w:lang w:val="en-CA"/>
        </w:rPr>
        <w:t>Spaargaren, G. 2003. Sustainable consumption: A theoretical and environmental policy perspective. Society and Natural Resources. 16: 687-701.</w:t>
      </w:r>
    </w:p>
    <w:p w14:paraId="70BF1B3B" w14:textId="77777777" w:rsidR="00822C73" w:rsidRPr="00C02067" w:rsidRDefault="00822C73" w:rsidP="00822C73">
      <w:pPr>
        <w:pStyle w:val="CommentText"/>
        <w:rPr>
          <w:sz w:val="22"/>
          <w:szCs w:val="22"/>
        </w:rPr>
      </w:pPr>
    </w:p>
    <w:p w14:paraId="6E849EC4" w14:textId="77777777" w:rsidR="00822C73" w:rsidRPr="00C02067" w:rsidRDefault="00822C73" w:rsidP="00822C73">
      <w:pPr>
        <w:pStyle w:val="CommentText"/>
        <w:rPr>
          <w:sz w:val="22"/>
          <w:szCs w:val="22"/>
        </w:rPr>
      </w:pPr>
      <w:r w:rsidRPr="00C02067">
        <w:rPr>
          <w:sz w:val="22"/>
          <w:szCs w:val="22"/>
        </w:rPr>
        <w:t xml:space="preserve">Spence, M. 1973. Job market signaling. The Quarterly Journal of Economics. 87(3): 355-374. </w:t>
      </w:r>
    </w:p>
    <w:p w14:paraId="70CBBA9D" w14:textId="77777777" w:rsidR="00822C73" w:rsidRPr="00C02067" w:rsidRDefault="00822C73" w:rsidP="00822C73">
      <w:pPr>
        <w:rPr>
          <w:sz w:val="22"/>
          <w:szCs w:val="22"/>
        </w:rPr>
      </w:pPr>
    </w:p>
    <w:p w14:paraId="52C30B26"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Springmann, M., Godfray, H.C.J., Rayner, M., Scarborough, P. 2016. Analysis and valuation of the health and climate change cobenefits of dietary change. PNAS. 113(15): 4146-4151.</w:t>
      </w:r>
    </w:p>
    <w:p w14:paraId="1F8FA339" w14:textId="77777777" w:rsidR="00822C73" w:rsidRPr="00C02067" w:rsidRDefault="00822C73" w:rsidP="00822C73">
      <w:pPr>
        <w:rPr>
          <w:sz w:val="22"/>
          <w:szCs w:val="22"/>
        </w:rPr>
      </w:pPr>
    </w:p>
    <w:p w14:paraId="64758331" w14:textId="77777777" w:rsidR="00822C73" w:rsidRPr="00C02067" w:rsidRDefault="00822C73" w:rsidP="00822C73">
      <w:pPr>
        <w:rPr>
          <w:sz w:val="22"/>
          <w:szCs w:val="22"/>
        </w:rPr>
      </w:pPr>
      <w:r w:rsidRPr="00C02067">
        <w:rPr>
          <w:sz w:val="22"/>
          <w:szCs w:val="22"/>
        </w:rPr>
        <w:t>Statistics Canada. 2011. Energy and greenhouse gas intensity by industry, Canada, 2004: Primary sector. In Human Activity and the Environment: Annual Statistics. Statistics Canada. Catalogue no. 16-201-X.</w:t>
      </w:r>
    </w:p>
    <w:p w14:paraId="0B36E591" w14:textId="77777777" w:rsidR="00822C73" w:rsidRPr="00C02067" w:rsidRDefault="00822C73" w:rsidP="00822C73">
      <w:pPr>
        <w:rPr>
          <w:sz w:val="22"/>
          <w:szCs w:val="22"/>
        </w:rPr>
      </w:pPr>
    </w:p>
    <w:p w14:paraId="54119B54" w14:textId="77777777" w:rsidR="00822C73" w:rsidRPr="00C02067" w:rsidRDefault="00822C73" w:rsidP="00822C73">
      <w:pPr>
        <w:rPr>
          <w:sz w:val="22"/>
          <w:szCs w:val="22"/>
        </w:rPr>
      </w:pPr>
      <w:r w:rsidRPr="00C02067">
        <w:rPr>
          <w:sz w:val="22"/>
          <w:szCs w:val="22"/>
        </w:rPr>
        <w:t>Steffen, W., Richardson, K., Rockström, J., Cornell, S.E., Fetzer, I., Bennett, E.M., Biggs, R., Carpenter, S.R., de Vries, W., de Wit, C.A., Folke, C., Gerten, D., Heinke, J., Mace, G.M., Persson, L.M., Ramanathan, V., Reyers, B., Sörlin, S. Planetary boundaries: Guiding human development on a changing planet. Science. 347(6223): 1259855-1-10.</w:t>
      </w:r>
    </w:p>
    <w:p w14:paraId="4280D370" w14:textId="77777777" w:rsidR="00822C73" w:rsidRPr="00C02067" w:rsidRDefault="00822C73" w:rsidP="00822C73">
      <w:pPr>
        <w:rPr>
          <w:sz w:val="22"/>
          <w:szCs w:val="22"/>
        </w:rPr>
      </w:pPr>
    </w:p>
    <w:p w14:paraId="633C3512" w14:textId="77777777" w:rsidR="00822C73" w:rsidRPr="00C02067" w:rsidRDefault="00822C73" w:rsidP="00822C73">
      <w:pPr>
        <w:rPr>
          <w:sz w:val="22"/>
          <w:szCs w:val="22"/>
        </w:rPr>
      </w:pPr>
      <w:r w:rsidRPr="00C02067">
        <w:rPr>
          <w:sz w:val="22"/>
          <w:szCs w:val="22"/>
        </w:rPr>
        <w:t>Steinfeld, H., Gerber, P., Wassenaar, T., Castel, V., Rosales, M., de Haan, C. 2006. Livestock’s long shadow: Environmental issues and options. Food and Agriculture Organization (FAO) of the United Nations, Rome, Italy. ISBN 978-92-5-105571-7.</w:t>
      </w:r>
    </w:p>
    <w:p w14:paraId="17CCD506" w14:textId="77777777" w:rsidR="00822C73" w:rsidRPr="00C02067" w:rsidRDefault="00822C73" w:rsidP="00822C73">
      <w:pPr>
        <w:rPr>
          <w:sz w:val="22"/>
          <w:szCs w:val="22"/>
        </w:rPr>
      </w:pPr>
    </w:p>
    <w:p w14:paraId="281506B8" w14:textId="77777777" w:rsidR="00822C73" w:rsidRPr="00C02067" w:rsidRDefault="00822C73" w:rsidP="00822C73">
      <w:pPr>
        <w:rPr>
          <w:sz w:val="22"/>
          <w:szCs w:val="22"/>
        </w:rPr>
      </w:pPr>
      <w:r w:rsidRPr="00C02067">
        <w:rPr>
          <w:sz w:val="22"/>
          <w:szCs w:val="22"/>
        </w:rPr>
        <w:t xml:space="preserve">Stehfest, E., Bouwman, L., van Vuuren, D.P., den Elzen, M.G.J., Eickhout, B., Kabat, P. 2009. Climate benefits of changing diet. Climate Change. 95: 83-102. </w:t>
      </w:r>
    </w:p>
    <w:p w14:paraId="49AF9BE2" w14:textId="77777777" w:rsidR="00822C73" w:rsidRPr="00C02067" w:rsidRDefault="00822C73" w:rsidP="00822C73">
      <w:pPr>
        <w:rPr>
          <w:sz w:val="22"/>
          <w:szCs w:val="22"/>
        </w:rPr>
      </w:pPr>
    </w:p>
    <w:p w14:paraId="70FBFB2D" w14:textId="5A7AAC21" w:rsidR="00822C73" w:rsidRPr="00C02067" w:rsidRDefault="00822C73" w:rsidP="00822C73">
      <w:pPr>
        <w:rPr>
          <w:sz w:val="22"/>
          <w:szCs w:val="22"/>
        </w:rPr>
      </w:pPr>
      <w:r w:rsidRPr="00C02067">
        <w:rPr>
          <w:sz w:val="22"/>
          <w:szCs w:val="22"/>
        </w:rPr>
        <w:t>Stern, P.C. 1999. Information, incentives, and proenvironmental consumer behavio</w:t>
      </w:r>
      <w:r w:rsidR="004D5563">
        <w:rPr>
          <w:sz w:val="22"/>
          <w:szCs w:val="22"/>
        </w:rPr>
        <w:t>u</w:t>
      </w:r>
      <w:r w:rsidRPr="00C02067">
        <w:rPr>
          <w:sz w:val="22"/>
          <w:szCs w:val="22"/>
        </w:rPr>
        <w:t>r. Journal of Consumer Policy. 22: 461-478.</w:t>
      </w:r>
    </w:p>
    <w:p w14:paraId="0DDFD188" w14:textId="77777777" w:rsidR="00822C73" w:rsidRPr="00C02067" w:rsidRDefault="00822C73" w:rsidP="00822C73">
      <w:pPr>
        <w:rPr>
          <w:sz w:val="22"/>
          <w:szCs w:val="22"/>
        </w:rPr>
      </w:pPr>
    </w:p>
    <w:p w14:paraId="5E75FC56" w14:textId="77777777" w:rsidR="00822C73" w:rsidRPr="00C02067" w:rsidRDefault="00822C73" w:rsidP="00822C73">
      <w:pPr>
        <w:rPr>
          <w:sz w:val="22"/>
          <w:szCs w:val="22"/>
        </w:rPr>
      </w:pPr>
      <w:r w:rsidRPr="00C02067">
        <w:rPr>
          <w:sz w:val="22"/>
          <w:szCs w:val="22"/>
        </w:rPr>
        <w:t xml:space="preserve">Stewart, A.A., Little, S.M., Ominski, K.H., Wittenberg, K.M., Janzen, H.H. 2009. Evaluating greenhouse gas mitigation practices in livestock systems: an illustration of a whole-farm approach. Journal of Agricultural Science. 147: 367-382. </w:t>
      </w:r>
    </w:p>
    <w:p w14:paraId="6F5E5657" w14:textId="77777777" w:rsidR="00822C73" w:rsidRPr="00C02067" w:rsidRDefault="00822C73" w:rsidP="00822C73">
      <w:pPr>
        <w:rPr>
          <w:sz w:val="22"/>
          <w:szCs w:val="22"/>
        </w:rPr>
      </w:pPr>
    </w:p>
    <w:p w14:paraId="1123456A" w14:textId="77777777" w:rsidR="00822C73" w:rsidRPr="00C02067" w:rsidRDefault="00822C73" w:rsidP="00822C73">
      <w:pPr>
        <w:rPr>
          <w:color w:val="000000" w:themeColor="text1"/>
          <w:sz w:val="22"/>
          <w:szCs w:val="22"/>
          <w:lang w:val="en-CA"/>
        </w:rPr>
      </w:pPr>
      <w:r w:rsidRPr="00C02067">
        <w:rPr>
          <w:sz w:val="22"/>
          <w:szCs w:val="22"/>
        </w:rPr>
        <w:t>Stiglitz, J.E., Rothschild, M. 1976. Equilibrium in competitive insurance markets: An essay on the economics of imperfect information. Quarterly Journal of Economics 90: 629-649.</w:t>
      </w:r>
    </w:p>
    <w:p w14:paraId="112AA616" w14:textId="77777777" w:rsidR="00822C73" w:rsidRPr="00C02067" w:rsidRDefault="00822C73" w:rsidP="00822C73">
      <w:pPr>
        <w:rPr>
          <w:sz w:val="22"/>
          <w:szCs w:val="22"/>
        </w:rPr>
      </w:pPr>
    </w:p>
    <w:p w14:paraId="2C3264C6" w14:textId="77777777" w:rsidR="00822C73" w:rsidRPr="00C02067" w:rsidRDefault="00822C73" w:rsidP="00822C73">
      <w:pPr>
        <w:rPr>
          <w:sz w:val="22"/>
          <w:szCs w:val="22"/>
          <w:lang w:val="en-CA"/>
        </w:rPr>
      </w:pPr>
      <w:r w:rsidRPr="00C02067">
        <w:rPr>
          <w:sz w:val="22"/>
          <w:szCs w:val="22"/>
          <w:lang w:val="en-CA"/>
        </w:rPr>
        <w:t xml:space="preserve">Tan, H.S.G., Fischer, A.R.H., van Trijp, H.C.M., Steiger, M. 2016. Tasty but nasty? Exploring the role of sensory-liking and food appropriateness in the willingness to eat unusual novel foods like insects. Food Quality and Preference. 48: 293-302. </w:t>
      </w:r>
    </w:p>
    <w:p w14:paraId="2450BE0C" w14:textId="77777777" w:rsidR="00822C73" w:rsidRPr="00C02067" w:rsidRDefault="00822C73" w:rsidP="00822C73">
      <w:pPr>
        <w:rPr>
          <w:sz w:val="22"/>
          <w:szCs w:val="22"/>
          <w:lang w:val="en-CA"/>
        </w:rPr>
      </w:pPr>
    </w:p>
    <w:p w14:paraId="48979C17" w14:textId="77777777" w:rsidR="00822C73" w:rsidRPr="00C02067" w:rsidRDefault="00822C73" w:rsidP="00822C73">
      <w:pPr>
        <w:rPr>
          <w:sz w:val="22"/>
          <w:szCs w:val="22"/>
          <w:lang w:val="en-CA"/>
        </w:rPr>
      </w:pPr>
      <w:r w:rsidRPr="00C02067">
        <w:rPr>
          <w:sz w:val="22"/>
          <w:szCs w:val="22"/>
          <w:lang w:val="en-CA"/>
        </w:rPr>
        <w:t xml:space="preserve">Temme, E.H.M., van der Voet, H., Thissen, J.T.N.M., Verkaik-Kloosterman, J., van Dankersgoed, G., Nonhebel, S. 2013. Replacement of meat and dairy by plant-derived foods: Estimated effects on land use, iron and SFA intakes in young Dutch adult females. Public Health Nutrition. 16(10): 1900-1907. </w:t>
      </w:r>
    </w:p>
    <w:p w14:paraId="7B4BEE00" w14:textId="77777777" w:rsidR="00822C73" w:rsidRPr="00C02067" w:rsidRDefault="00822C73" w:rsidP="00822C73">
      <w:pPr>
        <w:rPr>
          <w:sz w:val="22"/>
          <w:szCs w:val="22"/>
        </w:rPr>
      </w:pPr>
    </w:p>
    <w:p w14:paraId="2AF6796D" w14:textId="77777777" w:rsidR="00822C73" w:rsidRPr="00C02067" w:rsidRDefault="00822C73" w:rsidP="00822C73">
      <w:pPr>
        <w:rPr>
          <w:sz w:val="22"/>
          <w:szCs w:val="22"/>
        </w:rPr>
      </w:pPr>
      <w:r w:rsidRPr="00C02067">
        <w:rPr>
          <w:sz w:val="22"/>
          <w:szCs w:val="22"/>
        </w:rPr>
        <w:t>Thaler, R.H., Sustein, C.R. 2003. Libertarian paternalism. American Economic Review. 93: 175-179.</w:t>
      </w:r>
    </w:p>
    <w:p w14:paraId="4C9D1527" w14:textId="77777777" w:rsidR="00822C73" w:rsidRPr="00C02067" w:rsidRDefault="00822C73" w:rsidP="00822C73">
      <w:pPr>
        <w:rPr>
          <w:sz w:val="22"/>
          <w:szCs w:val="22"/>
        </w:rPr>
      </w:pPr>
    </w:p>
    <w:p w14:paraId="414148BE" w14:textId="77777777" w:rsidR="00822C73" w:rsidRDefault="00822C73" w:rsidP="00822C73">
      <w:pPr>
        <w:rPr>
          <w:sz w:val="22"/>
          <w:szCs w:val="22"/>
        </w:rPr>
      </w:pPr>
      <w:r>
        <w:rPr>
          <w:sz w:val="22"/>
          <w:szCs w:val="22"/>
        </w:rPr>
        <w:t xml:space="preserve">Thøgersen J. 2005. How may consumer policy empower consumers for sustainable lifestyles. Journal of Consumer Policy. 28(2): 143-177. </w:t>
      </w:r>
    </w:p>
    <w:p w14:paraId="0090771F" w14:textId="77777777" w:rsidR="00822C73" w:rsidRDefault="00822C73" w:rsidP="00822C73">
      <w:pPr>
        <w:rPr>
          <w:sz w:val="22"/>
          <w:szCs w:val="22"/>
        </w:rPr>
      </w:pPr>
    </w:p>
    <w:p w14:paraId="4136886C" w14:textId="77777777" w:rsidR="00822C73" w:rsidRPr="00C02067" w:rsidRDefault="00822C73" w:rsidP="00822C73">
      <w:pPr>
        <w:rPr>
          <w:sz w:val="22"/>
          <w:szCs w:val="22"/>
        </w:rPr>
      </w:pPr>
      <w:r w:rsidRPr="00C02067">
        <w:rPr>
          <w:sz w:val="22"/>
          <w:szCs w:val="22"/>
        </w:rPr>
        <w:t xml:space="preserve">Thomas, D.R. 2006. A general inductive approach for analyzing qualitative evaluation data. American Journal of Evaluation. 27(2): 237-246. </w:t>
      </w:r>
    </w:p>
    <w:p w14:paraId="641C7EDC" w14:textId="77777777" w:rsidR="00822C73" w:rsidRPr="00C02067" w:rsidRDefault="00822C73" w:rsidP="00822C73">
      <w:pPr>
        <w:rPr>
          <w:sz w:val="22"/>
          <w:szCs w:val="22"/>
        </w:rPr>
      </w:pPr>
    </w:p>
    <w:p w14:paraId="343BAB3E" w14:textId="77777777" w:rsidR="00822C73" w:rsidRPr="00C02067" w:rsidRDefault="00822C73" w:rsidP="00822C73">
      <w:pPr>
        <w:rPr>
          <w:sz w:val="22"/>
          <w:szCs w:val="22"/>
          <w:lang w:val="en-CA"/>
        </w:rPr>
      </w:pPr>
      <w:r w:rsidRPr="00C02067">
        <w:rPr>
          <w:sz w:val="22"/>
          <w:szCs w:val="22"/>
          <w:lang w:val="en-CA"/>
        </w:rPr>
        <w:t>Thompson, R.L., Margetts, B.M., Speller, V.M., McVey, D. 1999. The health education authority’s health and lifestyle survey 1993: who are the low fruit and vegetable consumers. Journal of Epidemiology and Community Health. 53: 294-299.</w:t>
      </w:r>
    </w:p>
    <w:p w14:paraId="702543E2" w14:textId="77777777" w:rsidR="00822C73" w:rsidRPr="00C02067" w:rsidRDefault="00822C73" w:rsidP="00822C73">
      <w:pPr>
        <w:rPr>
          <w:sz w:val="22"/>
          <w:szCs w:val="22"/>
          <w:lang w:val="en-CA"/>
        </w:rPr>
      </w:pPr>
    </w:p>
    <w:p w14:paraId="60AA378D" w14:textId="77777777" w:rsidR="00822C73" w:rsidRPr="00C02067" w:rsidRDefault="00822C73" w:rsidP="00822C73">
      <w:pPr>
        <w:rPr>
          <w:sz w:val="22"/>
          <w:szCs w:val="22"/>
        </w:rPr>
      </w:pPr>
      <w:r w:rsidRPr="00C02067">
        <w:rPr>
          <w:sz w:val="22"/>
          <w:szCs w:val="22"/>
        </w:rPr>
        <w:t xml:space="preserve">Tilman, D., Clark, M. 2014. Global diets link environmental sustainability and human health. Nature. 515: 518-524. </w:t>
      </w:r>
    </w:p>
    <w:p w14:paraId="7D21FF33" w14:textId="77777777" w:rsidR="00822C73" w:rsidRPr="00C02067" w:rsidRDefault="00822C73" w:rsidP="00822C73">
      <w:pPr>
        <w:rPr>
          <w:sz w:val="22"/>
          <w:szCs w:val="22"/>
        </w:rPr>
      </w:pPr>
    </w:p>
    <w:p w14:paraId="1C4845B6" w14:textId="77777777" w:rsidR="00822C73" w:rsidRPr="00C02067" w:rsidRDefault="00822C73" w:rsidP="00822C73">
      <w:pPr>
        <w:rPr>
          <w:sz w:val="22"/>
          <w:szCs w:val="22"/>
        </w:rPr>
      </w:pPr>
      <w:r w:rsidRPr="00C02067">
        <w:rPr>
          <w:sz w:val="22"/>
          <w:szCs w:val="22"/>
        </w:rPr>
        <w:t xml:space="preserve">Tom, M.S., Fischbeck, P.S., Hendrickson, C.T. 2015. Energy use, blue water footprint, and greenhouse gas emissions for current food consumption patterns and dietary recommendations in the US. Environment Systems and Decisions. 36(1): 92-103. </w:t>
      </w:r>
    </w:p>
    <w:p w14:paraId="1BA7061A" w14:textId="77777777" w:rsidR="00822C73" w:rsidRPr="00C02067" w:rsidRDefault="00822C73" w:rsidP="00822C73">
      <w:pPr>
        <w:rPr>
          <w:sz w:val="22"/>
          <w:szCs w:val="22"/>
        </w:rPr>
      </w:pPr>
    </w:p>
    <w:p w14:paraId="71A1C2A6" w14:textId="77777777" w:rsidR="00822C73" w:rsidRPr="00C02067" w:rsidRDefault="00822C73" w:rsidP="00822C73">
      <w:pPr>
        <w:rPr>
          <w:color w:val="000000" w:themeColor="text1"/>
          <w:sz w:val="22"/>
          <w:szCs w:val="22"/>
          <w:lang w:val="en-CA"/>
        </w:rPr>
      </w:pPr>
      <w:r w:rsidRPr="00C02067">
        <w:rPr>
          <w:color w:val="000000" w:themeColor="text1"/>
          <w:sz w:val="22"/>
          <w:szCs w:val="22"/>
          <w:lang w:val="en-CA"/>
        </w:rPr>
        <w:t>Torraco, R.J. 2005. Writing integrative literature reviews: Guidelines and examples. Human Resource Development Review. 4(3): 356-367.</w:t>
      </w:r>
    </w:p>
    <w:p w14:paraId="65B544C7" w14:textId="77777777" w:rsidR="00822C73" w:rsidRPr="00C02067" w:rsidRDefault="00822C73" w:rsidP="00822C73">
      <w:pPr>
        <w:rPr>
          <w:sz w:val="22"/>
          <w:szCs w:val="22"/>
        </w:rPr>
      </w:pPr>
    </w:p>
    <w:p w14:paraId="761C647A" w14:textId="77777777" w:rsidR="00822C73" w:rsidRPr="00C02067" w:rsidRDefault="00822C73" w:rsidP="00822C73">
      <w:pPr>
        <w:rPr>
          <w:sz w:val="22"/>
          <w:szCs w:val="22"/>
        </w:rPr>
      </w:pPr>
      <w:r w:rsidRPr="00C02067">
        <w:rPr>
          <w:sz w:val="22"/>
          <w:szCs w:val="22"/>
        </w:rPr>
        <w:t xml:space="preserve">United Nations Framework Convention on Climate Change (UNFCCC). 2016. Decisions adopted by the Conference of the Parties. In: Conference of the Parties. Report of the Conference of the Parties on its twenty-first session, held in Paris from 30 November to 13 December 2015. United Nations Framework Convention on Climate Change. Bonn, Germany. </w:t>
      </w:r>
    </w:p>
    <w:p w14:paraId="3A478286" w14:textId="77777777" w:rsidR="00822C73" w:rsidRPr="00C02067" w:rsidRDefault="00822C73" w:rsidP="00822C73">
      <w:pPr>
        <w:rPr>
          <w:sz w:val="22"/>
          <w:szCs w:val="22"/>
        </w:rPr>
      </w:pPr>
    </w:p>
    <w:p w14:paraId="64671F3A" w14:textId="77777777" w:rsidR="00822C73" w:rsidRPr="00C02067" w:rsidRDefault="00822C73" w:rsidP="00822C73">
      <w:pPr>
        <w:rPr>
          <w:sz w:val="22"/>
          <w:szCs w:val="22"/>
          <w:lang w:val="en-CA"/>
        </w:rPr>
      </w:pPr>
      <w:r w:rsidRPr="00C02067">
        <w:rPr>
          <w:sz w:val="22"/>
          <w:szCs w:val="22"/>
          <w:lang w:val="en-CA"/>
        </w:rPr>
        <w:t xml:space="preserve">van Dooren, C., Marinussen, M., Blonk, H., Aiking, H., Vellinga, P. 2014. Exploring dietary guidelines based on ecological and nutritional values: A comparison of six dietary patterns. Food Policy. 44: 36-46. </w:t>
      </w:r>
    </w:p>
    <w:p w14:paraId="6325D806" w14:textId="77777777" w:rsidR="00822C73" w:rsidRPr="00C02067" w:rsidRDefault="00822C73" w:rsidP="00822C73">
      <w:pPr>
        <w:rPr>
          <w:sz w:val="22"/>
          <w:szCs w:val="22"/>
          <w:lang w:val="en-CA"/>
        </w:rPr>
      </w:pPr>
    </w:p>
    <w:p w14:paraId="3DDD43DC" w14:textId="77777777" w:rsidR="00822C73" w:rsidRPr="00C02067" w:rsidRDefault="00822C73" w:rsidP="00822C73">
      <w:pPr>
        <w:rPr>
          <w:sz w:val="22"/>
          <w:szCs w:val="22"/>
          <w:lang w:val="en-CA"/>
        </w:rPr>
      </w:pPr>
      <w:r w:rsidRPr="00C02067">
        <w:rPr>
          <w:sz w:val="22"/>
          <w:szCs w:val="22"/>
          <w:lang w:val="en-CA"/>
        </w:rPr>
        <w:t xml:space="preserve">Vanhonacker, F., Loo, E.J.V., Gellynck, X, Verbeke, W. 2013. Flemish consumer attitudes towards more sustainable food choices. Appetite. 62: 7-16. </w:t>
      </w:r>
    </w:p>
    <w:p w14:paraId="6C81150D" w14:textId="77777777" w:rsidR="00822C73" w:rsidRPr="00C02067" w:rsidRDefault="00822C73" w:rsidP="00822C73">
      <w:pPr>
        <w:widowControl w:val="0"/>
        <w:autoSpaceDE w:val="0"/>
        <w:autoSpaceDN w:val="0"/>
        <w:adjustRightInd w:val="0"/>
        <w:rPr>
          <w:color w:val="101010"/>
          <w:sz w:val="22"/>
          <w:szCs w:val="22"/>
        </w:rPr>
      </w:pPr>
    </w:p>
    <w:p w14:paraId="2F119487" w14:textId="77777777" w:rsidR="00822C73" w:rsidRPr="00C02067" w:rsidRDefault="00822C73" w:rsidP="00822C73">
      <w:pPr>
        <w:widowControl w:val="0"/>
        <w:autoSpaceDE w:val="0"/>
        <w:autoSpaceDN w:val="0"/>
        <w:adjustRightInd w:val="0"/>
        <w:rPr>
          <w:sz w:val="22"/>
          <w:szCs w:val="22"/>
        </w:rPr>
      </w:pPr>
      <w:r w:rsidRPr="00C02067">
        <w:rPr>
          <w:color w:val="101010"/>
          <w:sz w:val="22"/>
          <w:szCs w:val="22"/>
        </w:rPr>
        <w:t>van Vuuren, D.P., den Elzen, M., Lucas, P., Eickhout, B., Strengers, B., van Ruijven, B., Wonink, S., van Houdt, R. 2007. Stabilizing greenhouse gas concentrations at low levels: an assessment of reduction strategies and costs. Climate Change. 81:119–159.</w:t>
      </w:r>
      <w:r w:rsidRPr="00C02067">
        <w:rPr>
          <w:rFonts w:ascii="MS Mincho" w:eastAsia="MS Mincho" w:hAnsi="MS Mincho" w:cs="MS Mincho"/>
          <w:color w:val="101010"/>
          <w:sz w:val="22"/>
          <w:szCs w:val="22"/>
        </w:rPr>
        <w:t> </w:t>
      </w:r>
    </w:p>
    <w:p w14:paraId="507BBBCF" w14:textId="77777777" w:rsidR="00822C73" w:rsidRPr="00C02067" w:rsidRDefault="00822C73" w:rsidP="00822C73">
      <w:pPr>
        <w:rPr>
          <w:sz w:val="22"/>
          <w:szCs w:val="22"/>
        </w:rPr>
      </w:pPr>
    </w:p>
    <w:p w14:paraId="35E0D9F4" w14:textId="77777777" w:rsidR="00822C73" w:rsidRPr="00C02067" w:rsidRDefault="00822C73" w:rsidP="00822C73">
      <w:pPr>
        <w:rPr>
          <w:sz w:val="22"/>
          <w:szCs w:val="22"/>
        </w:rPr>
      </w:pPr>
      <w:r w:rsidRPr="00C02067">
        <w:rPr>
          <w:sz w:val="22"/>
          <w:szCs w:val="22"/>
        </w:rPr>
        <w:t xml:space="preserve">Verain, M.C.D., Dagevos, H., Antonides, G. Sustainable food consumption. Product choice or curtailment? Appetite. 91: 375-384. </w:t>
      </w:r>
    </w:p>
    <w:p w14:paraId="0E1632BF" w14:textId="77777777" w:rsidR="00822C73" w:rsidRPr="00C02067" w:rsidRDefault="00822C73" w:rsidP="00822C73">
      <w:pPr>
        <w:rPr>
          <w:sz w:val="22"/>
          <w:szCs w:val="22"/>
        </w:rPr>
      </w:pPr>
    </w:p>
    <w:p w14:paraId="04A57958" w14:textId="77777777" w:rsidR="00822C73" w:rsidRPr="00C02067" w:rsidRDefault="00822C73" w:rsidP="00822C73">
      <w:pPr>
        <w:rPr>
          <w:sz w:val="22"/>
          <w:szCs w:val="22"/>
          <w:lang w:val="en-CA"/>
        </w:rPr>
      </w:pPr>
      <w:r w:rsidRPr="00C02067">
        <w:rPr>
          <w:sz w:val="22"/>
          <w:szCs w:val="22"/>
          <w:lang w:val="en-CA"/>
        </w:rPr>
        <w:t xml:space="preserve">Verbeke, W., Sans, P., Loo, E.J.V. 2015. Challenges and prospects for consumer acceptance of cultured meat. Journal of Integrative Agriculture. 14(2): 285-294. </w:t>
      </w:r>
    </w:p>
    <w:p w14:paraId="5B2CE209" w14:textId="77777777" w:rsidR="00822C73" w:rsidRPr="00C02067" w:rsidRDefault="00822C73" w:rsidP="00822C73">
      <w:pPr>
        <w:rPr>
          <w:sz w:val="22"/>
          <w:szCs w:val="22"/>
        </w:rPr>
      </w:pPr>
    </w:p>
    <w:p w14:paraId="63E84E88" w14:textId="77777777" w:rsidR="00822C73" w:rsidRPr="00C02067" w:rsidRDefault="00822C73" w:rsidP="00822C73">
      <w:pPr>
        <w:rPr>
          <w:sz w:val="22"/>
          <w:szCs w:val="22"/>
        </w:rPr>
      </w:pPr>
      <w:r w:rsidRPr="00C02067">
        <w:rPr>
          <w:sz w:val="22"/>
          <w:szCs w:val="22"/>
        </w:rPr>
        <w:t>Vermeulen, S.J., Campbell, B.M., Ingram, J.S.I. 2012. Climate change and food systems. Annual Review of Environment and Resources. 37: 195-222.</w:t>
      </w:r>
    </w:p>
    <w:p w14:paraId="62199A63" w14:textId="77777777" w:rsidR="00822C73" w:rsidRPr="00C02067" w:rsidRDefault="00822C73" w:rsidP="00822C73">
      <w:pPr>
        <w:rPr>
          <w:sz w:val="22"/>
          <w:szCs w:val="22"/>
        </w:rPr>
      </w:pPr>
    </w:p>
    <w:p w14:paraId="0B449FC9" w14:textId="2F2A553E" w:rsidR="00822C73" w:rsidRPr="00C02067" w:rsidRDefault="00822C73" w:rsidP="00822C73">
      <w:pPr>
        <w:rPr>
          <w:sz w:val="22"/>
          <w:szCs w:val="22"/>
          <w:lang w:val="en-CA"/>
        </w:rPr>
      </w:pPr>
      <w:r w:rsidRPr="00C02067">
        <w:rPr>
          <w:sz w:val="22"/>
          <w:szCs w:val="22"/>
          <w:lang w:val="en-CA"/>
        </w:rPr>
        <w:t>Vermeir, I., Verbeke, W. 2006. Sustainable food consumption: Exploring the consumer “attitude-behavio</w:t>
      </w:r>
      <w:r w:rsidR="004D5563">
        <w:rPr>
          <w:sz w:val="22"/>
          <w:szCs w:val="22"/>
          <w:lang w:val="en-CA"/>
        </w:rPr>
        <w:t>u</w:t>
      </w:r>
      <w:r w:rsidRPr="00C02067">
        <w:rPr>
          <w:sz w:val="22"/>
          <w:szCs w:val="22"/>
          <w:lang w:val="en-CA"/>
        </w:rPr>
        <w:t xml:space="preserve">ral intention” gap. Journal of Agricultural and Environmental Ethics. 19: 169-194. </w:t>
      </w:r>
    </w:p>
    <w:p w14:paraId="62B290FF" w14:textId="77777777" w:rsidR="00822C73" w:rsidRPr="00C02067" w:rsidRDefault="00822C73" w:rsidP="00822C73">
      <w:pPr>
        <w:rPr>
          <w:sz w:val="22"/>
          <w:szCs w:val="22"/>
          <w:lang w:val="en-CA"/>
        </w:rPr>
      </w:pPr>
    </w:p>
    <w:p w14:paraId="77718291" w14:textId="77777777" w:rsidR="00822C73" w:rsidRPr="00C02067" w:rsidRDefault="00822C73" w:rsidP="00822C73">
      <w:pPr>
        <w:rPr>
          <w:sz w:val="22"/>
          <w:szCs w:val="22"/>
          <w:lang w:val="en-CA"/>
        </w:rPr>
      </w:pPr>
      <w:r w:rsidRPr="00C02067">
        <w:rPr>
          <w:sz w:val="22"/>
          <w:szCs w:val="22"/>
          <w:lang w:val="en-CA"/>
        </w:rPr>
        <w:t>Vinnari, M., Vinnari, E. 2013. A framework for sustainability transition: The case of plant-based diets. Journal of Agriculture and Environmental Ethics. 27: 369-396.</w:t>
      </w:r>
    </w:p>
    <w:p w14:paraId="58AADF26" w14:textId="77777777" w:rsidR="00822C73" w:rsidRPr="00C02067" w:rsidRDefault="00822C73" w:rsidP="00822C73">
      <w:pPr>
        <w:rPr>
          <w:sz w:val="22"/>
          <w:szCs w:val="22"/>
        </w:rPr>
      </w:pPr>
    </w:p>
    <w:p w14:paraId="2E3F92FE" w14:textId="77777777" w:rsidR="00822C73" w:rsidRPr="00C02067" w:rsidRDefault="00822C73" w:rsidP="00822C73">
      <w:pPr>
        <w:rPr>
          <w:b/>
          <w:color w:val="000000" w:themeColor="text1"/>
          <w:sz w:val="22"/>
          <w:szCs w:val="22"/>
          <w:lang w:val="en-CA"/>
        </w:rPr>
      </w:pPr>
      <w:r w:rsidRPr="00C02067">
        <w:rPr>
          <w:sz w:val="22"/>
          <w:szCs w:val="22"/>
        </w:rPr>
        <w:t>Voedingscentrum. 2016. Healthy eating with the pyramid. Retrieved May 2016 from: http://www.voedingscentrum.nl/nl/gezond-eten-met-de-schijf-van-vijf.aspx. Voedingscentrum, Netherlands.</w:t>
      </w:r>
    </w:p>
    <w:p w14:paraId="57F6DA1C" w14:textId="77777777" w:rsidR="00822C73" w:rsidRPr="00C02067" w:rsidRDefault="00822C73" w:rsidP="00822C73">
      <w:pPr>
        <w:rPr>
          <w:sz w:val="22"/>
          <w:szCs w:val="22"/>
        </w:rPr>
      </w:pPr>
    </w:p>
    <w:p w14:paraId="341A5B16" w14:textId="77777777" w:rsidR="00822C73" w:rsidRPr="00C02067" w:rsidRDefault="00822C73" w:rsidP="00822C73">
      <w:pPr>
        <w:rPr>
          <w:sz w:val="22"/>
          <w:szCs w:val="22"/>
          <w:lang w:val="en-CA"/>
        </w:rPr>
      </w:pPr>
      <w:r w:rsidRPr="00C02067">
        <w:rPr>
          <w:sz w:val="22"/>
          <w:szCs w:val="22"/>
          <w:lang w:val="en-CA"/>
        </w:rPr>
        <w:t xml:space="preserve">Vukmirovic, M. 2015. The effect of food advertising on food-related behaviours and perceptions in adults: A review. Food Research International. 75: 13-19. </w:t>
      </w:r>
    </w:p>
    <w:p w14:paraId="72251895" w14:textId="77777777" w:rsidR="00822C73" w:rsidRPr="00C02067" w:rsidRDefault="00822C73" w:rsidP="00822C73">
      <w:pPr>
        <w:rPr>
          <w:sz w:val="22"/>
          <w:szCs w:val="22"/>
        </w:rPr>
      </w:pPr>
    </w:p>
    <w:p w14:paraId="142CF1CF" w14:textId="77777777" w:rsidR="00822C73" w:rsidRPr="00C02067" w:rsidRDefault="00822C73" w:rsidP="00822C73">
      <w:pPr>
        <w:rPr>
          <w:sz w:val="22"/>
          <w:szCs w:val="22"/>
        </w:rPr>
      </w:pPr>
      <w:r w:rsidRPr="00C02067">
        <w:rPr>
          <w:sz w:val="22"/>
          <w:szCs w:val="22"/>
        </w:rPr>
        <w:t xml:space="preserve">Wahlen, S., Heiskanen, E., Aalto, K. 2012. Endorsing sustainable food consumption prospects from public catering. Journal of Consumer Policy. 35(1): 7-21. </w:t>
      </w:r>
    </w:p>
    <w:p w14:paraId="1B455869" w14:textId="77777777" w:rsidR="00822C73" w:rsidRPr="00C02067" w:rsidRDefault="00822C73" w:rsidP="00822C73">
      <w:pPr>
        <w:rPr>
          <w:sz w:val="22"/>
          <w:szCs w:val="22"/>
        </w:rPr>
      </w:pPr>
    </w:p>
    <w:p w14:paraId="4E5D6F30" w14:textId="77777777" w:rsidR="00822C73" w:rsidRPr="00C02067" w:rsidRDefault="00822C73" w:rsidP="00822C73">
      <w:pPr>
        <w:rPr>
          <w:sz w:val="22"/>
          <w:szCs w:val="22"/>
        </w:rPr>
      </w:pPr>
      <w:r w:rsidRPr="00C02067">
        <w:rPr>
          <w:sz w:val="22"/>
          <w:szCs w:val="22"/>
        </w:rPr>
        <w:t xml:space="preserve">Wakefield, S., Elliot, S., Eyles, J., Cole, D. 2006. Taking environmental action. The role of local composition, context and collective. Environmental Management. 37: 40-53. </w:t>
      </w:r>
    </w:p>
    <w:p w14:paraId="717F635E" w14:textId="77777777" w:rsidR="00822C73" w:rsidRPr="00C02067" w:rsidRDefault="00822C73" w:rsidP="00822C73">
      <w:pPr>
        <w:rPr>
          <w:sz w:val="22"/>
          <w:szCs w:val="22"/>
        </w:rPr>
      </w:pPr>
    </w:p>
    <w:p w14:paraId="3F1412AC" w14:textId="77777777" w:rsidR="00822C73" w:rsidRPr="00C02067" w:rsidRDefault="00822C73" w:rsidP="00822C73">
      <w:pPr>
        <w:rPr>
          <w:sz w:val="22"/>
          <w:szCs w:val="22"/>
        </w:rPr>
      </w:pPr>
      <w:r w:rsidRPr="00C02067">
        <w:rPr>
          <w:sz w:val="22"/>
          <w:szCs w:val="22"/>
        </w:rPr>
        <w:t>Wansink, B. 2006. Nutritional gatekeepers and the 72% solution. Journal of the American Dietetic Association. 106: 1324-1326.</w:t>
      </w:r>
    </w:p>
    <w:p w14:paraId="001D1E57" w14:textId="77777777" w:rsidR="00822C73" w:rsidRPr="00C02067" w:rsidRDefault="00822C73" w:rsidP="00822C73">
      <w:pPr>
        <w:rPr>
          <w:sz w:val="22"/>
          <w:szCs w:val="22"/>
        </w:rPr>
      </w:pPr>
    </w:p>
    <w:p w14:paraId="78219883" w14:textId="77777777" w:rsidR="00822C73" w:rsidRPr="00C02067" w:rsidRDefault="00822C73" w:rsidP="00822C73">
      <w:pPr>
        <w:rPr>
          <w:sz w:val="22"/>
          <w:szCs w:val="22"/>
        </w:rPr>
      </w:pPr>
      <w:r w:rsidRPr="00C02067">
        <w:rPr>
          <w:sz w:val="22"/>
          <w:szCs w:val="22"/>
        </w:rPr>
        <w:t xml:space="preserve">Weiske, A., Vabitsch, A., Olesen, J.E., Schedle, K., Michel, J., Friedrich, R., Kaltschmitt, M. 2006. Mitigation of greenhouse gas emissions in European conventional and organic dairy farming. Agriculture, Ecosystems &amp; Environment. 112: 221-232. </w:t>
      </w:r>
    </w:p>
    <w:p w14:paraId="3BE4E08A" w14:textId="77777777" w:rsidR="00822C73" w:rsidRPr="00C02067" w:rsidRDefault="00822C73" w:rsidP="00822C73">
      <w:pPr>
        <w:rPr>
          <w:sz w:val="22"/>
          <w:szCs w:val="22"/>
        </w:rPr>
      </w:pPr>
    </w:p>
    <w:p w14:paraId="5686D53D" w14:textId="77777777" w:rsidR="00822C73" w:rsidRPr="00C02067" w:rsidRDefault="00822C73" w:rsidP="00822C73">
      <w:pPr>
        <w:rPr>
          <w:sz w:val="22"/>
          <w:szCs w:val="22"/>
        </w:rPr>
      </w:pPr>
      <w:r w:rsidRPr="00C02067">
        <w:rPr>
          <w:sz w:val="22"/>
          <w:szCs w:val="22"/>
        </w:rPr>
        <w:t xml:space="preserve">Wellesley, L., Happer, C., Froggatt, A. 2015. Changing climate, changing diets: Pathways to lower meat consumption. Chatham House Reports. The Royal Institute of International Affairs. Great Britain. </w:t>
      </w:r>
    </w:p>
    <w:p w14:paraId="0DAF6D77" w14:textId="77777777" w:rsidR="00822C73" w:rsidRPr="00C02067" w:rsidRDefault="00822C73" w:rsidP="00822C73">
      <w:pPr>
        <w:rPr>
          <w:sz w:val="22"/>
          <w:szCs w:val="22"/>
        </w:rPr>
      </w:pPr>
    </w:p>
    <w:p w14:paraId="1E071BB7" w14:textId="77777777" w:rsidR="00822C73" w:rsidRPr="00C02067" w:rsidRDefault="00822C73" w:rsidP="00822C73">
      <w:pPr>
        <w:rPr>
          <w:sz w:val="22"/>
          <w:szCs w:val="22"/>
          <w:lang w:val="en-CA"/>
        </w:rPr>
      </w:pPr>
      <w:r w:rsidRPr="00C02067">
        <w:rPr>
          <w:sz w:val="22"/>
          <w:szCs w:val="22"/>
          <w:lang w:val="en-CA"/>
        </w:rPr>
        <w:t xml:space="preserve">White, J.B., Schmitt, M.T., Langer, E.J. 2006. Horizontal hostility: Multiple minority groups and differentiation from the mainstream. Group Processes and Intergroup Relations. 9(3): 339-358. </w:t>
      </w:r>
    </w:p>
    <w:p w14:paraId="11BEF8C6" w14:textId="77777777" w:rsidR="00822C73" w:rsidRPr="00C02067" w:rsidRDefault="00822C73" w:rsidP="00822C73">
      <w:pPr>
        <w:rPr>
          <w:sz w:val="22"/>
          <w:szCs w:val="22"/>
        </w:rPr>
      </w:pPr>
    </w:p>
    <w:p w14:paraId="665A8DBB" w14:textId="77777777" w:rsidR="00822C73" w:rsidRPr="00C02067" w:rsidRDefault="00822C73" w:rsidP="00822C73">
      <w:pPr>
        <w:rPr>
          <w:sz w:val="22"/>
          <w:szCs w:val="22"/>
        </w:rPr>
      </w:pPr>
      <w:r w:rsidRPr="00C02067">
        <w:rPr>
          <w:sz w:val="22"/>
          <w:szCs w:val="22"/>
        </w:rPr>
        <w:t>White, R.F., Seymour, J., Frank, E. 1999. Vegetarianism among US women physicians. Journal of the American Dietetic Association. 99(5): 595-598.</w:t>
      </w:r>
    </w:p>
    <w:p w14:paraId="3AFC3BEA" w14:textId="77777777" w:rsidR="00822C73" w:rsidRPr="00C02067" w:rsidRDefault="00822C73" w:rsidP="00822C73">
      <w:pPr>
        <w:rPr>
          <w:sz w:val="22"/>
          <w:szCs w:val="22"/>
        </w:rPr>
      </w:pPr>
    </w:p>
    <w:p w14:paraId="799358F2" w14:textId="77777777" w:rsidR="00822C73" w:rsidRPr="00C02067" w:rsidRDefault="00822C73" w:rsidP="00822C73">
      <w:pPr>
        <w:rPr>
          <w:sz w:val="22"/>
          <w:szCs w:val="22"/>
          <w:lang w:val="en-CA"/>
        </w:rPr>
      </w:pPr>
      <w:r w:rsidRPr="00C02067">
        <w:rPr>
          <w:sz w:val="22"/>
          <w:szCs w:val="22"/>
          <w:lang w:val="en-CA"/>
        </w:rPr>
        <w:t xml:space="preserve">Whitfield, S., Benton, T.G., Dallimer, M., Firbank, L.G., Poppy, G.M., Sallu, S.M., Stringer, L.C. 2015. Sustainability spaces for complex agri-food systems. Food Security. 7: 1291-1297. </w:t>
      </w:r>
    </w:p>
    <w:p w14:paraId="24C82D0F" w14:textId="77777777" w:rsidR="00822C73" w:rsidRPr="00C02067" w:rsidRDefault="00822C73" w:rsidP="00822C73">
      <w:pPr>
        <w:rPr>
          <w:sz w:val="22"/>
          <w:szCs w:val="22"/>
        </w:rPr>
      </w:pPr>
    </w:p>
    <w:p w14:paraId="2E7556B7" w14:textId="77777777" w:rsidR="00822C73" w:rsidRDefault="00822C73" w:rsidP="00822C73">
      <w:pPr>
        <w:rPr>
          <w:sz w:val="22"/>
          <w:szCs w:val="22"/>
        </w:rPr>
      </w:pPr>
      <w:r w:rsidRPr="00C02067">
        <w:rPr>
          <w:sz w:val="22"/>
          <w:szCs w:val="22"/>
        </w:rPr>
        <w:t>WHO (World Health Organization). 2005. Ecosystems and Human Well-Being: Health Synthesis: A report of the millennium ecosystem assessment. Geneva: World Health Organization.</w:t>
      </w:r>
    </w:p>
    <w:p w14:paraId="4FF6FAE2" w14:textId="77777777" w:rsidR="003F6B92" w:rsidRDefault="003F6B92" w:rsidP="00822C73">
      <w:pPr>
        <w:rPr>
          <w:sz w:val="22"/>
          <w:szCs w:val="22"/>
        </w:rPr>
      </w:pPr>
    </w:p>
    <w:p w14:paraId="0E1FEF95" w14:textId="22A4014D" w:rsidR="003F6B92" w:rsidRPr="003F6B92" w:rsidRDefault="003F6B92" w:rsidP="00822C73">
      <w:pPr>
        <w:rPr>
          <w:sz w:val="22"/>
          <w:szCs w:val="22"/>
        </w:rPr>
      </w:pPr>
      <w:r>
        <w:rPr>
          <w:sz w:val="22"/>
          <w:szCs w:val="22"/>
        </w:rPr>
        <w:t xml:space="preserve">Willetts, A. (1997). Chapter 6: ‘Bacon sandwiches got the better of me’: Meat-eating and vegetarianism in South East London. </w:t>
      </w:r>
      <w:r>
        <w:rPr>
          <w:i/>
          <w:sz w:val="22"/>
          <w:szCs w:val="22"/>
        </w:rPr>
        <w:t xml:space="preserve">In </w:t>
      </w:r>
      <w:r>
        <w:rPr>
          <w:sz w:val="22"/>
          <w:szCs w:val="22"/>
        </w:rPr>
        <w:t xml:space="preserve">Caplan, P. (1997). Food, health, and identity. Psychology Press. 280 pages. </w:t>
      </w:r>
    </w:p>
    <w:p w14:paraId="668C8225" w14:textId="77777777" w:rsidR="00822C73" w:rsidRPr="00C02067" w:rsidRDefault="00822C73" w:rsidP="00822C73">
      <w:pPr>
        <w:rPr>
          <w:sz w:val="22"/>
          <w:szCs w:val="22"/>
        </w:rPr>
      </w:pPr>
    </w:p>
    <w:p w14:paraId="3769B336" w14:textId="77777777" w:rsidR="00822C73" w:rsidRPr="00C02067" w:rsidRDefault="00822C73" w:rsidP="00822C73">
      <w:pPr>
        <w:rPr>
          <w:sz w:val="22"/>
          <w:szCs w:val="22"/>
          <w:lang w:val="en-CA"/>
        </w:rPr>
      </w:pPr>
      <w:r w:rsidRPr="00C02067">
        <w:rPr>
          <w:sz w:val="22"/>
          <w:szCs w:val="22"/>
          <w:lang w:val="en-CA"/>
        </w:rPr>
        <w:t xml:space="preserve">Wilson, M.S., Weatherall, A., Butler, C. 2004. A rhetorical approach to discussions about health and vegetarianism. Journal of Health Psychology. 9(4): 567-581. </w:t>
      </w:r>
    </w:p>
    <w:p w14:paraId="6D0CFC6D" w14:textId="77777777" w:rsidR="00822C73" w:rsidRPr="00C02067" w:rsidRDefault="00822C73" w:rsidP="00822C73">
      <w:pPr>
        <w:rPr>
          <w:sz w:val="22"/>
          <w:szCs w:val="22"/>
          <w:lang w:val="en-CA"/>
        </w:rPr>
      </w:pPr>
    </w:p>
    <w:p w14:paraId="263CCB53" w14:textId="77777777" w:rsidR="00822C73" w:rsidRPr="00C02067" w:rsidRDefault="00822C73" w:rsidP="00822C73">
      <w:pPr>
        <w:rPr>
          <w:sz w:val="22"/>
          <w:szCs w:val="22"/>
          <w:lang w:val="en-CA"/>
        </w:rPr>
      </w:pPr>
      <w:r w:rsidRPr="00C02067">
        <w:rPr>
          <w:sz w:val="22"/>
          <w:szCs w:val="22"/>
          <w:lang w:val="en-CA"/>
        </w:rPr>
        <w:t>Worsley, A. 2007. Lay people’s views of the school food supply. British food journal. 109(6): 429-442.</w:t>
      </w:r>
    </w:p>
    <w:p w14:paraId="0550EE05" w14:textId="77777777" w:rsidR="00822C73" w:rsidRPr="00C02067" w:rsidRDefault="00822C73" w:rsidP="00822C73">
      <w:pPr>
        <w:rPr>
          <w:sz w:val="22"/>
          <w:szCs w:val="22"/>
          <w:lang w:val="en-CA"/>
        </w:rPr>
      </w:pPr>
    </w:p>
    <w:p w14:paraId="0CC7F882" w14:textId="77777777" w:rsidR="00822C73" w:rsidRDefault="00822C73" w:rsidP="00822C73">
      <w:pPr>
        <w:rPr>
          <w:sz w:val="22"/>
          <w:szCs w:val="22"/>
          <w:lang w:val="en-CA"/>
        </w:rPr>
      </w:pPr>
      <w:r w:rsidRPr="00C02067">
        <w:rPr>
          <w:sz w:val="22"/>
          <w:szCs w:val="22"/>
          <w:lang w:val="en-CA"/>
        </w:rPr>
        <w:t xml:space="preserve">Worsley, A., Skrzypiec, G. 1998. Teenage vegetarianism: Beauty or beast? Nutrition Research. 17: 391-404. </w:t>
      </w:r>
    </w:p>
    <w:p w14:paraId="6E9539AA" w14:textId="77777777" w:rsidR="00822C73" w:rsidRDefault="00822C73" w:rsidP="00822C73">
      <w:pPr>
        <w:rPr>
          <w:sz w:val="22"/>
          <w:szCs w:val="22"/>
          <w:lang w:val="en-CA"/>
        </w:rPr>
      </w:pPr>
    </w:p>
    <w:p w14:paraId="6DD20F90" w14:textId="77777777" w:rsidR="00822C73" w:rsidRPr="00F502DD" w:rsidRDefault="00822C73" w:rsidP="00822C73">
      <w:pPr>
        <w:rPr>
          <w:sz w:val="22"/>
          <w:szCs w:val="22"/>
          <w:lang w:val="fr-CA"/>
        </w:rPr>
      </w:pPr>
      <w:r>
        <w:rPr>
          <w:sz w:val="22"/>
          <w:szCs w:val="22"/>
          <w:lang w:val="en-CA"/>
        </w:rPr>
        <w:t xml:space="preserve">World Water Assessment Programme (WWAP). 2012. The United Nations world water development report 4: Managing water under uncertainty and risk. </w:t>
      </w:r>
      <w:r w:rsidRPr="00F502DD">
        <w:rPr>
          <w:sz w:val="22"/>
          <w:szCs w:val="22"/>
          <w:lang w:val="fr-CA"/>
        </w:rPr>
        <w:t xml:space="preserve">Paris, UNESCO. </w:t>
      </w:r>
    </w:p>
    <w:p w14:paraId="2EABFB3A" w14:textId="77777777" w:rsidR="00822C73" w:rsidRPr="00F502DD" w:rsidRDefault="00822C73" w:rsidP="00822C73">
      <w:pPr>
        <w:rPr>
          <w:sz w:val="22"/>
          <w:szCs w:val="22"/>
          <w:lang w:val="fr-CA"/>
        </w:rPr>
      </w:pPr>
    </w:p>
    <w:p w14:paraId="16D1B9EA" w14:textId="77777777" w:rsidR="00822C73" w:rsidRPr="00C02067" w:rsidRDefault="00822C73" w:rsidP="00822C73">
      <w:pPr>
        <w:rPr>
          <w:sz w:val="22"/>
          <w:szCs w:val="22"/>
          <w:lang w:val="en-CA"/>
        </w:rPr>
      </w:pPr>
      <w:r w:rsidRPr="00F502DD">
        <w:rPr>
          <w:sz w:val="22"/>
          <w:szCs w:val="22"/>
          <w:lang w:val="fr-CA"/>
        </w:rPr>
        <w:t xml:space="preserve">Yuan, W.L., Rigal, N., Monnery-Patris, S., Chabanet, C., Forhan, A., Charles, M-A, de Lauzon-Guillain, B. 2016. </w:t>
      </w:r>
      <w:r w:rsidRPr="00C02067">
        <w:rPr>
          <w:sz w:val="22"/>
          <w:szCs w:val="22"/>
          <w:lang w:val="en-CA"/>
        </w:rPr>
        <w:t xml:space="preserve">Early determinants of food liking among 5y-old children: A longitudinal study from the EDEN mother-child cohort. International Journal of Behavioural Nutrition. 13: 20-30. </w:t>
      </w:r>
    </w:p>
    <w:p w14:paraId="06D5F152" w14:textId="77777777" w:rsidR="00822C73" w:rsidRPr="00C02067" w:rsidRDefault="00822C73" w:rsidP="00822C73">
      <w:pPr>
        <w:rPr>
          <w:sz w:val="22"/>
          <w:szCs w:val="22"/>
        </w:rPr>
      </w:pPr>
    </w:p>
    <w:p w14:paraId="589789D0" w14:textId="77777777" w:rsidR="00822C73" w:rsidRPr="00C02067" w:rsidRDefault="00822C73" w:rsidP="00822C73">
      <w:pPr>
        <w:rPr>
          <w:sz w:val="22"/>
          <w:szCs w:val="22"/>
        </w:rPr>
      </w:pPr>
      <w:r w:rsidRPr="00C02067">
        <w:rPr>
          <w:sz w:val="22"/>
          <w:szCs w:val="22"/>
        </w:rPr>
        <w:t>Zhang, Y.M, Wildemuth, B.M. 2010. Qualitative analysis of content. Applications of Social Research Methods to Questions in Information and Library. pp. 1-12.</w:t>
      </w:r>
    </w:p>
    <w:p w14:paraId="488EE527" w14:textId="77777777" w:rsidR="00822C73" w:rsidRPr="00C02067" w:rsidRDefault="00822C73" w:rsidP="00822C73">
      <w:pPr>
        <w:rPr>
          <w:sz w:val="22"/>
          <w:szCs w:val="22"/>
        </w:rPr>
      </w:pPr>
    </w:p>
    <w:p w14:paraId="2CF9D4EC" w14:textId="77777777" w:rsidR="00822C73" w:rsidRPr="00C02067" w:rsidRDefault="00822C73" w:rsidP="00822C73">
      <w:pPr>
        <w:rPr>
          <w:sz w:val="22"/>
          <w:szCs w:val="22"/>
        </w:rPr>
      </w:pPr>
      <w:r w:rsidRPr="00C02067">
        <w:rPr>
          <w:sz w:val="22"/>
          <w:szCs w:val="22"/>
        </w:rPr>
        <w:t xml:space="preserve">Zur, I., Klöckner, C.A. 2012. Individual motivations for limiting meat consumption. British Food Journal. 116(4): 629-642. </w:t>
      </w:r>
    </w:p>
    <w:p w14:paraId="076A2DB7" w14:textId="77777777" w:rsidR="00822C73" w:rsidRPr="00C02067" w:rsidRDefault="00822C73" w:rsidP="00822C73">
      <w:pPr>
        <w:rPr>
          <w:sz w:val="22"/>
          <w:szCs w:val="22"/>
        </w:rPr>
      </w:pPr>
    </w:p>
    <w:p w14:paraId="33665DFB" w14:textId="77777777" w:rsidR="00423601" w:rsidRPr="00C02067" w:rsidRDefault="00423601" w:rsidP="00423601">
      <w:pPr>
        <w:rPr>
          <w:sz w:val="22"/>
          <w:szCs w:val="22"/>
        </w:rPr>
      </w:pPr>
    </w:p>
    <w:p w14:paraId="79303441" w14:textId="77777777" w:rsidR="00423601" w:rsidRPr="00C02067" w:rsidRDefault="00423601" w:rsidP="00423601">
      <w:pPr>
        <w:rPr>
          <w:sz w:val="22"/>
          <w:szCs w:val="22"/>
        </w:rPr>
      </w:pPr>
    </w:p>
    <w:p w14:paraId="4951AC28" w14:textId="77777777" w:rsidR="00423601" w:rsidRPr="00C02067" w:rsidRDefault="00423601" w:rsidP="00423601">
      <w:pPr>
        <w:rPr>
          <w:sz w:val="22"/>
          <w:szCs w:val="22"/>
        </w:rPr>
      </w:pPr>
    </w:p>
    <w:p w14:paraId="5D464ED3" w14:textId="77777777" w:rsidR="00423601" w:rsidRPr="00C02067" w:rsidRDefault="00423601" w:rsidP="00423601">
      <w:pPr>
        <w:rPr>
          <w:sz w:val="22"/>
          <w:szCs w:val="22"/>
        </w:rPr>
      </w:pPr>
    </w:p>
    <w:p w14:paraId="6D4ADBC0" w14:textId="77777777" w:rsidR="00423601" w:rsidRPr="00C02067" w:rsidRDefault="00423601" w:rsidP="00423601">
      <w:pPr>
        <w:rPr>
          <w:sz w:val="22"/>
          <w:szCs w:val="22"/>
        </w:rPr>
      </w:pPr>
    </w:p>
    <w:p w14:paraId="6BDD528D" w14:textId="77777777" w:rsidR="00423601" w:rsidRPr="00C02067" w:rsidRDefault="00423601" w:rsidP="00423601">
      <w:pPr>
        <w:rPr>
          <w:sz w:val="22"/>
          <w:szCs w:val="22"/>
        </w:rPr>
      </w:pPr>
    </w:p>
    <w:p w14:paraId="24B4EA87" w14:textId="77777777" w:rsidR="00423601" w:rsidRPr="00C02067" w:rsidRDefault="00423601" w:rsidP="00423601">
      <w:pPr>
        <w:rPr>
          <w:sz w:val="22"/>
          <w:szCs w:val="22"/>
        </w:rPr>
      </w:pPr>
    </w:p>
    <w:p w14:paraId="4B9607E5" w14:textId="77777777" w:rsidR="00423601" w:rsidRPr="00C02067" w:rsidRDefault="00423601" w:rsidP="00423601">
      <w:pPr>
        <w:rPr>
          <w:sz w:val="22"/>
          <w:szCs w:val="22"/>
        </w:rPr>
      </w:pPr>
    </w:p>
    <w:p w14:paraId="55B9C7A3" w14:textId="77777777" w:rsidR="00423601" w:rsidRPr="00C02067" w:rsidRDefault="00423601" w:rsidP="00423601">
      <w:pPr>
        <w:rPr>
          <w:sz w:val="22"/>
          <w:szCs w:val="22"/>
        </w:rPr>
      </w:pPr>
    </w:p>
    <w:p w14:paraId="532CA430" w14:textId="77777777" w:rsidR="00423601" w:rsidRPr="00C02067" w:rsidRDefault="00423601" w:rsidP="00423601">
      <w:pPr>
        <w:rPr>
          <w:sz w:val="22"/>
          <w:szCs w:val="22"/>
        </w:rPr>
      </w:pPr>
    </w:p>
    <w:p w14:paraId="72A39575" w14:textId="77777777" w:rsidR="00423601" w:rsidRPr="00C02067" w:rsidRDefault="00423601" w:rsidP="00423601">
      <w:pPr>
        <w:rPr>
          <w:sz w:val="22"/>
          <w:szCs w:val="22"/>
        </w:rPr>
      </w:pPr>
    </w:p>
    <w:p w14:paraId="6CAB2AAF" w14:textId="77777777" w:rsidR="007E2792" w:rsidRDefault="007E2792">
      <w:pPr>
        <w:rPr>
          <w:b/>
          <w:sz w:val="32"/>
          <w:u w:val="single"/>
        </w:rPr>
      </w:pPr>
      <w:r>
        <w:rPr>
          <w:b/>
          <w:sz w:val="32"/>
          <w:u w:val="single"/>
        </w:rPr>
        <w:br w:type="page"/>
      </w:r>
    </w:p>
    <w:p w14:paraId="26CAB54A" w14:textId="37D11F51" w:rsidR="005D62B7" w:rsidRPr="00423601" w:rsidRDefault="005D62B7" w:rsidP="005D62B7">
      <w:pPr>
        <w:rPr>
          <w:b/>
          <w:sz w:val="32"/>
          <w:u w:val="single"/>
        </w:rPr>
      </w:pPr>
      <w:r w:rsidRPr="00423601">
        <w:rPr>
          <w:b/>
          <w:sz w:val="32"/>
          <w:u w:val="single"/>
        </w:rPr>
        <w:t>Appendix 1</w:t>
      </w:r>
    </w:p>
    <w:p w14:paraId="4999ABE1" w14:textId="77777777" w:rsidR="005D62B7" w:rsidRDefault="005D62B7" w:rsidP="005D62B7">
      <w:pPr>
        <w:rPr>
          <w:b/>
          <w:sz w:val="28"/>
        </w:rPr>
      </w:pPr>
    </w:p>
    <w:p w14:paraId="2763A1F8" w14:textId="77777777" w:rsidR="005D62B7" w:rsidRPr="009A03D0" w:rsidRDefault="005D62B7" w:rsidP="005D62B7">
      <w:pPr>
        <w:spacing w:line="480" w:lineRule="auto"/>
        <w:jc w:val="both"/>
        <w:rPr>
          <w:b/>
          <w:color w:val="000000" w:themeColor="text1"/>
          <w:sz w:val="28"/>
          <w:lang w:val="en-CA"/>
        </w:rPr>
      </w:pPr>
    </w:p>
    <w:p w14:paraId="344968A8" w14:textId="77777777" w:rsidR="005D62B7" w:rsidRDefault="005D62B7" w:rsidP="005D62B7">
      <w:r>
        <w:rPr>
          <w:noProof/>
        </w:rPr>
        <w:drawing>
          <wp:inline distT="0" distB="0" distL="0" distR="0" wp14:anchorId="69BD8914" wp14:editId="2740B5EF">
            <wp:extent cx="5943600" cy="4457700"/>
            <wp:effectExtent l="0" t="0" r="0" b="12700"/>
            <wp:docPr id="9" name="Picture 9" descr="Vegetarian%20Motivatio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egetarian%20Motivation.pdf"/>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7F40CC65" w14:textId="4E4C40B8" w:rsidR="005D62B7" w:rsidRDefault="00C34CB7" w:rsidP="005D62B7">
      <w:pPr>
        <w:jc w:val="both"/>
        <w:rPr>
          <w:sz w:val="22"/>
          <w:szCs w:val="22"/>
        </w:rPr>
      </w:pPr>
      <w:r>
        <w:rPr>
          <w:sz w:val="22"/>
          <w:szCs w:val="22"/>
        </w:rPr>
        <w:t>Figure 11</w:t>
      </w:r>
      <w:r w:rsidR="005D62B7">
        <w:rPr>
          <w:sz w:val="22"/>
          <w:szCs w:val="22"/>
        </w:rPr>
        <w:t xml:space="preserve">. Flow diagram of academic literature using the key search term “vegetarian* motivation”, obtained on the basis of the academic search protocol. The - character, symbolizes articles that were deemed ineligible on the basis of the exclusion criteria, while the + character, symbolizes additional articles that were included from cross-referencing. </w:t>
      </w:r>
    </w:p>
    <w:p w14:paraId="73EE36F3" w14:textId="77777777" w:rsidR="005D62B7" w:rsidRDefault="005D62B7" w:rsidP="005D62B7">
      <w:pPr>
        <w:rPr>
          <w:sz w:val="22"/>
          <w:szCs w:val="22"/>
        </w:rPr>
      </w:pPr>
    </w:p>
    <w:p w14:paraId="14BEF6A6" w14:textId="77777777" w:rsidR="005D62B7" w:rsidRDefault="005D62B7" w:rsidP="005D62B7">
      <w:pPr>
        <w:rPr>
          <w:sz w:val="22"/>
          <w:szCs w:val="22"/>
        </w:rPr>
      </w:pPr>
      <w:r>
        <w:rPr>
          <w:noProof/>
          <w:sz w:val="22"/>
          <w:szCs w:val="22"/>
        </w:rPr>
        <w:drawing>
          <wp:inline distT="0" distB="0" distL="0" distR="0" wp14:anchorId="78905A5A" wp14:editId="54E7284E">
            <wp:extent cx="5943600" cy="4457700"/>
            <wp:effectExtent l="0" t="0" r="0" b="12700"/>
            <wp:docPr id="10" name="Picture 10" descr="../Documents/UOttawa/MRP/Results/Vegetarian%20Barrier.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cuments/UOttawa/MRP/Results/Vegetarian%20Barrier.pdf"/>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7D090735" w14:textId="3AAE6471" w:rsidR="005D62B7" w:rsidRDefault="00C34CB7" w:rsidP="005D62B7">
      <w:pPr>
        <w:jc w:val="both"/>
        <w:rPr>
          <w:sz w:val="22"/>
          <w:szCs w:val="22"/>
        </w:rPr>
      </w:pPr>
      <w:r>
        <w:rPr>
          <w:sz w:val="22"/>
          <w:szCs w:val="22"/>
        </w:rPr>
        <w:t>Figure 12</w:t>
      </w:r>
      <w:r w:rsidR="005D62B7">
        <w:rPr>
          <w:sz w:val="22"/>
          <w:szCs w:val="22"/>
        </w:rPr>
        <w:t>. Flow diagram of academic literature using the key search term “vegetarian* barrier”, obtained on the basis of the academic search protocol. The - character, symbolizes articles that were deemed ineligible on the basis of the exclusion criteria, while the + character, symbolizes additional articles that were included from cross-referencing.</w:t>
      </w:r>
    </w:p>
    <w:p w14:paraId="5E667257" w14:textId="77777777" w:rsidR="005D62B7" w:rsidRDefault="005D62B7" w:rsidP="005D62B7">
      <w:pPr>
        <w:rPr>
          <w:sz w:val="22"/>
          <w:szCs w:val="22"/>
        </w:rPr>
      </w:pPr>
    </w:p>
    <w:p w14:paraId="1B3D57A3" w14:textId="77777777" w:rsidR="005D62B7" w:rsidRDefault="005D62B7" w:rsidP="005D62B7">
      <w:pPr>
        <w:rPr>
          <w:sz w:val="22"/>
          <w:szCs w:val="22"/>
        </w:rPr>
      </w:pPr>
      <w:r>
        <w:rPr>
          <w:noProof/>
          <w:sz w:val="22"/>
          <w:szCs w:val="22"/>
        </w:rPr>
        <w:drawing>
          <wp:inline distT="0" distB="0" distL="0" distR="0" wp14:anchorId="43020AAF" wp14:editId="4060A6F4">
            <wp:extent cx="5943600" cy="4457700"/>
            <wp:effectExtent l="0" t="0" r="0" b="12700"/>
            <wp:docPr id="11" name="Picture 11" descr="../Documents/UOttawa/MRP/Results/Vegetarian%20Environment.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cuments/UOttawa/MRP/Results/Vegetarian%20Environment.pd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1B57CE80" w14:textId="72464EB4" w:rsidR="005D62B7" w:rsidRDefault="005D62B7" w:rsidP="005D62B7">
      <w:pPr>
        <w:jc w:val="both"/>
        <w:rPr>
          <w:sz w:val="22"/>
          <w:szCs w:val="22"/>
        </w:rPr>
      </w:pPr>
      <w:r>
        <w:rPr>
          <w:sz w:val="22"/>
          <w:szCs w:val="22"/>
        </w:rPr>
        <w:t xml:space="preserve">Figure </w:t>
      </w:r>
      <w:r w:rsidR="00C34CB7">
        <w:rPr>
          <w:sz w:val="22"/>
          <w:szCs w:val="22"/>
        </w:rPr>
        <w:t>13</w:t>
      </w:r>
      <w:r>
        <w:rPr>
          <w:sz w:val="22"/>
          <w:szCs w:val="22"/>
        </w:rPr>
        <w:t>. Flow diagram of academic literature using the key search term “vegetarian* environment”, obtained on the basis of the academic search protocol. The - character, symbolizes articles that were deemed ineligible on the basis of the exclusion criteria, while the + character, symbolizes additional articles that were included from cross-referencing.</w:t>
      </w:r>
    </w:p>
    <w:p w14:paraId="1299C684" w14:textId="77777777" w:rsidR="005D62B7" w:rsidRDefault="005D62B7" w:rsidP="005D62B7">
      <w:pPr>
        <w:rPr>
          <w:sz w:val="22"/>
          <w:szCs w:val="22"/>
        </w:rPr>
      </w:pPr>
    </w:p>
    <w:p w14:paraId="30616A67" w14:textId="77777777" w:rsidR="005D62B7" w:rsidRDefault="005D62B7" w:rsidP="005D62B7">
      <w:pPr>
        <w:rPr>
          <w:sz w:val="22"/>
          <w:szCs w:val="22"/>
        </w:rPr>
      </w:pPr>
      <w:r>
        <w:rPr>
          <w:noProof/>
          <w:sz w:val="22"/>
          <w:szCs w:val="22"/>
        </w:rPr>
        <w:drawing>
          <wp:inline distT="0" distB="0" distL="0" distR="0" wp14:anchorId="56F1AE23" wp14:editId="10B26A35">
            <wp:extent cx="5943600" cy="4457700"/>
            <wp:effectExtent l="0" t="0" r="0" b="12700"/>
            <wp:docPr id="13" name="Picture 13" descr="../Documents/UOttawa/MRP/Results/Influence%20on%20Consumptio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cuments/UOttawa/MRP/Results/Influence%20on%20Consumption.pd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243BD0F4" w14:textId="68441839" w:rsidR="005D62B7" w:rsidRDefault="00C34CB7" w:rsidP="005D62B7">
      <w:pPr>
        <w:jc w:val="both"/>
        <w:rPr>
          <w:sz w:val="22"/>
          <w:szCs w:val="22"/>
        </w:rPr>
      </w:pPr>
      <w:r>
        <w:rPr>
          <w:sz w:val="22"/>
          <w:szCs w:val="22"/>
        </w:rPr>
        <w:t>Figure 14</w:t>
      </w:r>
      <w:r w:rsidR="005D62B7">
        <w:rPr>
          <w:sz w:val="22"/>
          <w:szCs w:val="22"/>
        </w:rPr>
        <w:t>. Flow diagram of academic literature using the key search term “influence on consumption”, obtained on the basis of the academic search protocol. The - character, symbolizes articles that were deemed ineligible on the basis of the exclusion criteria, while the + character, symbolizes additional articles that were included from cross-referencing.</w:t>
      </w:r>
    </w:p>
    <w:p w14:paraId="25CBEAD2" w14:textId="77777777" w:rsidR="005D62B7" w:rsidRDefault="005D62B7" w:rsidP="005D62B7">
      <w:pPr>
        <w:rPr>
          <w:sz w:val="22"/>
          <w:szCs w:val="22"/>
        </w:rPr>
      </w:pPr>
    </w:p>
    <w:p w14:paraId="1AFC4D63" w14:textId="77777777" w:rsidR="005D62B7" w:rsidRDefault="005D62B7" w:rsidP="005D62B7">
      <w:pPr>
        <w:rPr>
          <w:sz w:val="22"/>
          <w:szCs w:val="22"/>
        </w:rPr>
      </w:pPr>
      <w:r>
        <w:rPr>
          <w:noProof/>
          <w:sz w:val="22"/>
          <w:szCs w:val="22"/>
        </w:rPr>
        <w:drawing>
          <wp:inline distT="0" distB="0" distL="0" distR="0" wp14:anchorId="27A11F8A" wp14:editId="6B43B205">
            <wp:extent cx="5943600" cy="4457700"/>
            <wp:effectExtent l="0" t="0" r="0" b="12700"/>
            <wp:docPr id="14" name="Picture 14" descr="../Documents/UOttawa/MRP/Results/Meat%20Consumptio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ocuments/UOttawa/MRP/Results/Meat%20Consumption.pd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5C31934C" w14:textId="0D8CB6D6" w:rsidR="005D62B7" w:rsidRDefault="00C34CB7" w:rsidP="005D62B7">
      <w:pPr>
        <w:jc w:val="both"/>
        <w:rPr>
          <w:sz w:val="22"/>
          <w:szCs w:val="22"/>
        </w:rPr>
      </w:pPr>
      <w:r>
        <w:rPr>
          <w:sz w:val="22"/>
          <w:szCs w:val="22"/>
        </w:rPr>
        <w:t>Figure 15</w:t>
      </w:r>
      <w:r w:rsidR="005D62B7">
        <w:rPr>
          <w:sz w:val="22"/>
          <w:szCs w:val="22"/>
        </w:rPr>
        <w:t>. Flow diagram of academic literature using the key search term “meat consumption”, obtained on the basis of the academic search protocol. The - character, symbolizes articles that were deemed ineligible on the basis of the exclusion criteria, while the + character, symbolizes additional articles that were included from cross-referencing.</w:t>
      </w:r>
    </w:p>
    <w:p w14:paraId="74ECBD9F" w14:textId="77777777" w:rsidR="005D62B7" w:rsidRDefault="005D62B7" w:rsidP="005D62B7">
      <w:pPr>
        <w:rPr>
          <w:sz w:val="22"/>
          <w:szCs w:val="22"/>
        </w:rPr>
      </w:pPr>
    </w:p>
    <w:p w14:paraId="393375FF" w14:textId="77777777" w:rsidR="005D62B7" w:rsidRDefault="005D62B7" w:rsidP="005D62B7">
      <w:pPr>
        <w:rPr>
          <w:sz w:val="22"/>
          <w:szCs w:val="22"/>
        </w:rPr>
      </w:pPr>
      <w:r>
        <w:rPr>
          <w:noProof/>
          <w:sz w:val="22"/>
          <w:szCs w:val="22"/>
        </w:rPr>
        <w:drawing>
          <wp:inline distT="0" distB="0" distL="0" distR="0" wp14:anchorId="1F114F32" wp14:editId="761801DC">
            <wp:extent cx="5943600" cy="4457700"/>
            <wp:effectExtent l="0" t="0" r="0" b="12700"/>
            <wp:docPr id="15" name="Picture 15" descr="../Documents/UOttawa/MRP/Results/Promotion%20of%20Vegetaria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cuments/UOttawa/MRP/Results/Promotion%20of%20Vegetarian.pdf"/>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06428D95" w14:textId="4DA15AF4" w:rsidR="005D62B7" w:rsidRDefault="00C34CB7" w:rsidP="005D62B7">
      <w:pPr>
        <w:jc w:val="both"/>
        <w:rPr>
          <w:sz w:val="22"/>
          <w:szCs w:val="22"/>
        </w:rPr>
      </w:pPr>
      <w:r>
        <w:rPr>
          <w:sz w:val="22"/>
          <w:szCs w:val="22"/>
        </w:rPr>
        <w:t>Figure 16</w:t>
      </w:r>
      <w:r w:rsidR="005D62B7">
        <w:rPr>
          <w:sz w:val="22"/>
          <w:szCs w:val="22"/>
        </w:rPr>
        <w:t>. Flow diagram of academic literature using the key search term “promotion of vegetarian*”, obtained on the basis of the academic search protocol. The - character, symbolizes articles that were deemed ineligible on the basis of the exclusion criteria, while the + character, symbolizes additional articles that were included from cross-referencing.</w:t>
      </w:r>
    </w:p>
    <w:p w14:paraId="423E4DB8" w14:textId="77777777" w:rsidR="005D62B7" w:rsidRDefault="005D62B7" w:rsidP="005D62B7">
      <w:pPr>
        <w:rPr>
          <w:sz w:val="22"/>
          <w:szCs w:val="22"/>
        </w:rPr>
      </w:pPr>
    </w:p>
    <w:p w14:paraId="6B385559" w14:textId="77777777" w:rsidR="005D62B7" w:rsidRDefault="005D62B7" w:rsidP="005D62B7">
      <w:pPr>
        <w:rPr>
          <w:sz w:val="22"/>
          <w:szCs w:val="22"/>
        </w:rPr>
      </w:pPr>
      <w:r>
        <w:rPr>
          <w:noProof/>
          <w:sz w:val="22"/>
          <w:szCs w:val="22"/>
        </w:rPr>
        <w:drawing>
          <wp:inline distT="0" distB="0" distL="0" distR="0" wp14:anchorId="120C46D1" wp14:editId="7C0576FF">
            <wp:extent cx="5943600" cy="4457700"/>
            <wp:effectExtent l="0" t="0" r="0" b="12700"/>
            <wp:docPr id="16" name="Picture 16" descr="../Documents/UOttawa/MRP/Results/Environmentally%20Significant%20Consumptio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ocuments/UOttawa/MRP/Results/Environmentally%20Significant%20Consumption.pd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6B2F1870" w14:textId="307BE6F5" w:rsidR="005D62B7" w:rsidRDefault="00C34CB7" w:rsidP="005D62B7">
      <w:pPr>
        <w:jc w:val="both"/>
        <w:rPr>
          <w:sz w:val="22"/>
          <w:szCs w:val="22"/>
        </w:rPr>
      </w:pPr>
      <w:r>
        <w:rPr>
          <w:sz w:val="22"/>
          <w:szCs w:val="22"/>
        </w:rPr>
        <w:t>Figure 17</w:t>
      </w:r>
      <w:r w:rsidR="005D62B7">
        <w:rPr>
          <w:sz w:val="22"/>
          <w:szCs w:val="22"/>
        </w:rPr>
        <w:t>. Flow diagram of academic literature using the key search term “environmentally significant consumption”, obtained on the basis of the academic search protocol. The - character, symbolizes articles that were deemed ineligible on the basis of the exclusion criteria, while the + character, symbolizes additional articles that were included from cross-referencing.</w:t>
      </w:r>
    </w:p>
    <w:p w14:paraId="08C96A1E" w14:textId="77777777" w:rsidR="005D62B7" w:rsidRDefault="005D62B7" w:rsidP="005D62B7">
      <w:pPr>
        <w:rPr>
          <w:sz w:val="22"/>
          <w:szCs w:val="22"/>
        </w:rPr>
      </w:pPr>
    </w:p>
    <w:p w14:paraId="31F8A3E4" w14:textId="77777777" w:rsidR="005D62B7" w:rsidRDefault="005D62B7" w:rsidP="005D62B7">
      <w:pPr>
        <w:rPr>
          <w:sz w:val="22"/>
          <w:szCs w:val="22"/>
        </w:rPr>
      </w:pPr>
      <w:r>
        <w:rPr>
          <w:noProof/>
          <w:sz w:val="22"/>
          <w:szCs w:val="22"/>
        </w:rPr>
        <w:drawing>
          <wp:inline distT="0" distB="0" distL="0" distR="0" wp14:anchorId="78B301E1" wp14:editId="065C0EA7">
            <wp:extent cx="5943600" cy="4457700"/>
            <wp:effectExtent l="0" t="0" r="0" b="12700"/>
            <wp:docPr id="17" name="Picture 17" descr="../Documents/UOttawa/MRP/Results/Limit%20Vegetaria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ocuments/UOttawa/MRP/Results/Limit%20Vegetarian.pdf"/>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2AB43500" w14:textId="1EB377E9" w:rsidR="005D62B7" w:rsidRDefault="00C34CB7" w:rsidP="005D62B7">
      <w:pPr>
        <w:jc w:val="both"/>
        <w:rPr>
          <w:sz w:val="22"/>
          <w:szCs w:val="22"/>
        </w:rPr>
      </w:pPr>
      <w:r>
        <w:rPr>
          <w:sz w:val="22"/>
          <w:szCs w:val="22"/>
        </w:rPr>
        <w:t>Figure 18</w:t>
      </w:r>
      <w:r w:rsidR="005D62B7">
        <w:rPr>
          <w:sz w:val="22"/>
          <w:szCs w:val="22"/>
        </w:rPr>
        <w:t>. Flow diagram of academic literature using the key search term “limit vegetarian*”, obtained on the basis of the academic search protocol. The - character, symbolizes articles that were deemed ineligible on the basis of the exclusion criteria, while the + character, symbolizes additional articles that were included from cross-referencing.</w:t>
      </w:r>
    </w:p>
    <w:p w14:paraId="5E620C4D" w14:textId="77777777" w:rsidR="005D62B7" w:rsidRDefault="005D62B7" w:rsidP="005D62B7">
      <w:pPr>
        <w:rPr>
          <w:sz w:val="22"/>
          <w:szCs w:val="22"/>
        </w:rPr>
      </w:pPr>
    </w:p>
    <w:p w14:paraId="727ED4DD" w14:textId="77777777" w:rsidR="005D62B7" w:rsidRDefault="005D62B7" w:rsidP="005D62B7">
      <w:pPr>
        <w:rPr>
          <w:sz w:val="22"/>
          <w:szCs w:val="22"/>
        </w:rPr>
      </w:pPr>
      <w:r>
        <w:rPr>
          <w:noProof/>
          <w:sz w:val="22"/>
          <w:szCs w:val="22"/>
        </w:rPr>
        <w:drawing>
          <wp:inline distT="0" distB="0" distL="0" distR="0" wp14:anchorId="14AABE2A" wp14:editId="754E0C26">
            <wp:extent cx="5943600" cy="4457700"/>
            <wp:effectExtent l="0" t="0" r="0" b="12700"/>
            <wp:docPr id="20" name="Picture 20" descr="../Documents/UOttawa/MRP/Results/Obstacle%20Vegetaria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ocuments/UOttawa/MRP/Results/Obstacle%20Vegetarian.pd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06B91BE6" w14:textId="4D8EE937" w:rsidR="005D62B7" w:rsidRDefault="00C34CB7" w:rsidP="005D62B7">
      <w:pPr>
        <w:jc w:val="both"/>
        <w:rPr>
          <w:sz w:val="22"/>
          <w:szCs w:val="22"/>
        </w:rPr>
      </w:pPr>
      <w:r>
        <w:rPr>
          <w:sz w:val="22"/>
          <w:szCs w:val="22"/>
        </w:rPr>
        <w:t>Figure 19</w:t>
      </w:r>
      <w:r w:rsidR="005D62B7">
        <w:rPr>
          <w:sz w:val="22"/>
          <w:szCs w:val="22"/>
        </w:rPr>
        <w:t>. Flow diagram of academic literature using the key search term “obstacle vegetarian*”, obtained on the basis of the academic search protocol. The - character, symbolizes articles that were deemed ineligible on the basis of the exclusion criteria, while the + character, symbolizes additional articles that were included from cross-referencing.</w:t>
      </w:r>
    </w:p>
    <w:p w14:paraId="066FF28B" w14:textId="77777777" w:rsidR="005D62B7" w:rsidRDefault="005D62B7" w:rsidP="005D62B7">
      <w:pPr>
        <w:rPr>
          <w:sz w:val="22"/>
          <w:szCs w:val="22"/>
        </w:rPr>
      </w:pPr>
    </w:p>
    <w:p w14:paraId="0FB86384" w14:textId="77777777" w:rsidR="005D62B7" w:rsidRDefault="005D62B7" w:rsidP="005D62B7">
      <w:pPr>
        <w:rPr>
          <w:sz w:val="22"/>
          <w:szCs w:val="22"/>
        </w:rPr>
      </w:pPr>
    </w:p>
    <w:p w14:paraId="2FCE6817" w14:textId="77777777" w:rsidR="005D62B7" w:rsidRDefault="005D62B7" w:rsidP="005D62B7">
      <w:pPr>
        <w:rPr>
          <w:sz w:val="22"/>
          <w:szCs w:val="22"/>
        </w:rPr>
      </w:pPr>
      <w:r>
        <w:rPr>
          <w:noProof/>
          <w:sz w:val="22"/>
          <w:szCs w:val="22"/>
        </w:rPr>
        <w:drawing>
          <wp:inline distT="0" distB="0" distL="0" distR="0" wp14:anchorId="4E35052A" wp14:editId="631403BB">
            <wp:extent cx="5943600" cy="4457700"/>
            <wp:effectExtent l="0" t="0" r="0" b="12700"/>
            <wp:docPr id="21" name="Picture 21" descr="../Documents/UOttawa/MRP/Results/Advertise%20Food.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ocuments/UOttawa/MRP/Results/Advertise%20Food.pd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1C7C097B" w14:textId="6A1F2498" w:rsidR="005D62B7" w:rsidRDefault="00C34CB7" w:rsidP="005D62B7">
      <w:pPr>
        <w:jc w:val="both"/>
        <w:rPr>
          <w:sz w:val="22"/>
          <w:szCs w:val="22"/>
        </w:rPr>
      </w:pPr>
      <w:r>
        <w:rPr>
          <w:sz w:val="22"/>
          <w:szCs w:val="22"/>
        </w:rPr>
        <w:t>Figure 20</w:t>
      </w:r>
      <w:r w:rsidR="005D62B7">
        <w:rPr>
          <w:sz w:val="22"/>
          <w:szCs w:val="22"/>
        </w:rPr>
        <w:t>. Flow diagram of academic literature using the key search term “advertise food”, obtained on the basis of the academic search protocol. The - character, symbolizes articles that were deemed ineligible on the basis of the exclusion criteria, while the + character, symbolizes additional articles that were included from cross-referencing.</w:t>
      </w:r>
    </w:p>
    <w:p w14:paraId="5D848654" w14:textId="77777777" w:rsidR="005D62B7" w:rsidRDefault="005D62B7" w:rsidP="005D62B7">
      <w:pPr>
        <w:rPr>
          <w:sz w:val="22"/>
          <w:szCs w:val="22"/>
        </w:rPr>
      </w:pPr>
    </w:p>
    <w:p w14:paraId="40222BC4" w14:textId="77777777" w:rsidR="005D62B7" w:rsidRDefault="005D62B7" w:rsidP="005D62B7">
      <w:pPr>
        <w:rPr>
          <w:sz w:val="22"/>
          <w:szCs w:val="22"/>
        </w:rPr>
      </w:pPr>
      <w:r>
        <w:rPr>
          <w:noProof/>
          <w:sz w:val="22"/>
          <w:szCs w:val="22"/>
        </w:rPr>
        <w:drawing>
          <wp:inline distT="0" distB="0" distL="0" distR="0" wp14:anchorId="11E01738" wp14:editId="5CE7839A">
            <wp:extent cx="5943600" cy="4457700"/>
            <wp:effectExtent l="0" t="0" r="0" b="12700"/>
            <wp:docPr id="22" name="Picture 22" descr="../Documents/UOttawa/MRP/Results/Reducing%20Meat%20Consumption%20Gov..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ocuments/UOttawa/MRP/Results/Reducing%20Meat%20Consumption%20Gov..pd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79F5E394" w14:textId="1FDDBBD4" w:rsidR="005D62B7" w:rsidRDefault="00C34CB7" w:rsidP="005D62B7">
      <w:pPr>
        <w:jc w:val="both"/>
        <w:rPr>
          <w:sz w:val="22"/>
          <w:szCs w:val="22"/>
        </w:rPr>
      </w:pPr>
      <w:r>
        <w:rPr>
          <w:sz w:val="22"/>
          <w:szCs w:val="22"/>
        </w:rPr>
        <w:t>Figure 21</w:t>
      </w:r>
      <w:r w:rsidR="005D62B7">
        <w:rPr>
          <w:sz w:val="22"/>
          <w:szCs w:val="22"/>
        </w:rPr>
        <w:t>. Flow diagram of academic literature using the key search term “reducing meat consumption + government”, obtained on the basis of the academic search protocol. The - character, symbolizes articles that were deemed ineligible on the basis of the exclusion criteria, while the + character, symbolizes additional articles that were included from cross-referencing.</w:t>
      </w:r>
    </w:p>
    <w:p w14:paraId="69289BC0" w14:textId="77777777" w:rsidR="005D62B7" w:rsidRDefault="005D62B7" w:rsidP="005D62B7">
      <w:pPr>
        <w:rPr>
          <w:sz w:val="22"/>
          <w:szCs w:val="22"/>
        </w:rPr>
      </w:pPr>
    </w:p>
    <w:p w14:paraId="55EBFFAC" w14:textId="77777777" w:rsidR="005D62B7" w:rsidRDefault="005D62B7" w:rsidP="005D62B7">
      <w:pPr>
        <w:rPr>
          <w:sz w:val="22"/>
          <w:szCs w:val="22"/>
        </w:rPr>
      </w:pPr>
      <w:r>
        <w:rPr>
          <w:noProof/>
          <w:sz w:val="22"/>
          <w:szCs w:val="22"/>
        </w:rPr>
        <w:drawing>
          <wp:inline distT="0" distB="0" distL="0" distR="0" wp14:anchorId="38B096FE" wp14:editId="699D6543">
            <wp:extent cx="5943600" cy="4457700"/>
            <wp:effectExtent l="0" t="0" r="0" b="12700"/>
            <wp:docPr id="23" name="Picture 23" descr="../Documents/UOttawa/MRP/Results/Consumer%20Characteristics.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ocuments/UOttawa/MRP/Results/Consumer%20Characteristics.pd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59BC4B0A" w14:textId="4CA777A1" w:rsidR="005D62B7" w:rsidRDefault="00C34CB7" w:rsidP="005D62B7">
      <w:pPr>
        <w:jc w:val="both"/>
        <w:rPr>
          <w:sz w:val="22"/>
          <w:szCs w:val="22"/>
        </w:rPr>
      </w:pPr>
      <w:r>
        <w:rPr>
          <w:sz w:val="22"/>
          <w:szCs w:val="22"/>
        </w:rPr>
        <w:t>Figure 22</w:t>
      </w:r>
      <w:r w:rsidR="005D62B7">
        <w:rPr>
          <w:sz w:val="22"/>
          <w:szCs w:val="22"/>
        </w:rPr>
        <w:t>. Flow diagram of academic literature using the key search term “consumer characteristics + government”, obtained on the basis of the academic search protocol. The - character, symbolizes articles that were deemed ineligible on the basis of the exclusion criteria, while the + character, symbolizes additional articles that were included from cross-referencing.</w:t>
      </w:r>
    </w:p>
    <w:p w14:paraId="2797AB81" w14:textId="77777777" w:rsidR="005D62B7" w:rsidRDefault="005D62B7" w:rsidP="005D62B7">
      <w:pPr>
        <w:rPr>
          <w:sz w:val="22"/>
          <w:szCs w:val="22"/>
        </w:rPr>
      </w:pPr>
    </w:p>
    <w:p w14:paraId="009B4AC9" w14:textId="77777777" w:rsidR="005D62B7" w:rsidRDefault="005D62B7" w:rsidP="005D62B7">
      <w:pPr>
        <w:rPr>
          <w:sz w:val="22"/>
          <w:szCs w:val="22"/>
        </w:rPr>
      </w:pPr>
      <w:r>
        <w:rPr>
          <w:noProof/>
          <w:sz w:val="22"/>
          <w:szCs w:val="22"/>
        </w:rPr>
        <w:drawing>
          <wp:inline distT="0" distB="0" distL="0" distR="0" wp14:anchorId="5642B71F" wp14:editId="5877FCCC">
            <wp:extent cx="5943600" cy="4457700"/>
            <wp:effectExtent l="0" t="0" r="0" b="12700"/>
            <wp:docPr id="24" name="Picture 24" descr="../Documents/UOttawa/MRP/Results/Sustainability%20Vega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ocuments/UOttawa/MRP/Results/Sustainability%20Vegan.pd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6090A91B" w14:textId="251028D8" w:rsidR="005D62B7" w:rsidRDefault="00C34CB7" w:rsidP="005D62B7">
      <w:pPr>
        <w:jc w:val="both"/>
        <w:rPr>
          <w:sz w:val="22"/>
          <w:szCs w:val="22"/>
        </w:rPr>
      </w:pPr>
      <w:r>
        <w:rPr>
          <w:sz w:val="22"/>
          <w:szCs w:val="22"/>
        </w:rPr>
        <w:t>Figure 23</w:t>
      </w:r>
      <w:r w:rsidR="005D62B7">
        <w:rPr>
          <w:sz w:val="22"/>
          <w:szCs w:val="22"/>
        </w:rPr>
        <w:t>. Flow diagram of academic literature using the</w:t>
      </w:r>
      <w:r w:rsidR="005A3795">
        <w:rPr>
          <w:sz w:val="22"/>
          <w:szCs w:val="22"/>
        </w:rPr>
        <w:t xml:space="preserve"> key search term “sustainable +</w:t>
      </w:r>
      <w:r w:rsidR="005D62B7">
        <w:rPr>
          <w:sz w:val="22"/>
          <w:szCs w:val="22"/>
        </w:rPr>
        <w:t xml:space="preserve"> vegan”, obtained on the basis of the academic search protocol. The - character, symbolizes articles that were deemed ineligible on the basis of the exclusion criteria, while the + character, symbolizes additional articles that were included from cross-referencing.</w:t>
      </w:r>
    </w:p>
    <w:p w14:paraId="28B45178" w14:textId="77777777" w:rsidR="005D62B7" w:rsidRDefault="005D62B7" w:rsidP="005D62B7">
      <w:pPr>
        <w:rPr>
          <w:sz w:val="22"/>
          <w:szCs w:val="22"/>
        </w:rPr>
      </w:pPr>
    </w:p>
    <w:p w14:paraId="28A633AC" w14:textId="77777777" w:rsidR="005D62B7" w:rsidRDefault="005D62B7" w:rsidP="005D62B7">
      <w:pPr>
        <w:rPr>
          <w:sz w:val="22"/>
          <w:szCs w:val="22"/>
        </w:rPr>
      </w:pPr>
      <w:r>
        <w:rPr>
          <w:noProof/>
          <w:sz w:val="22"/>
          <w:szCs w:val="22"/>
        </w:rPr>
        <w:drawing>
          <wp:inline distT="0" distB="0" distL="0" distR="0" wp14:anchorId="0E2A0477" wp14:editId="7CFA0159">
            <wp:extent cx="5943600" cy="4461510"/>
            <wp:effectExtent l="0" t="0" r="0" b="8890"/>
            <wp:docPr id="8" name="Picture 8" descr="../Documents/UOttawa/MRP/Results/Vegan%20Barrier.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cuments/UOttawa/MRP/Results/Vegan%20Barrier.pdf"/>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4461510"/>
                    </a:xfrm>
                    <a:prstGeom prst="rect">
                      <a:avLst/>
                    </a:prstGeom>
                    <a:noFill/>
                    <a:ln>
                      <a:noFill/>
                    </a:ln>
                  </pic:spPr>
                </pic:pic>
              </a:graphicData>
            </a:graphic>
          </wp:inline>
        </w:drawing>
      </w:r>
    </w:p>
    <w:p w14:paraId="0B19277A" w14:textId="0B285DEF" w:rsidR="005D62B7" w:rsidRDefault="00C34CB7" w:rsidP="005D62B7">
      <w:pPr>
        <w:jc w:val="both"/>
        <w:rPr>
          <w:sz w:val="22"/>
          <w:szCs w:val="22"/>
        </w:rPr>
      </w:pPr>
      <w:r>
        <w:rPr>
          <w:sz w:val="22"/>
          <w:szCs w:val="22"/>
        </w:rPr>
        <w:t>Figure 24</w:t>
      </w:r>
      <w:r w:rsidR="005D62B7">
        <w:rPr>
          <w:sz w:val="22"/>
          <w:szCs w:val="22"/>
        </w:rPr>
        <w:t>. Flow diagram of academic literature using the key search term “vegan barrier”, obtained on the basis of the academic search protocol. The - character, symbolizes articles that were deemed ineligible on the basis of the exclusion criteria, while the + character, symbolizes additional articles that were included from cross-referencing.</w:t>
      </w:r>
    </w:p>
    <w:p w14:paraId="5F0C2C90" w14:textId="77777777" w:rsidR="005D62B7" w:rsidRDefault="005D62B7" w:rsidP="005D62B7">
      <w:pPr>
        <w:rPr>
          <w:sz w:val="22"/>
          <w:szCs w:val="22"/>
        </w:rPr>
      </w:pPr>
    </w:p>
    <w:p w14:paraId="711687D2" w14:textId="77777777" w:rsidR="005D62B7" w:rsidRDefault="005D62B7" w:rsidP="005D62B7">
      <w:pPr>
        <w:rPr>
          <w:sz w:val="22"/>
          <w:szCs w:val="22"/>
        </w:rPr>
      </w:pPr>
      <w:r>
        <w:rPr>
          <w:noProof/>
          <w:sz w:val="22"/>
          <w:szCs w:val="22"/>
        </w:rPr>
        <w:drawing>
          <wp:inline distT="0" distB="0" distL="0" distR="0" wp14:anchorId="1E12B569" wp14:editId="4EC63D35">
            <wp:extent cx="5943600" cy="4457700"/>
            <wp:effectExtent l="0" t="0" r="0" b="12700"/>
            <wp:docPr id="26" name="Picture 26" descr="../Documents/UOttawa/MRP/Results/Sustainable%20Food%20Consumption%20Polic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ocuments/UOttawa/MRP/Results/Sustainable%20Food%20Consumption%20Policy.pdf"/>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086578A1" w14:textId="7B68426E" w:rsidR="005D62B7" w:rsidRDefault="00C34CB7" w:rsidP="005D62B7">
      <w:pPr>
        <w:jc w:val="both"/>
        <w:rPr>
          <w:sz w:val="22"/>
          <w:szCs w:val="22"/>
        </w:rPr>
      </w:pPr>
      <w:r>
        <w:rPr>
          <w:sz w:val="22"/>
          <w:szCs w:val="22"/>
        </w:rPr>
        <w:t>Figure 25</w:t>
      </w:r>
      <w:r w:rsidR="005D62B7">
        <w:rPr>
          <w:sz w:val="22"/>
          <w:szCs w:val="22"/>
        </w:rPr>
        <w:t>. Flow diagram of academic literature using the key search term “sustainable food consumption policy”, obtained on the basis of the academic search protocol. The - character, symbolizes articles that were deemed ineligible on the basis of the exclusion criteria, while the + character, symbolizes additional articles that were included from cross-referencing.</w:t>
      </w:r>
    </w:p>
    <w:p w14:paraId="37D17D59" w14:textId="77777777" w:rsidR="005D62B7" w:rsidRDefault="005D62B7" w:rsidP="005D62B7">
      <w:pPr>
        <w:rPr>
          <w:sz w:val="22"/>
          <w:szCs w:val="22"/>
        </w:rPr>
      </w:pPr>
    </w:p>
    <w:p w14:paraId="7AC29665" w14:textId="77777777" w:rsidR="005D62B7" w:rsidRDefault="005D62B7" w:rsidP="005D62B7">
      <w:pPr>
        <w:rPr>
          <w:sz w:val="22"/>
          <w:szCs w:val="22"/>
        </w:rPr>
      </w:pPr>
    </w:p>
    <w:p w14:paraId="1610A372" w14:textId="77777777" w:rsidR="005D62B7" w:rsidRDefault="005D62B7" w:rsidP="005D62B7">
      <w:pPr>
        <w:rPr>
          <w:sz w:val="22"/>
          <w:szCs w:val="22"/>
        </w:rPr>
      </w:pPr>
    </w:p>
    <w:p w14:paraId="175AFE8B" w14:textId="77777777" w:rsidR="005D62B7" w:rsidRDefault="005D62B7" w:rsidP="005D62B7">
      <w:pPr>
        <w:rPr>
          <w:sz w:val="22"/>
          <w:szCs w:val="22"/>
        </w:rPr>
      </w:pPr>
    </w:p>
    <w:p w14:paraId="18E3E1D5" w14:textId="77777777" w:rsidR="005D62B7" w:rsidRDefault="005D62B7" w:rsidP="005D62B7">
      <w:pPr>
        <w:rPr>
          <w:sz w:val="22"/>
          <w:szCs w:val="22"/>
        </w:rPr>
      </w:pPr>
    </w:p>
    <w:p w14:paraId="795B58DB" w14:textId="77777777" w:rsidR="005D62B7" w:rsidRDefault="005D62B7" w:rsidP="005D62B7">
      <w:pPr>
        <w:rPr>
          <w:sz w:val="22"/>
          <w:szCs w:val="22"/>
        </w:rPr>
      </w:pPr>
    </w:p>
    <w:p w14:paraId="406CB767" w14:textId="77777777" w:rsidR="005D62B7" w:rsidRDefault="005D62B7" w:rsidP="005D62B7">
      <w:pPr>
        <w:rPr>
          <w:sz w:val="22"/>
          <w:szCs w:val="22"/>
        </w:rPr>
      </w:pPr>
    </w:p>
    <w:p w14:paraId="25C4CF59" w14:textId="77777777" w:rsidR="005D62B7" w:rsidRDefault="005D62B7" w:rsidP="005D62B7">
      <w:pPr>
        <w:rPr>
          <w:sz w:val="22"/>
          <w:szCs w:val="22"/>
        </w:rPr>
      </w:pPr>
    </w:p>
    <w:p w14:paraId="0A535683" w14:textId="77777777" w:rsidR="005D62B7" w:rsidRDefault="005D62B7" w:rsidP="005D62B7">
      <w:pPr>
        <w:rPr>
          <w:sz w:val="22"/>
          <w:szCs w:val="22"/>
        </w:rPr>
      </w:pPr>
    </w:p>
    <w:p w14:paraId="3A2A9683" w14:textId="77777777" w:rsidR="005D62B7" w:rsidRDefault="005D62B7" w:rsidP="005D62B7">
      <w:pPr>
        <w:rPr>
          <w:sz w:val="22"/>
          <w:szCs w:val="22"/>
        </w:rPr>
      </w:pPr>
    </w:p>
    <w:p w14:paraId="0EDCFEE7" w14:textId="77777777" w:rsidR="005D62B7" w:rsidRDefault="005D62B7" w:rsidP="005D62B7">
      <w:pPr>
        <w:rPr>
          <w:sz w:val="22"/>
          <w:szCs w:val="22"/>
        </w:rPr>
      </w:pPr>
    </w:p>
    <w:p w14:paraId="4F2B9931" w14:textId="77777777" w:rsidR="005D62B7" w:rsidRDefault="005D62B7" w:rsidP="005D62B7">
      <w:pPr>
        <w:rPr>
          <w:sz w:val="22"/>
          <w:szCs w:val="22"/>
        </w:rPr>
      </w:pPr>
    </w:p>
    <w:p w14:paraId="56A0CC42" w14:textId="77777777" w:rsidR="005D62B7" w:rsidRDefault="005D62B7" w:rsidP="005D62B7">
      <w:pPr>
        <w:rPr>
          <w:sz w:val="22"/>
          <w:szCs w:val="22"/>
        </w:rPr>
      </w:pPr>
    </w:p>
    <w:p w14:paraId="71C8E98C" w14:textId="77777777" w:rsidR="005D62B7" w:rsidRDefault="005D62B7" w:rsidP="005D62B7">
      <w:pPr>
        <w:rPr>
          <w:sz w:val="22"/>
          <w:szCs w:val="22"/>
        </w:rPr>
      </w:pPr>
    </w:p>
    <w:p w14:paraId="43B49D70" w14:textId="77777777" w:rsidR="005D62B7" w:rsidRDefault="005D62B7" w:rsidP="005D62B7">
      <w:pPr>
        <w:rPr>
          <w:sz w:val="22"/>
          <w:szCs w:val="22"/>
        </w:rPr>
      </w:pPr>
    </w:p>
    <w:p w14:paraId="0308BC04" w14:textId="77777777" w:rsidR="005D62B7" w:rsidRDefault="005D62B7" w:rsidP="005D62B7">
      <w:pPr>
        <w:rPr>
          <w:sz w:val="22"/>
          <w:szCs w:val="22"/>
        </w:rPr>
      </w:pPr>
    </w:p>
    <w:p w14:paraId="01218F44" w14:textId="77777777" w:rsidR="005D62B7" w:rsidRDefault="005D62B7" w:rsidP="005D62B7">
      <w:pPr>
        <w:rPr>
          <w:sz w:val="22"/>
          <w:szCs w:val="22"/>
        </w:rPr>
      </w:pPr>
    </w:p>
    <w:p w14:paraId="7F81E4D1" w14:textId="77777777" w:rsidR="005D62B7" w:rsidRDefault="005D62B7" w:rsidP="005D62B7">
      <w:pPr>
        <w:rPr>
          <w:sz w:val="22"/>
          <w:szCs w:val="22"/>
        </w:rPr>
      </w:pPr>
    </w:p>
    <w:p w14:paraId="353410D8" w14:textId="77777777" w:rsidR="005D62B7" w:rsidRDefault="005D62B7" w:rsidP="005D62B7">
      <w:pPr>
        <w:jc w:val="both"/>
        <w:outlineLvl w:val="0"/>
        <w:rPr>
          <w:sz w:val="22"/>
          <w:szCs w:val="22"/>
        </w:rPr>
      </w:pPr>
    </w:p>
    <w:p w14:paraId="64636B20" w14:textId="77777777" w:rsidR="00C34CB7" w:rsidRDefault="005D62B7" w:rsidP="00C34CB7">
      <w:pPr>
        <w:rPr>
          <w:b/>
          <w:sz w:val="32"/>
          <w:u w:val="single"/>
        </w:rPr>
      </w:pPr>
      <w:r w:rsidRPr="00423601">
        <w:rPr>
          <w:b/>
          <w:sz w:val="32"/>
          <w:u w:val="single"/>
        </w:rPr>
        <w:t>Appendix 2</w:t>
      </w:r>
    </w:p>
    <w:p w14:paraId="1D0DAFA7" w14:textId="77777777" w:rsidR="00C34CB7" w:rsidRDefault="00C34CB7" w:rsidP="00C34CB7">
      <w:pPr>
        <w:rPr>
          <w:b/>
          <w:sz w:val="32"/>
          <w:u w:val="single"/>
        </w:rPr>
      </w:pPr>
    </w:p>
    <w:tbl>
      <w:tblPr>
        <w:tblStyle w:val="TableGrid"/>
        <w:tblW w:w="0" w:type="auto"/>
        <w:tblInd w:w="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1"/>
        <w:gridCol w:w="2977"/>
        <w:gridCol w:w="2380"/>
      </w:tblGrid>
      <w:tr w:rsidR="008C6863" w:rsidRPr="008C6863" w14:paraId="57622824" w14:textId="77777777" w:rsidTr="008C6863">
        <w:tc>
          <w:tcPr>
            <w:tcW w:w="3711" w:type="dxa"/>
          </w:tcPr>
          <w:p w14:paraId="3009F54E" w14:textId="6BAAD441" w:rsidR="00C34CB7" w:rsidRPr="008C6863" w:rsidRDefault="00C34CB7" w:rsidP="00C34CB7">
            <w:pPr>
              <w:rPr>
                <w:b/>
                <w:sz w:val="28"/>
              </w:rPr>
            </w:pPr>
            <w:r w:rsidRPr="008C6863">
              <w:rPr>
                <w:b/>
                <w:sz w:val="28"/>
              </w:rPr>
              <w:t>Codes</w:t>
            </w:r>
          </w:p>
        </w:tc>
        <w:tc>
          <w:tcPr>
            <w:tcW w:w="2977" w:type="dxa"/>
          </w:tcPr>
          <w:p w14:paraId="0914887B" w14:textId="139DA007" w:rsidR="00C34CB7" w:rsidRPr="008C6863" w:rsidRDefault="00C34CB7" w:rsidP="00C34CB7">
            <w:pPr>
              <w:rPr>
                <w:b/>
                <w:sz w:val="28"/>
              </w:rPr>
            </w:pPr>
            <w:r w:rsidRPr="008C6863">
              <w:rPr>
                <w:b/>
                <w:sz w:val="28"/>
              </w:rPr>
              <w:t>Categories</w:t>
            </w:r>
          </w:p>
        </w:tc>
        <w:tc>
          <w:tcPr>
            <w:tcW w:w="2380" w:type="dxa"/>
          </w:tcPr>
          <w:p w14:paraId="73C493AC" w14:textId="2110DAED" w:rsidR="00C34CB7" w:rsidRPr="008C6863" w:rsidRDefault="00C34CB7" w:rsidP="00C34CB7">
            <w:pPr>
              <w:rPr>
                <w:b/>
                <w:sz w:val="28"/>
              </w:rPr>
            </w:pPr>
            <w:r w:rsidRPr="008C6863">
              <w:rPr>
                <w:b/>
                <w:sz w:val="28"/>
              </w:rPr>
              <w:t>Themes</w:t>
            </w:r>
          </w:p>
        </w:tc>
      </w:tr>
    </w:tbl>
    <w:p w14:paraId="1480EEC2" w14:textId="77777777" w:rsidR="008C6863" w:rsidRDefault="008C6863" w:rsidP="00C34CB7">
      <w:pPr>
        <w:rPr>
          <w:b/>
          <w:sz w:val="32"/>
        </w:rPr>
      </w:pPr>
    </w:p>
    <w:p w14:paraId="47F21D28" w14:textId="3D837972" w:rsidR="008C6863" w:rsidRDefault="008C6863" w:rsidP="00C34CB7">
      <w:pPr>
        <w:rPr>
          <w:b/>
          <w:sz w:val="32"/>
        </w:rPr>
      </w:pPr>
      <w:r>
        <w:rPr>
          <w:noProof/>
          <w:sz w:val="22"/>
          <w:szCs w:val="22"/>
        </w:rPr>
        <w:drawing>
          <wp:inline distT="0" distB="0" distL="0" distR="0" wp14:anchorId="3B4ACE77" wp14:editId="3CCF430D">
            <wp:extent cx="5943600" cy="2194560"/>
            <wp:effectExtent l="0" t="0" r="0" b="0"/>
            <wp:docPr id="36" name="Picture 36" descr="../Documents/UOttawa/MRP/Results/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ocuments/UOttawa/MRP/Results/2.pdf"/>
                    <pic:cNvPicPr>
                      <a:picLocks noChangeAspect="1" noChangeArrowheads="1"/>
                    </pic:cNvPicPr>
                  </pic:nvPicPr>
                  <pic:blipFill rotWithShape="1">
                    <a:blip r:embed="rId38">
                      <a:extLst>
                        <a:ext uri="{28A0092B-C50C-407E-A947-70E740481C1C}">
                          <a14:useLocalDpi xmlns:a14="http://schemas.microsoft.com/office/drawing/2010/main" val="0"/>
                        </a:ext>
                      </a:extLst>
                    </a:blip>
                    <a:srcRect b="72308"/>
                    <a:stretch/>
                  </pic:blipFill>
                  <pic:spPr bwMode="auto">
                    <a:xfrm>
                      <a:off x="0" y="0"/>
                      <a:ext cx="5943600" cy="2194560"/>
                    </a:xfrm>
                    <a:prstGeom prst="rect">
                      <a:avLst/>
                    </a:prstGeom>
                    <a:noFill/>
                    <a:ln>
                      <a:noFill/>
                    </a:ln>
                    <a:extLst>
                      <a:ext uri="{53640926-AAD7-44D8-BBD7-CCE9431645EC}">
                        <a14:shadowObscured xmlns:a14="http://schemas.microsoft.com/office/drawing/2010/main"/>
                      </a:ext>
                    </a:extLst>
                  </pic:spPr>
                </pic:pic>
              </a:graphicData>
            </a:graphic>
          </wp:inline>
        </w:drawing>
      </w:r>
    </w:p>
    <w:p w14:paraId="623030E0" w14:textId="77777777" w:rsidR="00BB1AC0" w:rsidRDefault="00BB1AC0" w:rsidP="00BB1AC0">
      <w:pPr>
        <w:rPr>
          <w:sz w:val="22"/>
          <w:szCs w:val="22"/>
        </w:rPr>
      </w:pPr>
      <w:r>
        <w:t xml:space="preserve">Figure 26. </w:t>
      </w:r>
      <w:r>
        <w:rPr>
          <w:i/>
          <w:sz w:val="22"/>
          <w:szCs w:val="22"/>
        </w:rPr>
        <w:t xml:space="preserve">A </w:t>
      </w:r>
      <w:r>
        <w:rPr>
          <w:i/>
        </w:rPr>
        <w:t>posteriori</w:t>
      </w:r>
      <w:r>
        <w:rPr>
          <w:i/>
          <w:sz w:val="22"/>
          <w:szCs w:val="22"/>
        </w:rPr>
        <w:t xml:space="preserve"> </w:t>
      </w:r>
      <w:r>
        <w:rPr>
          <w:sz w:val="22"/>
          <w:szCs w:val="22"/>
        </w:rPr>
        <w:t>inductive coding scheme (codes-categories-themes) of academic journal articles influencing the theme of autonomy.</w:t>
      </w:r>
    </w:p>
    <w:p w14:paraId="148D395B" w14:textId="77777777" w:rsidR="00BB1AC0" w:rsidRDefault="00BB1AC0" w:rsidP="00BB1AC0">
      <w:pPr>
        <w:rPr>
          <w:sz w:val="22"/>
          <w:szCs w:val="22"/>
        </w:rPr>
      </w:pPr>
    </w:p>
    <w:p w14:paraId="08DE1414" w14:textId="77777777" w:rsidR="00BB1AC0" w:rsidRDefault="00BB1AC0" w:rsidP="00BB1AC0">
      <w:pPr>
        <w:rPr>
          <w:sz w:val="22"/>
          <w:szCs w:val="22"/>
        </w:rPr>
      </w:pPr>
    </w:p>
    <w:p w14:paraId="4AB509B3" w14:textId="77777777" w:rsidR="00BB1AC0" w:rsidRPr="008C6863" w:rsidRDefault="00BB1AC0" w:rsidP="00BB1AC0"/>
    <w:p w14:paraId="2E5561E5" w14:textId="77777777" w:rsidR="008C6863" w:rsidRPr="00BB1AC0" w:rsidRDefault="008C6863" w:rsidP="00C34CB7">
      <w:pPr>
        <w:rPr>
          <w:b/>
          <w:sz w:val="22"/>
        </w:rPr>
      </w:pPr>
    </w:p>
    <w:tbl>
      <w:tblPr>
        <w:tblStyle w:val="TableGrid"/>
        <w:tblW w:w="0" w:type="auto"/>
        <w:tblInd w:w="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1"/>
        <w:gridCol w:w="2977"/>
        <w:gridCol w:w="2380"/>
      </w:tblGrid>
      <w:tr w:rsidR="008C6863" w:rsidRPr="008C6863" w14:paraId="1CB5FC06" w14:textId="77777777" w:rsidTr="00F60263">
        <w:tc>
          <w:tcPr>
            <w:tcW w:w="3711" w:type="dxa"/>
          </w:tcPr>
          <w:p w14:paraId="5BFE9C6E" w14:textId="77777777" w:rsidR="008C6863" w:rsidRPr="008C6863" w:rsidRDefault="008C6863" w:rsidP="00F60263">
            <w:pPr>
              <w:rPr>
                <w:b/>
                <w:sz w:val="28"/>
              </w:rPr>
            </w:pPr>
            <w:r w:rsidRPr="008C6863">
              <w:rPr>
                <w:b/>
                <w:sz w:val="28"/>
              </w:rPr>
              <w:t>Codes</w:t>
            </w:r>
          </w:p>
        </w:tc>
        <w:tc>
          <w:tcPr>
            <w:tcW w:w="2977" w:type="dxa"/>
          </w:tcPr>
          <w:p w14:paraId="51C409E4" w14:textId="77777777" w:rsidR="008C6863" w:rsidRPr="008C6863" w:rsidRDefault="008C6863" w:rsidP="00F60263">
            <w:pPr>
              <w:rPr>
                <w:b/>
                <w:sz w:val="28"/>
              </w:rPr>
            </w:pPr>
            <w:r w:rsidRPr="008C6863">
              <w:rPr>
                <w:b/>
                <w:sz w:val="28"/>
              </w:rPr>
              <w:t>Categories</w:t>
            </w:r>
          </w:p>
        </w:tc>
        <w:tc>
          <w:tcPr>
            <w:tcW w:w="2380" w:type="dxa"/>
          </w:tcPr>
          <w:p w14:paraId="68BC592D" w14:textId="77777777" w:rsidR="008C6863" w:rsidRPr="008C6863" w:rsidRDefault="008C6863" w:rsidP="00F60263">
            <w:pPr>
              <w:rPr>
                <w:b/>
                <w:sz w:val="28"/>
              </w:rPr>
            </w:pPr>
            <w:r w:rsidRPr="008C6863">
              <w:rPr>
                <w:b/>
                <w:sz w:val="28"/>
              </w:rPr>
              <w:t>Themes</w:t>
            </w:r>
          </w:p>
        </w:tc>
      </w:tr>
    </w:tbl>
    <w:p w14:paraId="269FD016" w14:textId="77777777" w:rsidR="008C6863" w:rsidRPr="00BB1AC0" w:rsidRDefault="008C6863" w:rsidP="00C34CB7">
      <w:pPr>
        <w:rPr>
          <w:b/>
          <w:sz w:val="22"/>
        </w:rPr>
      </w:pPr>
    </w:p>
    <w:p w14:paraId="2DAB2227" w14:textId="1949EFC3" w:rsidR="008C6863" w:rsidRDefault="008C6863" w:rsidP="00C34CB7">
      <w:pPr>
        <w:rPr>
          <w:b/>
          <w:sz w:val="32"/>
        </w:rPr>
      </w:pPr>
      <w:r>
        <w:rPr>
          <w:noProof/>
          <w:sz w:val="22"/>
          <w:szCs w:val="22"/>
        </w:rPr>
        <w:drawing>
          <wp:inline distT="0" distB="0" distL="0" distR="0" wp14:anchorId="447FCB28" wp14:editId="529E65AF">
            <wp:extent cx="5943600" cy="3368548"/>
            <wp:effectExtent l="0" t="0" r="0" b="10160"/>
            <wp:docPr id="5" name="Picture 5" descr="../Documents/UOttawa/MRP/Results/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ocuments/UOttawa/MRP/Results/2.pdf"/>
                    <pic:cNvPicPr>
                      <a:picLocks noChangeAspect="1" noChangeArrowheads="1"/>
                    </pic:cNvPicPr>
                  </pic:nvPicPr>
                  <pic:blipFill rotWithShape="1">
                    <a:blip r:embed="rId38">
                      <a:extLst>
                        <a:ext uri="{28A0092B-C50C-407E-A947-70E740481C1C}">
                          <a14:useLocalDpi xmlns:a14="http://schemas.microsoft.com/office/drawing/2010/main" val="0"/>
                        </a:ext>
                      </a:extLst>
                    </a:blip>
                    <a:srcRect t="29769" b="27725"/>
                    <a:stretch/>
                  </pic:blipFill>
                  <pic:spPr bwMode="auto">
                    <a:xfrm>
                      <a:off x="0" y="0"/>
                      <a:ext cx="5943600" cy="3368548"/>
                    </a:xfrm>
                    <a:prstGeom prst="rect">
                      <a:avLst/>
                    </a:prstGeom>
                    <a:noFill/>
                    <a:ln>
                      <a:noFill/>
                    </a:ln>
                    <a:extLst>
                      <a:ext uri="{53640926-AAD7-44D8-BBD7-CCE9431645EC}">
                        <a14:shadowObscured xmlns:a14="http://schemas.microsoft.com/office/drawing/2010/main"/>
                      </a:ext>
                    </a:extLst>
                  </pic:spPr>
                </pic:pic>
              </a:graphicData>
            </a:graphic>
          </wp:inline>
        </w:drawing>
      </w:r>
    </w:p>
    <w:p w14:paraId="5E7DC930" w14:textId="357FC09D" w:rsidR="008C6863" w:rsidRPr="00BB1AC0" w:rsidRDefault="00BB1AC0" w:rsidP="00BB1AC0">
      <w:r>
        <w:t xml:space="preserve">Figure 27. </w:t>
      </w:r>
      <w:r>
        <w:rPr>
          <w:i/>
          <w:sz w:val="22"/>
          <w:szCs w:val="22"/>
        </w:rPr>
        <w:t xml:space="preserve">A </w:t>
      </w:r>
      <w:r>
        <w:rPr>
          <w:i/>
        </w:rPr>
        <w:t>posteriori</w:t>
      </w:r>
      <w:r>
        <w:rPr>
          <w:i/>
          <w:sz w:val="22"/>
          <w:szCs w:val="22"/>
        </w:rPr>
        <w:t xml:space="preserve"> </w:t>
      </w:r>
      <w:r>
        <w:rPr>
          <w:sz w:val="22"/>
          <w:szCs w:val="22"/>
        </w:rPr>
        <w:t>inductive coding scheme (codes-categories-themes) of academic journal articles influencing the theme of cognitive dissonance.</w:t>
      </w:r>
    </w:p>
    <w:tbl>
      <w:tblPr>
        <w:tblStyle w:val="TableGrid"/>
        <w:tblW w:w="0" w:type="auto"/>
        <w:tblInd w:w="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1"/>
        <w:gridCol w:w="2977"/>
        <w:gridCol w:w="2380"/>
      </w:tblGrid>
      <w:tr w:rsidR="008C6863" w:rsidRPr="008C6863" w14:paraId="6DC76403" w14:textId="77777777" w:rsidTr="008C6863">
        <w:tc>
          <w:tcPr>
            <w:tcW w:w="3711" w:type="dxa"/>
          </w:tcPr>
          <w:p w14:paraId="1D2A40A0" w14:textId="77777777" w:rsidR="008C6863" w:rsidRPr="008C6863" w:rsidRDefault="008C6863" w:rsidP="008C6863">
            <w:pPr>
              <w:spacing w:line="276" w:lineRule="auto"/>
              <w:rPr>
                <w:b/>
                <w:sz w:val="28"/>
              </w:rPr>
            </w:pPr>
            <w:r w:rsidRPr="008C6863">
              <w:rPr>
                <w:b/>
                <w:sz w:val="28"/>
              </w:rPr>
              <w:t>Codes</w:t>
            </w:r>
          </w:p>
        </w:tc>
        <w:tc>
          <w:tcPr>
            <w:tcW w:w="2977" w:type="dxa"/>
          </w:tcPr>
          <w:p w14:paraId="78FDFBD5" w14:textId="77777777" w:rsidR="008C6863" w:rsidRPr="008C6863" w:rsidRDefault="008C6863" w:rsidP="008C6863">
            <w:pPr>
              <w:spacing w:line="276" w:lineRule="auto"/>
              <w:rPr>
                <w:b/>
                <w:sz w:val="28"/>
              </w:rPr>
            </w:pPr>
            <w:r w:rsidRPr="008C6863">
              <w:rPr>
                <w:b/>
                <w:sz w:val="28"/>
              </w:rPr>
              <w:t>Categories</w:t>
            </w:r>
          </w:p>
        </w:tc>
        <w:tc>
          <w:tcPr>
            <w:tcW w:w="2380" w:type="dxa"/>
          </w:tcPr>
          <w:p w14:paraId="42B3260C" w14:textId="77777777" w:rsidR="008C6863" w:rsidRPr="008C6863" w:rsidRDefault="008C6863" w:rsidP="008C6863">
            <w:pPr>
              <w:spacing w:line="276" w:lineRule="auto"/>
              <w:rPr>
                <w:b/>
                <w:sz w:val="28"/>
              </w:rPr>
            </w:pPr>
            <w:r w:rsidRPr="008C6863">
              <w:rPr>
                <w:b/>
                <w:sz w:val="28"/>
              </w:rPr>
              <w:t>Themes</w:t>
            </w:r>
          </w:p>
        </w:tc>
      </w:tr>
    </w:tbl>
    <w:p w14:paraId="34022FEB" w14:textId="5FBB8927" w:rsidR="008C6863" w:rsidRDefault="008C6863" w:rsidP="00BB1AC0">
      <w:pPr>
        <w:spacing w:line="276" w:lineRule="auto"/>
      </w:pPr>
      <w:r>
        <w:rPr>
          <w:noProof/>
          <w:sz w:val="22"/>
          <w:szCs w:val="22"/>
        </w:rPr>
        <w:drawing>
          <wp:inline distT="0" distB="0" distL="0" distR="0" wp14:anchorId="38897822" wp14:editId="583A66E4">
            <wp:extent cx="5789930" cy="7589520"/>
            <wp:effectExtent l="0" t="0" r="1270" b="5080"/>
            <wp:docPr id="27" name="Picture 27" descr="../Documents/UOttawa/MRP/Results/3.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ocuments/UOttawa/MRP/Results/3.pdf"/>
                    <pic:cNvPicPr>
                      <a:picLocks noChangeAspect="1" noChangeArrowheads="1"/>
                    </pic:cNvPicPr>
                  </pic:nvPicPr>
                  <pic:blipFill rotWithShape="1">
                    <a:blip r:embed="rId39">
                      <a:extLst>
                        <a:ext uri="{28A0092B-C50C-407E-A947-70E740481C1C}">
                          <a14:useLocalDpi xmlns:a14="http://schemas.microsoft.com/office/drawing/2010/main" val="0"/>
                        </a:ext>
                      </a:extLst>
                    </a:blip>
                    <a:srcRect t="1169" b="522"/>
                    <a:stretch/>
                  </pic:blipFill>
                  <pic:spPr bwMode="auto">
                    <a:xfrm>
                      <a:off x="0" y="0"/>
                      <a:ext cx="5826972" cy="7638075"/>
                    </a:xfrm>
                    <a:prstGeom prst="rect">
                      <a:avLst/>
                    </a:prstGeom>
                    <a:noFill/>
                    <a:ln>
                      <a:noFill/>
                    </a:ln>
                    <a:extLst>
                      <a:ext uri="{53640926-AAD7-44D8-BBD7-CCE9431645EC}">
                        <a14:shadowObscured xmlns:a14="http://schemas.microsoft.com/office/drawing/2010/main"/>
                      </a:ext>
                    </a:extLst>
                  </pic:spPr>
                </pic:pic>
              </a:graphicData>
            </a:graphic>
          </wp:inline>
        </w:drawing>
      </w:r>
    </w:p>
    <w:p w14:paraId="68F5F7AA" w14:textId="725FC2C6" w:rsidR="008C6863" w:rsidRPr="00BB1AC0" w:rsidRDefault="00BB1AC0" w:rsidP="00BB1AC0">
      <w:pPr>
        <w:spacing w:line="276" w:lineRule="auto"/>
      </w:pPr>
      <w:r>
        <w:t xml:space="preserve">Figure 28. </w:t>
      </w:r>
      <w:r>
        <w:rPr>
          <w:i/>
          <w:sz w:val="22"/>
          <w:szCs w:val="22"/>
        </w:rPr>
        <w:t xml:space="preserve">A </w:t>
      </w:r>
      <w:r>
        <w:rPr>
          <w:i/>
        </w:rPr>
        <w:t>posteriori</w:t>
      </w:r>
      <w:r>
        <w:rPr>
          <w:i/>
          <w:sz w:val="22"/>
          <w:szCs w:val="22"/>
        </w:rPr>
        <w:t xml:space="preserve"> </w:t>
      </w:r>
      <w:r>
        <w:rPr>
          <w:sz w:val="22"/>
          <w:szCs w:val="22"/>
        </w:rPr>
        <w:t>inductive coding scheme (codes-categories-themes) of academic journal articles influencing the theme of information asymmetry.</w:t>
      </w:r>
    </w:p>
    <w:tbl>
      <w:tblPr>
        <w:tblStyle w:val="TableGrid"/>
        <w:tblW w:w="0" w:type="auto"/>
        <w:tblInd w:w="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1"/>
        <w:gridCol w:w="2977"/>
        <w:gridCol w:w="2380"/>
      </w:tblGrid>
      <w:tr w:rsidR="008C6863" w:rsidRPr="008C6863" w14:paraId="2A11A83E" w14:textId="77777777" w:rsidTr="00F60263">
        <w:tc>
          <w:tcPr>
            <w:tcW w:w="3711" w:type="dxa"/>
          </w:tcPr>
          <w:p w14:paraId="3F2B18CA" w14:textId="77777777" w:rsidR="008C6863" w:rsidRPr="008C6863" w:rsidRDefault="008C6863" w:rsidP="00F60263">
            <w:pPr>
              <w:rPr>
                <w:b/>
                <w:sz w:val="28"/>
              </w:rPr>
            </w:pPr>
            <w:r w:rsidRPr="008C6863">
              <w:rPr>
                <w:b/>
                <w:sz w:val="28"/>
              </w:rPr>
              <w:t>Codes</w:t>
            </w:r>
          </w:p>
        </w:tc>
        <w:tc>
          <w:tcPr>
            <w:tcW w:w="2977" w:type="dxa"/>
          </w:tcPr>
          <w:p w14:paraId="7362C3AA" w14:textId="77777777" w:rsidR="008C6863" w:rsidRPr="008C6863" w:rsidRDefault="008C6863" w:rsidP="00F60263">
            <w:pPr>
              <w:rPr>
                <w:b/>
                <w:sz w:val="28"/>
              </w:rPr>
            </w:pPr>
            <w:r w:rsidRPr="008C6863">
              <w:rPr>
                <w:b/>
                <w:sz w:val="28"/>
              </w:rPr>
              <w:t>Categories</w:t>
            </w:r>
          </w:p>
        </w:tc>
        <w:tc>
          <w:tcPr>
            <w:tcW w:w="2380" w:type="dxa"/>
          </w:tcPr>
          <w:p w14:paraId="2EF93922" w14:textId="77777777" w:rsidR="008C6863" w:rsidRPr="008C6863" w:rsidRDefault="008C6863" w:rsidP="00F60263">
            <w:pPr>
              <w:rPr>
                <w:b/>
                <w:sz w:val="28"/>
              </w:rPr>
            </w:pPr>
            <w:r w:rsidRPr="008C6863">
              <w:rPr>
                <w:b/>
                <w:sz w:val="28"/>
              </w:rPr>
              <w:t>Themes</w:t>
            </w:r>
          </w:p>
        </w:tc>
      </w:tr>
    </w:tbl>
    <w:p w14:paraId="027012AB" w14:textId="77777777" w:rsidR="008C6863" w:rsidRDefault="008C6863" w:rsidP="008C6863">
      <w:pPr>
        <w:rPr>
          <w:b/>
          <w:sz w:val="32"/>
        </w:rPr>
      </w:pPr>
    </w:p>
    <w:p w14:paraId="4C9EA249" w14:textId="77777777" w:rsidR="008C6863" w:rsidRDefault="008C6863" w:rsidP="008C6863"/>
    <w:p w14:paraId="2976FCEC" w14:textId="0FBFB7FC" w:rsidR="005D62B7" w:rsidRDefault="005D62B7" w:rsidP="00423601">
      <w:pPr>
        <w:spacing w:line="720" w:lineRule="auto"/>
        <w:rPr>
          <w:b/>
          <w:sz w:val="32"/>
          <w:u w:val="single"/>
        </w:rPr>
      </w:pPr>
      <w:r>
        <w:rPr>
          <w:noProof/>
          <w:sz w:val="22"/>
          <w:szCs w:val="22"/>
        </w:rPr>
        <w:drawing>
          <wp:inline distT="0" distB="0" distL="0" distR="0" wp14:anchorId="44B9A47C" wp14:editId="490208CD">
            <wp:extent cx="5943600" cy="6426200"/>
            <wp:effectExtent l="0" t="0" r="0" b="0"/>
            <wp:docPr id="38" name="Picture 38" descr="../Documents/UOttawa/MRP/Results/MRP%20Tables:Graphs.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ocuments/UOttawa/MRP/Results/MRP%20Tables:Graphs.pdf"/>
                    <pic:cNvPicPr>
                      <a:picLocks noChangeAspect="1" noChangeArrowheads="1"/>
                    </pic:cNvPicPr>
                  </pic:nvPicPr>
                  <pic:blipFill rotWithShape="1">
                    <a:blip r:embed="rId40">
                      <a:extLst>
                        <a:ext uri="{28A0092B-C50C-407E-A947-70E740481C1C}">
                          <a14:useLocalDpi xmlns:a14="http://schemas.microsoft.com/office/drawing/2010/main" val="0"/>
                        </a:ext>
                      </a:extLst>
                    </a:blip>
                    <a:srcRect b="18910"/>
                    <a:stretch/>
                  </pic:blipFill>
                  <pic:spPr bwMode="auto">
                    <a:xfrm>
                      <a:off x="0" y="0"/>
                      <a:ext cx="5943600" cy="6426200"/>
                    </a:xfrm>
                    <a:prstGeom prst="rect">
                      <a:avLst/>
                    </a:prstGeom>
                    <a:noFill/>
                    <a:ln>
                      <a:noFill/>
                    </a:ln>
                    <a:extLst>
                      <a:ext uri="{53640926-AAD7-44D8-BBD7-CCE9431645EC}">
                        <a14:shadowObscured xmlns:a14="http://schemas.microsoft.com/office/drawing/2010/main"/>
                      </a:ext>
                    </a:extLst>
                  </pic:spPr>
                </pic:pic>
              </a:graphicData>
            </a:graphic>
          </wp:inline>
        </w:drawing>
      </w:r>
    </w:p>
    <w:p w14:paraId="5EC01E0A" w14:textId="77777777" w:rsidR="00BB1AC0" w:rsidRPr="008C6863" w:rsidRDefault="00BB1AC0" w:rsidP="00BB1AC0">
      <w:r>
        <w:t xml:space="preserve">Figure 29. </w:t>
      </w:r>
      <w:r>
        <w:rPr>
          <w:i/>
          <w:sz w:val="22"/>
          <w:szCs w:val="22"/>
        </w:rPr>
        <w:t xml:space="preserve">A </w:t>
      </w:r>
      <w:r>
        <w:rPr>
          <w:i/>
        </w:rPr>
        <w:t>posteriori</w:t>
      </w:r>
      <w:r>
        <w:rPr>
          <w:i/>
          <w:sz w:val="22"/>
          <w:szCs w:val="22"/>
        </w:rPr>
        <w:t xml:space="preserve"> </w:t>
      </w:r>
      <w:r>
        <w:rPr>
          <w:sz w:val="22"/>
          <w:szCs w:val="22"/>
        </w:rPr>
        <w:t>inductive coding scheme (codes-categories-themes) of academic journal articles influencing the theme of social influence.</w:t>
      </w:r>
    </w:p>
    <w:p w14:paraId="798485FF" w14:textId="77777777" w:rsidR="008C6863" w:rsidRDefault="008C6863" w:rsidP="008C6863"/>
    <w:p w14:paraId="5DD31E41" w14:textId="77777777" w:rsidR="00BB1AC0" w:rsidRPr="00BB1AC0" w:rsidRDefault="00BB1AC0" w:rsidP="008C6863">
      <w:pPr>
        <w:rPr>
          <w:b/>
        </w:rPr>
      </w:pPr>
    </w:p>
    <w:tbl>
      <w:tblPr>
        <w:tblStyle w:val="TableGrid"/>
        <w:tblW w:w="0" w:type="auto"/>
        <w:tblInd w:w="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3"/>
        <w:gridCol w:w="3118"/>
        <w:gridCol w:w="2097"/>
      </w:tblGrid>
      <w:tr w:rsidR="008C6863" w:rsidRPr="008C6863" w14:paraId="78C000DF" w14:textId="77777777" w:rsidTr="008C6863">
        <w:tc>
          <w:tcPr>
            <w:tcW w:w="3853" w:type="dxa"/>
          </w:tcPr>
          <w:p w14:paraId="6C157AA6" w14:textId="77777777" w:rsidR="008C6863" w:rsidRPr="008C6863" w:rsidRDefault="008C6863" w:rsidP="00F60263">
            <w:pPr>
              <w:rPr>
                <w:b/>
                <w:sz w:val="28"/>
              </w:rPr>
            </w:pPr>
            <w:r w:rsidRPr="008C6863">
              <w:rPr>
                <w:b/>
                <w:sz w:val="28"/>
              </w:rPr>
              <w:t>Codes</w:t>
            </w:r>
          </w:p>
        </w:tc>
        <w:tc>
          <w:tcPr>
            <w:tcW w:w="3118" w:type="dxa"/>
          </w:tcPr>
          <w:p w14:paraId="0F0F2B9E" w14:textId="77777777" w:rsidR="008C6863" w:rsidRPr="008C6863" w:rsidRDefault="008C6863" w:rsidP="00F60263">
            <w:pPr>
              <w:rPr>
                <w:b/>
                <w:sz w:val="28"/>
              </w:rPr>
            </w:pPr>
            <w:r w:rsidRPr="008C6863">
              <w:rPr>
                <w:b/>
                <w:sz w:val="28"/>
              </w:rPr>
              <w:t>Categories</w:t>
            </w:r>
          </w:p>
        </w:tc>
        <w:tc>
          <w:tcPr>
            <w:tcW w:w="2097" w:type="dxa"/>
          </w:tcPr>
          <w:p w14:paraId="540902DF" w14:textId="77777777" w:rsidR="008C6863" w:rsidRPr="008C6863" w:rsidRDefault="008C6863" w:rsidP="00F60263">
            <w:pPr>
              <w:rPr>
                <w:b/>
                <w:sz w:val="28"/>
              </w:rPr>
            </w:pPr>
            <w:r w:rsidRPr="008C6863">
              <w:rPr>
                <w:b/>
                <w:sz w:val="28"/>
              </w:rPr>
              <w:t>Themes</w:t>
            </w:r>
          </w:p>
        </w:tc>
      </w:tr>
    </w:tbl>
    <w:p w14:paraId="40DAA699" w14:textId="4CCDA543" w:rsidR="008C6863" w:rsidRPr="00423601" w:rsidRDefault="008C6863" w:rsidP="00423601">
      <w:pPr>
        <w:spacing w:line="720" w:lineRule="auto"/>
        <w:rPr>
          <w:b/>
          <w:sz w:val="32"/>
          <w:u w:val="single"/>
        </w:rPr>
      </w:pPr>
      <w:r>
        <w:rPr>
          <w:noProof/>
          <w:sz w:val="22"/>
          <w:szCs w:val="22"/>
        </w:rPr>
        <w:drawing>
          <wp:inline distT="0" distB="0" distL="0" distR="0" wp14:anchorId="0849E12C" wp14:editId="4AA7764B">
            <wp:extent cx="5943600" cy="7467600"/>
            <wp:effectExtent l="0" t="0" r="0" b="0"/>
            <wp:docPr id="28" name="Picture 28" descr="../Documents/UOttawa/MRP/Results/4.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ocuments/UOttawa/MRP/Results/4.pdf"/>
                    <pic:cNvPicPr>
                      <a:picLocks noChangeAspect="1" noChangeArrowheads="1"/>
                    </pic:cNvPicPr>
                  </pic:nvPicPr>
                  <pic:blipFill rotWithShape="1">
                    <a:blip r:embed="rId41">
                      <a:extLst>
                        <a:ext uri="{28A0092B-C50C-407E-A947-70E740481C1C}">
                          <a14:useLocalDpi xmlns:a14="http://schemas.microsoft.com/office/drawing/2010/main" val="0"/>
                        </a:ext>
                      </a:extLst>
                    </a:blip>
                    <a:srcRect t="5769"/>
                    <a:stretch/>
                  </pic:blipFill>
                  <pic:spPr bwMode="auto">
                    <a:xfrm>
                      <a:off x="0" y="0"/>
                      <a:ext cx="5943600" cy="7467600"/>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eGrid"/>
        <w:tblW w:w="0" w:type="auto"/>
        <w:tblInd w:w="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3"/>
        <w:gridCol w:w="3118"/>
        <w:gridCol w:w="2097"/>
      </w:tblGrid>
      <w:tr w:rsidR="008C6863" w:rsidRPr="008C6863" w14:paraId="3689245B" w14:textId="77777777" w:rsidTr="00F60263">
        <w:tc>
          <w:tcPr>
            <w:tcW w:w="3853" w:type="dxa"/>
          </w:tcPr>
          <w:p w14:paraId="57E07FA3" w14:textId="77777777" w:rsidR="008C6863" w:rsidRPr="008C6863" w:rsidRDefault="008C6863" w:rsidP="00F60263">
            <w:pPr>
              <w:rPr>
                <w:b/>
                <w:sz w:val="28"/>
              </w:rPr>
            </w:pPr>
            <w:r w:rsidRPr="008C6863">
              <w:rPr>
                <w:b/>
                <w:sz w:val="28"/>
              </w:rPr>
              <w:t>Codes</w:t>
            </w:r>
          </w:p>
        </w:tc>
        <w:tc>
          <w:tcPr>
            <w:tcW w:w="3118" w:type="dxa"/>
          </w:tcPr>
          <w:p w14:paraId="5A8D7092" w14:textId="77777777" w:rsidR="008C6863" w:rsidRPr="008C6863" w:rsidRDefault="008C6863" w:rsidP="00F60263">
            <w:pPr>
              <w:rPr>
                <w:b/>
                <w:sz w:val="28"/>
              </w:rPr>
            </w:pPr>
            <w:r w:rsidRPr="008C6863">
              <w:rPr>
                <w:b/>
                <w:sz w:val="28"/>
              </w:rPr>
              <w:t>Categories</w:t>
            </w:r>
          </w:p>
        </w:tc>
        <w:tc>
          <w:tcPr>
            <w:tcW w:w="2097" w:type="dxa"/>
          </w:tcPr>
          <w:p w14:paraId="7F248181" w14:textId="77777777" w:rsidR="008C6863" w:rsidRPr="008C6863" w:rsidRDefault="008C6863" w:rsidP="00F60263">
            <w:pPr>
              <w:rPr>
                <w:b/>
                <w:sz w:val="28"/>
              </w:rPr>
            </w:pPr>
            <w:r w:rsidRPr="008C6863">
              <w:rPr>
                <w:b/>
                <w:sz w:val="28"/>
              </w:rPr>
              <w:t>Themes</w:t>
            </w:r>
          </w:p>
        </w:tc>
      </w:tr>
    </w:tbl>
    <w:p w14:paraId="098E8686" w14:textId="77777777" w:rsidR="005D62B7" w:rsidRDefault="005D62B7" w:rsidP="005D62B7">
      <w:pPr>
        <w:jc w:val="both"/>
        <w:outlineLvl w:val="0"/>
        <w:rPr>
          <w:sz w:val="22"/>
          <w:szCs w:val="22"/>
        </w:rPr>
      </w:pPr>
    </w:p>
    <w:p w14:paraId="3BCB7E53" w14:textId="77777777" w:rsidR="005D62B7" w:rsidRDefault="005D62B7" w:rsidP="005D62B7">
      <w:pPr>
        <w:jc w:val="both"/>
        <w:outlineLvl w:val="0"/>
        <w:rPr>
          <w:sz w:val="22"/>
          <w:szCs w:val="22"/>
        </w:rPr>
      </w:pPr>
      <w:r>
        <w:rPr>
          <w:noProof/>
          <w:sz w:val="22"/>
          <w:szCs w:val="22"/>
        </w:rPr>
        <w:drawing>
          <wp:inline distT="0" distB="0" distL="0" distR="0" wp14:anchorId="4F15AA2F" wp14:editId="0D2EA917">
            <wp:extent cx="5943600" cy="4064000"/>
            <wp:effectExtent l="0" t="0" r="0" b="0"/>
            <wp:docPr id="40" name="Picture 40" descr="../Documents/UOttawa/MRP/Final%20MRP/Results/5.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cuments/UOttawa/MRP/Final%20MRP/Results/5.pdf"/>
                    <pic:cNvPicPr>
                      <a:picLocks noChangeAspect="1" noChangeArrowheads="1"/>
                    </pic:cNvPicPr>
                  </pic:nvPicPr>
                  <pic:blipFill rotWithShape="1">
                    <a:blip r:embed="rId42">
                      <a:extLst>
                        <a:ext uri="{28A0092B-C50C-407E-A947-70E740481C1C}">
                          <a14:useLocalDpi xmlns:a14="http://schemas.microsoft.com/office/drawing/2010/main" val="0"/>
                        </a:ext>
                      </a:extLst>
                    </a:blip>
                    <a:srcRect b="48718"/>
                    <a:stretch/>
                  </pic:blipFill>
                  <pic:spPr bwMode="auto">
                    <a:xfrm>
                      <a:off x="0" y="0"/>
                      <a:ext cx="5943600" cy="4064000"/>
                    </a:xfrm>
                    <a:prstGeom prst="rect">
                      <a:avLst/>
                    </a:prstGeom>
                    <a:noFill/>
                    <a:ln>
                      <a:noFill/>
                    </a:ln>
                    <a:extLst>
                      <a:ext uri="{53640926-AAD7-44D8-BBD7-CCE9431645EC}">
                        <a14:shadowObscured xmlns:a14="http://schemas.microsoft.com/office/drawing/2010/main"/>
                      </a:ext>
                    </a:extLst>
                  </pic:spPr>
                </pic:pic>
              </a:graphicData>
            </a:graphic>
          </wp:inline>
        </w:drawing>
      </w:r>
    </w:p>
    <w:p w14:paraId="08BA001C" w14:textId="77777777" w:rsidR="005D62B7" w:rsidRDefault="005D62B7" w:rsidP="005D62B7">
      <w:pPr>
        <w:jc w:val="both"/>
        <w:outlineLvl w:val="0"/>
        <w:rPr>
          <w:sz w:val="22"/>
          <w:szCs w:val="22"/>
        </w:rPr>
      </w:pPr>
    </w:p>
    <w:p w14:paraId="62A2F05C" w14:textId="77777777" w:rsidR="005D62B7" w:rsidRDefault="005D62B7" w:rsidP="005D62B7">
      <w:pPr>
        <w:jc w:val="both"/>
        <w:outlineLvl w:val="0"/>
        <w:rPr>
          <w:sz w:val="22"/>
          <w:szCs w:val="22"/>
        </w:rPr>
      </w:pPr>
    </w:p>
    <w:p w14:paraId="39D8D7F5" w14:textId="77777777" w:rsidR="00BB1AC0" w:rsidRPr="008C6863" w:rsidRDefault="00BB1AC0" w:rsidP="00BB1AC0">
      <w:r>
        <w:t xml:space="preserve">Figure 30. </w:t>
      </w:r>
      <w:r>
        <w:rPr>
          <w:i/>
          <w:sz w:val="22"/>
          <w:szCs w:val="22"/>
        </w:rPr>
        <w:t xml:space="preserve">A </w:t>
      </w:r>
      <w:r>
        <w:rPr>
          <w:i/>
        </w:rPr>
        <w:t>posteriori</w:t>
      </w:r>
      <w:r>
        <w:rPr>
          <w:i/>
          <w:sz w:val="22"/>
          <w:szCs w:val="22"/>
        </w:rPr>
        <w:t xml:space="preserve"> </w:t>
      </w:r>
      <w:r>
        <w:rPr>
          <w:sz w:val="22"/>
          <w:szCs w:val="22"/>
        </w:rPr>
        <w:t>inductive coding scheme (codes-categories-themes) of academic journal articles influencing the theme of political economy.</w:t>
      </w:r>
    </w:p>
    <w:p w14:paraId="073C92D0" w14:textId="77777777" w:rsidR="00BB1AC0" w:rsidRDefault="00BB1AC0" w:rsidP="005D62B7">
      <w:pPr>
        <w:jc w:val="both"/>
        <w:outlineLvl w:val="0"/>
        <w:rPr>
          <w:sz w:val="22"/>
          <w:szCs w:val="22"/>
        </w:rPr>
      </w:pPr>
    </w:p>
    <w:p w14:paraId="7B10C701" w14:textId="77777777" w:rsidR="00BB1AC0" w:rsidRDefault="00BB1AC0" w:rsidP="005D62B7">
      <w:pPr>
        <w:jc w:val="both"/>
        <w:outlineLvl w:val="0"/>
        <w:rPr>
          <w:sz w:val="22"/>
          <w:szCs w:val="22"/>
        </w:rPr>
      </w:pPr>
    </w:p>
    <w:p w14:paraId="4DAF5EC2" w14:textId="77777777" w:rsidR="00BB1AC0" w:rsidRDefault="00BB1AC0" w:rsidP="005D62B7">
      <w:pPr>
        <w:jc w:val="both"/>
        <w:outlineLvl w:val="0"/>
        <w:rPr>
          <w:sz w:val="22"/>
          <w:szCs w:val="22"/>
        </w:rPr>
      </w:pPr>
    </w:p>
    <w:p w14:paraId="5BD319CF" w14:textId="77777777" w:rsidR="00BB1AC0" w:rsidRDefault="00BB1AC0" w:rsidP="005D62B7">
      <w:pPr>
        <w:jc w:val="both"/>
        <w:outlineLvl w:val="0"/>
        <w:rPr>
          <w:sz w:val="22"/>
          <w:szCs w:val="22"/>
        </w:rPr>
      </w:pPr>
    </w:p>
    <w:p w14:paraId="4C91F22A" w14:textId="77777777" w:rsidR="00BB1AC0" w:rsidRDefault="00BB1AC0" w:rsidP="005D62B7">
      <w:pPr>
        <w:jc w:val="both"/>
        <w:outlineLvl w:val="0"/>
        <w:rPr>
          <w:sz w:val="22"/>
          <w:szCs w:val="22"/>
        </w:rPr>
      </w:pPr>
    </w:p>
    <w:p w14:paraId="1604188A" w14:textId="77777777" w:rsidR="00BB1AC0" w:rsidRDefault="00BB1AC0" w:rsidP="005D62B7">
      <w:pPr>
        <w:jc w:val="both"/>
        <w:outlineLvl w:val="0"/>
        <w:rPr>
          <w:sz w:val="22"/>
          <w:szCs w:val="22"/>
        </w:rPr>
      </w:pPr>
    </w:p>
    <w:p w14:paraId="362E3376" w14:textId="77777777" w:rsidR="00BB1AC0" w:rsidRDefault="00BB1AC0" w:rsidP="005D62B7">
      <w:pPr>
        <w:jc w:val="both"/>
        <w:outlineLvl w:val="0"/>
        <w:rPr>
          <w:sz w:val="22"/>
          <w:szCs w:val="22"/>
        </w:rPr>
      </w:pPr>
    </w:p>
    <w:p w14:paraId="2578FABA" w14:textId="77777777" w:rsidR="00BB1AC0" w:rsidRDefault="00BB1AC0" w:rsidP="005D62B7">
      <w:pPr>
        <w:jc w:val="both"/>
        <w:outlineLvl w:val="0"/>
        <w:rPr>
          <w:sz w:val="22"/>
          <w:szCs w:val="22"/>
        </w:rPr>
      </w:pPr>
    </w:p>
    <w:p w14:paraId="2D3788A3" w14:textId="77777777" w:rsidR="00BB1AC0" w:rsidRDefault="00BB1AC0" w:rsidP="005D62B7">
      <w:pPr>
        <w:jc w:val="both"/>
        <w:outlineLvl w:val="0"/>
        <w:rPr>
          <w:sz w:val="22"/>
          <w:szCs w:val="22"/>
        </w:rPr>
      </w:pPr>
    </w:p>
    <w:p w14:paraId="4681B19A" w14:textId="77777777" w:rsidR="00BB1AC0" w:rsidRDefault="00BB1AC0" w:rsidP="005D62B7">
      <w:pPr>
        <w:jc w:val="both"/>
        <w:outlineLvl w:val="0"/>
        <w:rPr>
          <w:sz w:val="22"/>
          <w:szCs w:val="22"/>
        </w:rPr>
      </w:pPr>
    </w:p>
    <w:p w14:paraId="7887395C" w14:textId="77777777" w:rsidR="00BB1AC0" w:rsidRDefault="00BB1AC0" w:rsidP="005D62B7">
      <w:pPr>
        <w:jc w:val="both"/>
        <w:outlineLvl w:val="0"/>
        <w:rPr>
          <w:sz w:val="22"/>
          <w:szCs w:val="22"/>
        </w:rPr>
      </w:pPr>
    </w:p>
    <w:p w14:paraId="76B06525" w14:textId="77777777" w:rsidR="00BB1AC0" w:rsidRDefault="00BB1AC0" w:rsidP="005D62B7">
      <w:pPr>
        <w:jc w:val="both"/>
        <w:outlineLvl w:val="0"/>
        <w:rPr>
          <w:sz w:val="22"/>
          <w:szCs w:val="22"/>
        </w:rPr>
      </w:pPr>
    </w:p>
    <w:p w14:paraId="68253DD7" w14:textId="77777777" w:rsidR="00BB1AC0" w:rsidRDefault="00BB1AC0" w:rsidP="005D62B7">
      <w:pPr>
        <w:jc w:val="both"/>
        <w:outlineLvl w:val="0"/>
        <w:rPr>
          <w:sz w:val="22"/>
          <w:szCs w:val="22"/>
        </w:rPr>
      </w:pPr>
    </w:p>
    <w:p w14:paraId="77C2559E" w14:textId="77777777" w:rsidR="00BB1AC0" w:rsidRDefault="00BB1AC0" w:rsidP="005D62B7">
      <w:pPr>
        <w:jc w:val="both"/>
        <w:outlineLvl w:val="0"/>
        <w:rPr>
          <w:sz w:val="22"/>
          <w:szCs w:val="22"/>
        </w:rPr>
      </w:pPr>
    </w:p>
    <w:p w14:paraId="755B798B" w14:textId="77777777" w:rsidR="00BB1AC0" w:rsidRDefault="00BB1AC0" w:rsidP="005D62B7">
      <w:pPr>
        <w:jc w:val="both"/>
        <w:outlineLvl w:val="0"/>
        <w:rPr>
          <w:sz w:val="22"/>
          <w:szCs w:val="22"/>
        </w:rPr>
      </w:pPr>
    </w:p>
    <w:p w14:paraId="5152C01B" w14:textId="77777777" w:rsidR="00BB1AC0" w:rsidRDefault="00BB1AC0" w:rsidP="005D62B7">
      <w:pPr>
        <w:jc w:val="both"/>
        <w:outlineLvl w:val="0"/>
        <w:rPr>
          <w:sz w:val="22"/>
          <w:szCs w:val="22"/>
        </w:rPr>
      </w:pPr>
    </w:p>
    <w:p w14:paraId="6EA0BA53" w14:textId="77777777" w:rsidR="00BB1AC0" w:rsidRDefault="00BB1AC0" w:rsidP="005D62B7">
      <w:pPr>
        <w:jc w:val="both"/>
        <w:outlineLvl w:val="0"/>
        <w:rPr>
          <w:sz w:val="22"/>
          <w:szCs w:val="22"/>
        </w:rPr>
      </w:pPr>
    </w:p>
    <w:p w14:paraId="2718FF49" w14:textId="77777777" w:rsidR="00BB1AC0" w:rsidRDefault="00BB1AC0" w:rsidP="005D62B7">
      <w:pPr>
        <w:jc w:val="both"/>
        <w:outlineLvl w:val="0"/>
        <w:rPr>
          <w:sz w:val="22"/>
          <w:szCs w:val="22"/>
        </w:rPr>
      </w:pPr>
    </w:p>
    <w:p w14:paraId="05065430" w14:textId="77777777" w:rsidR="00BB1AC0" w:rsidRDefault="00BB1AC0" w:rsidP="005D62B7">
      <w:pPr>
        <w:jc w:val="both"/>
        <w:outlineLvl w:val="0"/>
        <w:rPr>
          <w:sz w:val="22"/>
          <w:szCs w:val="22"/>
        </w:rPr>
      </w:pPr>
    </w:p>
    <w:p w14:paraId="5ED85F8C" w14:textId="77777777" w:rsidR="00BB1AC0" w:rsidRDefault="00BB1AC0" w:rsidP="005D62B7">
      <w:pPr>
        <w:jc w:val="both"/>
        <w:outlineLvl w:val="0"/>
        <w:rPr>
          <w:sz w:val="22"/>
          <w:szCs w:val="22"/>
        </w:rPr>
      </w:pPr>
    </w:p>
    <w:tbl>
      <w:tblPr>
        <w:tblStyle w:val="TableGrid"/>
        <w:tblW w:w="0" w:type="auto"/>
        <w:tblInd w:w="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3"/>
        <w:gridCol w:w="3118"/>
        <w:gridCol w:w="2097"/>
      </w:tblGrid>
      <w:tr w:rsidR="00BB1AC0" w:rsidRPr="008C6863" w14:paraId="77DE4254" w14:textId="77777777" w:rsidTr="00F60263">
        <w:tc>
          <w:tcPr>
            <w:tcW w:w="3853" w:type="dxa"/>
          </w:tcPr>
          <w:p w14:paraId="1367FA45" w14:textId="77777777" w:rsidR="00BB1AC0" w:rsidRPr="008C6863" w:rsidRDefault="00BB1AC0" w:rsidP="00F60263">
            <w:pPr>
              <w:rPr>
                <w:b/>
                <w:sz w:val="28"/>
              </w:rPr>
            </w:pPr>
            <w:r w:rsidRPr="008C6863">
              <w:rPr>
                <w:b/>
                <w:sz w:val="28"/>
              </w:rPr>
              <w:t>Codes</w:t>
            </w:r>
          </w:p>
        </w:tc>
        <w:tc>
          <w:tcPr>
            <w:tcW w:w="3118" w:type="dxa"/>
          </w:tcPr>
          <w:p w14:paraId="16F8EED4" w14:textId="77777777" w:rsidR="00BB1AC0" w:rsidRPr="008C6863" w:rsidRDefault="00BB1AC0" w:rsidP="00F60263">
            <w:pPr>
              <w:rPr>
                <w:b/>
                <w:sz w:val="28"/>
              </w:rPr>
            </w:pPr>
            <w:r w:rsidRPr="008C6863">
              <w:rPr>
                <w:b/>
                <w:sz w:val="28"/>
              </w:rPr>
              <w:t>Categories</w:t>
            </w:r>
          </w:p>
        </w:tc>
        <w:tc>
          <w:tcPr>
            <w:tcW w:w="2097" w:type="dxa"/>
          </w:tcPr>
          <w:p w14:paraId="66EEF29C" w14:textId="77777777" w:rsidR="00BB1AC0" w:rsidRPr="008C6863" w:rsidRDefault="00BB1AC0" w:rsidP="00F60263">
            <w:pPr>
              <w:rPr>
                <w:b/>
                <w:sz w:val="28"/>
              </w:rPr>
            </w:pPr>
            <w:r w:rsidRPr="008C6863">
              <w:rPr>
                <w:b/>
                <w:sz w:val="28"/>
              </w:rPr>
              <w:t>Themes</w:t>
            </w:r>
          </w:p>
        </w:tc>
      </w:tr>
    </w:tbl>
    <w:p w14:paraId="2DD65AD9" w14:textId="77777777" w:rsidR="00BB1AC0" w:rsidRDefault="00BB1AC0" w:rsidP="005D62B7">
      <w:pPr>
        <w:jc w:val="both"/>
        <w:outlineLvl w:val="0"/>
        <w:rPr>
          <w:sz w:val="22"/>
          <w:szCs w:val="22"/>
        </w:rPr>
      </w:pPr>
    </w:p>
    <w:p w14:paraId="39759093" w14:textId="77777777" w:rsidR="005D62B7" w:rsidRDefault="005D62B7" w:rsidP="005D62B7">
      <w:pPr>
        <w:jc w:val="both"/>
        <w:outlineLvl w:val="0"/>
        <w:rPr>
          <w:sz w:val="22"/>
          <w:szCs w:val="22"/>
        </w:rPr>
      </w:pPr>
      <w:r>
        <w:rPr>
          <w:noProof/>
          <w:sz w:val="22"/>
          <w:szCs w:val="22"/>
        </w:rPr>
        <w:drawing>
          <wp:inline distT="0" distB="0" distL="0" distR="0" wp14:anchorId="52198CEE" wp14:editId="39405B6E">
            <wp:extent cx="5943600" cy="4152900"/>
            <wp:effectExtent l="0" t="0" r="0" b="12700"/>
            <wp:docPr id="41" name="Picture 41" descr="../Documents/UOttawa/MRP/Results/6.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ocuments/UOttawa/MRP/Results/6.pdf"/>
                    <pic:cNvPicPr>
                      <a:picLocks noChangeAspect="1" noChangeArrowheads="1"/>
                    </pic:cNvPicPr>
                  </pic:nvPicPr>
                  <pic:blipFill rotWithShape="1">
                    <a:blip r:embed="rId43">
                      <a:extLst>
                        <a:ext uri="{28A0092B-C50C-407E-A947-70E740481C1C}">
                          <a14:useLocalDpi xmlns:a14="http://schemas.microsoft.com/office/drawing/2010/main" val="0"/>
                        </a:ext>
                      </a:extLst>
                    </a:blip>
                    <a:srcRect t="5930" b="41666"/>
                    <a:stretch/>
                  </pic:blipFill>
                  <pic:spPr bwMode="auto">
                    <a:xfrm>
                      <a:off x="0" y="0"/>
                      <a:ext cx="5943600" cy="4152900"/>
                    </a:xfrm>
                    <a:prstGeom prst="rect">
                      <a:avLst/>
                    </a:prstGeom>
                    <a:noFill/>
                    <a:ln>
                      <a:noFill/>
                    </a:ln>
                    <a:extLst>
                      <a:ext uri="{53640926-AAD7-44D8-BBD7-CCE9431645EC}">
                        <a14:shadowObscured xmlns:a14="http://schemas.microsoft.com/office/drawing/2010/main"/>
                      </a:ext>
                    </a:extLst>
                  </pic:spPr>
                </pic:pic>
              </a:graphicData>
            </a:graphic>
          </wp:inline>
        </w:drawing>
      </w:r>
    </w:p>
    <w:p w14:paraId="6E3834D6" w14:textId="77777777" w:rsidR="005D62B7" w:rsidRDefault="005D62B7" w:rsidP="005D62B7">
      <w:pPr>
        <w:jc w:val="both"/>
        <w:outlineLvl w:val="0"/>
        <w:rPr>
          <w:sz w:val="22"/>
          <w:szCs w:val="22"/>
        </w:rPr>
      </w:pPr>
    </w:p>
    <w:p w14:paraId="24A393CB" w14:textId="77777777" w:rsidR="00BB1AC0" w:rsidRDefault="00BB1AC0" w:rsidP="005D62B7">
      <w:pPr>
        <w:jc w:val="both"/>
        <w:outlineLvl w:val="0"/>
        <w:rPr>
          <w:sz w:val="22"/>
          <w:szCs w:val="22"/>
        </w:rPr>
      </w:pPr>
    </w:p>
    <w:p w14:paraId="02D6D84E" w14:textId="1154B294" w:rsidR="00A11404" w:rsidRDefault="00A11404" w:rsidP="00A11404">
      <w:pPr>
        <w:rPr>
          <w:sz w:val="22"/>
          <w:szCs w:val="22"/>
        </w:rPr>
      </w:pPr>
      <w:r>
        <w:rPr>
          <w:sz w:val="22"/>
          <w:szCs w:val="22"/>
        </w:rPr>
        <w:t>Figure 31</w:t>
      </w:r>
      <w:r w:rsidR="005D62B7">
        <w:rPr>
          <w:sz w:val="22"/>
          <w:szCs w:val="22"/>
        </w:rPr>
        <w:t xml:space="preserve">. </w:t>
      </w:r>
      <w:r>
        <w:rPr>
          <w:i/>
          <w:sz w:val="22"/>
          <w:szCs w:val="22"/>
        </w:rPr>
        <w:t xml:space="preserve">A </w:t>
      </w:r>
      <w:r>
        <w:rPr>
          <w:i/>
        </w:rPr>
        <w:t>posteriori</w:t>
      </w:r>
      <w:r>
        <w:rPr>
          <w:i/>
          <w:sz w:val="22"/>
          <w:szCs w:val="22"/>
        </w:rPr>
        <w:t xml:space="preserve"> </w:t>
      </w:r>
      <w:r>
        <w:rPr>
          <w:sz w:val="22"/>
          <w:szCs w:val="22"/>
        </w:rPr>
        <w:t xml:space="preserve">inductive coding scheme (codes-categories-themes) underlying the 6 public webpages assessed for barriers to plant based diets.  </w:t>
      </w:r>
    </w:p>
    <w:p w14:paraId="7D4FE2FC" w14:textId="5A86DCF0" w:rsidR="005D62B7" w:rsidRDefault="005D62B7" w:rsidP="005D62B7">
      <w:pPr>
        <w:jc w:val="both"/>
        <w:outlineLvl w:val="0"/>
        <w:rPr>
          <w:sz w:val="22"/>
          <w:szCs w:val="22"/>
        </w:rPr>
      </w:pPr>
    </w:p>
    <w:p w14:paraId="7CC3D774" w14:textId="77777777" w:rsidR="005D62B7" w:rsidRDefault="005D62B7" w:rsidP="005D62B7">
      <w:pPr>
        <w:jc w:val="both"/>
        <w:outlineLvl w:val="0"/>
        <w:rPr>
          <w:sz w:val="22"/>
          <w:szCs w:val="22"/>
        </w:rPr>
      </w:pPr>
    </w:p>
    <w:p w14:paraId="1E085B4D" w14:textId="77777777" w:rsidR="00D65F93" w:rsidRDefault="00D65F93" w:rsidP="005D62B7">
      <w:pPr>
        <w:rPr>
          <w:sz w:val="22"/>
          <w:szCs w:val="22"/>
        </w:rPr>
      </w:pPr>
    </w:p>
    <w:p w14:paraId="41A36626" w14:textId="77777777" w:rsidR="00D65F93" w:rsidRDefault="00D65F93" w:rsidP="005D62B7">
      <w:pPr>
        <w:rPr>
          <w:sz w:val="22"/>
          <w:szCs w:val="22"/>
        </w:rPr>
      </w:pPr>
    </w:p>
    <w:p w14:paraId="34929D17" w14:textId="77777777" w:rsidR="00D65F93" w:rsidRDefault="00D65F93" w:rsidP="005D62B7">
      <w:pPr>
        <w:rPr>
          <w:sz w:val="22"/>
          <w:szCs w:val="22"/>
        </w:rPr>
      </w:pPr>
    </w:p>
    <w:p w14:paraId="77A15AA9" w14:textId="77777777" w:rsidR="00D65F93" w:rsidRDefault="00D65F93" w:rsidP="005D62B7">
      <w:pPr>
        <w:rPr>
          <w:sz w:val="22"/>
          <w:szCs w:val="22"/>
        </w:rPr>
      </w:pPr>
    </w:p>
    <w:p w14:paraId="04200766" w14:textId="77777777" w:rsidR="00D65F93" w:rsidRDefault="00D65F93" w:rsidP="005D62B7">
      <w:pPr>
        <w:rPr>
          <w:sz w:val="22"/>
          <w:szCs w:val="22"/>
        </w:rPr>
      </w:pPr>
    </w:p>
    <w:p w14:paraId="5BC88D39" w14:textId="77777777" w:rsidR="00D65F93" w:rsidRDefault="00D65F93" w:rsidP="005D62B7">
      <w:pPr>
        <w:rPr>
          <w:sz w:val="22"/>
          <w:szCs w:val="22"/>
        </w:rPr>
      </w:pPr>
    </w:p>
    <w:p w14:paraId="37DEB440" w14:textId="77777777" w:rsidR="00D65F93" w:rsidRDefault="00D65F93" w:rsidP="005D62B7">
      <w:pPr>
        <w:rPr>
          <w:sz w:val="22"/>
          <w:szCs w:val="22"/>
        </w:rPr>
      </w:pPr>
    </w:p>
    <w:p w14:paraId="75B5CE58" w14:textId="77777777" w:rsidR="00D65F93" w:rsidRDefault="00D65F93" w:rsidP="005D62B7">
      <w:pPr>
        <w:rPr>
          <w:sz w:val="22"/>
          <w:szCs w:val="22"/>
        </w:rPr>
      </w:pPr>
    </w:p>
    <w:p w14:paraId="5AB9F0AA" w14:textId="77777777" w:rsidR="00D65F93" w:rsidRDefault="00D65F93" w:rsidP="005D62B7">
      <w:pPr>
        <w:rPr>
          <w:sz w:val="22"/>
          <w:szCs w:val="22"/>
        </w:rPr>
      </w:pPr>
    </w:p>
    <w:p w14:paraId="2A529CC6" w14:textId="77777777" w:rsidR="00D65F93" w:rsidRDefault="00D65F93" w:rsidP="005D62B7">
      <w:pPr>
        <w:rPr>
          <w:sz w:val="22"/>
          <w:szCs w:val="22"/>
        </w:rPr>
      </w:pPr>
    </w:p>
    <w:p w14:paraId="3E552ACD" w14:textId="77777777" w:rsidR="00D65F93" w:rsidRDefault="00D65F93" w:rsidP="005D62B7">
      <w:pPr>
        <w:rPr>
          <w:sz w:val="22"/>
          <w:szCs w:val="22"/>
        </w:rPr>
      </w:pPr>
    </w:p>
    <w:p w14:paraId="6457D043" w14:textId="77777777" w:rsidR="00D65F93" w:rsidRDefault="00D65F93" w:rsidP="005D62B7">
      <w:pPr>
        <w:rPr>
          <w:sz w:val="22"/>
          <w:szCs w:val="22"/>
        </w:rPr>
      </w:pPr>
    </w:p>
    <w:p w14:paraId="759EB4B0" w14:textId="77777777" w:rsidR="00A11404" w:rsidRDefault="00A11404" w:rsidP="005D62B7">
      <w:pPr>
        <w:rPr>
          <w:sz w:val="22"/>
          <w:szCs w:val="22"/>
        </w:rPr>
        <w:sectPr w:rsidR="00A11404" w:rsidSect="00D65F93">
          <w:pgSz w:w="12240" w:h="15840"/>
          <w:pgMar w:top="1440" w:right="1440" w:bottom="1440" w:left="1440" w:header="708" w:footer="708" w:gutter="0"/>
          <w:cols w:space="708"/>
          <w:docGrid w:linePitch="360"/>
        </w:sectPr>
      </w:pPr>
    </w:p>
    <w:p w14:paraId="14CBC5BA" w14:textId="3E8E0C36" w:rsidR="00A11404" w:rsidRDefault="00A11404" w:rsidP="00A11404">
      <w:pPr>
        <w:rPr>
          <w:b/>
          <w:sz w:val="32"/>
          <w:u w:val="single"/>
        </w:rPr>
      </w:pPr>
      <w:r>
        <w:rPr>
          <w:b/>
          <w:sz w:val="32"/>
          <w:u w:val="single"/>
        </w:rPr>
        <w:t>Appendix 3</w:t>
      </w:r>
    </w:p>
    <w:p w14:paraId="6C1A1B96" w14:textId="77777777" w:rsidR="00D65F93" w:rsidRDefault="00D65F93" w:rsidP="005D62B7">
      <w:pPr>
        <w:rPr>
          <w:sz w:val="22"/>
          <w:szCs w:val="22"/>
        </w:rPr>
      </w:pPr>
    </w:p>
    <w:p w14:paraId="40A13803" w14:textId="77777777" w:rsidR="00D65F93" w:rsidRDefault="00D65F93" w:rsidP="005D62B7">
      <w:pPr>
        <w:rPr>
          <w:sz w:val="22"/>
          <w:szCs w:val="22"/>
        </w:rPr>
      </w:pPr>
    </w:p>
    <w:p w14:paraId="74C7154E" w14:textId="7700E6E7" w:rsidR="00D65F93" w:rsidRDefault="00A11404" w:rsidP="00D65F93">
      <w:pPr>
        <w:rPr>
          <w:sz w:val="22"/>
          <w:szCs w:val="22"/>
        </w:rPr>
      </w:pPr>
      <w:r>
        <w:rPr>
          <w:sz w:val="22"/>
          <w:szCs w:val="22"/>
        </w:rPr>
        <w:t>Table 3</w:t>
      </w:r>
      <w:r w:rsidR="00D65F93">
        <w:rPr>
          <w:sz w:val="22"/>
          <w:szCs w:val="22"/>
        </w:rPr>
        <w:t>. Detailed outline of the codes-categories-concepts me</w:t>
      </w:r>
      <w:r>
        <w:rPr>
          <w:sz w:val="22"/>
          <w:szCs w:val="22"/>
        </w:rPr>
        <w:t>thodology uncovered from the 111</w:t>
      </w:r>
      <w:r w:rsidR="00D65F93">
        <w:rPr>
          <w:sz w:val="22"/>
          <w:szCs w:val="22"/>
        </w:rPr>
        <w:t xml:space="preserve"> academic journal articles assessed for barriers to plant-based diets. The context (implicit; explicit) in which the code was stated, the referenced article, and the source are also included. </w:t>
      </w:r>
    </w:p>
    <w:p w14:paraId="1489361E" w14:textId="77777777" w:rsidR="00D65F93" w:rsidRDefault="00D65F93" w:rsidP="00D65F93">
      <w:pPr>
        <w:rPr>
          <w:sz w:val="22"/>
          <w:szCs w:val="22"/>
        </w:rPr>
      </w:pPr>
    </w:p>
    <w:tbl>
      <w:tblPr>
        <w:tblW w:w="13773" w:type="dxa"/>
        <w:tblInd w:w="-292" w:type="dxa"/>
        <w:tblLook w:val="04A0" w:firstRow="1" w:lastRow="0" w:firstColumn="1" w:lastColumn="0" w:noHBand="0" w:noVBand="1"/>
      </w:tblPr>
      <w:tblGrid>
        <w:gridCol w:w="3545"/>
        <w:gridCol w:w="3183"/>
        <w:gridCol w:w="2061"/>
        <w:gridCol w:w="993"/>
        <w:gridCol w:w="2835"/>
        <w:gridCol w:w="1156"/>
      </w:tblGrid>
      <w:tr w:rsidR="00D65F93" w:rsidRPr="003328EE" w14:paraId="7308FA06" w14:textId="77777777" w:rsidTr="00D65F93">
        <w:trPr>
          <w:trHeight w:val="320"/>
          <w:tblHeader/>
        </w:trPr>
        <w:tc>
          <w:tcPr>
            <w:tcW w:w="3545" w:type="dxa"/>
            <w:tcBorders>
              <w:top w:val="single" w:sz="4" w:space="0" w:color="auto"/>
              <w:left w:val="nil"/>
              <w:bottom w:val="single" w:sz="4" w:space="0" w:color="auto"/>
              <w:right w:val="nil"/>
            </w:tcBorders>
            <w:shd w:val="clear" w:color="auto" w:fill="auto"/>
            <w:noWrap/>
            <w:vAlign w:val="bottom"/>
            <w:hideMark/>
          </w:tcPr>
          <w:p w14:paraId="6EEDDC36" w14:textId="77777777" w:rsidR="00D65F93" w:rsidRPr="003328EE" w:rsidRDefault="00D65F93" w:rsidP="00D65F93">
            <w:pPr>
              <w:rPr>
                <w:rFonts w:eastAsia="Times New Roman"/>
                <w:b/>
                <w:bCs/>
                <w:color w:val="000000"/>
                <w:sz w:val="18"/>
                <w:szCs w:val="18"/>
              </w:rPr>
            </w:pPr>
            <w:r w:rsidRPr="003328EE">
              <w:rPr>
                <w:rFonts w:eastAsia="Times New Roman"/>
                <w:b/>
                <w:bCs/>
                <w:color w:val="000000"/>
                <w:sz w:val="18"/>
                <w:szCs w:val="18"/>
              </w:rPr>
              <w:t>Code</w:t>
            </w:r>
          </w:p>
        </w:tc>
        <w:tc>
          <w:tcPr>
            <w:tcW w:w="3183" w:type="dxa"/>
            <w:tcBorders>
              <w:top w:val="single" w:sz="4" w:space="0" w:color="auto"/>
              <w:left w:val="nil"/>
              <w:bottom w:val="single" w:sz="4" w:space="0" w:color="auto"/>
              <w:right w:val="nil"/>
            </w:tcBorders>
            <w:shd w:val="clear" w:color="auto" w:fill="auto"/>
            <w:noWrap/>
            <w:vAlign w:val="bottom"/>
            <w:hideMark/>
          </w:tcPr>
          <w:p w14:paraId="3625F01D" w14:textId="77777777" w:rsidR="00D65F93" w:rsidRPr="003328EE" w:rsidRDefault="00D65F93" w:rsidP="00D65F93">
            <w:pPr>
              <w:rPr>
                <w:rFonts w:eastAsia="Times New Roman"/>
                <w:b/>
                <w:bCs/>
                <w:color w:val="000000"/>
                <w:sz w:val="18"/>
                <w:szCs w:val="18"/>
              </w:rPr>
            </w:pPr>
            <w:r w:rsidRPr="003328EE">
              <w:rPr>
                <w:rFonts w:eastAsia="Times New Roman"/>
                <w:b/>
                <w:bCs/>
                <w:color w:val="000000"/>
                <w:sz w:val="18"/>
                <w:szCs w:val="18"/>
              </w:rPr>
              <w:t>Category</w:t>
            </w:r>
          </w:p>
        </w:tc>
        <w:tc>
          <w:tcPr>
            <w:tcW w:w="2061" w:type="dxa"/>
            <w:tcBorders>
              <w:top w:val="single" w:sz="4" w:space="0" w:color="auto"/>
              <w:left w:val="nil"/>
              <w:bottom w:val="single" w:sz="4" w:space="0" w:color="auto"/>
              <w:right w:val="nil"/>
            </w:tcBorders>
            <w:shd w:val="clear" w:color="auto" w:fill="auto"/>
            <w:noWrap/>
            <w:vAlign w:val="bottom"/>
            <w:hideMark/>
          </w:tcPr>
          <w:p w14:paraId="687962F9" w14:textId="77777777" w:rsidR="00D65F93" w:rsidRPr="003328EE" w:rsidRDefault="00D65F93" w:rsidP="00D65F93">
            <w:pPr>
              <w:rPr>
                <w:rFonts w:eastAsia="Times New Roman"/>
                <w:b/>
                <w:bCs/>
                <w:color w:val="000000"/>
                <w:sz w:val="18"/>
                <w:szCs w:val="18"/>
              </w:rPr>
            </w:pPr>
            <w:r w:rsidRPr="003328EE">
              <w:rPr>
                <w:rFonts w:eastAsia="Times New Roman"/>
                <w:b/>
                <w:bCs/>
                <w:color w:val="000000"/>
                <w:sz w:val="18"/>
                <w:szCs w:val="18"/>
              </w:rPr>
              <w:t>Theme</w:t>
            </w:r>
          </w:p>
        </w:tc>
        <w:tc>
          <w:tcPr>
            <w:tcW w:w="993" w:type="dxa"/>
            <w:tcBorders>
              <w:top w:val="single" w:sz="4" w:space="0" w:color="auto"/>
              <w:left w:val="nil"/>
              <w:bottom w:val="single" w:sz="4" w:space="0" w:color="auto"/>
              <w:right w:val="nil"/>
            </w:tcBorders>
            <w:shd w:val="clear" w:color="auto" w:fill="auto"/>
            <w:noWrap/>
            <w:vAlign w:val="bottom"/>
            <w:hideMark/>
          </w:tcPr>
          <w:p w14:paraId="13D6CD84" w14:textId="77777777" w:rsidR="00D65F93" w:rsidRPr="003328EE" w:rsidRDefault="00D65F93" w:rsidP="00D65F93">
            <w:pPr>
              <w:rPr>
                <w:rFonts w:eastAsia="Times New Roman"/>
                <w:b/>
                <w:bCs/>
                <w:color w:val="000000"/>
                <w:sz w:val="18"/>
                <w:szCs w:val="18"/>
              </w:rPr>
            </w:pPr>
            <w:r>
              <w:rPr>
                <w:rFonts w:eastAsia="Times New Roman"/>
                <w:b/>
                <w:bCs/>
                <w:color w:val="000000"/>
                <w:sz w:val="18"/>
                <w:szCs w:val="18"/>
              </w:rPr>
              <w:t>Context</w:t>
            </w:r>
          </w:p>
        </w:tc>
        <w:tc>
          <w:tcPr>
            <w:tcW w:w="2835" w:type="dxa"/>
            <w:tcBorders>
              <w:top w:val="single" w:sz="4" w:space="0" w:color="auto"/>
              <w:left w:val="nil"/>
              <w:bottom w:val="single" w:sz="4" w:space="0" w:color="auto"/>
              <w:right w:val="nil"/>
            </w:tcBorders>
            <w:shd w:val="clear" w:color="auto" w:fill="auto"/>
            <w:noWrap/>
            <w:vAlign w:val="bottom"/>
            <w:hideMark/>
          </w:tcPr>
          <w:p w14:paraId="3296F960" w14:textId="77777777" w:rsidR="00D65F93" w:rsidRPr="003328EE" w:rsidRDefault="00D65F93" w:rsidP="00D65F93">
            <w:pPr>
              <w:rPr>
                <w:rFonts w:eastAsia="Times New Roman"/>
                <w:b/>
                <w:bCs/>
                <w:color w:val="000000"/>
                <w:sz w:val="18"/>
                <w:szCs w:val="18"/>
              </w:rPr>
            </w:pPr>
            <w:r>
              <w:rPr>
                <w:rFonts w:eastAsia="Times New Roman"/>
                <w:b/>
                <w:bCs/>
                <w:color w:val="000000"/>
                <w:sz w:val="18"/>
                <w:szCs w:val="18"/>
              </w:rPr>
              <w:t>Reference</w:t>
            </w:r>
          </w:p>
        </w:tc>
        <w:tc>
          <w:tcPr>
            <w:tcW w:w="1156" w:type="dxa"/>
            <w:tcBorders>
              <w:top w:val="single" w:sz="4" w:space="0" w:color="auto"/>
              <w:left w:val="nil"/>
              <w:bottom w:val="single" w:sz="4" w:space="0" w:color="auto"/>
              <w:right w:val="nil"/>
            </w:tcBorders>
            <w:shd w:val="clear" w:color="auto" w:fill="auto"/>
            <w:noWrap/>
            <w:vAlign w:val="bottom"/>
            <w:hideMark/>
          </w:tcPr>
          <w:p w14:paraId="64E9A918" w14:textId="77777777" w:rsidR="00D65F93" w:rsidRPr="003328EE" w:rsidRDefault="00D65F93" w:rsidP="00D65F93">
            <w:pPr>
              <w:rPr>
                <w:rFonts w:eastAsia="Times New Roman"/>
                <w:b/>
                <w:bCs/>
                <w:color w:val="000000"/>
                <w:sz w:val="18"/>
                <w:szCs w:val="18"/>
              </w:rPr>
            </w:pPr>
            <w:r>
              <w:rPr>
                <w:rFonts w:eastAsia="Times New Roman"/>
                <w:b/>
                <w:bCs/>
                <w:color w:val="000000"/>
                <w:sz w:val="18"/>
                <w:szCs w:val="18"/>
              </w:rPr>
              <w:t>Source</w:t>
            </w:r>
          </w:p>
        </w:tc>
      </w:tr>
      <w:tr w:rsidR="00D65F93" w:rsidRPr="003328EE" w14:paraId="2A3EEA5F" w14:textId="77777777" w:rsidTr="00D65F93">
        <w:trPr>
          <w:trHeight w:val="320"/>
        </w:trPr>
        <w:tc>
          <w:tcPr>
            <w:tcW w:w="3545" w:type="dxa"/>
            <w:tcBorders>
              <w:top w:val="nil"/>
              <w:left w:val="nil"/>
              <w:bottom w:val="nil"/>
              <w:right w:val="nil"/>
            </w:tcBorders>
            <w:shd w:val="clear" w:color="auto" w:fill="auto"/>
            <w:noWrap/>
            <w:vAlign w:val="bottom"/>
            <w:hideMark/>
          </w:tcPr>
          <w:p w14:paraId="3A6C9F2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Not Health Conscious</w:t>
            </w:r>
          </w:p>
        </w:tc>
        <w:tc>
          <w:tcPr>
            <w:tcW w:w="3183" w:type="dxa"/>
            <w:tcBorders>
              <w:top w:val="nil"/>
              <w:left w:val="nil"/>
              <w:bottom w:val="nil"/>
              <w:right w:val="nil"/>
            </w:tcBorders>
            <w:shd w:val="clear" w:color="auto" w:fill="auto"/>
            <w:noWrap/>
            <w:vAlign w:val="bottom"/>
            <w:hideMark/>
          </w:tcPr>
          <w:p w14:paraId="7421A50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Apathy</w:t>
            </w:r>
          </w:p>
        </w:tc>
        <w:tc>
          <w:tcPr>
            <w:tcW w:w="2061" w:type="dxa"/>
            <w:tcBorders>
              <w:top w:val="nil"/>
              <w:left w:val="nil"/>
              <w:bottom w:val="nil"/>
              <w:right w:val="nil"/>
            </w:tcBorders>
            <w:shd w:val="clear" w:color="auto" w:fill="auto"/>
            <w:noWrap/>
            <w:vAlign w:val="bottom"/>
            <w:hideMark/>
          </w:tcPr>
          <w:p w14:paraId="49C4066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0036A51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B69218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Hoek et al., 2004</w:t>
            </w:r>
          </w:p>
        </w:tc>
        <w:tc>
          <w:tcPr>
            <w:tcW w:w="1156" w:type="dxa"/>
            <w:tcBorders>
              <w:top w:val="nil"/>
              <w:left w:val="nil"/>
              <w:bottom w:val="nil"/>
              <w:right w:val="nil"/>
            </w:tcBorders>
            <w:shd w:val="clear" w:color="auto" w:fill="auto"/>
            <w:noWrap/>
            <w:vAlign w:val="bottom"/>
            <w:hideMark/>
          </w:tcPr>
          <w:p w14:paraId="1B370EC9"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25E053E7" w14:textId="77777777" w:rsidTr="00D65F93">
        <w:trPr>
          <w:trHeight w:val="320"/>
        </w:trPr>
        <w:tc>
          <w:tcPr>
            <w:tcW w:w="3545" w:type="dxa"/>
            <w:tcBorders>
              <w:top w:val="nil"/>
              <w:left w:val="nil"/>
              <w:bottom w:val="nil"/>
              <w:right w:val="nil"/>
            </w:tcBorders>
            <w:shd w:val="clear" w:color="auto" w:fill="auto"/>
            <w:noWrap/>
            <w:vAlign w:val="bottom"/>
            <w:hideMark/>
          </w:tcPr>
          <w:p w14:paraId="4AB1FE9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Not Health Conscious</w:t>
            </w:r>
          </w:p>
        </w:tc>
        <w:tc>
          <w:tcPr>
            <w:tcW w:w="3183" w:type="dxa"/>
            <w:tcBorders>
              <w:top w:val="nil"/>
              <w:left w:val="nil"/>
              <w:bottom w:val="nil"/>
              <w:right w:val="nil"/>
            </w:tcBorders>
            <w:shd w:val="clear" w:color="auto" w:fill="auto"/>
            <w:noWrap/>
            <w:vAlign w:val="bottom"/>
            <w:hideMark/>
          </w:tcPr>
          <w:p w14:paraId="298032D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Apathy</w:t>
            </w:r>
          </w:p>
        </w:tc>
        <w:tc>
          <w:tcPr>
            <w:tcW w:w="2061" w:type="dxa"/>
            <w:tcBorders>
              <w:top w:val="nil"/>
              <w:left w:val="nil"/>
              <w:bottom w:val="nil"/>
              <w:right w:val="nil"/>
            </w:tcBorders>
            <w:shd w:val="clear" w:color="auto" w:fill="auto"/>
            <w:noWrap/>
            <w:vAlign w:val="bottom"/>
            <w:hideMark/>
          </w:tcPr>
          <w:p w14:paraId="362BD32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4A503F9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3A4FF3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Ponzio et al., 2015</w:t>
            </w:r>
          </w:p>
        </w:tc>
        <w:tc>
          <w:tcPr>
            <w:tcW w:w="1156" w:type="dxa"/>
            <w:tcBorders>
              <w:top w:val="nil"/>
              <w:left w:val="nil"/>
              <w:bottom w:val="nil"/>
              <w:right w:val="nil"/>
            </w:tcBorders>
            <w:shd w:val="clear" w:color="auto" w:fill="auto"/>
            <w:noWrap/>
            <w:vAlign w:val="bottom"/>
            <w:hideMark/>
          </w:tcPr>
          <w:p w14:paraId="6BE0B08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51E76983" w14:textId="77777777" w:rsidTr="00D65F93">
        <w:trPr>
          <w:trHeight w:val="320"/>
        </w:trPr>
        <w:tc>
          <w:tcPr>
            <w:tcW w:w="3545" w:type="dxa"/>
            <w:tcBorders>
              <w:top w:val="nil"/>
              <w:left w:val="nil"/>
              <w:bottom w:val="nil"/>
              <w:right w:val="nil"/>
            </w:tcBorders>
            <w:shd w:val="clear" w:color="auto" w:fill="auto"/>
            <w:noWrap/>
            <w:vAlign w:val="bottom"/>
            <w:hideMark/>
          </w:tcPr>
          <w:p w14:paraId="29FF955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Not Health Conscious</w:t>
            </w:r>
          </w:p>
        </w:tc>
        <w:tc>
          <w:tcPr>
            <w:tcW w:w="3183" w:type="dxa"/>
            <w:tcBorders>
              <w:top w:val="nil"/>
              <w:left w:val="nil"/>
              <w:bottom w:val="nil"/>
              <w:right w:val="nil"/>
            </w:tcBorders>
            <w:shd w:val="clear" w:color="auto" w:fill="auto"/>
            <w:noWrap/>
            <w:vAlign w:val="bottom"/>
            <w:hideMark/>
          </w:tcPr>
          <w:p w14:paraId="4D101A7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Apathy</w:t>
            </w:r>
          </w:p>
        </w:tc>
        <w:tc>
          <w:tcPr>
            <w:tcW w:w="2061" w:type="dxa"/>
            <w:tcBorders>
              <w:top w:val="nil"/>
              <w:left w:val="nil"/>
              <w:bottom w:val="nil"/>
              <w:right w:val="nil"/>
            </w:tcBorders>
            <w:shd w:val="clear" w:color="auto" w:fill="auto"/>
            <w:noWrap/>
            <w:vAlign w:val="bottom"/>
            <w:hideMark/>
          </w:tcPr>
          <w:p w14:paraId="7DD34EF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2E896BD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8FAF8B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Nederkoorn et al., 2009</w:t>
            </w:r>
          </w:p>
        </w:tc>
        <w:tc>
          <w:tcPr>
            <w:tcW w:w="1156" w:type="dxa"/>
            <w:tcBorders>
              <w:top w:val="nil"/>
              <w:left w:val="nil"/>
              <w:bottom w:val="nil"/>
              <w:right w:val="nil"/>
            </w:tcBorders>
            <w:shd w:val="clear" w:color="auto" w:fill="auto"/>
            <w:noWrap/>
            <w:vAlign w:val="bottom"/>
            <w:hideMark/>
          </w:tcPr>
          <w:p w14:paraId="7F25382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6DFB7C6F" w14:textId="77777777" w:rsidTr="00D65F93">
        <w:trPr>
          <w:trHeight w:val="320"/>
        </w:trPr>
        <w:tc>
          <w:tcPr>
            <w:tcW w:w="3545" w:type="dxa"/>
            <w:tcBorders>
              <w:top w:val="nil"/>
              <w:left w:val="nil"/>
              <w:bottom w:val="nil"/>
              <w:right w:val="nil"/>
            </w:tcBorders>
            <w:shd w:val="clear" w:color="auto" w:fill="auto"/>
            <w:noWrap/>
            <w:vAlign w:val="bottom"/>
            <w:hideMark/>
          </w:tcPr>
          <w:p w14:paraId="35C7957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Not Health Conscious</w:t>
            </w:r>
          </w:p>
        </w:tc>
        <w:tc>
          <w:tcPr>
            <w:tcW w:w="3183" w:type="dxa"/>
            <w:tcBorders>
              <w:top w:val="nil"/>
              <w:left w:val="nil"/>
              <w:bottom w:val="nil"/>
              <w:right w:val="nil"/>
            </w:tcBorders>
            <w:shd w:val="clear" w:color="auto" w:fill="auto"/>
            <w:noWrap/>
            <w:vAlign w:val="bottom"/>
            <w:hideMark/>
          </w:tcPr>
          <w:p w14:paraId="44BEC08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Apathy</w:t>
            </w:r>
          </w:p>
        </w:tc>
        <w:tc>
          <w:tcPr>
            <w:tcW w:w="2061" w:type="dxa"/>
            <w:tcBorders>
              <w:top w:val="nil"/>
              <w:left w:val="nil"/>
              <w:bottom w:val="nil"/>
              <w:right w:val="nil"/>
            </w:tcBorders>
            <w:shd w:val="clear" w:color="auto" w:fill="auto"/>
            <w:noWrap/>
            <w:vAlign w:val="bottom"/>
            <w:hideMark/>
          </w:tcPr>
          <w:p w14:paraId="64EC553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598D9025"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6DFB6A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Ruby &amp; Heine, 2011</w:t>
            </w:r>
          </w:p>
        </w:tc>
        <w:tc>
          <w:tcPr>
            <w:tcW w:w="1156" w:type="dxa"/>
            <w:tcBorders>
              <w:top w:val="nil"/>
              <w:left w:val="nil"/>
              <w:bottom w:val="nil"/>
              <w:right w:val="nil"/>
            </w:tcBorders>
            <w:shd w:val="clear" w:color="auto" w:fill="auto"/>
            <w:noWrap/>
            <w:vAlign w:val="bottom"/>
            <w:hideMark/>
          </w:tcPr>
          <w:p w14:paraId="6F6E1A7F"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0E03FC74" w14:textId="77777777" w:rsidTr="00D65F93">
        <w:trPr>
          <w:trHeight w:val="320"/>
        </w:trPr>
        <w:tc>
          <w:tcPr>
            <w:tcW w:w="3545" w:type="dxa"/>
            <w:tcBorders>
              <w:top w:val="nil"/>
              <w:left w:val="nil"/>
              <w:bottom w:val="nil"/>
              <w:right w:val="nil"/>
            </w:tcBorders>
            <w:shd w:val="clear" w:color="auto" w:fill="auto"/>
            <w:noWrap/>
            <w:vAlign w:val="bottom"/>
            <w:hideMark/>
          </w:tcPr>
          <w:p w14:paraId="63E1A9B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Unwilling to Change</w:t>
            </w:r>
          </w:p>
        </w:tc>
        <w:tc>
          <w:tcPr>
            <w:tcW w:w="3183" w:type="dxa"/>
            <w:tcBorders>
              <w:top w:val="nil"/>
              <w:left w:val="nil"/>
              <w:bottom w:val="nil"/>
              <w:right w:val="nil"/>
            </w:tcBorders>
            <w:shd w:val="clear" w:color="auto" w:fill="auto"/>
            <w:noWrap/>
            <w:vAlign w:val="bottom"/>
            <w:hideMark/>
          </w:tcPr>
          <w:p w14:paraId="63394B1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Apathy</w:t>
            </w:r>
          </w:p>
        </w:tc>
        <w:tc>
          <w:tcPr>
            <w:tcW w:w="2061" w:type="dxa"/>
            <w:tcBorders>
              <w:top w:val="nil"/>
              <w:left w:val="nil"/>
              <w:bottom w:val="nil"/>
              <w:right w:val="nil"/>
            </w:tcBorders>
            <w:shd w:val="clear" w:color="auto" w:fill="auto"/>
            <w:noWrap/>
            <w:vAlign w:val="bottom"/>
            <w:hideMark/>
          </w:tcPr>
          <w:p w14:paraId="2801A6BD"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6266792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042948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Lorenzoni et al., 2007</w:t>
            </w:r>
          </w:p>
        </w:tc>
        <w:tc>
          <w:tcPr>
            <w:tcW w:w="1156" w:type="dxa"/>
            <w:tcBorders>
              <w:top w:val="nil"/>
              <w:left w:val="nil"/>
              <w:bottom w:val="nil"/>
              <w:right w:val="nil"/>
            </w:tcBorders>
            <w:shd w:val="clear" w:color="auto" w:fill="auto"/>
            <w:noWrap/>
            <w:vAlign w:val="bottom"/>
            <w:hideMark/>
          </w:tcPr>
          <w:p w14:paraId="6547C95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7956C739" w14:textId="77777777" w:rsidTr="00D65F93">
        <w:trPr>
          <w:trHeight w:val="320"/>
        </w:trPr>
        <w:tc>
          <w:tcPr>
            <w:tcW w:w="3545" w:type="dxa"/>
            <w:tcBorders>
              <w:top w:val="nil"/>
              <w:left w:val="nil"/>
              <w:bottom w:val="nil"/>
              <w:right w:val="nil"/>
            </w:tcBorders>
            <w:shd w:val="clear" w:color="auto" w:fill="auto"/>
            <w:noWrap/>
            <w:vAlign w:val="bottom"/>
            <w:hideMark/>
          </w:tcPr>
          <w:p w14:paraId="49F8AC8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Unwilling to Change</w:t>
            </w:r>
          </w:p>
        </w:tc>
        <w:tc>
          <w:tcPr>
            <w:tcW w:w="3183" w:type="dxa"/>
            <w:tcBorders>
              <w:top w:val="nil"/>
              <w:left w:val="nil"/>
              <w:bottom w:val="nil"/>
              <w:right w:val="nil"/>
            </w:tcBorders>
            <w:shd w:val="clear" w:color="auto" w:fill="auto"/>
            <w:noWrap/>
            <w:vAlign w:val="bottom"/>
            <w:hideMark/>
          </w:tcPr>
          <w:p w14:paraId="6400A93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Apathy</w:t>
            </w:r>
          </w:p>
        </w:tc>
        <w:tc>
          <w:tcPr>
            <w:tcW w:w="2061" w:type="dxa"/>
            <w:tcBorders>
              <w:top w:val="nil"/>
              <w:left w:val="nil"/>
              <w:bottom w:val="nil"/>
              <w:right w:val="nil"/>
            </w:tcBorders>
            <w:shd w:val="clear" w:color="auto" w:fill="auto"/>
            <w:noWrap/>
            <w:vAlign w:val="bottom"/>
            <w:hideMark/>
          </w:tcPr>
          <w:p w14:paraId="08677BF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050B914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7D1A69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Ogden et al., 2007</w:t>
            </w:r>
          </w:p>
        </w:tc>
        <w:tc>
          <w:tcPr>
            <w:tcW w:w="1156" w:type="dxa"/>
            <w:tcBorders>
              <w:top w:val="nil"/>
              <w:left w:val="nil"/>
              <w:bottom w:val="nil"/>
              <w:right w:val="nil"/>
            </w:tcBorders>
            <w:shd w:val="clear" w:color="auto" w:fill="auto"/>
            <w:noWrap/>
            <w:vAlign w:val="bottom"/>
            <w:hideMark/>
          </w:tcPr>
          <w:p w14:paraId="30EFC49F"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76869666" w14:textId="77777777" w:rsidTr="00D65F93">
        <w:trPr>
          <w:trHeight w:val="320"/>
        </w:trPr>
        <w:tc>
          <w:tcPr>
            <w:tcW w:w="3545" w:type="dxa"/>
            <w:tcBorders>
              <w:top w:val="nil"/>
              <w:left w:val="nil"/>
              <w:bottom w:val="nil"/>
              <w:right w:val="nil"/>
            </w:tcBorders>
            <w:shd w:val="clear" w:color="auto" w:fill="auto"/>
            <w:noWrap/>
            <w:vAlign w:val="bottom"/>
            <w:hideMark/>
          </w:tcPr>
          <w:p w14:paraId="1125D025"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Unwilling to Change</w:t>
            </w:r>
          </w:p>
        </w:tc>
        <w:tc>
          <w:tcPr>
            <w:tcW w:w="3183" w:type="dxa"/>
            <w:tcBorders>
              <w:top w:val="nil"/>
              <w:left w:val="nil"/>
              <w:bottom w:val="nil"/>
              <w:right w:val="nil"/>
            </w:tcBorders>
            <w:shd w:val="clear" w:color="auto" w:fill="auto"/>
            <w:noWrap/>
            <w:vAlign w:val="bottom"/>
            <w:hideMark/>
          </w:tcPr>
          <w:p w14:paraId="72AEC76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Apathy</w:t>
            </w:r>
          </w:p>
        </w:tc>
        <w:tc>
          <w:tcPr>
            <w:tcW w:w="2061" w:type="dxa"/>
            <w:tcBorders>
              <w:top w:val="nil"/>
              <w:left w:val="nil"/>
              <w:bottom w:val="nil"/>
              <w:right w:val="nil"/>
            </w:tcBorders>
            <w:shd w:val="clear" w:color="auto" w:fill="auto"/>
            <w:noWrap/>
            <w:vAlign w:val="bottom"/>
            <w:hideMark/>
          </w:tcPr>
          <w:p w14:paraId="36256BFA"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54AC257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B2649A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Lea &amp; Worsley, 2003</w:t>
            </w:r>
          </w:p>
        </w:tc>
        <w:tc>
          <w:tcPr>
            <w:tcW w:w="1156" w:type="dxa"/>
            <w:tcBorders>
              <w:top w:val="nil"/>
              <w:left w:val="nil"/>
              <w:bottom w:val="nil"/>
              <w:right w:val="nil"/>
            </w:tcBorders>
            <w:shd w:val="clear" w:color="auto" w:fill="auto"/>
            <w:noWrap/>
            <w:vAlign w:val="bottom"/>
            <w:hideMark/>
          </w:tcPr>
          <w:p w14:paraId="36E47C7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223F0664" w14:textId="77777777" w:rsidTr="00D65F93">
        <w:trPr>
          <w:trHeight w:val="320"/>
        </w:trPr>
        <w:tc>
          <w:tcPr>
            <w:tcW w:w="3545" w:type="dxa"/>
            <w:tcBorders>
              <w:top w:val="nil"/>
              <w:left w:val="nil"/>
              <w:bottom w:val="nil"/>
              <w:right w:val="nil"/>
            </w:tcBorders>
            <w:shd w:val="clear" w:color="auto" w:fill="auto"/>
            <w:noWrap/>
            <w:vAlign w:val="bottom"/>
            <w:hideMark/>
          </w:tcPr>
          <w:p w14:paraId="2444AC5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Unwilling to Change</w:t>
            </w:r>
          </w:p>
        </w:tc>
        <w:tc>
          <w:tcPr>
            <w:tcW w:w="3183" w:type="dxa"/>
            <w:tcBorders>
              <w:top w:val="nil"/>
              <w:left w:val="nil"/>
              <w:bottom w:val="nil"/>
              <w:right w:val="nil"/>
            </w:tcBorders>
            <w:shd w:val="clear" w:color="auto" w:fill="auto"/>
            <w:noWrap/>
            <w:vAlign w:val="bottom"/>
            <w:hideMark/>
          </w:tcPr>
          <w:p w14:paraId="79950F1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Apathy</w:t>
            </w:r>
          </w:p>
        </w:tc>
        <w:tc>
          <w:tcPr>
            <w:tcW w:w="2061" w:type="dxa"/>
            <w:tcBorders>
              <w:top w:val="nil"/>
              <w:left w:val="nil"/>
              <w:bottom w:val="nil"/>
              <w:right w:val="nil"/>
            </w:tcBorders>
            <w:shd w:val="clear" w:color="auto" w:fill="auto"/>
            <w:noWrap/>
            <w:vAlign w:val="bottom"/>
            <w:hideMark/>
          </w:tcPr>
          <w:p w14:paraId="66703AF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7A92373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65E43DA"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Lea et al., 2006</w:t>
            </w:r>
          </w:p>
        </w:tc>
        <w:tc>
          <w:tcPr>
            <w:tcW w:w="1156" w:type="dxa"/>
            <w:tcBorders>
              <w:top w:val="nil"/>
              <w:left w:val="nil"/>
              <w:bottom w:val="nil"/>
              <w:right w:val="nil"/>
            </w:tcBorders>
            <w:shd w:val="clear" w:color="auto" w:fill="auto"/>
            <w:noWrap/>
            <w:vAlign w:val="bottom"/>
            <w:hideMark/>
          </w:tcPr>
          <w:p w14:paraId="795DE59F"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31C374B8" w14:textId="77777777" w:rsidTr="00D65F93">
        <w:trPr>
          <w:trHeight w:val="320"/>
        </w:trPr>
        <w:tc>
          <w:tcPr>
            <w:tcW w:w="3545" w:type="dxa"/>
            <w:tcBorders>
              <w:top w:val="nil"/>
              <w:left w:val="nil"/>
              <w:bottom w:val="nil"/>
              <w:right w:val="nil"/>
            </w:tcBorders>
            <w:shd w:val="clear" w:color="auto" w:fill="auto"/>
            <w:noWrap/>
            <w:vAlign w:val="bottom"/>
            <w:hideMark/>
          </w:tcPr>
          <w:p w14:paraId="66E4E71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Unwilling to Change</w:t>
            </w:r>
          </w:p>
        </w:tc>
        <w:tc>
          <w:tcPr>
            <w:tcW w:w="3183" w:type="dxa"/>
            <w:tcBorders>
              <w:top w:val="nil"/>
              <w:left w:val="nil"/>
              <w:bottom w:val="nil"/>
              <w:right w:val="nil"/>
            </w:tcBorders>
            <w:shd w:val="clear" w:color="auto" w:fill="auto"/>
            <w:noWrap/>
            <w:vAlign w:val="bottom"/>
            <w:hideMark/>
          </w:tcPr>
          <w:p w14:paraId="7682697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Apathy</w:t>
            </w:r>
          </w:p>
        </w:tc>
        <w:tc>
          <w:tcPr>
            <w:tcW w:w="2061" w:type="dxa"/>
            <w:tcBorders>
              <w:top w:val="nil"/>
              <w:left w:val="nil"/>
              <w:bottom w:val="nil"/>
              <w:right w:val="nil"/>
            </w:tcBorders>
            <w:shd w:val="clear" w:color="auto" w:fill="auto"/>
            <w:noWrap/>
            <w:vAlign w:val="bottom"/>
            <w:hideMark/>
          </w:tcPr>
          <w:p w14:paraId="0415141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37AF59D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D16778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Pohjolainen et al., 2014</w:t>
            </w:r>
          </w:p>
        </w:tc>
        <w:tc>
          <w:tcPr>
            <w:tcW w:w="1156" w:type="dxa"/>
            <w:tcBorders>
              <w:top w:val="nil"/>
              <w:left w:val="nil"/>
              <w:bottom w:val="nil"/>
              <w:right w:val="nil"/>
            </w:tcBorders>
            <w:shd w:val="clear" w:color="auto" w:fill="auto"/>
            <w:noWrap/>
            <w:vAlign w:val="bottom"/>
            <w:hideMark/>
          </w:tcPr>
          <w:p w14:paraId="41F3670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67D3CDE7" w14:textId="77777777" w:rsidTr="00D65F93">
        <w:trPr>
          <w:trHeight w:val="320"/>
        </w:trPr>
        <w:tc>
          <w:tcPr>
            <w:tcW w:w="3545" w:type="dxa"/>
            <w:tcBorders>
              <w:top w:val="nil"/>
              <w:left w:val="nil"/>
              <w:bottom w:val="nil"/>
              <w:right w:val="nil"/>
            </w:tcBorders>
            <w:shd w:val="clear" w:color="auto" w:fill="auto"/>
            <w:noWrap/>
            <w:vAlign w:val="bottom"/>
            <w:hideMark/>
          </w:tcPr>
          <w:p w14:paraId="32618B2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Unwilling to Change</w:t>
            </w:r>
          </w:p>
        </w:tc>
        <w:tc>
          <w:tcPr>
            <w:tcW w:w="3183" w:type="dxa"/>
            <w:tcBorders>
              <w:top w:val="nil"/>
              <w:left w:val="nil"/>
              <w:bottom w:val="nil"/>
              <w:right w:val="nil"/>
            </w:tcBorders>
            <w:shd w:val="clear" w:color="auto" w:fill="auto"/>
            <w:noWrap/>
            <w:vAlign w:val="bottom"/>
            <w:hideMark/>
          </w:tcPr>
          <w:p w14:paraId="6323A4D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Apathy</w:t>
            </w:r>
          </w:p>
        </w:tc>
        <w:tc>
          <w:tcPr>
            <w:tcW w:w="2061" w:type="dxa"/>
            <w:tcBorders>
              <w:top w:val="nil"/>
              <w:left w:val="nil"/>
              <w:bottom w:val="nil"/>
              <w:right w:val="nil"/>
            </w:tcBorders>
            <w:shd w:val="clear" w:color="auto" w:fill="auto"/>
            <w:noWrap/>
            <w:vAlign w:val="bottom"/>
            <w:hideMark/>
          </w:tcPr>
          <w:p w14:paraId="6976BD5D"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0B4B980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E13954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Caracciolo et al., 2016</w:t>
            </w:r>
          </w:p>
        </w:tc>
        <w:tc>
          <w:tcPr>
            <w:tcW w:w="1156" w:type="dxa"/>
            <w:tcBorders>
              <w:top w:val="nil"/>
              <w:left w:val="nil"/>
              <w:bottom w:val="nil"/>
              <w:right w:val="nil"/>
            </w:tcBorders>
            <w:shd w:val="clear" w:color="auto" w:fill="auto"/>
            <w:noWrap/>
            <w:vAlign w:val="bottom"/>
            <w:hideMark/>
          </w:tcPr>
          <w:p w14:paraId="005213F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412BDA90" w14:textId="77777777" w:rsidTr="00D65F93">
        <w:trPr>
          <w:trHeight w:val="320"/>
        </w:trPr>
        <w:tc>
          <w:tcPr>
            <w:tcW w:w="3545" w:type="dxa"/>
            <w:tcBorders>
              <w:top w:val="nil"/>
              <w:left w:val="nil"/>
              <w:bottom w:val="nil"/>
              <w:right w:val="nil"/>
            </w:tcBorders>
            <w:shd w:val="clear" w:color="auto" w:fill="auto"/>
            <w:noWrap/>
            <w:vAlign w:val="bottom"/>
            <w:hideMark/>
          </w:tcPr>
          <w:p w14:paraId="438F107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Unwilling to Change</w:t>
            </w:r>
          </w:p>
        </w:tc>
        <w:tc>
          <w:tcPr>
            <w:tcW w:w="3183" w:type="dxa"/>
            <w:tcBorders>
              <w:top w:val="nil"/>
              <w:left w:val="nil"/>
              <w:bottom w:val="nil"/>
              <w:right w:val="nil"/>
            </w:tcBorders>
            <w:shd w:val="clear" w:color="auto" w:fill="auto"/>
            <w:noWrap/>
            <w:vAlign w:val="bottom"/>
            <w:hideMark/>
          </w:tcPr>
          <w:p w14:paraId="62770BD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Apathy</w:t>
            </w:r>
          </w:p>
        </w:tc>
        <w:tc>
          <w:tcPr>
            <w:tcW w:w="2061" w:type="dxa"/>
            <w:tcBorders>
              <w:top w:val="nil"/>
              <w:left w:val="nil"/>
              <w:bottom w:val="nil"/>
              <w:right w:val="nil"/>
            </w:tcBorders>
            <w:shd w:val="clear" w:color="auto" w:fill="auto"/>
            <w:noWrap/>
            <w:vAlign w:val="bottom"/>
            <w:hideMark/>
          </w:tcPr>
          <w:p w14:paraId="0C0DAE1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03DD702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124EF1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Vanhonacker et al., 2013</w:t>
            </w:r>
          </w:p>
        </w:tc>
        <w:tc>
          <w:tcPr>
            <w:tcW w:w="1156" w:type="dxa"/>
            <w:tcBorders>
              <w:top w:val="nil"/>
              <w:left w:val="nil"/>
              <w:bottom w:val="nil"/>
              <w:right w:val="nil"/>
            </w:tcBorders>
            <w:shd w:val="clear" w:color="auto" w:fill="auto"/>
            <w:noWrap/>
            <w:vAlign w:val="bottom"/>
            <w:hideMark/>
          </w:tcPr>
          <w:p w14:paraId="60F564E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22626301" w14:textId="77777777" w:rsidTr="00D65F93">
        <w:trPr>
          <w:trHeight w:val="320"/>
        </w:trPr>
        <w:tc>
          <w:tcPr>
            <w:tcW w:w="3545" w:type="dxa"/>
            <w:tcBorders>
              <w:top w:val="nil"/>
              <w:left w:val="nil"/>
              <w:bottom w:val="nil"/>
              <w:right w:val="nil"/>
            </w:tcBorders>
            <w:shd w:val="clear" w:color="auto" w:fill="auto"/>
            <w:noWrap/>
            <w:vAlign w:val="bottom"/>
            <w:hideMark/>
          </w:tcPr>
          <w:p w14:paraId="4A6CA37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Attitude</w:t>
            </w:r>
          </w:p>
        </w:tc>
        <w:tc>
          <w:tcPr>
            <w:tcW w:w="3183" w:type="dxa"/>
            <w:tcBorders>
              <w:top w:val="nil"/>
              <w:left w:val="nil"/>
              <w:bottom w:val="nil"/>
              <w:right w:val="nil"/>
            </w:tcBorders>
            <w:shd w:val="clear" w:color="auto" w:fill="auto"/>
            <w:noWrap/>
            <w:vAlign w:val="bottom"/>
            <w:hideMark/>
          </w:tcPr>
          <w:p w14:paraId="44C7442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2B8E49B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0CAD9D49"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B77C3C5"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Erinosho et al., 2015</w:t>
            </w:r>
          </w:p>
        </w:tc>
        <w:tc>
          <w:tcPr>
            <w:tcW w:w="1156" w:type="dxa"/>
            <w:tcBorders>
              <w:top w:val="nil"/>
              <w:left w:val="nil"/>
              <w:bottom w:val="nil"/>
              <w:right w:val="nil"/>
            </w:tcBorders>
            <w:shd w:val="clear" w:color="auto" w:fill="auto"/>
            <w:noWrap/>
            <w:vAlign w:val="bottom"/>
            <w:hideMark/>
          </w:tcPr>
          <w:p w14:paraId="3C9E5CF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269C5FA3" w14:textId="77777777" w:rsidTr="00D65F93">
        <w:trPr>
          <w:trHeight w:val="320"/>
        </w:trPr>
        <w:tc>
          <w:tcPr>
            <w:tcW w:w="3545" w:type="dxa"/>
            <w:tcBorders>
              <w:top w:val="nil"/>
              <w:left w:val="nil"/>
              <w:bottom w:val="nil"/>
              <w:right w:val="nil"/>
            </w:tcBorders>
            <w:shd w:val="clear" w:color="auto" w:fill="auto"/>
            <w:noWrap/>
            <w:vAlign w:val="bottom"/>
            <w:hideMark/>
          </w:tcPr>
          <w:p w14:paraId="337CD1F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Attitude</w:t>
            </w:r>
          </w:p>
        </w:tc>
        <w:tc>
          <w:tcPr>
            <w:tcW w:w="3183" w:type="dxa"/>
            <w:tcBorders>
              <w:top w:val="nil"/>
              <w:left w:val="nil"/>
              <w:bottom w:val="nil"/>
              <w:right w:val="nil"/>
            </w:tcBorders>
            <w:shd w:val="clear" w:color="auto" w:fill="auto"/>
            <w:noWrap/>
            <w:vAlign w:val="bottom"/>
            <w:hideMark/>
          </w:tcPr>
          <w:p w14:paraId="568FB7D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628C750A"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4172FAD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30DEDC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Ogden et al., 2007</w:t>
            </w:r>
          </w:p>
        </w:tc>
        <w:tc>
          <w:tcPr>
            <w:tcW w:w="1156" w:type="dxa"/>
            <w:tcBorders>
              <w:top w:val="nil"/>
              <w:left w:val="nil"/>
              <w:bottom w:val="nil"/>
              <w:right w:val="nil"/>
            </w:tcBorders>
            <w:shd w:val="clear" w:color="auto" w:fill="auto"/>
            <w:noWrap/>
            <w:vAlign w:val="bottom"/>
            <w:hideMark/>
          </w:tcPr>
          <w:p w14:paraId="78671BA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3A5214D9" w14:textId="77777777" w:rsidTr="00D65F93">
        <w:trPr>
          <w:trHeight w:val="320"/>
        </w:trPr>
        <w:tc>
          <w:tcPr>
            <w:tcW w:w="3545" w:type="dxa"/>
            <w:tcBorders>
              <w:top w:val="nil"/>
              <w:left w:val="nil"/>
              <w:bottom w:val="nil"/>
              <w:right w:val="nil"/>
            </w:tcBorders>
            <w:shd w:val="clear" w:color="auto" w:fill="auto"/>
            <w:noWrap/>
            <w:vAlign w:val="bottom"/>
            <w:hideMark/>
          </w:tcPr>
          <w:p w14:paraId="580DA9D5"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Hedonism</w:t>
            </w:r>
          </w:p>
        </w:tc>
        <w:tc>
          <w:tcPr>
            <w:tcW w:w="3183" w:type="dxa"/>
            <w:tcBorders>
              <w:top w:val="nil"/>
              <w:left w:val="nil"/>
              <w:bottom w:val="nil"/>
              <w:right w:val="nil"/>
            </w:tcBorders>
            <w:shd w:val="clear" w:color="auto" w:fill="auto"/>
            <w:noWrap/>
            <w:vAlign w:val="bottom"/>
            <w:hideMark/>
          </w:tcPr>
          <w:p w14:paraId="1F39445F"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7300AAE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7BA866A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678259D"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Thompson et al., 1999</w:t>
            </w:r>
          </w:p>
        </w:tc>
        <w:tc>
          <w:tcPr>
            <w:tcW w:w="1156" w:type="dxa"/>
            <w:tcBorders>
              <w:top w:val="nil"/>
              <w:left w:val="nil"/>
              <w:bottom w:val="nil"/>
              <w:right w:val="nil"/>
            </w:tcBorders>
            <w:shd w:val="clear" w:color="auto" w:fill="auto"/>
            <w:noWrap/>
            <w:vAlign w:val="bottom"/>
            <w:hideMark/>
          </w:tcPr>
          <w:p w14:paraId="4A47AA0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342015BA" w14:textId="77777777" w:rsidTr="00D65F93">
        <w:trPr>
          <w:trHeight w:val="320"/>
        </w:trPr>
        <w:tc>
          <w:tcPr>
            <w:tcW w:w="3545" w:type="dxa"/>
            <w:tcBorders>
              <w:top w:val="nil"/>
              <w:left w:val="nil"/>
              <w:bottom w:val="nil"/>
              <w:right w:val="nil"/>
            </w:tcBorders>
            <w:shd w:val="clear" w:color="auto" w:fill="auto"/>
            <w:noWrap/>
            <w:vAlign w:val="bottom"/>
            <w:hideMark/>
          </w:tcPr>
          <w:p w14:paraId="79F6A7EA"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Hedonism</w:t>
            </w:r>
          </w:p>
        </w:tc>
        <w:tc>
          <w:tcPr>
            <w:tcW w:w="3183" w:type="dxa"/>
            <w:tcBorders>
              <w:top w:val="nil"/>
              <w:left w:val="nil"/>
              <w:bottom w:val="nil"/>
              <w:right w:val="nil"/>
            </w:tcBorders>
            <w:shd w:val="clear" w:color="auto" w:fill="auto"/>
            <w:noWrap/>
            <w:vAlign w:val="bottom"/>
            <w:hideMark/>
          </w:tcPr>
          <w:p w14:paraId="0694A91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10283645"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71B6B72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99D34F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Jeong &amp; Jang, 2016</w:t>
            </w:r>
          </w:p>
        </w:tc>
        <w:tc>
          <w:tcPr>
            <w:tcW w:w="1156" w:type="dxa"/>
            <w:tcBorders>
              <w:top w:val="nil"/>
              <w:left w:val="nil"/>
              <w:bottom w:val="nil"/>
              <w:right w:val="nil"/>
            </w:tcBorders>
            <w:shd w:val="clear" w:color="auto" w:fill="auto"/>
            <w:noWrap/>
            <w:vAlign w:val="bottom"/>
            <w:hideMark/>
          </w:tcPr>
          <w:p w14:paraId="6F0529C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468C0ED8" w14:textId="77777777" w:rsidTr="00D65F93">
        <w:trPr>
          <w:trHeight w:val="320"/>
        </w:trPr>
        <w:tc>
          <w:tcPr>
            <w:tcW w:w="3545" w:type="dxa"/>
            <w:tcBorders>
              <w:top w:val="nil"/>
              <w:left w:val="nil"/>
              <w:bottom w:val="nil"/>
              <w:right w:val="nil"/>
            </w:tcBorders>
            <w:shd w:val="clear" w:color="auto" w:fill="auto"/>
            <w:noWrap/>
            <w:vAlign w:val="bottom"/>
            <w:hideMark/>
          </w:tcPr>
          <w:p w14:paraId="4DEE4C0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Hedonism</w:t>
            </w:r>
          </w:p>
        </w:tc>
        <w:tc>
          <w:tcPr>
            <w:tcW w:w="3183" w:type="dxa"/>
            <w:tcBorders>
              <w:top w:val="nil"/>
              <w:left w:val="nil"/>
              <w:bottom w:val="nil"/>
              <w:right w:val="nil"/>
            </w:tcBorders>
            <w:shd w:val="clear" w:color="auto" w:fill="auto"/>
            <w:noWrap/>
            <w:vAlign w:val="bottom"/>
            <w:hideMark/>
          </w:tcPr>
          <w:p w14:paraId="49E758A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4B40A34F"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09C5E0B9"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74AD69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5D16962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5F25A72C" w14:textId="77777777" w:rsidTr="00D65F93">
        <w:trPr>
          <w:trHeight w:val="320"/>
        </w:trPr>
        <w:tc>
          <w:tcPr>
            <w:tcW w:w="3545" w:type="dxa"/>
            <w:tcBorders>
              <w:top w:val="nil"/>
              <w:left w:val="nil"/>
              <w:bottom w:val="nil"/>
              <w:right w:val="nil"/>
            </w:tcBorders>
            <w:shd w:val="clear" w:color="auto" w:fill="auto"/>
            <w:noWrap/>
            <w:vAlign w:val="bottom"/>
            <w:hideMark/>
          </w:tcPr>
          <w:p w14:paraId="06224DCA"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Identity</w:t>
            </w:r>
          </w:p>
        </w:tc>
        <w:tc>
          <w:tcPr>
            <w:tcW w:w="3183" w:type="dxa"/>
            <w:tcBorders>
              <w:top w:val="nil"/>
              <w:left w:val="nil"/>
              <w:bottom w:val="nil"/>
              <w:right w:val="nil"/>
            </w:tcBorders>
            <w:shd w:val="clear" w:color="auto" w:fill="auto"/>
            <w:noWrap/>
            <w:vAlign w:val="bottom"/>
            <w:hideMark/>
          </w:tcPr>
          <w:p w14:paraId="6D0EDF4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6E9876AA"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6A0D49DF"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AD7E26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Cherry, 2015</w:t>
            </w:r>
          </w:p>
        </w:tc>
        <w:tc>
          <w:tcPr>
            <w:tcW w:w="1156" w:type="dxa"/>
            <w:tcBorders>
              <w:top w:val="nil"/>
              <w:left w:val="nil"/>
              <w:bottom w:val="nil"/>
              <w:right w:val="nil"/>
            </w:tcBorders>
            <w:shd w:val="clear" w:color="auto" w:fill="auto"/>
            <w:noWrap/>
            <w:vAlign w:val="bottom"/>
            <w:hideMark/>
          </w:tcPr>
          <w:p w14:paraId="6716577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69B05A5A" w14:textId="77777777" w:rsidTr="00D65F93">
        <w:trPr>
          <w:trHeight w:val="320"/>
        </w:trPr>
        <w:tc>
          <w:tcPr>
            <w:tcW w:w="3545" w:type="dxa"/>
            <w:tcBorders>
              <w:top w:val="nil"/>
              <w:left w:val="nil"/>
              <w:bottom w:val="nil"/>
              <w:right w:val="nil"/>
            </w:tcBorders>
            <w:shd w:val="clear" w:color="auto" w:fill="auto"/>
            <w:noWrap/>
            <w:vAlign w:val="bottom"/>
            <w:hideMark/>
          </w:tcPr>
          <w:p w14:paraId="428B3F5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Identity</w:t>
            </w:r>
          </w:p>
        </w:tc>
        <w:tc>
          <w:tcPr>
            <w:tcW w:w="3183" w:type="dxa"/>
            <w:tcBorders>
              <w:top w:val="nil"/>
              <w:left w:val="nil"/>
              <w:bottom w:val="nil"/>
              <w:right w:val="nil"/>
            </w:tcBorders>
            <w:shd w:val="clear" w:color="auto" w:fill="auto"/>
            <w:noWrap/>
            <w:vAlign w:val="bottom"/>
            <w:hideMark/>
          </w:tcPr>
          <w:p w14:paraId="730AC0B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7E8FA52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67BF115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80950E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Hirschler, 2011</w:t>
            </w:r>
          </w:p>
        </w:tc>
        <w:tc>
          <w:tcPr>
            <w:tcW w:w="1156" w:type="dxa"/>
            <w:tcBorders>
              <w:top w:val="nil"/>
              <w:left w:val="nil"/>
              <w:bottom w:val="nil"/>
              <w:right w:val="nil"/>
            </w:tcBorders>
            <w:shd w:val="clear" w:color="auto" w:fill="auto"/>
            <w:noWrap/>
            <w:vAlign w:val="bottom"/>
            <w:hideMark/>
          </w:tcPr>
          <w:p w14:paraId="0870C7DF"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6D5E5F15" w14:textId="77777777" w:rsidTr="00D65F93">
        <w:trPr>
          <w:trHeight w:val="320"/>
        </w:trPr>
        <w:tc>
          <w:tcPr>
            <w:tcW w:w="3545" w:type="dxa"/>
            <w:tcBorders>
              <w:top w:val="nil"/>
              <w:left w:val="nil"/>
              <w:bottom w:val="nil"/>
              <w:right w:val="nil"/>
            </w:tcBorders>
            <w:shd w:val="clear" w:color="auto" w:fill="auto"/>
            <w:noWrap/>
            <w:vAlign w:val="bottom"/>
            <w:hideMark/>
          </w:tcPr>
          <w:p w14:paraId="2D870C35"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Identity</w:t>
            </w:r>
          </w:p>
        </w:tc>
        <w:tc>
          <w:tcPr>
            <w:tcW w:w="3183" w:type="dxa"/>
            <w:tcBorders>
              <w:top w:val="nil"/>
              <w:left w:val="nil"/>
              <w:bottom w:val="nil"/>
              <w:right w:val="nil"/>
            </w:tcBorders>
            <w:shd w:val="clear" w:color="auto" w:fill="auto"/>
            <w:noWrap/>
            <w:vAlign w:val="bottom"/>
            <w:hideMark/>
          </w:tcPr>
          <w:p w14:paraId="30EC1B1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6CD8AA15"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4F01C83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26A9EB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Lorenzoni et al., 2007</w:t>
            </w:r>
          </w:p>
        </w:tc>
        <w:tc>
          <w:tcPr>
            <w:tcW w:w="1156" w:type="dxa"/>
            <w:tcBorders>
              <w:top w:val="nil"/>
              <w:left w:val="nil"/>
              <w:bottom w:val="nil"/>
              <w:right w:val="nil"/>
            </w:tcBorders>
            <w:shd w:val="clear" w:color="auto" w:fill="auto"/>
            <w:noWrap/>
            <w:vAlign w:val="bottom"/>
            <w:hideMark/>
          </w:tcPr>
          <w:p w14:paraId="1F57262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14AF6616" w14:textId="77777777" w:rsidTr="00D65F93">
        <w:trPr>
          <w:trHeight w:val="320"/>
        </w:trPr>
        <w:tc>
          <w:tcPr>
            <w:tcW w:w="3545" w:type="dxa"/>
            <w:tcBorders>
              <w:top w:val="nil"/>
              <w:left w:val="nil"/>
              <w:bottom w:val="nil"/>
              <w:right w:val="nil"/>
            </w:tcBorders>
            <w:shd w:val="clear" w:color="auto" w:fill="auto"/>
            <w:noWrap/>
            <w:vAlign w:val="bottom"/>
            <w:hideMark/>
          </w:tcPr>
          <w:p w14:paraId="5872911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Identity</w:t>
            </w:r>
          </w:p>
        </w:tc>
        <w:tc>
          <w:tcPr>
            <w:tcW w:w="3183" w:type="dxa"/>
            <w:tcBorders>
              <w:top w:val="nil"/>
              <w:left w:val="nil"/>
              <w:bottom w:val="nil"/>
              <w:right w:val="nil"/>
            </w:tcBorders>
            <w:shd w:val="clear" w:color="auto" w:fill="auto"/>
            <w:noWrap/>
            <w:vAlign w:val="bottom"/>
            <w:hideMark/>
          </w:tcPr>
          <w:p w14:paraId="3E348E3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013FFD8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0EED7345"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66BC80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Wilson et al., 2004</w:t>
            </w:r>
          </w:p>
        </w:tc>
        <w:tc>
          <w:tcPr>
            <w:tcW w:w="1156" w:type="dxa"/>
            <w:tcBorders>
              <w:top w:val="nil"/>
              <w:left w:val="nil"/>
              <w:bottom w:val="nil"/>
              <w:right w:val="nil"/>
            </w:tcBorders>
            <w:shd w:val="clear" w:color="auto" w:fill="auto"/>
            <w:noWrap/>
            <w:vAlign w:val="bottom"/>
            <w:hideMark/>
          </w:tcPr>
          <w:p w14:paraId="2FE58F1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Synthesis</w:t>
            </w:r>
          </w:p>
        </w:tc>
      </w:tr>
      <w:tr w:rsidR="00D65F93" w:rsidRPr="003328EE" w14:paraId="68985D99" w14:textId="77777777" w:rsidTr="00D65F93">
        <w:trPr>
          <w:trHeight w:val="320"/>
        </w:trPr>
        <w:tc>
          <w:tcPr>
            <w:tcW w:w="3545" w:type="dxa"/>
            <w:tcBorders>
              <w:top w:val="nil"/>
              <w:left w:val="nil"/>
              <w:bottom w:val="nil"/>
              <w:right w:val="nil"/>
            </w:tcBorders>
            <w:shd w:val="clear" w:color="auto" w:fill="auto"/>
            <w:noWrap/>
            <w:vAlign w:val="bottom"/>
            <w:hideMark/>
          </w:tcPr>
          <w:p w14:paraId="27EC0FB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Identity</w:t>
            </w:r>
          </w:p>
        </w:tc>
        <w:tc>
          <w:tcPr>
            <w:tcW w:w="3183" w:type="dxa"/>
            <w:tcBorders>
              <w:top w:val="nil"/>
              <w:left w:val="nil"/>
              <w:bottom w:val="nil"/>
              <w:right w:val="nil"/>
            </w:tcBorders>
            <w:shd w:val="clear" w:color="auto" w:fill="auto"/>
            <w:noWrap/>
            <w:vAlign w:val="bottom"/>
            <w:hideMark/>
          </w:tcPr>
          <w:p w14:paraId="2623C26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44E520D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2528A50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34FD2BD"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4854644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Synthesis</w:t>
            </w:r>
          </w:p>
        </w:tc>
      </w:tr>
      <w:tr w:rsidR="00D65F93" w:rsidRPr="003328EE" w14:paraId="2FBD93F2" w14:textId="77777777" w:rsidTr="00D65F93">
        <w:trPr>
          <w:trHeight w:val="320"/>
        </w:trPr>
        <w:tc>
          <w:tcPr>
            <w:tcW w:w="3545" w:type="dxa"/>
            <w:tcBorders>
              <w:top w:val="nil"/>
              <w:left w:val="nil"/>
              <w:bottom w:val="nil"/>
              <w:right w:val="nil"/>
            </w:tcBorders>
            <w:shd w:val="clear" w:color="auto" w:fill="auto"/>
            <w:noWrap/>
            <w:vAlign w:val="bottom"/>
            <w:hideMark/>
          </w:tcPr>
          <w:p w14:paraId="384B93F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Identity</w:t>
            </w:r>
          </w:p>
        </w:tc>
        <w:tc>
          <w:tcPr>
            <w:tcW w:w="3183" w:type="dxa"/>
            <w:tcBorders>
              <w:top w:val="nil"/>
              <w:left w:val="nil"/>
              <w:bottom w:val="nil"/>
              <w:right w:val="nil"/>
            </w:tcBorders>
            <w:shd w:val="clear" w:color="auto" w:fill="auto"/>
            <w:noWrap/>
            <w:vAlign w:val="bottom"/>
            <w:hideMark/>
          </w:tcPr>
          <w:p w14:paraId="46776AD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6E4A1E8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2C82273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828354A"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Vinnari &amp; Vinnari, 2013</w:t>
            </w:r>
          </w:p>
        </w:tc>
        <w:tc>
          <w:tcPr>
            <w:tcW w:w="1156" w:type="dxa"/>
            <w:tcBorders>
              <w:top w:val="nil"/>
              <w:left w:val="nil"/>
              <w:bottom w:val="nil"/>
              <w:right w:val="nil"/>
            </w:tcBorders>
            <w:shd w:val="clear" w:color="auto" w:fill="auto"/>
            <w:noWrap/>
            <w:vAlign w:val="bottom"/>
            <w:hideMark/>
          </w:tcPr>
          <w:p w14:paraId="5991217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3C27C189" w14:textId="77777777" w:rsidTr="00D65F93">
        <w:trPr>
          <w:trHeight w:val="320"/>
        </w:trPr>
        <w:tc>
          <w:tcPr>
            <w:tcW w:w="3545" w:type="dxa"/>
            <w:tcBorders>
              <w:top w:val="nil"/>
              <w:left w:val="nil"/>
              <w:bottom w:val="nil"/>
              <w:right w:val="nil"/>
            </w:tcBorders>
            <w:shd w:val="clear" w:color="auto" w:fill="auto"/>
            <w:noWrap/>
            <w:vAlign w:val="bottom"/>
            <w:hideMark/>
          </w:tcPr>
          <w:p w14:paraId="16E169D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Individual Values</w:t>
            </w:r>
          </w:p>
        </w:tc>
        <w:tc>
          <w:tcPr>
            <w:tcW w:w="3183" w:type="dxa"/>
            <w:tcBorders>
              <w:top w:val="nil"/>
              <w:left w:val="nil"/>
              <w:bottom w:val="nil"/>
              <w:right w:val="nil"/>
            </w:tcBorders>
            <w:shd w:val="clear" w:color="auto" w:fill="auto"/>
            <w:noWrap/>
            <w:vAlign w:val="bottom"/>
            <w:hideMark/>
          </w:tcPr>
          <w:p w14:paraId="60A6C03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7828C6A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4F5A229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FED51D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Campbell-Arvai et al., 2014</w:t>
            </w:r>
          </w:p>
        </w:tc>
        <w:tc>
          <w:tcPr>
            <w:tcW w:w="1156" w:type="dxa"/>
            <w:tcBorders>
              <w:top w:val="nil"/>
              <w:left w:val="nil"/>
              <w:bottom w:val="nil"/>
              <w:right w:val="nil"/>
            </w:tcBorders>
            <w:shd w:val="clear" w:color="auto" w:fill="auto"/>
            <w:noWrap/>
            <w:vAlign w:val="bottom"/>
            <w:hideMark/>
          </w:tcPr>
          <w:p w14:paraId="5E6AA42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13DCB36B" w14:textId="77777777" w:rsidTr="00D65F93">
        <w:trPr>
          <w:trHeight w:val="320"/>
        </w:trPr>
        <w:tc>
          <w:tcPr>
            <w:tcW w:w="3545" w:type="dxa"/>
            <w:tcBorders>
              <w:top w:val="nil"/>
              <w:left w:val="nil"/>
              <w:bottom w:val="nil"/>
              <w:right w:val="nil"/>
            </w:tcBorders>
            <w:shd w:val="clear" w:color="auto" w:fill="auto"/>
            <w:noWrap/>
            <w:vAlign w:val="bottom"/>
            <w:hideMark/>
          </w:tcPr>
          <w:p w14:paraId="5C38710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Individual Values</w:t>
            </w:r>
          </w:p>
        </w:tc>
        <w:tc>
          <w:tcPr>
            <w:tcW w:w="3183" w:type="dxa"/>
            <w:tcBorders>
              <w:top w:val="nil"/>
              <w:left w:val="nil"/>
              <w:bottom w:val="nil"/>
              <w:right w:val="nil"/>
            </w:tcBorders>
            <w:shd w:val="clear" w:color="auto" w:fill="auto"/>
            <w:noWrap/>
            <w:vAlign w:val="bottom"/>
            <w:hideMark/>
          </w:tcPr>
          <w:p w14:paraId="7C55AFC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7E444325"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1BD0DFF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72C2A5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Caracciolo et al., 2016</w:t>
            </w:r>
          </w:p>
        </w:tc>
        <w:tc>
          <w:tcPr>
            <w:tcW w:w="1156" w:type="dxa"/>
            <w:tcBorders>
              <w:top w:val="nil"/>
              <w:left w:val="nil"/>
              <w:bottom w:val="nil"/>
              <w:right w:val="nil"/>
            </w:tcBorders>
            <w:shd w:val="clear" w:color="auto" w:fill="auto"/>
            <w:noWrap/>
            <w:vAlign w:val="bottom"/>
            <w:hideMark/>
          </w:tcPr>
          <w:p w14:paraId="34614D3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320E27C5" w14:textId="77777777" w:rsidTr="00D65F93">
        <w:trPr>
          <w:trHeight w:val="320"/>
        </w:trPr>
        <w:tc>
          <w:tcPr>
            <w:tcW w:w="3545" w:type="dxa"/>
            <w:tcBorders>
              <w:top w:val="nil"/>
              <w:left w:val="nil"/>
              <w:bottom w:val="nil"/>
              <w:right w:val="nil"/>
            </w:tcBorders>
            <w:shd w:val="clear" w:color="auto" w:fill="auto"/>
            <w:noWrap/>
            <w:vAlign w:val="bottom"/>
            <w:hideMark/>
          </w:tcPr>
          <w:p w14:paraId="14DBC15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Individual Values</w:t>
            </w:r>
          </w:p>
        </w:tc>
        <w:tc>
          <w:tcPr>
            <w:tcW w:w="3183" w:type="dxa"/>
            <w:tcBorders>
              <w:top w:val="nil"/>
              <w:left w:val="nil"/>
              <w:bottom w:val="nil"/>
              <w:right w:val="nil"/>
            </w:tcBorders>
            <w:shd w:val="clear" w:color="auto" w:fill="auto"/>
            <w:noWrap/>
            <w:vAlign w:val="bottom"/>
            <w:hideMark/>
          </w:tcPr>
          <w:p w14:paraId="4D94627F"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509377B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44641EDD"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000E265"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Tan et al., 2016</w:t>
            </w:r>
          </w:p>
        </w:tc>
        <w:tc>
          <w:tcPr>
            <w:tcW w:w="1156" w:type="dxa"/>
            <w:tcBorders>
              <w:top w:val="nil"/>
              <w:left w:val="nil"/>
              <w:bottom w:val="nil"/>
              <w:right w:val="nil"/>
            </w:tcBorders>
            <w:shd w:val="clear" w:color="auto" w:fill="auto"/>
            <w:noWrap/>
            <w:vAlign w:val="bottom"/>
            <w:hideMark/>
          </w:tcPr>
          <w:p w14:paraId="4CFA1BED"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01C13146" w14:textId="77777777" w:rsidTr="00D65F93">
        <w:trPr>
          <w:trHeight w:val="320"/>
        </w:trPr>
        <w:tc>
          <w:tcPr>
            <w:tcW w:w="3545" w:type="dxa"/>
            <w:tcBorders>
              <w:top w:val="nil"/>
              <w:left w:val="nil"/>
              <w:bottom w:val="nil"/>
              <w:right w:val="nil"/>
            </w:tcBorders>
            <w:shd w:val="clear" w:color="auto" w:fill="auto"/>
            <w:noWrap/>
            <w:vAlign w:val="bottom"/>
            <w:hideMark/>
          </w:tcPr>
          <w:p w14:paraId="64186DC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Individual Values</w:t>
            </w:r>
          </w:p>
        </w:tc>
        <w:tc>
          <w:tcPr>
            <w:tcW w:w="3183" w:type="dxa"/>
            <w:tcBorders>
              <w:top w:val="nil"/>
              <w:left w:val="nil"/>
              <w:bottom w:val="nil"/>
              <w:right w:val="nil"/>
            </w:tcBorders>
            <w:shd w:val="clear" w:color="auto" w:fill="auto"/>
            <w:noWrap/>
            <w:vAlign w:val="bottom"/>
            <w:hideMark/>
          </w:tcPr>
          <w:p w14:paraId="18387AD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49CDFE4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7EA1822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50BC6A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Worsley, 2007</w:t>
            </w:r>
          </w:p>
        </w:tc>
        <w:tc>
          <w:tcPr>
            <w:tcW w:w="1156" w:type="dxa"/>
            <w:tcBorders>
              <w:top w:val="nil"/>
              <w:left w:val="nil"/>
              <w:bottom w:val="nil"/>
              <w:right w:val="nil"/>
            </w:tcBorders>
            <w:shd w:val="clear" w:color="auto" w:fill="auto"/>
            <w:noWrap/>
            <w:vAlign w:val="bottom"/>
            <w:hideMark/>
          </w:tcPr>
          <w:p w14:paraId="7FD0A119"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58B3C88D" w14:textId="77777777" w:rsidTr="00D65F93">
        <w:trPr>
          <w:trHeight w:val="320"/>
        </w:trPr>
        <w:tc>
          <w:tcPr>
            <w:tcW w:w="3545" w:type="dxa"/>
            <w:tcBorders>
              <w:top w:val="nil"/>
              <w:left w:val="nil"/>
              <w:bottom w:val="nil"/>
              <w:right w:val="nil"/>
            </w:tcBorders>
            <w:shd w:val="clear" w:color="auto" w:fill="auto"/>
            <w:noWrap/>
            <w:vAlign w:val="bottom"/>
            <w:hideMark/>
          </w:tcPr>
          <w:p w14:paraId="6B8C013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Individual Values</w:t>
            </w:r>
          </w:p>
        </w:tc>
        <w:tc>
          <w:tcPr>
            <w:tcW w:w="3183" w:type="dxa"/>
            <w:tcBorders>
              <w:top w:val="nil"/>
              <w:left w:val="nil"/>
              <w:bottom w:val="nil"/>
              <w:right w:val="nil"/>
            </w:tcBorders>
            <w:shd w:val="clear" w:color="auto" w:fill="auto"/>
            <w:noWrap/>
            <w:vAlign w:val="bottom"/>
            <w:hideMark/>
          </w:tcPr>
          <w:p w14:paraId="7516F94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0D657A4D"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0911924D"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2263B8A"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Curran &amp; Sherbinin, 2004</w:t>
            </w:r>
          </w:p>
        </w:tc>
        <w:tc>
          <w:tcPr>
            <w:tcW w:w="1156" w:type="dxa"/>
            <w:tcBorders>
              <w:top w:val="nil"/>
              <w:left w:val="nil"/>
              <w:bottom w:val="nil"/>
              <w:right w:val="nil"/>
            </w:tcBorders>
            <w:shd w:val="clear" w:color="auto" w:fill="auto"/>
            <w:noWrap/>
            <w:vAlign w:val="bottom"/>
            <w:hideMark/>
          </w:tcPr>
          <w:p w14:paraId="0FC6CD0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Synthesis</w:t>
            </w:r>
          </w:p>
        </w:tc>
      </w:tr>
      <w:tr w:rsidR="00D65F93" w:rsidRPr="003328EE" w14:paraId="0E82BBDF" w14:textId="77777777" w:rsidTr="00D65F93">
        <w:trPr>
          <w:trHeight w:val="320"/>
        </w:trPr>
        <w:tc>
          <w:tcPr>
            <w:tcW w:w="3545" w:type="dxa"/>
            <w:tcBorders>
              <w:top w:val="nil"/>
              <w:left w:val="nil"/>
              <w:bottom w:val="nil"/>
              <w:right w:val="nil"/>
            </w:tcBorders>
            <w:shd w:val="clear" w:color="auto" w:fill="auto"/>
            <w:noWrap/>
            <w:vAlign w:val="bottom"/>
            <w:hideMark/>
          </w:tcPr>
          <w:p w14:paraId="0421BF9D"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Individual Values</w:t>
            </w:r>
          </w:p>
        </w:tc>
        <w:tc>
          <w:tcPr>
            <w:tcW w:w="3183" w:type="dxa"/>
            <w:tcBorders>
              <w:top w:val="nil"/>
              <w:left w:val="nil"/>
              <w:bottom w:val="nil"/>
              <w:right w:val="nil"/>
            </w:tcBorders>
            <w:shd w:val="clear" w:color="auto" w:fill="auto"/>
            <w:noWrap/>
            <w:vAlign w:val="bottom"/>
            <w:hideMark/>
          </w:tcPr>
          <w:p w14:paraId="1DC09D3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015BFCC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40FD482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FC66659"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095149A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5769552A" w14:textId="77777777" w:rsidTr="00D65F93">
        <w:trPr>
          <w:trHeight w:val="320"/>
        </w:trPr>
        <w:tc>
          <w:tcPr>
            <w:tcW w:w="3545" w:type="dxa"/>
            <w:tcBorders>
              <w:top w:val="nil"/>
              <w:left w:val="nil"/>
              <w:bottom w:val="nil"/>
              <w:right w:val="nil"/>
            </w:tcBorders>
            <w:shd w:val="clear" w:color="auto" w:fill="auto"/>
            <w:noWrap/>
            <w:vAlign w:val="bottom"/>
            <w:hideMark/>
          </w:tcPr>
          <w:p w14:paraId="486E22B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Individual Values</w:t>
            </w:r>
          </w:p>
        </w:tc>
        <w:tc>
          <w:tcPr>
            <w:tcW w:w="3183" w:type="dxa"/>
            <w:tcBorders>
              <w:top w:val="nil"/>
              <w:left w:val="nil"/>
              <w:bottom w:val="nil"/>
              <w:right w:val="nil"/>
            </w:tcBorders>
            <w:shd w:val="clear" w:color="auto" w:fill="auto"/>
            <w:noWrap/>
            <w:vAlign w:val="bottom"/>
            <w:hideMark/>
          </w:tcPr>
          <w:p w14:paraId="4435C17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5D4C7C1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5A40D06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388B22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2E28344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19A79CF5" w14:textId="77777777" w:rsidTr="00D65F93">
        <w:trPr>
          <w:trHeight w:val="320"/>
        </w:trPr>
        <w:tc>
          <w:tcPr>
            <w:tcW w:w="3545" w:type="dxa"/>
            <w:tcBorders>
              <w:top w:val="nil"/>
              <w:left w:val="nil"/>
              <w:bottom w:val="nil"/>
              <w:right w:val="nil"/>
            </w:tcBorders>
            <w:shd w:val="clear" w:color="auto" w:fill="auto"/>
            <w:noWrap/>
            <w:vAlign w:val="bottom"/>
            <w:hideMark/>
          </w:tcPr>
          <w:p w14:paraId="7EF504E5"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Individual Values</w:t>
            </w:r>
          </w:p>
        </w:tc>
        <w:tc>
          <w:tcPr>
            <w:tcW w:w="3183" w:type="dxa"/>
            <w:tcBorders>
              <w:top w:val="nil"/>
              <w:left w:val="nil"/>
              <w:bottom w:val="nil"/>
              <w:right w:val="nil"/>
            </w:tcBorders>
            <w:shd w:val="clear" w:color="auto" w:fill="auto"/>
            <w:noWrap/>
            <w:vAlign w:val="bottom"/>
            <w:hideMark/>
          </w:tcPr>
          <w:p w14:paraId="18C9C0D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0EF72D6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3B959E9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5F1B5F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Kearney, 2010</w:t>
            </w:r>
          </w:p>
        </w:tc>
        <w:tc>
          <w:tcPr>
            <w:tcW w:w="1156" w:type="dxa"/>
            <w:tcBorders>
              <w:top w:val="nil"/>
              <w:left w:val="nil"/>
              <w:bottom w:val="nil"/>
              <w:right w:val="nil"/>
            </w:tcBorders>
            <w:shd w:val="clear" w:color="auto" w:fill="auto"/>
            <w:noWrap/>
            <w:vAlign w:val="bottom"/>
            <w:hideMark/>
          </w:tcPr>
          <w:p w14:paraId="54DF680D"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Synthesis</w:t>
            </w:r>
          </w:p>
        </w:tc>
      </w:tr>
      <w:tr w:rsidR="00D65F93" w:rsidRPr="003328EE" w14:paraId="5A63749B" w14:textId="77777777" w:rsidTr="00D65F93">
        <w:trPr>
          <w:trHeight w:val="320"/>
        </w:trPr>
        <w:tc>
          <w:tcPr>
            <w:tcW w:w="3545" w:type="dxa"/>
            <w:tcBorders>
              <w:top w:val="nil"/>
              <w:left w:val="nil"/>
              <w:bottom w:val="nil"/>
              <w:right w:val="nil"/>
            </w:tcBorders>
            <w:shd w:val="clear" w:color="auto" w:fill="auto"/>
            <w:noWrap/>
            <w:vAlign w:val="bottom"/>
            <w:hideMark/>
          </w:tcPr>
          <w:p w14:paraId="4E3D1B80" w14:textId="77777777" w:rsidR="00D65F93" w:rsidRPr="003328EE" w:rsidRDefault="00D65F93" w:rsidP="00D65F93">
            <w:pPr>
              <w:rPr>
                <w:rFonts w:eastAsia="Times New Roman"/>
                <w:color w:val="000000"/>
                <w:sz w:val="18"/>
                <w:szCs w:val="18"/>
              </w:rPr>
            </w:pPr>
            <w:r>
              <w:rPr>
                <w:rFonts w:eastAsia="Times New Roman"/>
                <w:color w:val="000000"/>
                <w:sz w:val="18"/>
                <w:szCs w:val="18"/>
              </w:rPr>
              <w:t>Insufficient</w:t>
            </w:r>
            <w:r w:rsidRPr="003328EE">
              <w:rPr>
                <w:rFonts w:eastAsia="Times New Roman"/>
                <w:color w:val="000000"/>
                <w:sz w:val="18"/>
                <w:szCs w:val="18"/>
              </w:rPr>
              <w:t xml:space="preserve"> Inhibitory Control</w:t>
            </w:r>
          </w:p>
        </w:tc>
        <w:tc>
          <w:tcPr>
            <w:tcW w:w="3183" w:type="dxa"/>
            <w:tcBorders>
              <w:top w:val="nil"/>
              <w:left w:val="nil"/>
              <w:bottom w:val="nil"/>
              <w:right w:val="nil"/>
            </w:tcBorders>
            <w:shd w:val="clear" w:color="auto" w:fill="auto"/>
            <w:noWrap/>
            <w:vAlign w:val="bottom"/>
            <w:hideMark/>
          </w:tcPr>
          <w:p w14:paraId="1954D5B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6696B91F"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3F48C19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53783D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Nederkoorn et al., 2009</w:t>
            </w:r>
          </w:p>
        </w:tc>
        <w:tc>
          <w:tcPr>
            <w:tcW w:w="1156" w:type="dxa"/>
            <w:tcBorders>
              <w:top w:val="nil"/>
              <w:left w:val="nil"/>
              <w:bottom w:val="nil"/>
              <w:right w:val="nil"/>
            </w:tcBorders>
            <w:shd w:val="clear" w:color="auto" w:fill="auto"/>
            <w:noWrap/>
            <w:vAlign w:val="bottom"/>
            <w:hideMark/>
          </w:tcPr>
          <w:p w14:paraId="1DC99B9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69F74C8D" w14:textId="77777777" w:rsidTr="00D65F93">
        <w:trPr>
          <w:trHeight w:val="320"/>
        </w:trPr>
        <w:tc>
          <w:tcPr>
            <w:tcW w:w="3545" w:type="dxa"/>
            <w:tcBorders>
              <w:top w:val="nil"/>
              <w:left w:val="nil"/>
              <w:bottom w:val="nil"/>
              <w:right w:val="nil"/>
            </w:tcBorders>
            <w:shd w:val="clear" w:color="auto" w:fill="auto"/>
            <w:noWrap/>
            <w:vAlign w:val="bottom"/>
            <w:hideMark/>
          </w:tcPr>
          <w:p w14:paraId="347D3C5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Low Self-Efficacy</w:t>
            </w:r>
          </w:p>
        </w:tc>
        <w:tc>
          <w:tcPr>
            <w:tcW w:w="3183" w:type="dxa"/>
            <w:tcBorders>
              <w:top w:val="nil"/>
              <w:left w:val="nil"/>
              <w:bottom w:val="nil"/>
              <w:right w:val="nil"/>
            </w:tcBorders>
            <w:shd w:val="clear" w:color="auto" w:fill="auto"/>
            <w:noWrap/>
            <w:vAlign w:val="bottom"/>
            <w:hideMark/>
          </w:tcPr>
          <w:p w14:paraId="4380D43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405ADA9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78808FB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7158C6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Erinosho et al., 2015</w:t>
            </w:r>
          </w:p>
        </w:tc>
        <w:tc>
          <w:tcPr>
            <w:tcW w:w="1156" w:type="dxa"/>
            <w:tcBorders>
              <w:top w:val="nil"/>
              <w:left w:val="nil"/>
              <w:bottom w:val="nil"/>
              <w:right w:val="nil"/>
            </w:tcBorders>
            <w:shd w:val="clear" w:color="auto" w:fill="auto"/>
            <w:noWrap/>
            <w:vAlign w:val="bottom"/>
            <w:hideMark/>
          </w:tcPr>
          <w:p w14:paraId="10B77B0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55D41B30" w14:textId="77777777" w:rsidTr="00D65F93">
        <w:trPr>
          <w:trHeight w:val="320"/>
        </w:trPr>
        <w:tc>
          <w:tcPr>
            <w:tcW w:w="3545" w:type="dxa"/>
            <w:tcBorders>
              <w:top w:val="nil"/>
              <w:left w:val="nil"/>
              <w:bottom w:val="nil"/>
              <w:right w:val="nil"/>
            </w:tcBorders>
            <w:shd w:val="clear" w:color="auto" w:fill="auto"/>
            <w:noWrap/>
            <w:vAlign w:val="bottom"/>
            <w:hideMark/>
          </w:tcPr>
          <w:p w14:paraId="4F409FFA"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Not Dedicated, Lack Control</w:t>
            </w:r>
          </w:p>
        </w:tc>
        <w:tc>
          <w:tcPr>
            <w:tcW w:w="3183" w:type="dxa"/>
            <w:tcBorders>
              <w:top w:val="nil"/>
              <w:left w:val="nil"/>
              <w:bottom w:val="nil"/>
              <w:right w:val="nil"/>
            </w:tcBorders>
            <w:shd w:val="clear" w:color="auto" w:fill="auto"/>
            <w:noWrap/>
            <w:vAlign w:val="bottom"/>
            <w:hideMark/>
          </w:tcPr>
          <w:p w14:paraId="7D46231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06BD316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231DF70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F9B2FA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Jabs et al., 2000</w:t>
            </w:r>
          </w:p>
        </w:tc>
        <w:tc>
          <w:tcPr>
            <w:tcW w:w="1156" w:type="dxa"/>
            <w:tcBorders>
              <w:top w:val="nil"/>
              <w:left w:val="nil"/>
              <w:bottom w:val="nil"/>
              <w:right w:val="nil"/>
            </w:tcBorders>
            <w:shd w:val="clear" w:color="auto" w:fill="auto"/>
            <w:noWrap/>
            <w:vAlign w:val="bottom"/>
            <w:hideMark/>
          </w:tcPr>
          <w:p w14:paraId="0F80A8B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269D1C55" w14:textId="77777777" w:rsidTr="00D65F93">
        <w:trPr>
          <w:trHeight w:val="320"/>
        </w:trPr>
        <w:tc>
          <w:tcPr>
            <w:tcW w:w="3545" w:type="dxa"/>
            <w:tcBorders>
              <w:top w:val="nil"/>
              <w:left w:val="nil"/>
              <w:bottom w:val="nil"/>
              <w:right w:val="nil"/>
            </w:tcBorders>
            <w:shd w:val="clear" w:color="auto" w:fill="auto"/>
            <w:noWrap/>
            <w:vAlign w:val="bottom"/>
            <w:hideMark/>
          </w:tcPr>
          <w:p w14:paraId="4523E39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Poor Restraint</w:t>
            </w:r>
          </w:p>
        </w:tc>
        <w:tc>
          <w:tcPr>
            <w:tcW w:w="3183" w:type="dxa"/>
            <w:tcBorders>
              <w:top w:val="nil"/>
              <w:left w:val="nil"/>
              <w:bottom w:val="nil"/>
              <w:right w:val="nil"/>
            </w:tcBorders>
            <w:shd w:val="clear" w:color="auto" w:fill="auto"/>
            <w:noWrap/>
            <w:vAlign w:val="bottom"/>
            <w:hideMark/>
          </w:tcPr>
          <w:p w14:paraId="0CDE176F"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3F35A41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07E3D02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9B4656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Worsley &amp; Skrzypiec, 1998</w:t>
            </w:r>
          </w:p>
        </w:tc>
        <w:tc>
          <w:tcPr>
            <w:tcW w:w="1156" w:type="dxa"/>
            <w:tcBorders>
              <w:top w:val="nil"/>
              <w:left w:val="nil"/>
              <w:bottom w:val="nil"/>
              <w:right w:val="nil"/>
            </w:tcBorders>
            <w:shd w:val="clear" w:color="auto" w:fill="auto"/>
            <w:noWrap/>
            <w:vAlign w:val="bottom"/>
            <w:hideMark/>
          </w:tcPr>
          <w:p w14:paraId="28A3952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2CEAD982" w14:textId="77777777" w:rsidTr="00D65F93">
        <w:trPr>
          <w:trHeight w:val="320"/>
        </w:trPr>
        <w:tc>
          <w:tcPr>
            <w:tcW w:w="3545" w:type="dxa"/>
            <w:tcBorders>
              <w:top w:val="nil"/>
              <w:left w:val="nil"/>
              <w:bottom w:val="nil"/>
              <w:right w:val="nil"/>
            </w:tcBorders>
            <w:shd w:val="clear" w:color="auto" w:fill="auto"/>
            <w:noWrap/>
            <w:vAlign w:val="bottom"/>
            <w:hideMark/>
          </w:tcPr>
          <w:p w14:paraId="7454C0B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Poor Restraint</w:t>
            </w:r>
          </w:p>
        </w:tc>
        <w:tc>
          <w:tcPr>
            <w:tcW w:w="3183" w:type="dxa"/>
            <w:tcBorders>
              <w:top w:val="nil"/>
              <w:left w:val="nil"/>
              <w:bottom w:val="nil"/>
              <w:right w:val="nil"/>
            </w:tcBorders>
            <w:shd w:val="clear" w:color="auto" w:fill="auto"/>
            <w:noWrap/>
            <w:vAlign w:val="bottom"/>
            <w:hideMark/>
          </w:tcPr>
          <w:p w14:paraId="72714201"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7DFE1C5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189333A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231E1CA"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Nederkoorn et al., 2009</w:t>
            </w:r>
          </w:p>
        </w:tc>
        <w:tc>
          <w:tcPr>
            <w:tcW w:w="1156" w:type="dxa"/>
            <w:tcBorders>
              <w:top w:val="nil"/>
              <w:left w:val="nil"/>
              <w:bottom w:val="nil"/>
              <w:right w:val="nil"/>
            </w:tcBorders>
            <w:shd w:val="clear" w:color="auto" w:fill="auto"/>
            <w:noWrap/>
            <w:vAlign w:val="bottom"/>
            <w:hideMark/>
          </w:tcPr>
          <w:p w14:paraId="2EAFE4D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034700EB" w14:textId="77777777" w:rsidTr="00D65F93">
        <w:trPr>
          <w:trHeight w:val="320"/>
        </w:trPr>
        <w:tc>
          <w:tcPr>
            <w:tcW w:w="3545" w:type="dxa"/>
            <w:tcBorders>
              <w:top w:val="nil"/>
              <w:left w:val="nil"/>
              <w:bottom w:val="nil"/>
              <w:right w:val="nil"/>
            </w:tcBorders>
            <w:shd w:val="clear" w:color="auto" w:fill="auto"/>
            <w:noWrap/>
            <w:vAlign w:val="bottom"/>
            <w:hideMark/>
          </w:tcPr>
          <w:p w14:paraId="48A71C0E"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Poor Restraint</w:t>
            </w:r>
          </w:p>
        </w:tc>
        <w:tc>
          <w:tcPr>
            <w:tcW w:w="3183" w:type="dxa"/>
            <w:tcBorders>
              <w:top w:val="nil"/>
              <w:left w:val="nil"/>
              <w:bottom w:val="nil"/>
              <w:right w:val="nil"/>
            </w:tcBorders>
            <w:shd w:val="clear" w:color="auto" w:fill="auto"/>
            <w:noWrap/>
            <w:vAlign w:val="bottom"/>
            <w:hideMark/>
          </w:tcPr>
          <w:p w14:paraId="4DEC1808"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7562C7AA"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6992C003"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DDD2BA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Katcher et al., 2010</w:t>
            </w:r>
          </w:p>
        </w:tc>
        <w:tc>
          <w:tcPr>
            <w:tcW w:w="1156" w:type="dxa"/>
            <w:tcBorders>
              <w:top w:val="nil"/>
              <w:left w:val="nil"/>
              <w:bottom w:val="nil"/>
              <w:right w:val="nil"/>
            </w:tcBorders>
            <w:shd w:val="clear" w:color="auto" w:fill="auto"/>
            <w:noWrap/>
            <w:vAlign w:val="bottom"/>
            <w:hideMark/>
          </w:tcPr>
          <w:p w14:paraId="68E0631B"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D65F93" w:rsidRPr="003328EE" w14:paraId="425CB616" w14:textId="77777777" w:rsidTr="00D65F93">
        <w:trPr>
          <w:trHeight w:val="320"/>
        </w:trPr>
        <w:tc>
          <w:tcPr>
            <w:tcW w:w="3545" w:type="dxa"/>
            <w:tcBorders>
              <w:top w:val="nil"/>
              <w:left w:val="nil"/>
              <w:bottom w:val="nil"/>
              <w:right w:val="nil"/>
            </w:tcBorders>
            <w:shd w:val="clear" w:color="auto" w:fill="auto"/>
            <w:noWrap/>
            <w:vAlign w:val="bottom"/>
            <w:hideMark/>
          </w:tcPr>
          <w:p w14:paraId="55FADF6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Psychological Makeup</w:t>
            </w:r>
          </w:p>
        </w:tc>
        <w:tc>
          <w:tcPr>
            <w:tcW w:w="3183" w:type="dxa"/>
            <w:tcBorders>
              <w:top w:val="nil"/>
              <w:left w:val="nil"/>
              <w:bottom w:val="nil"/>
              <w:right w:val="nil"/>
            </w:tcBorders>
            <w:shd w:val="clear" w:color="auto" w:fill="auto"/>
            <w:noWrap/>
            <w:vAlign w:val="bottom"/>
            <w:hideMark/>
          </w:tcPr>
          <w:p w14:paraId="14588C4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240AF3F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533EE31C"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E9B9DD6"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Curran &amp; Sherbinin, 2004</w:t>
            </w:r>
          </w:p>
        </w:tc>
        <w:tc>
          <w:tcPr>
            <w:tcW w:w="1156" w:type="dxa"/>
            <w:tcBorders>
              <w:top w:val="nil"/>
              <w:left w:val="nil"/>
              <w:bottom w:val="nil"/>
              <w:right w:val="nil"/>
            </w:tcBorders>
            <w:shd w:val="clear" w:color="auto" w:fill="auto"/>
            <w:noWrap/>
            <w:vAlign w:val="bottom"/>
            <w:hideMark/>
          </w:tcPr>
          <w:p w14:paraId="2302ED77"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Synthesis</w:t>
            </w:r>
          </w:p>
        </w:tc>
      </w:tr>
      <w:tr w:rsidR="00D65F93" w:rsidRPr="003328EE" w14:paraId="0038DEB6" w14:textId="77777777" w:rsidTr="00D65F93">
        <w:trPr>
          <w:trHeight w:val="320"/>
        </w:trPr>
        <w:tc>
          <w:tcPr>
            <w:tcW w:w="3545" w:type="dxa"/>
            <w:tcBorders>
              <w:top w:val="nil"/>
              <w:left w:val="nil"/>
              <w:bottom w:val="nil"/>
              <w:right w:val="nil"/>
            </w:tcBorders>
            <w:shd w:val="clear" w:color="auto" w:fill="auto"/>
            <w:noWrap/>
            <w:vAlign w:val="bottom"/>
            <w:hideMark/>
          </w:tcPr>
          <w:p w14:paraId="79C24B3F"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Resistant to Change</w:t>
            </w:r>
          </w:p>
        </w:tc>
        <w:tc>
          <w:tcPr>
            <w:tcW w:w="3183" w:type="dxa"/>
            <w:tcBorders>
              <w:top w:val="nil"/>
              <w:left w:val="nil"/>
              <w:bottom w:val="nil"/>
              <w:right w:val="nil"/>
            </w:tcBorders>
            <w:shd w:val="clear" w:color="auto" w:fill="auto"/>
            <w:noWrap/>
            <w:vAlign w:val="bottom"/>
            <w:hideMark/>
          </w:tcPr>
          <w:p w14:paraId="2DCDA740"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Intrinsic Motivation</w:t>
            </w:r>
          </w:p>
        </w:tc>
        <w:tc>
          <w:tcPr>
            <w:tcW w:w="2061" w:type="dxa"/>
            <w:tcBorders>
              <w:top w:val="nil"/>
              <w:left w:val="nil"/>
              <w:bottom w:val="nil"/>
              <w:right w:val="nil"/>
            </w:tcBorders>
            <w:shd w:val="clear" w:color="auto" w:fill="auto"/>
            <w:noWrap/>
            <w:vAlign w:val="bottom"/>
            <w:hideMark/>
          </w:tcPr>
          <w:p w14:paraId="4596035D"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Autonomy</w:t>
            </w:r>
          </w:p>
        </w:tc>
        <w:tc>
          <w:tcPr>
            <w:tcW w:w="993" w:type="dxa"/>
            <w:tcBorders>
              <w:top w:val="nil"/>
              <w:left w:val="nil"/>
              <w:bottom w:val="nil"/>
              <w:right w:val="nil"/>
            </w:tcBorders>
            <w:shd w:val="clear" w:color="auto" w:fill="auto"/>
            <w:noWrap/>
            <w:vAlign w:val="bottom"/>
            <w:hideMark/>
          </w:tcPr>
          <w:p w14:paraId="270BDAB5"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CD21604"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72A35D22" w14:textId="77777777" w:rsidR="00D65F93" w:rsidRPr="003328EE" w:rsidRDefault="00D65F93"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0981BFA" w14:textId="77777777" w:rsidTr="00D65F93">
        <w:trPr>
          <w:trHeight w:val="320"/>
        </w:trPr>
        <w:tc>
          <w:tcPr>
            <w:tcW w:w="3545" w:type="dxa"/>
            <w:tcBorders>
              <w:top w:val="nil"/>
              <w:left w:val="nil"/>
              <w:bottom w:val="nil"/>
              <w:right w:val="nil"/>
            </w:tcBorders>
            <w:shd w:val="clear" w:color="auto" w:fill="auto"/>
            <w:noWrap/>
            <w:vAlign w:val="bottom"/>
            <w:hideMark/>
          </w:tcPr>
          <w:p w14:paraId="20C49B40" w14:textId="263CBCA0" w:rsidR="00F826D0" w:rsidRPr="003328EE" w:rsidRDefault="00F826D0" w:rsidP="00D65F93">
            <w:pPr>
              <w:rPr>
                <w:rFonts w:eastAsia="Times New Roman"/>
                <w:color w:val="000000"/>
                <w:sz w:val="18"/>
                <w:szCs w:val="18"/>
              </w:rPr>
            </w:pPr>
            <w:r w:rsidRPr="003328EE">
              <w:rPr>
                <w:rFonts w:eastAsia="Times New Roman"/>
                <w:color w:val="000000"/>
                <w:sz w:val="18"/>
                <w:szCs w:val="18"/>
              </w:rPr>
              <w:t>Dehumanization</w:t>
            </w:r>
          </w:p>
        </w:tc>
        <w:tc>
          <w:tcPr>
            <w:tcW w:w="3183" w:type="dxa"/>
            <w:tcBorders>
              <w:top w:val="nil"/>
              <w:left w:val="nil"/>
              <w:bottom w:val="nil"/>
              <w:right w:val="nil"/>
            </w:tcBorders>
            <w:shd w:val="clear" w:color="auto" w:fill="auto"/>
            <w:noWrap/>
            <w:vAlign w:val="bottom"/>
            <w:hideMark/>
          </w:tcPr>
          <w:p w14:paraId="3184A365" w14:textId="0BCE0188" w:rsidR="00F826D0" w:rsidRPr="003328EE" w:rsidRDefault="00F826D0" w:rsidP="00D65F93">
            <w:pPr>
              <w:rPr>
                <w:rFonts w:eastAsia="Times New Roman"/>
                <w:color w:val="000000"/>
                <w:sz w:val="18"/>
                <w:szCs w:val="18"/>
              </w:rPr>
            </w:pPr>
            <w:r w:rsidRPr="003328EE">
              <w:rPr>
                <w:rFonts w:eastAsia="Times New Roman"/>
                <w:color w:val="000000"/>
                <w:sz w:val="18"/>
                <w:szCs w:val="18"/>
              </w:rPr>
              <w:t>Anthropocentric</w:t>
            </w:r>
          </w:p>
        </w:tc>
        <w:tc>
          <w:tcPr>
            <w:tcW w:w="2061" w:type="dxa"/>
            <w:tcBorders>
              <w:top w:val="nil"/>
              <w:left w:val="nil"/>
              <w:bottom w:val="nil"/>
              <w:right w:val="nil"/>
            </w:tcBorders>
            <w:shd w:val="clear" w:color="auto" w:fill="auto"/>
            <w:noWrap/>
            <w:vAlign w:val="bottom"/>
            <w:hideMark/>
          </w:tcPr>
          <w:p w14:paraId="487D23F2" w14:textId="7A8149EF"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03D8D4FB" w14:textId="5550CF9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06F6166" w14:textId="779C7F7F" w:rsidR="00F826D0" w:rsidRPr="003328EE" w:rsidRDefault="00F826D0" w:rsidP="00D65F93">
            <w:pPr>
              <w:rPr>
                <w:rFonts w:eastAsia="Times New Roman"/>
                <w:color w:val="000000"/>
                <w:sz w:val="18"/>
                <w:szCs w:val="18"/>
              </w:rPr>
            </w:pPr>
            <w:r w:rsidRPr="003328EE">
              <w:rPr>
                <w:rFonts w:eastAsia="Times New Roman"/>
                <w:color w:val="000000"/>
                <w:sz w:val="18"/>
                <w:szCs w:val="18"/>
              </w:rPr>
              <w:t>Bratanova et al., 2011</w:t>
            </w:r>
          </w:p>
        </w:tc>
        <w:tc>
          <w:tcPr>
            <w:tcW w:w="1156" w:type="dxa"/>
            <w:tcBorders>
              <w:top w:val="nil"/>
              <w:left w:val="nil"/>
              <w:bottom w:val="nil"/>
              <w:right w:val="nil"/>
            </w:tcBorders>
            <w:shd w:val="clear" w:color="auto" w:fill="auto"/>
            <w:noWrap/>
            <w:vAlign w:val="bottom"/>
            <w:hideMark/>
          </w:tcPr>
          <w:p w14:paraId="3BF85315" w14:textId="698731D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FFE360E" w14:textId="77777777" w:rsidTr="00D65F93">
        <w:trPr>
          <w:trHeight w:val="320"/>
        </w:trPr>
        <w:tc>
          <w:tcPr>
            <w:tcW w:w="3545" w:type="dxa"/>
            <w:tcBorders>
              <w:top w:val="nil"/>
              <w:left w:val="nil"/>
              <w:bottom w:val="nil"/>
              <w:right w:val="nil"/>
            </w:tcBorders>
            <w:shd w:val="clear" w:color="auto" w:fill="auto"/>
            <w:noWrap/>
            <w:vAlign w:val="bottom"/>
            <w:hideMark/>
          </w:tcPr>
          <w:p w14:paraId="26762D60" w14:textId="5D7B2B61" w:rsidR="00F826D0" w:rsidRPr="003328EE" w:rsidRDefault="00F826D0" w:rsidP="00D65F93">
            <w:pPr>
              <w:rPr>
                <w:rFonts w:eastAsia="Times New Roman"/>
                <w:color w:val="000000"/>
                <w:sz w:val="18"/>
                <w:szCs w:val="18"/>
              </w:rPr>
            </w:pPr>
            <w:r w:rsidRPr="003328EE">
              <w:rPr>
                <w:rFonts w:eastAsia="Times New Roman"/>
                <w:color w:val="000000"/>
                <w:sz w:val="18"/>
                <w:szCs w:val="18"/>
              </w:rPr>
              <w:t>Dehumanization</w:t>
            </w:r>
          </w:p>
        </w:tc>
        <w:tc>
          <w:tcPr>
            <w:tcW w:w="3183" w:type="dxa"/>
            <w:tcBorders>
              <w:top w:val="nil"/>
              <w:left w:val="nil"/>
              <w:bottom w:val="nil"/>
              <w:right w:val="nil"/>
            </w:tcBorders>
            <w:shd w:val="clear" w:color="auto" w:fill="auto"/>
            <w:noWrap/>
            <w:vAlign w:val="bottom"/>
            <w:hideMark/>
          </w:tcPr>
          <w:p w14:paraId="1EB77067" w14:textId="6FB27038" w:rsidR="00F826D0" w:rsidRPr="003328EE" w:rsidRDefault="00F826D0" w:rsidP="00D65F93">
            <w:pPr>
              <w:rPr>
                <w:rFonts w:eastAsia="Times New Roman"/>
                <w:color w:val="000000"/>
                <w:sz w:val="18"/>
                <w:szCs w:val="18"/>
              </w:rPr>
            </w:pPr>
            <w:r w:rsidRPr="003328EE">
              <w:rPr>
                <w:rFonts w:eastAsia="Times New Roman"/>
                <w:color w:val="000000"/>
                <w:sz w:val="18"/>
                <w:szCs w:val="18"/>
              </w:rPr>
              <w:t>Anthropocentric</w:t>
            </w:r>
          </w:p>
        </w:tc>
        <w:tc>
          <w:tcPr>
            <w:tcW w:w="2061" w:type="dxa"/>
            <w:tcBorders>
              <w:top w:val="nil"/>
              <w:left w:val="nil"/>
              <w:bottom w:val="nil"/>
              <w:right w:val="nil"/>
            </w:tcBorders>
            <w:shd w:val="clear" w:color="auto" w:fill="auto"/>
            <w:noWrap/>
            <w:vAlign w:val="bottom"/>
            <w:hideMark/>
          </w:tcPr>
          <w:p w14:paraId="7E5FDF8E" w14:textId="1EBCCE48"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3F103702" w14:textId="28EB0FE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C1B1B45" w14:textId="3A67564D" w:rsidR="00F826D0" w:rsidRPr="003328EE" w:rsidRDefault="00F826D0" w:rsidP="00D65F93">
            <w:pPr>
              <w:rPr>
                <w:rFonts w:eastAsia="Times New Roman"/>
                <w:color w:val="000000"/>
                <w:sz w:val="18"/>
                <w:szCs w:val="18"/>
              </w:rPr>
            </w:pPr>
            <w:r w:rsidRPr="003328EE">
              <w:rPr>
                <w:rFonts w:eastAsia="Times New Roman"/>
                <w:color w:val="000000"/>
                <w:sz w:val="18"/>
                <w:szCs w:val="18"/>
              </w:rPr>
              <w:t>Loughnan et al., 2010</w:t>
            </w:r>
          </w:p>
        </w:tc>
        <w:tc>
          <w:tcPr>
            <w:tcW w:w="1156" w:type="dxa"/>
            <w:tcBorders>
              <w:top w:val="nil"/>
              <w:left w:val="nil"/>
              <w:bottom w:val="nil"/>
              <w:right w:val="nil"/>
            </w:tcBorders>
            <w:shd w:val="clear" w:color="auto" w:fill="auto"/>
            <w:noWrap/>
            <w:vAlign w:val="bottom"/>
            <w:hideMark/>
          </w:tcPr>
          <w:p w14:paraId="66F21435" w14:textId="5E9FF9A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D139833" w14:textId="77777777" w:rsidTr="00D65F93">
        <w:trPr>
          <w:trHeight w:val="320"/>
        </w:trPr>
        <w:tc>
          <w:tcPr>
            <w:tcW w:w="3545" w:type="dxa"/>
            <w:tcBorders>
              <w:top w:val="nil"/>
              <w:left w:val="nil"/>
              <w:bottom w:val="nil"/>
              <w:right w:val="nil"/>
            </w:tcBorders>
            <w:shd w:val="clear" w:color="auto" w:fill="auto"/>
            <w:noWrap/>
            <w:vAlign w:val="bottom"/>
            <w:hideMark/>
          </w:tcPr>
          <w:p w14:paraId="066C9A25" w14:textId="5098C364" w:rsidR="00F826D0" w:rsidRPr="003328EE" w:rsidRDefault="00F826D0" w:rsidP="00D65F93">
            <w:pPr>
              <w:rPr>
                <w:rFonts w:eastAsia="Times New Roman"/>
                <w:color w:val="000000"/>
                <w:sz w:val="18"/>
                <w:szCs w:val="18"/>
              </w:rPr>
            </w:pPr>
            <w:r w:rsidRPr="003328EE">
              <w:rPr>
                <w:rFonts w:eastAsia="Times New Roman"/>
                <w:color w:val="000000"/>
                <w:sz w:val="18"/>
                <w:szCs w:val="18"/>
              </w:rPr>
              <w:t>Dehumanization</w:t>
            </w:r>
          </w:p>
        </w:tc>
        <w:tc>
          <w:tcPr>
            <w:tcW w:w="3183" w:type="dxa"/>
            <w:tcBorders>
              <w:top w:val="nil"/>
              <w:left w:val="nil"/>
              <w:bottom w:val="nil"/>
              <w:right w:val="nil"/>
            </w:tcBorders>
            <w:shd w:val="clear" w:color="auto" w:fill="auto"/>
            <w:noWrap/>
            <w:vAlign w:val="bottom"/>
            <w:hideMark/>
          </w:tcPr>
          <w:p w14:paraId="0F623604" w14:textId="2283004E" w:rsidR="00F826D0" w:rsidRPr="003328EE" w:rsidRDefault="00F826D0" w:rsidP="00D65F93">
            <w:pPr>
              <w:rPr>
                <w:rFonts w:eastAsia="Times New Roman"/>
                <w:color w:val="000000"/>
                <w:sz w:val="18"/>
                <w:szCs w:val="18"/>
              </w:rPr>
            </w:pPr>
            <w:r w:rsidRPr="003328EE">
              <w:rPr>
                <w:rFonts w:eastAsia="Times New Roman"/>
                <w:color w:val="000000"/>
                <w:sz w:val="18"/>
                <w:szCs w:val="18"/>
              </w:rPr>
              <w:t>Anthropocentric</w:t>
            </w:r>
          </w:p>
        </w:tc>
        <w:tc>
          <w:tcPr>
            <w:tcW w:w="2061" w:type="dxa"/>
            <w:tcBorders>
              <w:top w:val="nil"/>
              <w:left w:val="nil"/>
              <w:bottom w:val="nil"/>
              <w:right w:val="nil"/>
            </w:tcBorders>
            <w:shd w:val="clear" w:color="auto" w:fill="auto"/>
            <w:noWrap/>
            <w:vAlign w:val="bottom"/>
            <w:hideMark/>
          </w:tcPr>
          <w:p w14:paraId="45BEF040" w14:textId="63697F27"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491394F3" w14:textId="6B9BBFB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F4615FB" w14:textId="6B84B677" w:rsidR="00F826D0" w:rsidRPr="003328EE" w:rsidRDefault="00F826D0" w:rsidP="00D65F93">
            <w:pPr>
              <w:rPr>
                <w:rFonts w:eastAsia="Times New Roman"/>
                <w:color w:val="000000"/>
                <w:sz w:val="18"/>
                <w:szCs w:val="18"/>
              </w:rPr>
            </w:pPr>
            <w:r w:rsidRPr="003328EE">
              <w:rPr>
                <w:rFonts w:eastAsia="Times New Roman"/>
                <w:color w:val="000000"/>
                <w:sz w:val="18"/>
                <w:szCs w:val="18"/>
              </w:rPr>
              <w:t>Ruby et al., 2016</w:t>
            </w:r>
          </w:p>
        </w:tc>
        <w:tc>
          <w:tcPr>
            <w:tcW w:w="1156" w:type="dxa"/>
            <w:tcBorders>
              <w:top w:val="nil"/>
              <w:left w:val="nil"/>
              <w:bottom w:val="nil"/>
              <w:right w:val="nil"/>
            </w:tcBorders>
            <w:shd w:val="clear" w:color="auto" w:fill="auto"/>
            <w:noWrap/>
            <w:vAlign w:val="bottom"/>
            <w:hideMark/>
          </w:tcPr>
          <w:p w14:paraId="0EC600A6" w14:textId="35A87BD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30F2F7A" w14:textId="77777777" w:rsidTr="00D65F93">
        <w:trPr>
          <w:trHeight w:val="320"/>
        </w:trPr>
        <w:tc>
          <w:tcPr>
            <w:tcW w:w="3545" w:type="dxa"/>
            <w:tcBorders>
              <w:top w:val="nil"/>
              <w:left w:val="nil"/>
              <w:bottom w:val="nil"/>
              <w:right w:val="nil"/>
            </w:tcBorders>
            <w:shd w:val="clear" w:color="auto" w:fill="auto"/>
            <w:noWrap/>
            <w:vAlign w:val="bottom"/>
            <w:hideMark/>
          </w:tcPr>
          <w:p w14:paraId="53C2C9B2" w14:textId="19B74541" w:rsidR="00F826D0" w:rsidRPr="003328EE" w:rsidRDefault="00F826D0" w:rsidP="00D65F93">
            <w:pPr>
              <w:rPr>
                <w:rFonts w:eastAsia="Times New Roman"/>
                <w:color w:val="000000"/>
                <w:sz w:val="18"/>
                <w:szCs w:val="18"/>
              </w:rPr>
            </w:pPr>
            <w:r w:rsidRPr="003328EE">
              <w:rPr>
                <w:rFonts w:eastAsia="Times New Roman"/>
                <w:color w:val="000000"/>
                <w:sz w:val="18"/>
                <w:szCs w:val="18"/>
              </w:rPr>
              <w:t>Hierarchy</w:t>
            </w:r>
          </w:p>
        </w:tc>
        <w:tc>
          <w:tcPr>
            <w:tcW w:w="3183" w:type="dxa"/>
            <w:tcBorders>
              <w:top w:val="nil"/>
              <w:left w:val="nil"/>
              <w:bottom w:val="nil"/>
              <w:right w:val="nil"/>
            </w:tcBorders>
            <w:shd w:val="clear" w:color="auto" w:fill="auto"/>
            <w:noWrap/>
            <w:vAlign w:val="bottom"/>
            <w:hideMark/>
          </w:tcPr>
          <w:p w14:paraId="72C0A474" w14:textId="401E662D" w:rsidR="00F826D0" w:rsidRPr="003328EE" w:rsidRDefault="00F826D0" w:rsidP="00D65F93">
            <w:pPr>
              <w:rPr>
                <w:rFonts w:eastAsia="Times New Roman"/>
                <w:color w:val="000000"/>
                <w:sz w:val="18"/>
                <w:szCs w:val="18"/>
              </w:rPr>
            </w:pPr>
            <w:r w:rsidRPr="003328EE">
              <w:rPr>
                <w:rFonts w:eastAsia="Times New Roman"/>
                <w:color w:val="000000"/>
                <w:sz w:val="18"/>
                <w:szCs w:val="18"/>
              </w:rPr>
              <w:t>Anthropocentric</w:t>
            </w:r>
          </w:p>
        </w:tc>
        <w:tc>
          <w:tcPr>
            <w:tcW w:w="2061" w:type="dxa"/>
            <w:tcBorders>
              <w:top w:val="nil"/>
              <w:left w:val="nil"/>
              <w:bottom w:val="nil"/>
              <w:right w:val="nil"/>
            </w:tcBorders>
            <w:shd w:val="clear" w:color="auto" w:fill="auto"/>
            <w:noWrap/>
            <w:vAlign w:val="bottom"/>
            <w:hideMark/>
          </w:tcPr>
          <w:p w14:paraId="6371DA78" w14:textId="3B870147"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21D70FD4" w14:textId="139CD13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286F083" w14:textId="0CCC6424"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1DC5A9C8" w14:textId="2F0946F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342A50D" w14:textId="77777777" w:rsidTr="00D65F93">
        <w:trPr>
          <w:trHeight w:val="320"/>
        </w:trPr>
        <w:tc>
          <w:tcPr>
            <w:tcW w:w="3545" w:type="dxa"/>
            <w:tcBorders>
              <w:top w:val="nil"/>
              <w:left w:val="nil"/>
              <w:bottom w:val="nil"/>
              <w:right w:val="nil"/>
            </w:tcBorders>
            <w:shd w:val="clear" w:color="auto" w:fill="auto"/>
            <w:noWrap/>
            <w:vAlign w:val="bottom"/>
            <w:hideMark/>
          </w:tcPr>
          <w:p w14:paraId="389D42A6" w14:textId="4CBBADDE" w:rsidR="00F826D0" w:rsidRPr="003328EE" w:rsidRDefault="00F826D0" w:rsidP="00D65F93">
            <w:pPr>
              <w:rPr>
                <w:rFonts w:eastAsia="Times New Roman"/>
                <w:color w:val="000000"/>
                <w:sz w:val="18"/>
                <w:szCs w:val="18"/>
              </w:rPr>
            </w:pPr>
            <w:r w:rsidRPr="003328EE">
              <w:rPr>
                <w:rFonts w:eastAsia="Times New Roman"/>
                <w:color w:val="000000"/>
                <w:sz w:val="18"/>
                <w:szCs w:val="18"/>
              </w:rPr>
              <w:t>Hierarchy</w:t>
            </w:r>
          </w:p>
        </w:tc>
        <w:tc>
          <w:tcPr>
            <w:tcW w:w="3183" w:type="dxa"/>
            <w:tcBorders>
              <w:top w:val="nil"/>
              <w:left w:val="nil"/>
              <w:bottom w:val="nil"/>
              <w:right w:val="nil"/>
            </w:tcBorders>
            <w:shd w:val="clear" w:color="auto" w:fill="auto"/>
            <w:noWrap/>
            <w:vAlign w:val="bottom"/>
            <w:hideMark/>
          </w:tcPr>
          <w:p w14:paraId="0412A04B" w14:textId="35B728FB" w:rsidR="00F826D0" w:rsidRPr="003328EE" w:rsidRDefault="00F826D0" w:rsidP="00D65F93">
            <w:pPr>
              <w:rPr>
                <w:rFonts w:eastAsia="Times New Roman"/>
                <w:color w:val="000000"/>
                <w:sz w:val="18"/>
                <w:szCs w:val="18"/>
              </w:rPr>
            </w:pPr>
            <w:r w:rsidRPr="003328EE">
              <w:rPr>
                <w:rFonts w:eastAsia="Times New Roman"/>
                <w:color w:val="000000"/>
                <w:sz w:val="18"/>
                <w:szCs w:val="18"/>
              </w:rPr>
              <w:t>Anthropocentric</w:t>
            </w:r>
          </w:p>
        </w:tc>
        <w:tc>
          <w:tcPr>
            <w:tcW w:w="2061" w:type="dxa"/>
            <w:tcBorders>
              <w:top w:val="nil"/>
              <w:left w:val="nil"/>
              <w:bottom w:val="nil"/>
              <w:right w:val="nil"/>
            </w:tcBorders>
            <w:shd w:val="clear" w:color="auto" w:fill="auto"/>
            <w:noWrap/>
            <w:vAlign w:val="bottom"/>
            <w:hideMark/>
          </w:tcPr>
          <w:p w14:paraId="599C0362" w14:textId="33D703B8"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513AB1E6" w14:textId="2684E6A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3C7A297" w14:textId="7FB8DF1F" w:rsidR="00F826D0" w:rsidRPr="003328EE" w:rsidRDefault="00F826D0" w:rsidP="00D65F93">
            <w:pPr>
              <w:rPr>
                <w:rFonts w:eastAsia="Times New Roman"/>
                <w:color w:val="000000"/>
                <w:sz w:val="18"/>
                <w:szCs w:val="18"/>
              </w:rPr>
            </w:pPr>
            <w:r w:rsidRPr="003328EE">
              <w:rPr>
                <w:rFonts w:eastAsia="Times New Roman"/>
                <w:color w:val="000000"/>
                <w:sz w:val="18"/>
                <w:szCs w:val="18"/>
              </w:rPr>
              <w:t>Bilewicz et al., 2011</w:t>
            </w:r>
          </w:p>
        </w:tc>
        <w:tc>
          <w:tcPr>
            <w:tcW w:w="1156" w:type="dxa"/>
            <w:tcBorders>
              <w:top w:val="nil"/>
              <w:left w:val="nil"/>
              <w:bottom w:val="nil"/>
              <w:right w:val="nil"/>
            </w:tcBorders>
            <w:shd w:val="clear" w:color="auto" w:fill="auto"/>
            <w:noWrap/>
            <w:vAlign w:val="bottom"/>
            <w:hideMark/>
          </w:tcPr>
          <w:p w14:paraId="2CB5531F" w14:textId="33657F4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26F35FD" w14:textId="77777777" w:rsidTr="00D65F93">
        <w:trPr>
          <w:trHeight w:val="320"/>
        </w:trPr>
        <w:tc>
          <w:tcPr>
            <w:tcW w:w="3545" w:type="dxa"/>
            <w:tcBorders>
              <w:top w:val="nil"/>
              <w:left w:val="nil"/>
              <w:bottom w:val="nil"/>
              <w:right w:val="nil"/>
            </w:tcBorders>
            <w:shd w:val="clear" w:color="auto" w:fill="auto"/>
            <w:noWrap/>
            <w:vAlign w:val="bottom"/>
            <w:hideMark/>
          </w:tcPr>
          <w:p w14:paraId="6EC2C6ED" w14:textId="72404E22" w:rsidR="00F826D0" w:rsidRPr="003328EE" w:rsidRDefault="00F826D0" w:rsidP="00D65F93">
            <w:pPr>
              <w:rPr>
                <w:rFonts w:eastAsia="Times New Roman"/>
                <w:color w:val="000000"/>
                <w:sz w:val="18"/>
                <w:szCs w:val="18"/>
              </w:rPr>
            </w:pPr>
            <w:r w:rsidRPr="003328EE">
              <w:rPr>
                <w:rFonts w:eastAsia="Times New Roman"/>
                <w:color w:val="000000"/>
                <w:sz w:val="18"/>
                <w:szCs w:val="18"/>
              </w:rPr>
              <w:t>Hierarchy</w:t>
            </w:r>
          </w:p>
        </w:tc>
        <w:tc>
          <w:tcPr>
            <w:tcW w:w="3183" w:type="dxa"/>
            <w:tcBorders>
              <w:top w:val="nil"/>
              <w:left w:val="nil"/>
              <w:bottom w:val="nil"/>
              <w:right w:val="nil"/>
            </w:tcBorders>
            <w:shd w:val="clear" w:color="auto" w:fill="auto"/>
            <w:noWrap/>
            <w:vAlign w:val="bottom"/>
            <w:hideMark/>
          </w:tcPr>
          <w:p w14:paraId="41565ED2" w14:textId="00ED889D" w:rsidR="00F826D0" w:rsidRPr="003328EE" w:rsidRDefault="00F826D0" w:rsidP="00D65F93">
            <w:pPr>
              <w:rPr>
                <w:rFonts w:eastAsia="Times New Roman"/>
                <w:color w:val="000000"/>
                <w:sz w:val="18"/>
                <w:szCs w:val="18"/>
              </w:rPr>
            </w:pPr>
            <w:r w:rsidRPr="003328EE">
              <w:rPr>
                <w:rFonts w:eastAsia="Times New Roman"/>
                <w:color w:val="000000"/>
                <w:sz w:val="18"/>
                <w:szCs w:val="18"/>
              </w:rPr>
              <w:t>Anthropocentric</w:t>
            </w:r>
          </w:p>
        </w:tc>
        <w:tc>
          <w:tcPr>
            <w:tcW w:w="2061" w:type="dxa"/>
            <w:tcBorders>
              <w:top w:val="nil"/>
              <w:left w:val="nil"/>
              <w:bottom w:val="nil"/>
              <w:right w:val="nil"/>
            </w:tcBorders>
            <w:shd w:val="clear" w:color="auto" w:fill="auto"/>
            <w:noWrap/>
            <w:vAlign w:val="bottom"/>
            <w:hideMark/>
          </w:tcPr>
          <w:p w14:paraId="29806759" w14:textId="656908CF"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3E0978A1" w14:textId="2070411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C659447" w14:textId="24A3D364" w:rsidR="00F826D0" w:rsidRPr="003328EE" w:rsidRDefault="00F826D0" w:rsidP="00D65F93">
            <w:pPr>
              <w:rPr>
                <w:rFonts w:eastAsia="Times New Roman"/>
                <w:color w:val="000000"/>
                <w:sz w:val="18"/>
                <w:szCs w:val="18"/>
              </w:rPr>
            </w:pPr>
            <w:r w:rsidRPr="003328EE">
              <w:rPr>
                <w:rFonts w:eastAsia="Times New Roman"/>
                <w:color w:val="000000"/>
                <w:sz w:val="18"/>
                <w:szCs w:val="18"/>
              </w:rPr>
              <w:t>Ruby et al., 2016</w:t>
            </w:r>
          </w:p>
        </w:tc>
        <w:tc>
          <w:tcPr>
            <w:tcW w:w="1156" w:type="dxa"/>
            <w:tcBorders>
              <w:top w:val="nil"/>
              <w:left w:val="nil"/>
              <w:bottom w:val="nil"/>
              <w:right w:val="nil"/>
            </w:tcBorders>
            <w:shd w:val="clear" w:color="auto" w:fill="auto"/>
            <w:noWrap/>
            <w:vAlign w:val="bottom"/>
            <w:hideMark/>
          </w:tcPr>
          <w:p w14:paraId="2FF62ED4" w14:textId="388FC0F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B876C20" w14:textId="77777777" w:rsidTr="00D65F93">
        <w:trPr>
          <w:trHeight w:val="320"/>
        </w:trPr>
        <w:tc>
          <w:tcPr>
            <w:tcW w:w="3545" w:type="dxa"/>
            <w:tcBorders>
              <w:top w:val="nil"/>
              <w:left w:val="nil"/>
              <w:bottom w:val="nil"/>
              <w:right w:val="nil"/>
            </w:tcBorders>
            <w:shd w:val="clear" w:color="auto" w:fill="auto"/>
            <w:noWrap/>
            <w:vAlign w:val="bottom"/>
            <w:hideMark/>
          </w:tcPr>
          <w:p w14:paraId="4F76DC83" w14:textId="4A6D24FF" w:rsidR="00F826D0" w:rsidRPr="003328EE" w:rsidRDefault="00F826D0" w:rsidP="00D65F93">
            <w:pPr>
              <w:rPr>
                <w:rFonts w:eastAsia="Times New Roman"/>
                <w:color w:val="000000"/>
                <w:sz w:val="18"/>
                <w:szCs w:val="18"/>
              </w:rPr>
            </w:pPr>
            <w:r w:rsidRPr="003328EE">
              <w:rPr>
                <w:rFonts w:eastAsia="Times New Roman"/>
                <w:color w:val="000000"/>
                <w:sz w:val="18"/>
                <w:szCs w:val="18"/>
              </w:rPr>
              <w:t>Hierarchy</w:t>
            </w:r>
          </w:p>
        </w:tc>
        <w:tc>
          <w:tcPr>
            <w:tcW w:w="3183" w:type="dxa"/>
            <w:tcBorders>
              <w:top w:val="nil"/>
              <w:left w:val="nil"/>
              <w:bottom w:val="nil"/>
              <w:right w:val="nil"/>
            </w:tcBorders>
            <w:shd w:val="clear" w:color="auto" w:fill="auto"/>
            <w:noWrap/>
            <w:vAlign w:val="bottom"/>
            <w:hideMark/>
          </w:tcPr>
          <w:p w14:paraId="1DF670DF" w14:textId="722898C8" w:rsidR="00F826D0" w:rsidRPr="003328EE" w:rsidRDefault="00F826D0" w:rsidP="00D65F93">
            <w:pPr>
              <w:rPr>
                <w:rFonts w:eastAsia="Times New Roman"/>
                <w:color w:val="000000"/>
                <w:sz w:val="18"/>
                <w:szCs w:val="18"/>
              </w:rPr>
            </w:pPr>
            <w:r w:rsidRPr="003328EE">
              <w:rPr>
                <w:rFonts w:eastAsia="Times New Roman"/>
                <w:color w:val="000000"/>
                <w:sz w:val="18"/>
                <w:szCs w:val="18"/>
              </w:rPr>
              <w:t>Anthropocentric</w:t>
            </w:r>
          </w:p>
        </w:tc>
        <w:tc>
          <w:tcPr>
            <w:tcW w:w="2061" w:type="dxa"/>
            <w:tcBorders>
              <w:top w:val="nil"/>
              <w:left w:val="nil"/>
              <w:bottom w:val="nil"/>
              <w:right w:val="nil"/>
            </w:tcBorders>
            <w:shd w:val="clear" w:color="auto" w:fill="auto"/>
            <w:noWrap/>
            <w:vAlign w:val="bottom"/>
            <w:hideMark/>
          </w:tcPr>
          <w:p w14:paraId="1254E857" w14:textId="5913A34F"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5E621677" w14:textId="2E59988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404AA4B" w14:textId="23E5702C" w:rsidR="00F826D0" w:rsidRPr="003328EE" w:rsidRDefault="00F826D0" w:rsidP="00D65F93">
            <w:pPr>
              <w:rPr>
                <w:rFonts w:eastAsia="Times New Roman"/>
                <w:color w:val="000000"/>
                <w:sz w:val="18"/>
                <w:szCs w:val="18"/>
              </w:rPr>
            </w:pPr>
            <w:r w:rsidRPr="003328EE">
              <w:rPr>
                <w:rFonts w:eastAsia="Times New Roman"/>
                <w:color w:val="000000"/>
                <w:sz w:val="18"/>
                <w:szCs w:val="18"/>
              </w:rPr>
              <w:t>Vinnari &amp; Vinnari, 2013</w:t>
            </w:r>
          </w:p>
        </w:tc>
        <w:tc>
          <w:tcPr>
            <w:tcW w:w="1156" w:type="dxa"/>
            <w:tcBorders>
              <w:top w:val="nil"/>
              <w:left w:val="nil"/>
              <w:bottom w:val="nil"/>
              <w:right w:val="nil"/>
            </w:tcBorders>
            <w:shd w:val="clear" w:color="auto" w:fill="auto"/>
            <w:noWrap/>
            <w:vAlign w:val="bottom"/>
            <w:hideMark/>
          </w:tcPr>
          <w:p w14:paraId="720601FE" w14:textId="7667525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A35A8DC" w14:textId="77777777" w:rsidTr="00D65F93">
        <w:trPr>
          <w:trHeight w:val="320"/>
        </w:trPr>
        <w:tc>
          <w:tcPr>
            <w:tcW w:w="3545" w:type="dxa"/>
            <w:tcBorders>
              <w:top w:val="nil"/>
              <w:left w:val="nil"/>
              <w:bottom w:val="nil"/>
              <w:right w:val="nil"/>
            </w:tcBorders>
            <w:shd w:val="clear" w:color="auto" w:fill="auto"/>
            <w:noWrap/>
            <w:vAlign w:val="bottom"/>
            <w:hideMark/>
          </w:tcPr>
          <w:p w14:paraId="454BF565" w14:textId="612484F6" w:rsidR="00F826D0" w:rsidRPr="003328EE" w:rsidRDefault="00F826D0" w:rsidP="00D65F93">
            <w:pPr>
              <w:rPr>
                <w:rFonts w:eastAsia="Times New Roman"/>
                <w:color w:val="000000"/>
                <w:sz w:val="18"/>
                <w:szCs w:val="18"/>
              </w:rPr>
            </w:pPr>
            <w:r w:rsidRPr="003328EE">
              <w:rPr>
                <w:rFonts w:eastAsia="Times New Roman"/>
                <w:color w:val="000000"/>
                <w:sz w:val="18"/>
                <w:szCs w:val="18"/>
              </w:rPr>
              <w:t>Hierarchy</w:t>
            </w:r>
          </w:p>
        </w:tc>
        <w:tc>
          <w:tcPr>
            <w:tcW w:w="3183" w:type="dxa"/>
            <w:tcBorders>
              <w:top w:val="nil"/>
              <w:left w:val="nil"/>
              <w:bottom w:val="nil"/>
              <w:right w:val="nil"/>
            </w:tcBorders>
            <w:shd w:val="clear" w:color="auto" w:fill="auto"/>
            <w:noWrap/>
            <w:vAlign w:val="bottom"/>
            <w:hideMark/>
          </w:tcPr>
          <w:p w14:paraId="0E120194" w14:textId="17C0BBA6" w:rsidR="00F826D0" w:rsidRPr="003328EE" w:rsidRDefault="00F826D0" w:rsidP="00D65F93">
            <w:pPr>
              <w:rPr>
                <w:rFonts w:eastAsia="Times New Roman"/>
                <w:color w:val="000000"/>
                <w:sz w:val="18"/>
                <w:szCs w:val="18"/>
              </w:rPr>
            </w:pPr>
            <w:r w:rsidRPr="003328EE">
              <w:rPr>
                <w:rFonts w:eastAsia="Times New Roman"/>
                <w:color w:val="000000"/>
                <w:sz w:val="18"/>
                <w:szCs w:val="18"/>
              </w:rPr>
              <w:t>Anthropocentric</w:t>
            </w:r>
          </w:p>
        </w:tc>
        <w:tc>
          <w:tcPr>
            <w:tcW w:w="2061" w:type="dxa"/>
            <w:tcBorders>
              <w:top w:val="nil"/>
              <w:left w:val="nil"/>
              <w:bottom w:val="nil"/>
              <w:right w:val="nil"/>
            </w:tcBorders>
            <w:shd w:val="clear" w:color="auto" w:fill="auto"/>
            <w:noWrap/>
            <w:vAlign w:val="bottom"/>
            <w:hideMark/>
          </w:tcPr>
          <w:p w14:paraId="63D35518" w14:textId="021EB7A9"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3D745AC0" w14:textId="7A01BD6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3CA5A35" w14:textId="1CF9DD3D" w:rsidR="00F826D0" w:rsidRPr="003328EE" w:rsidRDefault="00F826D0" w:rsidP="00D65F93">
            <w:pPr>
              <w:rPr>
                <w:rFonts w:eastAsia="Times New Roman"/>
                <w:color w:val="000000"/>
                <w:sz w:val="18"/>
                <w:szCs w:val="18"/>
              </w:rPr>
            </w:pPr>
            <w:r w:rsidRPr="003328EE">
              <w:rPr>
                <w:rFonts w:eastAsia="Times New Roman"/>
                <w:color w:val="000000"/>
                <w:sz w:val="18"/>
                <w:szCs w:val="18"/>
              </w:rPr>
              <w:t>Grace et al., 2016</w:t>
            </w:r>
          </w:p>
        </w:tc>
        <w:tc>
          <w:tcPr>
            <w:tcW w:w="1156" w:type="dxa"/>
            <w:tcBorders>
              <w:top w:val="nil"/>
              <w:left w:val="nil"/>
              <w:bottom w:val="nil"/>
              <w:right w:val="nil"/>
            </w:tcBorders>
            <w:shd w:val="clear" w:color="auto" w:fill="auto"/>
            <w:noWrap/>
            <w:vAlign w:val="bottom"/>
            <w:hideMark/>
          </w:tcPr>
          <w:p w14:paraId="74F370A7" w14:textId="4BB4BA9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91FFE49" w14:textId="77777777" w:rsidTr="00D65F93">
        <w:trPr>
          <w:trHeight w:val="320"/>
        </w:trPr>
        <w:tc>
          <w:tcPr>
            <w:tcW w:w="3545" w:type="dxa"/>
            <w:tcBorders>
              <w:top w:val="nil"/>
              <w:left w:val="nil"/>
              <w:bottom w:val="nil"/>
              <w:right w:val="nil"/>
            </w:tcBorders>
            <w:shd w:val="clear" w:color="auto" w:fill="auto"/>
            <w:noWrap/>
            <w:vAlign w:val="bottom"/>
            <w:hideMark/>
          </w:tcPr>
          <w:p w14:paraId="379BD2DE" w14:textId="0A298D7B" w:rsidR="00F826D0" w:rsidRPr="003328EE" w:rsidRDefault="00F826D0" w:rsidP="00D65F93">
            <w:pPr>
              <w:rPr>
                <w:rFonts w:eastAsia="Times New Roman"/>
                <w:color w:val="000000"/>
                <w:sz w:val="18"/>
                <w:szCs w:val="18"/>
              </w:rPr>
            </w:pPr>
            <w:r w:rsidRPr="003328EE">
              <w:rPr>
                <w:rFonts w:eastAsia="Times New Roman"/>
                <w:color w:val="000000"/>
                <w:sz w:val="18"/>
                <w:szCs w:val="18"/>
              </w:rPr>
              <w:t>Denial</w:t>
            </w:r>
          </w:p>
        </w:tc>
        <w:tc>
          <w:tcPr>
            <w:tcW w:w="3183" w:type="dxa"/>
            <w:tcBorders>
              <w:top w:val="nil"/>
              <w:left w:val="nil"/>
              <w:bottom w:val="nil"/>
              <w:right w:val="nil"/>
            </w:tcBorders>
            <w:shd w:val="clear" w:color="auto" w:fill="auto"/>
            <w:noWrap/>
            <w:vAlign w:val="bottom"/>
            <w:hideMark/>
          </w:tcPr>
          <w:p w14:paraId="6FF56B68" w14:textId="6CE25FB0"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3526700A" w14:textId="4DB3C284"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1EA501D5" w14:textId="465714C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B4405D2" w14:textId="18E4B3AD"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3BA02108" w14:textId="23A497D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6B49D58" w14:textId="77777777" w:rsidTr="00D65F93">
        <w:trPr>
          <w:trHeight w:val="320"/>
        </w:trPr>
        <w:tc>
          <w:tcPr>
            <w:tcW w:w="3545" w:type="dxa"/>
            <w:tcBorders>
              <w:top w:val="nil"/>
              <w:left w:val="nil"/>
              <w:bottom w:val="nil"/>
              <w:right w:val="nil"/>
            </w:tcBorders>
            <w:shd w:val="clear" w:color="auto" w:fill="auto"/>
            <w:noWrap/>
            <w:vAlign w:val="bottom"/>
            <w:hideMark/>
          </w:tcPr>
          <w:p w14:paraId="2B6AE9D9" w14:textId="31FCB6FD" w:rsidR="00F826D0" w:rsidRPr="003328EE" w:rsidRDefault="00F826D0" w:rsidP="00D65F93">
            <w:pPr>
              <w:rPr>
                <w:rFonts w:eastAsia="Times New Roman"/>
                <w:color w:val="000000"/>
                <w:sz w:val="18"/>
                <w:szCs w:val="18"/>
              </w:rPr>
            </w:pPr>
            <w:r w:rsidRPr="003328EE">
              <w:rPr>
                <w:rFonts w:eastAsia="Times New Roman"/>
                <w:color w:val="000000"/>
                <w:sz w:val="18"/>
                <w:szCs w:val="18"/>
              </w:rPr>
              <w:t>Denial</w:t>
            </w:r>
          </w:p>
        </w:tc>
        <w:tc>
          <w:tcPr>
            <w:tcW w:w="3183" w:type="dxa"/>
            <w:tcBorders>
              <w:top w:val="nil"/>
              <w:left w:val="nil"/>
              <w:bottom w:val="nil"/>
              <w:right w:val="nil"/>
            </w:tcBorders>
            <w:shd w:val="clear" w:color="auto" w:fill="auto"/>
            <w:noWrap/>
            <w:vAlign w:val="bottom"/>
            <w:hideMark/>
          </w:tcPr>
          <w:p w14:paraId="3F99ED91" w14:textId="1E1979AC"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0F3BB550" w14:textId="650969F4"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00A7652E" w14:textId="701EAEB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0E14225" w14:textId="5D5E6860" w:rsidR="00F826D0" w:rsidRPr="003328EE" w:rsidRDefault="00F826D0" w:rsidP="00D65F93">
            <w:pPr>
              <w:rPr>
                <w:rFonts w:eastAsia="Times New Roman"/>
                <w:color w:val="000000"/>
                <w:sz w:val="18"/>
                <w:szCs w:val="18"/>
              </w:rPr>
            </w:pPr>
            <w:r w:rsidRPr="003328EE">
              <w:rPr>
                <w:rFonts w:eastAsia="Times New Roman"/>
                <w:color w:val="000000"/>
                <w:sz w:val="18"/>
                <w:szCs w:val="18"/>
              </w:rPr>
              <w:t>Ruby et al., 2013</w:t>
            </w:r>
          </w:p>
        </w:tc>
        <w:tc>
          <w:tcPr>
            <w:tcW w:w="1156" w:type="dxa"/>
            <w:tcBorders>
              <w:top w:val="nil"/>
              <w:left w:val="nil"/>
              <w:bottom w:val="nil"/>
              <w:right w:val="nil"/>
            </w:tcBorders>
            <w:shd w:val="clear" w:color="auto" w:fill="auto"/>
            <w:noWrap/>
            <w:vAlign w:val="bottom"/>
            <w:hideMark/>
          </w:tcPr>
          <w:p w14:paraId="4CB35444" w14:textId="1BCAF06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D5F0C32" w14:textId="77777777" w:rsidTr="00D65F93">
        <w:trPr>
          <w:trHeight w:val="320"/>
        </w:trPr>
        <w:tc>
          <w:tcPr>
            <w:tcW w:w="3545" w:type="dxa"/>
            <w:tcBorders>
              <w:top w:val="nil"/>
              <w:left w:val="nil"/>
              <w:bottom w:val="nil"/>
              <w:right w:val="nil"/>
            </w:tcBorders>
            <w:shd w:val="clear" w:color="auto" w:fill="auto"/>
            <w:noWrap/>
            <w:vAlign w:val="bottom"/>
            <w:hideMark/>
          </w:tcPr>
          <w:p w14:paraId="2A04F2AA" w14:textId="56B21018" w:rsidR="00F826D0" w:rsidRPr="003328EE" w:rsidRDefault="00F826D0" w:rsidP="00D65F93">
            <w:pPr>
              <w:rPr>
                <w:rFonts w:eastAsia="Times New Roman"/>
                <w:color w:val="000000"/>
                <w:sz w:val="18"/>
                <w:szCs w:val="18"/>
              </w:rPr>
            </w:pPr>
            <w:r w:rsidRPr="003328EE">
              <w:rPr>
                <w:rFonts w:eastAsia="Times New Roman"/>
                <w:color w:val="000000"/>
                <w:sz w:val="18"/>
                <w:szCs w:val="18"/>
              </w:rPr>
              <w:t>Denial</w:t>
            </w:r>
          </w:p>
        </w:tc>
        <w:tc>
          <w:tcPr>
            <w:tcW w:w="3183" w:type="dxa"/>
            <w:tcBorders>
              <w:top w:val="nil"/>
              <w:left w:val="nil"/>
              <w:bottom w:val="nil"/>
              <w:right w:val="nil"/>
            </w:tcBorders>
            <w:shd w:val="clear" w:color="auto" w:fill="auto"/>
            <w:noWrap/>
            <w:vAlign w:val="bottom"/>
            <w:hideMark/>
          </w:tcPr>
          <w:p w14:paraId="1ADE385B" w14:textId="5C85ED01"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5A24B14E" w14:textId="34835659"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4CB2EAA8" w14:textId="321CC21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6E10966" w14:textId="4FBFCE9B" w:rsidR="00F826D0" w:rsidRPr="003328EE" w:rsidRDefault="00F826D0" w:rsidP="00D65F93">
            <w:pPr>
              <w:rPr>
                <w:rFonts w:eastAsia="Times New Roman"/>
                <w:color w:val="000000"/>
                <w:sz w:val="18"/>
                <w:szCs w:val="18"/>
              </w:rPr>
            </w:pPr>
            <w:r w:rsidRPr="003328EE">
              <w:rPr>
                <w:rFonts w:eastAsia="Times New Roman"/>
                <w:color w:val="000000"/>
                <w:sz w:val="18"/>
                <w:szCs w:val="18"/>
              </w:rPr>
              <w:t>Batison et al., 2012</w:t>
            </w:r>
          </w:p>
        </w:tc>
        <w:tc>
          <w:tcPr>
            <w:tcW w:w="1156" w:type="dxa"/>
            <w:tcBorders>
              <w:top w:val="nil"/>
              <w:left w:val="nil"/>
              <w:bottom w:val="nil"/>
              <w:right w:val="nil"/>
            </w:tcBorders>
            <w:shd w:val="clear" w:color="auto" w:fill="auto"/>
            <w:noWrap/>
            <w:vAlign w:val="bottom"/>
            <w:hideMark/>
          </w:tcPr>
          <w:p w14:paraId="023243C8" w14:textId="3EFF4C8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4BDE52B" w14:textId="77777777" w:rsidTr="00D65F93">
        <w:trPr>
          <w:trHeight w:val="320"/>
        </w:trPr>
        <w:tc>
          <w:tcPr>
            <w:tcW w:w="3545" w:type="dxa"/>
            <w:tcBorders>
              <w:top w:val="nil"/>
              <w:left w:val="nil"/>
              <w:bottom w:val="nil"/>
              <w:right w:val="nil"/>
            </w:tcBorders>
            <w:shd w:val="clear" w:color="auto" w:fill="auto"/>
            <w:noWrap/>
            <w:vAlign w:val="bottom"/>
            <w:hideMark/>
          </w:tcPr>
          <w:p w14:paraId="2263D161" w14:textId="74F2F579" w:rsidR="00F826D0" w:rsidRPr="003328EE" w:rsidRDefault="00F826D0" w:rsidP="00D65F93">
            <w:pPr>
              <w:rPr>
                <w:rFonts w:eastAsia="Times New Roman"/>
                <w:color w:val="000000"/>
                <w:sz w:val="18"/>
                <w:szCs w:val="18"/>
              </w:rPr>
            </w:pPr>
            <w:r w:rsidRPr="003328EE">
              <w:rPr>
                <w:rFonts w:eastAsia="Times New Roman"/>
                <w:color w:val="000000"/>
                <w:sz w:val="18"/>
                <w:szCs w:val="18"/>
              </w:rPr>
              <w:t>Denial</w:t>
            </w:r>
          </w:p>
        </w:tc>
        <w:tc>
          <w:tcPr>
            <w:tcW w:w="3183" w:type="dxa"/>
            <w:tcBorders>
              <w:top w:val="nil"/>
              <w:left w:val="nil"/>
              <w:bottom w:val="nil"/>
              <w:right w:val="nil"/>
            </w:tcBorders>
            <w:shd w:val="clear" w:color="auto" w:fill="auto"/>
            <w:noWrap/>
            <w:vAlign w:val="bottom"/>
            <w:hideMark/>
          </w:tcPr>
          <w:p w14:paraId="6A644057" w14:textId="10961321"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23053C19" w14:textId="115F7AAF"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1ADF538A" w14:textId="69BF60F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494A16A" w14:textId="716AAB13" w:rsidR="00F826D0" w:rsidRPr="003328EE" w:rsidRDefault="00F826D0" w:rsidP="00D65F93">
            <w:pPr>
              <w:rPr>
                <w:rFonts w:eastAsia="Times New Roman"/>
                <w:color w:val="000000"/>
                <w:sz w:val="18"/>
                <w:szCs w:val="18"/>
              </w:rPr>
            </w:pPr>
            <w:r w:rsidRPr="003328EE">
              <w:rPr>
                <w:rFonts w:eastAsia="Times New Roman"/>
                <w:color w:val="000000"/>
                <w:sz w:val="18"/>
                <w:szCs w:val="18"/>
              </w:rPr>
              <w:t>Bilewicz et al., 2011</w:t>
            </w:r>
          </w:p>
        </w:tc>
        <w:tc>
          <w:tcPr>
            <w:tcW w:w="1156" w:type="dxa"/>
            <w:tcBorders>
              <w:top w:val="nil"/>
              <w:left w:val="nil"/>
              <w:bottom w:val="nil"/>
              <w:right w:val="nil"/>
            </w:tcBorders>
            <w:shd w:val="clear" w:color="auto" w:fill="auto"/>
            <w:noWrap/>
            <w:vAlign w:val="bottom"/>
            <w:hideMark/>
          </w:tcPr>
          <w:p w14:paraId="55010F89" w14:textId="286A5F3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8A70A36" w14:textId="77777777" w:rsidTr="00D65F93">
        <w:trPr>
          <w:trHeight w:val="320"/>
        </w:trPr>
        <w:tc>
          <w:tcPr>
            <w:tcW w:w="3545" w:type="dxa"/>
            <w:tcBorders>
              <w:top w:val="nil"/>
              <w:left w:val="nil"/>
              <w:bottom w:val="nil"/>
              <w:right w:val="nil"/>
            </w:tcBorders>
            <w:shd w:val="clear" w:color="auto" w:fill="auto"/>
            <w:noWrap/>
            <w:vAlign w:val="bottom"/>
            <w:hideMark/>
          </w:tcPr>
          <w:p w14:paraId="240D79C4" w14:textId="1F86B4BB" w:rsidR="00F826D0" w:rsidRPr="003328EE" w:rsidRDefault="00F826D0" w:rsidP="00D65F93">
            <w:pPr>
              <w:rPr>
                <w:rFonts w:eastAsia="Times New Roman"/>
                <w:color w:val="000000"/>
                <w:sz w:val="18"/>
                <w:szCs w:val="18"/>
              </w:rPr>
            </w:pPr>
            <w:r w:rsidRPr="003328EE">
              <w:rPr>
                <w:rFonts w:eastAsia="Times New Roman"/>
                <w:color w:val="000000"/>
                <w:sz w:val="18"/>
                <w:szCs w:val="18"/>
              </w:rPr>
              <w:t>Denial</w:t>
            </w:r>
          </w:p>
        </w:tc>
        <w:tc>
          <w:tcPr>
            <w:tcW w:w="3183" w:type="dxa"/>
            <w:tcBorders>
              <w:top w:val="nil"/>
              <w:left w:val="nil"/>
              <w:bottom w:val="nil"/>
              <w:right w:val="nil"/>
            </w:tcBorders>
            <w:shd w:val="clear" w:color="auto" w:fill="auto"/>
            <w:noWrap/>
            <w:vAlign w:val="bottom"/>
            <w:hideMark/>
          </w:tcPr>
          <w:p w14:paraId="34051132" w14:textId="052D2980"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41717F75" w14:textId="2F771B8A"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3A33929B" w14:textId="4423369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78C1BBF" w14:textId="6DE49119" w:rsidR="00F826D0" w:rsidRPr="003328EE" w:rsidRDefault="00F826D0" w:rsidP="00D65F93">
            <w:pPr>
              <w:rPr>
                <w:rFonts w:eastAsia="Times New Roman"/>
                <w:color w:val="000000"/>
                <w:sz w:val="18"/>
                <w:szCs w:val="18"/>
              </w:rPr>
            </w:pPr>
            <w:r w:rsidRPr="003328EE">
              <w:rPr>
                <w:rFonts w:eastAsia="Times New Roman"/>
                <w:color w:val="000000"/>
                <w:sz w:val="18"/>
                <w:szCs w:val="18"/>
              </w:rPr>
              <w:t>Bratanova et al., 2011</w:t>
            </w:r>
          </w:p>
        </w:tc>
        <w:tc>
          <w:tcPr>
            <w:tcW w:w="1156" w:type="dxa"/>
            <w:tcBorders>
              <w:top w:val="nil"/>
              <w:left w:val="nil"/>
              <w:bottom w:val="nil"/>
              <w:right w:val="nil"/>
            </w:tcBorders>
            <w:shd w:val="clear" w:color="auto" w:fill="auto"/>
            <w:noWrap/>
            <w:vAlign w:val="bottom"/>
            <w:hideMark/>
          </w:tcPr>
          <w:p w14:paraId="05116D9E" w14:textId="1EE54E1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2180E04" w14:textId="77777777" w:rsidTr="00D65F93">
        <w:trPr>
          <w:trHeight w:val="320"/>
        </w:trPr>
        <w:tc>
          <w:tcPr>
            <w:tcW w:w="3545" w:type="dxa"/>
            <w:tcBorders>
              <w:top w:val="nil"/>
              <w:left w:val="nil"/>
              <w:bottom w:val="nil"/>
              <w:right w:val="nil"/>
            </w:tcBorders>
            <w:shd w:val="clear" w:color="auto" w:fill="auto"/>
            <w:noWrap/>
            <w:vAlign w:val="bottom"/>
            <w:hideMark/>
          </w:tcPr>
          <w:p w14:paraId="0B3F7BDB" w14:textId="719E79DB" w:rsidR="00F826D0" w:rsidRPr="003328EE" w:rsidRDefault="00F826D0" w:rsidP="00D65F93">
            <w:pPr>
              <w:rPr>
                <w:rFonts w:eastAsia="Times New Roman"/>
                <w:color w:val="000000"/>
                <w:sz w:val="18"/>
                <w:szCs w:val="18"/>
              </w:rPr>
            </w:pPr>
            <w:r w:rsidRPr="003328EE">
              <w:rPr>
                <w:rFonts w:eastAsia="Times New Roman"/>
                <w:color w:val="000000"/>
                <w:sz w:val="18"/>
                <w:szCs w:val="18"/>
              </w:rPr>
              <w:t>Denial</w:t>
            </w:r>
          </w:p>
        </w:tc>
        <w:tc>
          <w:tcPr>
            <w:tcW w:w="3183" w:type="dxa"/>
            <w:tcBorders>
              <w:top w:val="nil"/>
              <w:left w:val="nil"/>
              <w:bottom w:val="nil"/>
              <w:right w:val="nil"/>
            </w:tcBorders>
            <w:shd w:val="clear" w:color="auto" w:fill="auto"/>
            <w:noWrap/>
            <w:vAlign w:val="bottom"/>
            <w:hideMark/>
          </w:tcPr>
          <w:p w14:paraId="1D7F49EA" w14:textId="403E5F20"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3743692E" w14:textId="6E2C82DF"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3026D504" w14:textId="39BD20E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CC6C2FB" w14:textId="0811F142" w:rsidR="00F826D0" w:rsidRPr="003328EE" w:rsidRDefault="00F826D0" w:rsidP="00D65F93">
            <w:pPr>
              <w:rPr>
                <w:rFonts w:eastAsia="Times New Roman"/>
                <w:color w:val="000000"/>
                <w:sz w:val="18"/>
                <w:szCs w:val="18"/>
              </w:rPr>
            </w:pPr>
            <w:r w:rsidRPr="003328EE">
              <w:rPr>
                <w:rFonts w:eastAsia="Times New Roman"/>
                <w:color w:val="000000"/>
                <w:sz w:val="18"/>
                <w:szCs w:val="18"/>
              </w:rPr>
              <w:t>Loughnan et al., 2010</w:t>
            </w:r>
          </w:p>
        </w:tc>
        <w:tc>
          <w:tcPr>
            <w:tcW w:w="1156" w:type="dxa"/>
            <w:tcBorders>
              <w:top w:val="nil"/>
              <w:left w:val="nil"/>
              <w:bottom w:val="nil"/>
              <w:right w:val="nil"/>
            </w:tcBorders>
            <w:shd w:val="clear" w:color="auto" w:fill="auto"/>
            <w:noWrap/>
            <w:vAlign w:val="bottom"/>
            <w:hideMark/>
          </w:tcPr>
          <w:p w14:paraId="503310CB" w14:textId="2F47B8C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864037A" w14:textId="77777777" w:rsidTr="00D65F93">
        <w:trPr>
          <w:trHeight w:val="320"/>
        </w:trPr>
        <w:tc>
          <w:tcPr>
            <w:tcW w:w="3545" w:type="dxa"/>
            <w:tcBorders>
              <w:top w:val="nil"/>
              <w:left w:val="nil"/>
              <w:bottom w:val="nil"/>
              <w:right w:val="nil"/>
            </w:tcBorders>
            <w:shd w:val="clear" w:color="auto" w:fill="auto"/>
            <w:noWrap/>
            <w:vAlign w:val="bottom"/>
            <w:hideMark/>
          </w:tcPr>
          <w:p w14:paraId="7FDE9A39" w14:textId="071C874F" w:rsidR="00F826D0" w:rsidRPr="003328EE" w:rsidRDefault="00F826D0" w:rsidP="00D65F93">
            <w:pPr>
              <w:rPr>
                <w:rFonts w:eastAsia="Times New Roman"/>
                <w:color w:val="000000"/>
                <w:sz w:val="18"/>
                <w:szCs w:val="18"/>
              </w:rPr>
            </w:pPr>
            <w:r w:rsidRPr="003328EE">
              <w:rPr>
                <w:rFonts w:eastAsia="Times New Roman"/>
                <w:color w:val="000000"/>
                <w:sz w:val="18"/>
                <w:szCs w:val="18"/>
              </w:rPr>
              <w:t>Denial</w:t>
            </w:r>
          </w:p>
        </w:tc>
        <w:tc>
          <w:tcPr>
            <w:tcW w:w="3183" w:type="dxa"/>
            <w:tcBorders>
              <w:top w:val="nil"/>
              <w:left w:val="nil"/>
              <w:bottom w:val="nil"/>
              <w:right w:val="nil"/>
            </w:tcBorders>
            <w:shd w:val="clear" w:color="auto" w:fill="auto"/>
            <w:noWrap/>
            <w:vAlign w:val="bottom"/>
            <w:hideMark/>
          </w:tcPr>
          <w:p w14:paraId="19CF76B1" w14:textId="73968785"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4709330D" w14:textId="736ECA45"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46F84FE4" w14:textId="0B63EBC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F1DB352" w14:textId="5E7F35CF" w:rsidR="00F826D0" w:rsidRPr="003328EE" w:rsidRDefault="00F826D0" w:rsidP="00D65F93">
            <w:pPr>
              <w:rPr>
                <w:rFonts w:eastAsia="Times New Roman"/>
                <w:color w:val="000000"/>
                <w:sz w:val="18"/>
                <w:szCs w:val="18"/>
              </w:rPr>
            </w:pPr>
            <w:r w:rsidRPr="003328EE">
              <w:rPr>
                <w:rFonts w:eastAsia="Times New Roman"/>
                <w:color w:val="000000"/>
                <w:sz w:val="18"/>
                <w:szCs w:val="18"/>
              </w:rPr>
              <w:t>Ruby et al., 2016</w:t>
            </w:r>
          </w:p>
        </w:tc>
        <w:tc>
          <w:tcPr>
            <w:tcW w:w="1156" w:type="dxa"/>
            <w:tcBorders>
              <w:top w:val="nil"/>
              <w:left w:val="nil"/>
              <w:bottom w:val="nil"/>
              <w:right w:val="nil"/>
            </w:tcBorders>
            <w:shd w:val="clear" w:color="auto" w:fill="auto"/>
            <w:noWrap/>
            <w:vAlign w:val="bottom"/>
            <w:hideMark/>
          </w:tcPr>
          <w:p w14:paraId="7175344B" w14:textId="26AF139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81DF6B1" w14:textId="77777777" w:rsidTr="00D65F93">
        <w:trPr>
          <w:trHeight w:val="320"/>
        </w:trPr>
        <w:tc>
          <w:tcPr>
            <w:tcW w:w="3545" w:type="dxa"/>
            <w:tcBorders>
              <w:top w:val="nil"/>
              <w:left w:val="nil"/>
              <w:bottom w:val="nil"/>
              <w:right w:val="nil"/>
            </w:tcBorders>
            <w:shd w:val="clear" w:color="auto" w:fill="auto"/>
            <w:noWrap/>
            <w:vAlign w:val="bottom"/>
            <w:hideMark/>
          </w:tcPr>
          <w:p w14:paraId="6FE63E40" w14:textId="5C43BA6E" w:rsidR="00F826D0" w:rsidRPr="003328EE" w:rsidRDefault="00F826D0" w:rsidP="00D65F93">
            <w:pPr>
              <w:rPr>
                <w:rFonts w:eastAsia="Times New Roman"/>
                <w:color w:val="000000"/>
                <w:sz w:val="18"/>
                <w:szCs w:val="18"/>
              </w:rPr>
            </w:pPr>
            <w:r w:rsidRPr="003328EE">
              <w:rPr>
                <w:rFonts w:eastAsia="Times New Roman"/>
                <w:color w:val="000000"/>
                <w:sz w:val="18"/>
                <w:szCs w:val="18"/>
              </w:rPr>
              <w:t>Denial</w:t>
            </w:r>
          </w:p>
        </w:tc>
        <w:tc>
          <w:tcPr>
            <w:tcW w:w="3183" w:type="dxa"/>
            <w:tcBorders>
              <w:top w:val="nil"/>
              <w:left w:val="nil"/>
              <w:bottom w:val="nil"/>
              <w:right w:val="nil"/>
            </w:tcBorders>
            <w:shd w:val="clear" w:color="auto" w:fill="auto"/>
            <w:noWrap/>
            <w:vAlign w:val="bottom"/>
            <w:hideMark/>
          </w:tcPr>
          <w:p w14:paraId="6EEF22C5" w14:textId="09ED12BF"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6715D3C7" w14:textId="5D2B408A"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4B6A6F01" w14:textId="46DB9EE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D3160EA" w14:textId="302421C5" w:rsidR="00F826D0" w:rsidRPr="003328EE" w:rsidRDefault="00F826D0" w:rsidP="00D65F93">
            <w:pPr>
              <w:rPr>
                <w:rFonts w:eastAsia="Times New Roman"/>
                <w:color w:val="000000"/>
                <w:sz w:val="18"/>
                <w:szCs w:val="18"/>
              </w:rPr>
            </w:pPr>
            <w:r w:rsidRPr="003328EE">
              <w:rPr>
                <w:rFonts w:eastAsia="Times New Roman"/>
                <w:color w:val="000000"/>
                <w:sz w:val="18"/>
                <w:szCs w:val="18"/>
              </w:rPr>
              <w:t>Grace et al., 2016</w:t>
            </w:r>
          </w:p>
        </w:tc>
        <w:tc>
          <w:tcPr>
            <w:tcW w:w="1156" w:type="dxa"/>
            <w:tcBorders>
              <w:top w:val="nil"/>
              <w:left w:val="nil"/>
              <w:bottom w:val="nil"/>
              <w:right w:val="nil"/>
            </w:tcBorders>
            <w:shd w:val="clear" w:color="auto" w:fill="auto"/>
            <w:noWrap/>
            <w:vAlign w:val="bottom"/>
            <w:hideMark/>
          </w:tcPr>
          <w:p w14:paraId="7A5FCBE5" w14:textId="58AF71F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8F8E003" w14:textId="77777777" w:rsidTr="00D65F93">
        <w:trPr>
          <w:trHeight w:val="320"/>
        </w:trPr>
        <w:tc>
          <w:tcPr>
            <w:tcW w:w="3545" w:type="dxa"/>
            <w:tcBorders>
              <w:top w:val="nil"/>
              <w:left w:val="nil"/>
              <w:bottom w:val="nil"/>
              <w:right w:val="nil"/>
            </w:tcBorders>
            <w:shd w:val="clear" w:color="auto" w:fill="auto"/>
            <w:noWrap/>
            <w:vAlign w:val="bottom"/>
            <w:hideMark/>
          </w:tcPr>
          <w:p w14:paraId="408DD0B9" w14:textId="67B41985" w:rsidR="00F826D0" w:rsidRPr="003328EE" w:rsidRDefault="00F826D0" w:rsidP="00D65F93">
            <w:pPr>
              <w:rPr>
                <w:rFonts w:eastAsia="Times New Roman"/>
                <w:color w:val="000000"/>
                <w:sz w:val="18"/>
                <w:szCs w:val="18"/>
              </w:rPr>
            </w:pPr>
            <w:r w:rsidRPr="003328EE">
              <w:rPr>
                <w:rFonts w:eastAsia="Times New Roman"/>
                <w:color w:val="000000"/>
                <w:sz w:val="18"/>
                <w:szCs w:val="18"/>
              </w:rPr>
              <w:t>Denial</w:t>
            </w:r>
          </w:p>
        </w:tc>
        <w:tc>
          <w:tcPr>
            <w:tcW w:w="3183" w:type="dxa"/>
            <w:tcBorders>
              <w:top w:val="nil"/>
              <w:left w:val="nil"/>
              <w:bottom w:val="nil"/>
              <w:right w:val="nil"/>
            </w:tcBorders>
            <w:shd w:val="clear" w:color="auto" w:fill="auto"/>
            <w:noWrap/>
            <w:vAlign w:val="bottom"/>
            <w:hideMark/>
          </w:tcPr>
          <w:p w14:paraId="1B8D1CAE" w14:textId="5E00D3C5"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0F920007" w14:textId="1DC50CE7"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6F17C496" w14:textId="5201098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DDDA999" w14:textId="4F354EBD"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3BC03D35" w14:textId="543B0C9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78CFDE0" w14:textId="77777777" w:rsidTr="00D65F93">
        <w:trPr>
          <w:trHeight w:val="320"/>
        </w:trPr>
        <w:tc>
          <w:tcPr>
            <w:tcW w:w="3545" w:type="dxa"/>
            <w:tcBorders>
              <w:top w:val="nil"/>
              <w:left w:val="nil"/>
              <w:bottom w:val="nil"/>
              <w:right w:val="nil"/>
            </w:tcBorders>
            <w:shd w:val="clear" w:color="auto" w:fill="auto"/>
            <w:noWrap/>
            <w:vAlign w:val="bottom"/>
            <w:hideMark/>
          </w:tcPr>
          <w:p w14:paraId="5EB6B10C" w14:textId="6D72AD63" w:rsidR="00F826D0" w:rsidRPr="003328EE" w:rsidRDefault="00F826D0" w:rsidP="00D65F93">
            <w:pPr>
              <w:rPr>
                <w:rFonts w:eastAsia="Times New Roman"/>
                <w:color w:val="000000"/>
                <w:sz w:val="18"/>
                <w:szCs w:val="18"/>
              </w:rPr>
            </w:pPr>
            <w:r w:rsidRPr="003328EE">
              <w:rPr>
                <w:rFonts w:eastAsia="Times New Roman"/>
                <w:color w:val="000000"/>
                <w:sz w:val="18"/>
                <w:szCs w:val="18"/>
              </w:rPr>
              <w:t>Disbelief</w:t>
            </w:r>
          </w:p>
        </w:tc>
        <w:tc>
          <w:tcPr>
            <w:tcW w:w="3183" w:type="dxa"/>
            <w:tcBorders>
              <w:top w:val="nil"/>
              <w:left w:val="nil"/>
              <w:bottom w:val="nil"/>
              <w:right w:val="nil"/>
            </w:tcBorders>
            <w:shd w:val="clear" w:color="auto" w:fill="auto"/>
            <w:noWrap/>
            <w:vAlign w:val="bottom"/>
            <w:hideMark/>
          </w:tcPr>
          <w:p w14:paraId="21B31106" w14:textId="41B116A0"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6DA0C9BA" w14:textId="2C6308ED"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4C67C766" w14:textId="173A055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459845F" w14:textId="43DF171D" w:rsidR="00F826D0" w:rsidRPr="003328EE" w:rsidRDefault="00F826D0" w:rsidP="00D65F93">
            <w:pPr>
              <w:rPr>
                <w:rFonts w:eastAsia="Times New Roman"/>
                <w:color w:val="000000"/>
                <w:sz w:val="18"/>
                <w:szCs w:val="18"/>
              </w:rPr>
            </w:pPr>
            <w:r w:rsidRPr="003328EE">
              <w:rPr>
                <w:rFonts w:eastAsia="Times New Roman"/>
                <w:color w:val="000000"/>
                <w:sz w:val="18"/>
                <w:szCs w:val="18"/>
              </w:rPr>
              <w:t>Makiniemi &amp; Vinio, 2014</w:t>
            </w:r>
          </w:p>
        </w:tc>
        <w:tc>
          <w:tcPr>
            <w:tcW w:w="1156" w:type="dxa"/>
            <w:tcBorders>
              <w:top w:val="nil"/>
              <w:left w:val="nil"/>
              <w:bottom w:val="nil"/>
              <w:right w:val="nil"/>
            </w:tcBorders>
            <w:shd w:val="clear" w:color="auto" w:fill="auto"/>
            <w:noWrap/>
            <w:vAlign w:val="bottom"/>
            <w:hideMark/>
          </w:tcPr>
          <w:p w14:paraId="39381511" w14:textId="232A01B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C79FE02" w14:textId="77777777" w:rsidTr="00D65F93">
        <w:trPr>
          <w:trHeight w:val="320"/>
        </w:trPr>
        <w:tc>
          <w:tcPr>
            <w:tcW w:w="3545" w:type="dxa"/>
            <w:tcBorders>
              <w:top w:val="nil"/>
              <w:left w:val="nil"/>
              <w:bottom w:val="nil"/>
              <w:right w:val="nil"/>
            </w:tcBorders>
            <w:shd w:val="clear" w:color="auto" w:fill="auto"/>
            <w:noWrap/>
            <w:vAlign w:val="bottom"/>
            <w:hideMark/>
          </w:tcPr>
          <w:p w14:paraId="36F445E7" w14:textId="5AE01ED8" w:rsidR="00F826D0" w:rsidRPr="003328EE" w:rsidRDefault="00F826D0" w:rsidP="00D65F93">
            <w:pPr>
              <w:rPr>
                <w:rFonts w:eastAsia="Times New Roman"/>
                <w:color w:val="000000"/>
                <w:sz w:val="18"/>
                <w:szCs w:val="18"/>
              </w:rPr>
            </w:pPr>
            <w:r w:rsidRPr="003328EE">
              <w:rPr>
                <w:rFonts w:eastAsia="Times New Roman"/>
                <w:color w:val="000000"/>
                <w:sz w:val="18"/>
                <w:szCs w:val="18"/>
              </w:rPr>
              <w:t>Disregard for Negative Consequences</w:t>
            </w:r>
          </w:p>
        </w:tc>
        <w:tc>
          <w:tcPr>
            <w:tcW w:w="3183" w:type="dxa"/>
            <w:tcBorders>
              <w:top w:val="nil"/>
              <w:left w:val="nil"/>
              <w:bottom w:val="nil"/>
              <w:right w:val="nil"/>
            </w:tcBorders>
            <w:shd w:val="clear" w:color="auto" w:fill="auto"/>
            <w:noWrap/>
            <w:vAlign w:val="bottom"/>
            <w:hideMark/>
          </w:tcPr>
          <w:p w14:paraId="542A8C5A" w14:textId="62AE9179"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7F5745F0" w14:textId="1D0D0647"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522301F2" w14:textId="54F1C26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40E8133" w14:textId="7C50D4BA"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2014</w:t>
            </w:r>
          </w:p>
        </w:tc>
        <w:tc>
          <w:tcPr>
            <w:tcW w:w="1156" w:type="dxa"/>
            <w:tcBorders>
              <w:top w:val="nil"/>
              <w:left w:val="nil"/>
              <w:bottom w:val="nil"/>
              <w:right w:val="nil"/>
            </w:tcBorders>
            <w:shd w:val="clear" w:color="auto" w:fill="auto"/>
            <w:noWrap/>
            <w:vAlign w:val="bottom"/>
            <w:hideMark/>
          </w:tcPr>
          <w:p w14:paraId="5B7F44A9" w14:textId="0011DDE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DF48DCD" w14:textId="77777777" w:rsidTr="00D65F93">
        <w:trPr>
          <w:trHeight w:val="320"/>
        </w:trPr>
        <w:tc>
          <w:tcPr>
            <w:tcW w:w="3545" w:type="dxa"/>
            <w:tcBorders>
              <w:top w:val="nil"/>
              <w:left w:val="nil"/>
              <w:bottom w:val="nil"/>
              <w:right w:val="nil"/>
            </w:tcBorders>
            <w:shd w:val="clear" w:color="auto" w:fill="auto"/>
            <w:noWrap/>
            <w:vAlign w:val="bottom"/>
            <w:hideMark/>
          </w:tcPr>
          <w:p w14:paraId="2F125ACF" w14:textId="3B04EC0C" w:rsidR="00F826D0" w:rsidRPr="003328EE" w:rsidRDefault="00F826D0" w:rsidP="00D65F93">
            <w:pPr>
              <w:rPr>
                <w:rFonts w:eastAsia="Times New Roman"/>
                <w:color w:val="000000"/>
                <w:sz w:val="18"/>
                <w:szCs w:val="18"/>
              </w:rPr>
            </w:pPr>
            <w:r w:rsidRPr="003328EE">
              <w:rPr>
                <w:rFonts w:eastAsia="Times New Roman"/>
                <w:color w:val="000000"/>
                <w:sz w:val="18"/>
                <w:szCs w:val="18"/>
              </w:rPr>
              <w:t>Ignorance</w:t>
            </w:r>
          </w:p>
        </w:tc>
        <w:tc>
          <w:tcPr>
            <w:tcW w:w="3183" w:type="dxa"/>
            <w:tcBorders>
              <w:top w:val="nil"/>
              <w:left w:val="nil"/>
              <w:bottom w:val="nil"/>
              <w:right w:val="nil"/>
            </w:tcBorders>
            <w:shd w:val="clear" w:color="auto" w:fill="auto"/>
            <w:noWrap/>
            <w:vAlign w:val="bottom"/>
            <w:hideMark/>
          </w:tcPr>
          <w:p w14:paraId="6E3286FF" w14:textId="283B3AAD"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2371CFA3" w14:textId="4E2A9E2C"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60376260" w14:textId="0C833DC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7C5E5A0" w14:textId="2BA13E41" w:rsidR="00F826D0" w:rsidRPr="003328EE" w:rsidRDefault="00F826D0" w:rsidP="00D65F93">
            <w:pPr>
              <w:rPr>
                <w:rFonts w:eastAsia="Times New Roman"/>
                <w:color w:val="000000"/>
                <w:sz w:val="18"/>
                <w:szCs w:val="18"/>
              </w:rPr>
            </w:pPr>
            <w:r w:rsidRPr="003328EE">
              <w:rPr>
                <w:rFonts w:eastAsia="Times New Roman"/>
                <w:color w:val="000000"/>
                <w:sz w:val="18"/>
                <w:szCs w:val="18"/>
              </w:rPr>
              <w:t>Loughnan et al., 2010</w:t>
            </w:r>
          </w:p>
        </w:tc>
        <w:tc>
          <w:tcPr>
            <w:tcW w:w="1156" w:type="dxa"/>
            <w:tcBorders>
              <w:top w:val="nil"/>
              <w:left w:val="nil"/>
              <w:bottom w:val="nil"/>
              <w:right w:val="nil"/>
            </w:tcBorders>
            <w:shd w:val="clear" w:color="auto" w:fill="auto"/>
            <w:noWrap/>
            <w:vAlign w:val="bottom"/>
            <w:hideMark/>
          </w:tcPr>
          <w:p w14:paraId="0E07026B" w14:textId="57C4235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330A683" w14:textId="77777777" w:rsidTr="00D65F93">
        <w:trPr>
          <w:trHeight w:val="320"/>
        </w:trPr>
        <w:tc>
          <w:tcPr>
            <w:tcW w:w="3545" w:type="dxa"/>
            <w:tcBorders>
              <w:top w:val="nil"/>
              <w:left w:val="nil"/>
              <w:bottom w:val="nil"/>
              <w:right w:val="nil"/>
            </w:tcBorders>
            <w:shd w:val="clear" w:color="auto" w:fill="auto"/>
            <w:noWrap/>
            <w:vAlign w:val="bottom"/>
            <w:hideMark/>
          </w:tcPr>
          <w:p w14:paraId="69F0BD86" w14:textId="304D1271"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Concern</w:t>
            </w:r>
          </w:p>
        </w:tc>
        <w:tc>
          <w:tcPr>
            <w:tcW w:w="3183" w:type="dxa"/>
            <w:tcBorders>
              <w:top w:val="nil"/>
              <w:left w:val="nil"/>
              <w:bottom w:val="nil"/>
              <w:right w:val="nil"/>
            </w:tcBorders>
            <w:shd w:val="clear" w:color="auto" w:fill="auto"/>
            <w:noWrap/>
            <w:vAlign w:val="bottom"/>
            <w:hideMark/>
          </w:tcPr>
          <w:p w14:paraId="53A3A588" w14:textId="216C8747"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481222CE" w14:textId="040018D7"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7ACE0EDA" w14:textId="442F90A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E1CAF1D" w14:textId="21AA4893" w:rsidR="00F826D0" w:rsidRPr="003328EE" w:rsidRDefault="00F826D0" w:rsidP="00D65F93">
            <w:pPr>
              <w:rPr>
                <w:rFonts w:eastAsia="Times New Roman"/>
                <w:color w:val="000000"/>
                <w:sz w:val="18"/>
                <w:szCs w:val="18"/>
              </w:rPr>
            </w:pPr>
            <w:r w:rsidRPr="003328EE">
              <w:rPr>
                <w:rFonts w:eastAsia="Times New Roman"/>
                <w:color w:val="000000"/>
                <w:sz w:val="18"/>
                <w:szCs w:val="18"/>
              </w:rPr>
              <w:t>Neumark-Sztainer et al., 1999</w:t>
            </w:r>
          </w:p>
        </w:tc>
        <w:tc>
          <w:tcPr>
            <w:tcW w:w="1156" w:type="dxa"/>
            <w:tcBorders>
              <w:top w:val="nil"/>
              <w:left w:val="nil"/>
              <w:bottom w:val="nil"/>
              <w:right w:val="nil"/>
            </w:tcBorders>
            <w:shd w:val="clear" w:color="auto" w:fill="auto"/>
            <w:noWrap/>
            <w:vAlign w:val="bottom"/>
            <w:hideMark/>
          </w:tcPr>
          <w:p w14:paraId="3D76D75C" w14:textId="7C4E22E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1BD5547" w14:textId="77777777" w:rsidTr="00D65F93">
        <w:trPr>
          <w:trHeight w:val="320"/>
        </w:trPr>
        <w:tc>
          <w:tcPr>
            <w:tcW w:w="3545" w:type="dxa"/>
            <w:tcBorders>
              <w:top w:val="nil"/>
              <w:left w:val="nil"/>
              <w:bottom w:val="nil"/>
              <w:right w:val="nil"/>
            </w:tcBorders>
            <w:shd w:val="clear" w:color="auto" w:fill="auto"/>
            <w:noWrap/>
            <w:vAlign w:val="bottom"/>
            <w:hideMark/>
          </w:tcPr>
          <w:p w14:paraId="4C70AB02" w14:textId="1F7BB2E2" w:rsidR="00F826D0" w:rsidRPr="003328EE" w:rsidRDefault="00F826D0" w:rsidP="00D65F93">
            <w:pPr>
              <w:rPr>
                <w:rFonts w:eastAsia="Times New Roman"/>
                <w:color w:val="000000"/>
                <w:sz w:val="18"/>
                <w:szCs w:val="18"/>
              </w:rPr>
            </w:pPr>
            <w:r w:rsidRPr="003328EE">
              <w:rPr>
                <w:rFonts w:eastAsia="Times New Roman"/>
                <w:color w:val="000000"/>
                <w:sz w:val="18"/>
                <w:szCs w:val="18"/>
              </w:rPr>
              <w:t>Other Concerns More Important</w:t>
            </w:r>
          </w:p>
        </w:tc>
        <w:tc>
          <w:tcPr>
            <w:tcW w:w="3183" w:type="dxa"/>
            <w:tcBorders>
              <w:top w:val="nil"/>
              <w:left w:val="nil"/>
              <w:bottom w:val="nil"/>
              <w:right w:val="nil"/>
            </w:tcBorders>
            <w:shd w:val="clear" w:color="auto" w:fill="auto"/>
            <w:noWrap/>
            <w:vAlign w:val="bottom"/>
            <w:hideMark/>
          </w:tcPr>
          <w:p w14:paraId="195D4724" w14:textId="3FAEB0D2"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2A7EFAA2" w14:textId="58ABC3EC"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6461E86C" w14:textId="1227A69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B1E73B1" w14:textId="23AF6BF0" w:rsidR="00F826D0" w:rsidRPr="003328EE" w:rsidRDefault="00F826D0" w:rsidP="00D65F93">
            <w:pPr>
              <w:rPr>
                <w:rFonts w:eastAsia="Times New Roman"/>
                <w:color w:val="000000"/>
                <w:sz w:val="18"/>
                <w:szCs w:val="18"/>
              </w:rPr>
            </w:pPr>
            <w:r w:rsidRPr="003328EE">
              <w:rPr>
                <w:rFonts w:eastAsia="Times New Roman"/>
                <w:color w:val="000000"/>
                <w:sz w:val="18"/>
                <w:szCs w:val="18"/>
              </w:rPr>
              <w:t>Lorenzoni et al., 2007</w:t>
            </w:r>
          </w:p>
        </w:tc>
        <w:tc>
          <w:tcPr>
            <w:tcW w:w="1156" w:type="dxa"/>
            <w:tcBorders>
              <w:top w:val="nil"/>
              <w:left w:val="nil"/>
              <w:bottom w:val="nil"/>
              <w:right w:val="nil"/>
            </w:tcBorders>
            <w:shd w:val="clear" w:color="auto" w:fill="auto"/>
            <w:noWrap/>
            <w:vAlign w:val="bottom"/>
            <w:hideMark/>
          </w:tcPr>
          <w:p w14:paraId="7A491BD3" w14:textId="15F734D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2DFF6E6" w14:textId="77777777" w:rsidTr="00D65F93">
        <w:trPr>
          <w:trHeight w:val="320"/>
        </w:trPr>
        <w:tc>
          <w:tcPr>
            <w:tcW w:w="3545" w:type="dxa"/>
            <w:tcBorders>
              <w:top w:val="nil"/>
              <w:left w:val="nil"/>
              <w:bottom w:val="nil"/>
              <w:right w:val="nil"/>
            </w:tcBorders>
            <w:shd w:val="clear" w:color="auto" w:fill="auto"/>
            <w:noWrap/>
            <w:vAlign w:val="bottom"/>
            <w:hideMark/>
          </w:tcPr>
          <w:p w14:paraId="377D66BA" w14:textId="0C432966" w:rsidR="00F826D0" w:rsidRPr="003328EE" w:rsidRDefault="00F826D0" w:rsidP="00D65F93">
            <w:pPr>
              <w:rPr>
                <w:rFonts w:eastAsia="Times New Roman"/>
                <w:color w:val="000000"/>
                <w:sz w:val="18"/>
                <w:szCs w:val="18"/>
              </w:rPr>
            </w:pPr>
            <w:r w:rsidRPr="003328EE">
              <w:rPr>
                <w:rFonts w:eastAsia="Times New Roman"/>
                <w:color w:val="000000"/>
                <w:sz w:val="18"/>
                <w:szCs w:val="18"/>
              </w:rPr>
              <w:t>Reconstrual of Harmful Conduct</w:t>
            </w:r>
          </w:p>
        </w:tc>
        <w:tc>
          <w:tcPr>
            <w:tcW w:w="3183" w:type="dxa"/>
            <w:tcBorders>
              <w:top w:val="nil"/>
              <w:left w:val="nil"/>
              <w:bottom w:val="nil"/>
              <w:right w:val="nil"/>
            </w:tcBorders>
            <w:shd w:val="clear" w:color="auto" w:fill="auto"/>
            <w:noWrap/>
            <w:vAlign w:val="bottom"/>
            <w:hideMark/>
          </w:tcPr>
          <w:p w14:paraId="60DAB08E" w14:textId="6A82BB41"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40B42043" w14:textId="7A6D53E6"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59467AA9" w14:textId="4957B3D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FDC9ACE" w14:textId="18DA662F"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2014</w:t>
            </w:r>
          </w:p>
        </w:tc>
        <w:tc>
          <w:tcPr>
            <w:tcW w:w="1156" w:type="dxa"/>
            <w:tcBorders>
              <w:top w:val="nil"/>
              <w:left w:val="nil"/>
              <w:bottom w:val="nil"/>
              <w:right w:val="nil"/>
            </w:tcBorders>
            <w:shd w:val="clear" w:color="auto" w:fill="auto"/>
            <w:noWrap/>
            <w:vAlign w:val="bottom"/>
            <w:hideMark/>
          </w:tcPr>
          <w:p w14:paraId="4D2BC2E0" w14:textId="3D43CCA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943C7A9" w14:textId="77777777" w:rsidTr="00D65F93">
        <w:trPr>
          <w:trHeight w:val="320"/>
        </w:trPr>
        <w:tc>
          <w:tcPr>
            <w:tcW w:w="3545" w:type="dxa"/>
            <w:tcBorders>
              <w:top w:val="nil"/>
              <w:left w:val="nil"/>
              <w:bottom w:val="nil"/>
              <w:right w:val="nil"/>
            </w:tcBorders>
            <w:shd w:val="clear" w:color="auto" w:fill="auto"/>
            <w:noWrap/>
            <w:vAlign w:val="bottom"/>
            <w:hideMark/>
          </w:tcPr>
          <w:p w14:paraId="050FA223" w14:textId="47FB6816" w:rsidR="00F826D0" w:rsidRPr="003328EE" w:rsidRDefault="00F826D0" w:rsidP="00D65F93">
            <w:pPr>
              <w:rPr>
                <w:rFonts w:eastAsia="Times New Roman"/>
                <w:color w:val="000000"/>
                <w:sz w:val="18"/>
                <w:szCs w:val="18"/>
              </w:rPr>
            </w:pPr>
            <w:r w:rsidRPr="003328EE">
              <w:rPr>
                <w:rFonts w:eastAsia="Times New Roman"/>
                <w:color w:val="000000"/>
                <w:sz w:val="18"/>
                <w:szCs w:val="18"/>
              </w:rPr>
              <w:t>Repressed Morals/Thoughts</w:t>
            </w:r>
          </w:p>
        </w:tc>
        <w:tc>
          <w:tcPr>
            <w:tcW w:w="3183" w:type="dxa"/>
            <w:tcBorders>
              <w:top w:val="nil"/>
              <w:left w:val="nil"/>
              <w:bottom w:val="nil"/>
              <w:right w:val="nil"/>
            </w:tcBorders>
            <w:shd w:val="clear" w:color="auto" w:fill="auto"/>
            <w:noWrap/>
            <w:vAlign w:val="bottom"/>
            <w:hideMark/>
          </w:tcPr>
          <w:p w14:paraId="43CBBE41" w14:textId="0F7B019F" w:rsidR="00F826D0" w:rsidRPr="003328EE" w:rsidRDefault="00F826D0" w:rsidP="00D65F93">
            <w:pPr>
              <w:rPr>
                <w:rFonts w:eastAsia="Times New Roman"/>
                <w:color w:val="000000"/>
                <w:sz w:val="18"/>
                <w:szCs w:val="18"/>
              </w:rPr>
            </w:pPr>
            <w:r w:rsidRPr="003328EE">
              <w:rPr>
                <w:rFonts w:eastAsia="Times New Roman"/>
                <w:color w:val="000000"/>
                <w:sz w:val="18"/>
                <w:szCs w:val="18"/>
              </w:rPr>
              <w:t>Intentional Ignorance</w:t>
            </w:r>
          </w:p>
        </w:tc>
        <w:tc>
          <w:tcPr>
            <w:tcW w:w="2061" w:type="dxa"/>
            <w:tcBorders>
              <w:top w:val="nil"/>
              <w:left w:val="nil"/>
              <w:bottom w:val="nil"/>
              <w:right w:val="nil"/>
            </w:tcBorders>
            <w:shd w:val="clear" w:color="auto" w:fill="auto"/>
            <w:noWrap/>
            <w:vAlign w:val="bottom"/>
            <w:hideMark/>
          </w:tcPr>
          <w:p w14:paraId="7A4E9D86" w14:textId="19CCC8CD"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34FE1CAF" w14:textId="160D9A2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39F3AEC" w14:textId="7C91C522" w:rsidR="00F826D0" w:rsidRPr="003328EE" w:rsidRDefault="00F826D0" w:rsidP="00D65F93">
            <w:pPr>
              <w:rPr>
                <w:rFonts w:eastAsia="Times New Roman"/>
                <w:color w:val="000000"/>
                <w:sz w:val="18"/>
                <w:szCs w:val="18"/>
              </w:rPr>
            </w:pPr>
            <w:r w:rsidRPr="003328EE">
              <w:rPr>
                <w:rFonts w:eastAsia="Times New Roman"/>
                <w:color w:val="000000"/>
                <w:sz w:val="18"/>
                <w:szCs w:val="18"/>
              </w:rPr>
              <w:t>Hirschler, 2011</w:t>
            </w:r>
          </w:p>
        </w:tc>
        <w:tc>
          <w:tcPr>
            <w:tcW w:w="1156" w:type="dxa"/>
            <w:tcBorders>
              <w:top w:val="nil"/>
              <w:left w:val="nil"/>
              <w:bottom w:val="nil"/>
              <w:right w:val="nil"/>
            </w:tcBorders>
            <w:shd w:val="clear" w:color="auto" w:fill="auto"/>
            <w:noWrap/>
            <w:vAlign w:val="bottom"/>
            <w:hideMark/>
          </w:tcPr>
          <w:p w14:paraId="5EA41EF0" w14:textId="04A8A6B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C114EE9" w14:textId="77777777" w:rsidTr="00D65F93">
        <w:trPr>
          <w:trHeight w:val="320"/>
        </w:trPr>
        <w:tc>
          <w:tcPr>
            <w:tcW w:w="3545" w:type="dxa"/>
            <w:tcBorders>
              <w:top w:val="nil"/>
              <w:left w:val="nil"/>
              <w:bottom w:val="nil"/>
              <w:right w:val="nil"/>
            </w:tcBorders>
            <w:shd w:val="clear" w:color="auto" w:fill="auto"/>
            <w:noWrap/>
            <w:vAlign w:val="bottom"/>
            <w:hideMark/>
          </w:tcPr>
          <w:p w14:paraId="184F7C82" w14:textId="484D05DF" w:rsidR="00F826D0" w:rsidRPr="003328EE" w:rsidRDefault="00F826D0" w:rsidP="00D65F93">
            <w:pPr>
              <w:rPr>
                <w:rFonts w:eastAsia="Times New Roman"/>
                <w:color w:val="000000"/>
                <w:sz w:val="18"/>
                <w:szCs w:val="18"/>
              </w:rPr>
            </w:pPr>
            <w:r w:rsidRPr="003328EE">
              <w:rPr>
                <w:rFonts w:eastAsia="Times New Roman"/>
                <w:color w:val="000000"/>
                <w:sz w:val="18"/>
                <w:szCs w:val="18"/>
              </w:rPr>
              <w:t>Active Avoidance and Dissociation</w:t>
            </w:r>
          </w:p>
        </w:tc>
        <w:tc>
          <w:tcPr>
            <w:tcW w:w="3183" w:type="dxa"/>
            <w:tcBorders>
              <w:top w:val="nil"/>
              <w:left w:val="nil"/>
              <w:bottom w:val="nil"/>
              <w:right w:val="nil"/>
            </w:tcBorders>
            <w:shd w:val="clear" w:color="auto" w:fill="auto"/>
            <w:noWrap/>
            <w:vAlign w:val="bottom"/>
            <w:hideMark/>
          </w:tcPr>
          <w:p w14:paraId="3C684019" w14:textId="3640D23B"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066FD3C1" w14:textId="48452B1B"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0B1B5055" w14:textId="587C8D2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1E58FB7" w14:textId="4EBEA9C6"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2014</w:t>
            </w:r>
          </w:p>
        </w:tc>
        <w:tc>
          <w:tcPr>
            <w:tcW w:w="1156" w:type="dxa"/>
            <w:tcBorders>
              <w:top w:val="nil"/>
              <w:left w:val="nil"/>
              <w:bottom w:val="nil"/>
              <w:right w:val="nil"/>
            </w:tcBorders>
            <w:shd w:val="clear" w:color="auto" w:fill="auto"/>
            <w:noWrap/>
            <w:vAlign w:val="bottom"/>
            <w:hideMark/>
          </w:tcPr>
          <w:p w14:paraId="4EC73A38" w14:textId="76DDD8B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E1C9A59" w14:textId="77777777" w:rsidTr="00D65F93">
        <w:trPr>
          <w:trHeight w:val="320"/>
        </w:trPr>
        <w:tc>
          <w:tcPr>
            <w:tcW w:w="3545" w:type="dxa"/>
            <w:tcBorders>
              <w:top w:val="nil"/>
              <w:left w:val="nil"/>
              <w:bottom w:val="nil"/>
              <w:right w:val="nil"/>
            </w:tcBorders>
            <w:shd w:val="clear" w:color="auto" w:fill="auto"/>
            <w:noWrap/>
            <w:vAlign w:val="bottom"/>
            <w:hideMark/>
          </w:tcPr>
          <w:p w14:paraId="4F0D0EF2" w14:textId="40BAFA56" w:rsidR="00F826D0" w:rsidRPr="003328EE" w:rsidRDefault="00F826D0" w:rsidP="00D65F93">
            <w:pPr>
              <w:rPr>
                <w:rFonts w:eastAsia="Times New Roman"/>
                <w:color w:val="000000"/>
                <w:sz w:val="18"/>
                <w:szCs w:val="18"/>
              </w:rPr>
            </w:pPr>
            <w:r w:rsidRPr="003328EE">
              <w:rPr>
                <w:rFonts w:eastAsia="Times New Roman"/>
                <w:color w:val="000000"/>
                <w:sz w:val="18"/>
                <w:szCs w:val="18"/>
              </w:rPr>
              <w:t>Active Avoidance and Dissociation</w:t>
            </w:r>
          </w:p>
        </w:tc>
        <w:tc>
          <w:tcPr>
            <w:tcW w:w="3183" w:type="dxa"/>
            <w:tcBorders>
              <w:top w:val="nil"/>
              <w:left w:val="nil"/>
              <w:bottom w:val="nil"/>
              <w:right w:val="nil"/>
            </w:tcBorders>
            <w:shd w:val="clear" w:color="auto" w:fill="auto"/>
            <w:noWrap/>
            <w:vAlign w:val="bottom"/>
            <w:hideMark/>
          </w:tcPr>
          <w:p w14:paraId="43032CA3" w14:textId="25AA6EE7"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6BD43112" w14:textId="7B94C5A0"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466B60CC" w14:textId="4AA7E0E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06D4342" w14:textId="54193BE4"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1ABA09F4" w14:textId="229E9F6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DAD0B2D" w14:textId="77777777" w:rsidTr="00D65F93">
        <w:trPr>
          <w:trHeight w:val="320"/>
        </w:trPr>
        <w:tc>
          <w:tcPr>
            <w:tcW w:w="3545" w:type="dxa"/>
            <w:tcBorders>
              <w:top w:val="nil"/>
              <w:left w:val="nil"/>
              <w:bottom w:val="nil"/>
              <w:right w:val="nil"/>
            </w:tcBorders>
            <w:shd w:val="clear" w:color="auto" w:fill="auto"/>
            <w:noWrap/>
            <w:vAlign w:val="bottom"/>
            <w:hideMark/>
          </w:tcPr>
          <w:p w14:paraId="5A5A37D3" w14:textId="7DD11B98" w:rsidR="00F826D0" w:rsidRPr="003328EE" w:rsidRDefault="00F826D0" w:rsidP="00D65F93">
            <w:pPr>
              <w:rPr>
                <w:rFonts w:eastAsia="Times New Roman"/>
                <w:color w:val="000000"/>
                <w:sz w:val="18"/>
                <w:szCs w:val="18"/>
              </w:rPr>
            </w:pPr>
            <w:r w:rsidRPr="003328EE">
              <w:rPr>
                <w:rFonts w:eastAsia="Times New Roman"/>
                <w:color w:val="000000"/>
                <w:sz w:val="18"/>
                <w:szCs w:val="18"/>
              </w:rPr>
              <w:t>Active Avoidance and Dissociation</w:t>
            </w:r>
          </w:p>
        </w:tc>
        <w:tc>
          <w:tcPr>
            <w:tcW w:w="3183" w:type="dxa"/>
            <w:tcBorders>
              <w:top w:val="nil"/>
              <w:left w:val="nil"/>
              <w:bottom w:val="nil"/>
              <w:right w:val="nil"/>
            </w:tcBorders>
            <w:shd w:val="clear" w:color="auto" w:fill="auto"/>
            <w:noWrap/>
            <w:vAlign w:val="bottom"/>
            <w:hideMark/>
          </w:tcPr>
          <w:p w14:paraId="521C7E48" w14:textId="17924A16"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2A2567D3" w14:textId="0C42FC5C"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780CD10E" w14:textId="7A029AE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EBD0A43" w14:textId="478FA46C" w:rsidR="00F826D0" w:rsidRPr="003328EE" w:rsidRDefault="00F826D0" w:rsidP="00D65F93">
            <w:pPr>
              <w:rPr>
                <w:rFonts w:eastAsia="Times New Roman"/>
                <w:color w:val="000000"/>
                <w:sz w:val="18"/>
                <w:szCs w:val="18"/>
              </w:rPr>
            </w:pPr>
            <w:r w:rsidRPr="003328EE">
              <w:rPr>
                <w:rFonts w:eastAsia="Times New Roman"/>
                <w:color w:val="000000"/>
                <w:sz w:val="18"/>
                <w:szCs w:val="18"/>
              </w:rPr>
              <w:t>Bratanova et al., 2011</w:t>
            </w:r>
          </w:p>
        </w:tc>
        <w:tc>
          <w:tcPr>
            <w:tcW w:w="1156" w:type="dxa"/>
            <w:tcBorders>
              <w:top w:val="nil"/>
              <w:left w:val="nil"/>
              <w:bottom w:val="nil"/>
              <w:right w:val="nil"/>
            </w:tcBorders>
            <w:shd w:val="clear" w:color="auto" w:fill="auto"/>
            <w:noWrap/>
            <w:vAlign w:val="bottom"/>
            <w:hideMark/>
          </w:tcPr>
          <w:p w14:paraId="553F6FB3" w14:textId="5E9F331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E5CC648" w14:textId="77777777" w:rsidTr="00D65F93">
        <w:trPr>
          <w:trHeight w:val="320"/>
        </w:trPr>
        <w:tc>
          <w:tcPr>
            <w:tcW w:w="3545" w:type="dxa"/>
            <w:tcBorders>
              <w:top w:val="nil"/>
              <w:left w:val="nil"/>
              <w:bottom w:val="nil"/>
              <w:right w:val="nil"/>
            </w:tcBorders>
            <w:shd w:val="clear" w:color="auto" w:fill="auto"/>
            <w:noWrap/>
            <w:vAlign w:val="bottom"/>
            <w:hideMark/>
          </w:tcPr>
          <w:p w14:paraId="7292C5CA" w14:textId="5E94A7BC" w:rsidR="00F826D0" w:rsidRPr="003328EE" w:rsidRDefault="00F826D0" w:rsidP="00D65F93">
            <w:pPr>
              <w:rPr>
                <w:rFonts w:eastAsia="Times New Roman"/>
                <w:color w:val="000000"/>
                <w:sz w:val="18"/>
                <w:szCs w:val="18"/>
              </w:rPr>
            </w:pPr>
            <w:r w:rsidRPr="003328EE">
              <w:rPr>
                <w:rFonts w:eastAsia="Times New Roman"/>
                <w:color w:val="000000"/>
                <w:sz w:val="18"/>
                <w:szCs w:val="18"/>
              </w:rPr>
              <w:t>Active Avoidance and Dissociation</w:t>
            </w:r>
          </w:p>
        </w:tc>
        <w:tc>
          <w:tcPr>
            <w:tcW w:w="3183" w:type="dxa"/>
            <w:tcBorders>
              <w:top w:val="nil"/>
              <w:left w:val="nil"/>
              <w:bottom w:val="nil"/>
              <w:right w:val="nil"/>
            </w:tcBorders>
            <w:shd w:val="clear" w:color="auto" w:fill="auto"/>
            <w:noWrap/>
            <w:vAlign w:val="bottom"/>
            <w:hideMark/>
          </w:tcPr>
          <w:p w14:paraId="03BACDBF" w14:textId="2DA83D51"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3073D980" w14:textId="3619BB92"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676BD76B" w14:textId="1BE7773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F340E7F" w14:textId="18470736" w:rsidR="00F826D0" w:rsidRPr="003328EE" w:rsidRDefault="00F826D0" w:rsidP="00D65F93">
            <w:pPr>
              <w:rPr>
                <w:rFonts w:eastAsia="Times New Roman"/>
                <w:color w:val="000000"/>
                <w:sz w:val="18"/>
                <w:szCs w:val="18"/>
              </w:rPr>
            </w:pPr>
            <w:r w:rsidRPr="003328EE">
              <w:rPr>
                <w:rFonts w:eastAsia="Times New Roman"/>
                <w:color w:val="000000"/>
                <w:sz w:val="18"/>
                <w:szCs w:val="18"/>
              </w:rPr>
              <w:t>Grace et al., 2016</w:t>
            </w:r>
          </w:p>
        </w:tc>
        <w:tc>
          <w:tcPr>
            <w:tcW w:w="1156" w:type="dxa"/>
            <w:tcBorders>
              <w:top w:val="nil"/>
              <w:left w:val="nil"/>
              <w:bottom w:val="nil"/>
              <w:right w:val="nil"/>
            </w:tcBorders>
            <w:shd w:val="clear" w:color="auto" w:fill="auto"/>
            <w:noWrap/>
            <w:vAlign w:val="bottom"/>
            <w:hideMark/>
          </w:tcPr>
          <w:p w14:paraId="7B1CE3D1" w14:textId="3FF7B0A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9DEF131" w14:textId="77777777" w:rsidTr="00D65F93">
        <w:trPr>
          <w:trHeight w:val="320"/>
        </w:trPr>
        <w:tc>
          <w:tcPr>
            <w:tcW w:w="3545" w:type="dxa"/>
            <w:tcBorders>
              <w:top w:val="nil"/>
              <w:left w:val="nil"/>
              <w:bottom w:val="nil"/>
              <w:right w:val="nil"/>
            </w:tcBorders>
            <w:shd w:val="clear" w:color="auto" w:fill="auto"/>
            <w:noWrap/>
            <w:vAlign w:val="bottom"/>
            <w:hideMark/>
          </w:tcPr>
          <w:p w14:paraId="682F8DA6" w14:textId="13C75CD6" w:rsidR="00F826D0" w:rsidRPr="003328EE" w:rsidRDefault="00F826D0" w:rsidP="00D65F93">
            <w:pPr>
              <w:rPr>
                <w:rFonts w:eastAsia="Times New Roman"/>
                <w:color w:val="000000"/>
                <w:sz w:val="18"/>
                <w:szCs w:val="18"/>
              </w:rPr>
            </w:pPr>
            <w:r w:rsidRPr="003328EE">
              <w:rPr>
                <w:rFonts w:eastAsia="Times New Roman"/>
                <w:color w:val="000000"/>
                <w:sz w:val="18"/>
                <w:szCs w:val="18"/>
              </w:rPr>
              <w:t>Consequences Removed in Space &amp; Time</w:t>
            </w:r>
          </w:p>
        </w:tc>
        <w:tc>
          <w:tcPr>
            <w:tcW w:w="3183" w:type="dxa"/>
            <w:tcBorders>
              <w:top w:val="nil"/>
              <w:left w:val="nil"/>
              <w:bottom w:val="nil"/>
              <w:right w:val="nil"/>
            </w:tcBorders>
            <w:shd w:val="clear" w:color="auto" w:fill="auto"/>
            <w:noWrap/>
            <w:vAlign w:val="bottom"/>
            <w:hideMark/>
          </w:tcPr>
          <w:p w14:paraId="0359FCD0" w14:textId="7BB92F9D"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2E44736E" w14:textId="4FC5F02F"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130D21D3" w14:textId="3A1D43B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9D74D7A" w14:textId="1D4C88B5" w:rsidR="00F826D0" w:rsidRPr="003328EE" w:rsidRDefault="00F826D0" w:rsidP="00D65F93">
            <w:pPr>
              <w:rPr>
                <w:rFonts w:eastAsia="Times New Roman"/>
                <w:color w:val="000000"/>
                <w:sz w:val="18"/>
                <w:szCs w:val="18"/>
              </w:rPr>
            </w:pPr>
            <w:r w:rsidRPr="003328EE">
              <w:rPr>
                <w:rFonts w:eastAsia="Times New Roman"/>
                <w:color w:val="000000"/>
                <w:sz w:val="18"/>
                <w:szCs w:val="18"/>
              </w:rPr>
              <w:t>Lorenzoni et al., 2007</w:t>
            </w:r>
          </w:p>
        </w:tc>
        <w:tc>
          <w:tcPr>
            <w:tcW w:w="1156" w:type="dxa"/>
            <w:tcBorders>
              <w:top w:val="nil"/>
              <w:left w:val="nil"/>
              <w:bottom w:val="nil"/>
              <w:right w:val="nil"/>
            </w:tcBorders>
            <w:shd w:val="clear" w:color="auto" w:fill="auto"/>
            <w:noWrap/>
            <w:vAlign w:val="bottom"/>
            <w:hideMark/>
          </w:tcPr>
          <w:p w14:paraId="53C43981" w14:textId="5DBF7CB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682FD55" w14:textId="77777777" w:rsidTr="00D65F93">
        <w:trPr>
          <w:trHeight w:val="320"/>
        </w:trPr>
        <w:tc>
          <w:tcPr>
            <w:tcW w:w="3545" w:type="dxa"/>
            <w:tcBorders>
              <w:top w:val="nil"/>
              <w:left w:val="nil"/>
              <w:bottom w:val="nil"/>
              <w:right w:val="nil"/>
            </w:tcBorders>
            <w:shd w:val="clear" w:color="auto" w:fill="auto"/>
            <w:noWrap/>
            <w:vAlign w:val="bottom"/>
            <w:hideMark/>
          </w:tcPr>
          <w:p w14:paraId="68D7AAC8" w14:textId="4A00E6BD" w:rsidR="00F826D0" w:rsidRPr="003328EE" w:rsidRDefault="00F826D0" w:rsidP="00D65F93">
            <w:pPr>
              <w:rPr>
                <w:rFonts w:eastAsia="Times New Roman"/>
                <w:color w:val="000000"/>
                <w:sz w:val="18"/>
                <w:szCs w:val="18"/>
              </w:rPr>
            </w:pPr>
            <w:r w:rsidRPr="003328EE">
              <w:rPr>
                <w:rFonts w:eastAsia="Times New Roman"/>
                <w:color w:val="000000"/>
                <w:sz w:val="18"/>
                <w:szCs w:val="18"/>
              </w:rPr>
              <w:t>Dementalization</w:t>
            </w:r>
          </w:p>
        </w:tc>
        <w:tc>
          <w:tcPr>
            <w:tcW w:w="3183" w:type="dxa"/>
            <w:tcBorders>
              <w:top w:val="nil"/>
              <w:left w:val="nil"/>
              <w:bottom w:val="nil"/>
              <w:right w:val="nil"/>
            </w:tcBorders>
            <w:shd w:val="clear" w:color="auto" w:fill="auto"/>
            <w:noWrap/>
            <w:vAlign w:val="bottom"/>
            <w:hideMark/>
          </w:tcPr>
          <w:p w14:paraId="34BFAD86" w14:textId="751C86CA"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3870B29D" w14:textId="5FC07204"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56810F12" w14:textId="428C072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02BFDCE" w14:textId="1FB42262" w:rsidR="00F826D0" w:rsidRPr="003328EE" w:rsidRDefault="00F826D0" w:rsidP="00D65F93">
            <w:pPr>
              <w:rPr>
                <w:rFonts w:eastAsia="Times New Roman"/>
                <w:color w:val="000000"/>
                <w:sz w:val="18"/>
                <w:szCs w:val="18"/>
              </w:rPr>
            </w:pPr>
            <w:r w:rsidRPr="003328EE">
              <w:rPr>
                <w:rFonts w:eastAsia="Times New Roman"/>
                <w:color w:val="000000"/>
                <w:sz w:val="18"/>
                <w:szCs w:val="18"/>
              </w:rPr>
              <w:t>Ruby et al., 2013</w:t>
            </w:r>
          </w:p>
        </w:tc>
        <w:tc>
          <w:tcPr>
            <w:tcW w:w="1156" w:type="dxa"/>
            <w:tcBorders>
              <w:top w:val="nil"/>
              <w:left w:val="nil"/>
              <w:bottom w:val="nil"/>
              <w:right w:val="nil"/>
            </w:tcBorders>
            <w:shd w:val="clear" w:color="auto" w:fill="auto"/>
            <w:noWrap/>
            <w:vAlign w:val="bottom"/>
            <w:hideMark/>
          </w:tcPr>
          <w:p w14:paraId="22B4A0A1" w14:textId="43C4BF5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D1EE770" w14:textId="77777777" w:rsidTr="00D65F93">
        <w:trPr>
          <w:trHeight w:val="320"/>
        </w:trPr>
        <w:tc>
          <w:tcPr>
            <w:tcW w:w="3545" w:type="dxa"/>
            <w:tcBorders>
              <w:top w:val="nil"/>
              <w:left w:val="nil"/>
              <w:bottom w:val="nil"/>
              <w:right w:val="nil"/>
            </w:tcBorders>
            <w:shd w:val="clear" w:color="auto" w:fill="auto"/>
            <w:noWrap/>
            <w:vAlign w:val="bottom"/>
            <w:hideMark/>
          </w:tcPr>
          <w:p w14:paraId="6A3D6C3C" w14:textId="6DD26479" w:rsidR="00F826D0" w:rsidRPr="003328EE" w:rsidRDefault="00F826D0" w:rsidP="00D65F93">
            <w:pPr>
              <w:rPr>
                <w:rFonts w:eastAsia="Times New Roman"/>
                <w:color w:val="000000"/>
                <w:sz w:val="18"/>
                <w:szCs w:val="18"/>
              </w:rPr>
            </w:pPr>
            <w:r w:rsidRPr="003328EE">
              <w:rPr>
                <w:rFonts w:eastAsia="Times New Roman"/>
                <w:color w:val="000000"/>
                <w:sz w:val="18"/>
                <w:szCs w:val="18"/>
              </w:rPr>
              <w:t>Dementalization</w:t>
            </w:r>
          </w:p>
        </w:tc>
        <w:tc>
          <w:tcPr>
            <w:tcW w:w="3183" w:type="dxa"/>
            <w:tcBorders>
              <w:top w:val="nil"/>
              <w:left w:val="nil"/>
              <w:bottom w:val="nil"/>
              <w:right w:val="nil"/>
            </w:tcBorders>
            <w:shd w:val="clear" w:color="auto" w:fill="auto"/>
            <w:noWrap/>
            <w:vAlign w:val="bottom"/>
            <w:hideMark/>
          </w:tcPr>
          <w:p w14:paraId="516E2924" w14:textId="3B877644"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0A2D20C6" w14:textId="28088793"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004F057B" w14:textId="14B358A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291DFFA" w14:textId="6D62A5EA" w:rsidR="00F826D0" w:rsidRPr="003328EE" w:rsidRDefault="00F826D0" w:rsidP="00D65F93">
            <w:pPr>
              <w:rPr>
                <w:rFonts w:eastAsia="Times New Roman"/>
                <w:color w:val="000000"/>
                <w:sz w:val="18"/>
                <w:szCs w:val="18"/>
              </w:rPr>
            </w:pPr>
            <w:r w:rsidRPr="003328EE">
              <w:rPr>
                <w:rFonts w:eastAsia="Times New Roman"/>
                <w:color w:val="000000"/>
                <w:sz w:val="18"/>
                <w:szCs w:val="18"/>
              </w:rPr>
              <w:t>Batison et al., 2012</w:t>
            </w:r>
          </w:p>
        </w:tc>
        <w:tc>
          <w:tcPr>
            <w:tcW w:w="1156" w:type="dxa"/>
            <w:tcBorders>
              <w:top w:val="nil"/>
              <w:left w:val="nil"/>
              <w:bottom w:val="nil"/>
              <w:right w:val="nil"/>
            </w:tcBorders>
            <w:shd w:val="clear" w:color="auto" w:fill="auto"/>
            <w:noWrap/>
            <w:vAlign w:val="bottom"/>
            <w:hideMark/>
          </w:tcPr>
          <w:p w14:paraId="614A5EAC" w14:textId="6D7598E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A3A9F3A" w14:textId="77777777" w:rsidTr="00D65F93">
        <w:trPr>
          <w:trHeight w:val="320"/>
        </w:trPr>
        <w:tc>
          <w:tcPr>
            <w:tcW w:w="3545" w:type="dxa"/>
            <w:tcBorders>
              <w:top w:val="nil"/>
              <w:left w:val="nil"/>
              <w:bottom w:val="nil"/>
              <w:right w:val="nil"/>
            </w:tcBorders>
            <w:shd w:val="clear" w:color="auto" w:fill="auto"/>
            <w:noWrap/>
            <w:vAlign w:val="bottom"/>
            <w:hideMark/>
          </w:tcPr>
          <w:p w14:paraId="25A1B6AA" w14:textId="1A3804BE" w:rsidR="00F826D0" w:rsidRPr="003328EE" w:rsidRDefault="00F826D0" w:rsidP="00D65F93">
            <w:pPr>
              <w:rPr>
                <w:rFonts w:eastAsia="Times New Roman"/>
                <w:color w:val="000000"/>
                <w:sz w:val="18"/>
                <w:szCs w:val="18"/>
              </w:rPr>
            </w:pPr>
            <w:r w:rsidRPr="003328EE">
              <w:rPr>
                <w:rFonts w:eastAsia="Times New Roman"/>
                <w:color w:val="000000"/>
                <w:sz w:val="18"/>
                <w:szCs w:val="18"/>
              </w:rPr>
              <w:t>Dementalization</w:t>
            </w:r>
          </w:p>
        </w:tc>
        <w:tc>
          <w:tcPr>
            <w:tcW w:w="3183" w:type="dxa"/>
            <w:tcBorders>
              <w:top w:val="nil"/>
              <w:left w:val="nil"/>
              <w:bottom w:val="nil"/>
              <w:right w:val="nil"/>
            </w:tcBorders>
            <w:shd w:val="clear" w:color="auto" w:fill="auto"/>
            <w:noWrap/>
            <w:vAlign w:val="bottom"/>
            <w:hideMark/>
          </w:tcPr>
          <w:p w14:paraId="47E95EB7" w14:textId="02C2BDB8"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5EE36CD8" w14:textId="664331D3"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55D3768E" w14:textId="0B35EF3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C78087E" w14:textId="02F72CDF" w:rsidR="00F826D0" w:rsidRPr="003328EE" w:rsidRDefault="00F826D0" w:rsidP="00D65F93">
            <w:pPr>
              <w:rPr>
                <w:rFonts w:eastAsia="Times New Roman"/>
                <w:color w:val="000000"/>
                <w:sz w:val="18"/>
                <w:szCs w:val="18"/>
              </w:rPr>
            </w:pPr>
            <w:r w:rsidRPr="003328EE">
              <w:rPr>
                <w:rFonts w:eastAsia="Times New Roman"/>
                <w:color w:val="000000"/>
                <w:sz w:val="18"/>
                <w:szCs w:val="18"/>
              </w:rPr>
              <w:t>Ruby et al., 2016</w:t>
            </w:r>
          </w:p>
        </w:tc>
        <w:tc>
          <w:tcPr>
            <w:tcW w:w="1156" w:type="dxa"/>
            <w:tcBorders>
              <w:top w:val="nil"/>
              <w:left w:val="nil"/>
              <w:bottom w:val="nil"/>
              <w:right w:val="nil"/>
            </w:tcBorders>
            <w:shd w:val="clear" w:color="auto" w:fill="auto"/>
            <w:noWrap/>
            <w:vAlign w:val="bottom"/>
            <w:hideMark/>
          </w:tcPr>
          <w:p w14:paraId="13EA9AA0" w14:textId="7563B04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7B16A6C" w14:textId="77777777" w:rsidTr="00D65F93">
        <w:trPr>
          <w:trHeight w:val="320"/>
        </w:trPr>
        <w:tc>
          <w:tcPr>
            <w:tcW w:w="3545" w:type="dxa"/>
            <w:tcBorders>
              <w:top w:val="nil"/>
              <w:left w:val="nil"/>
              <w:bottom w:val="nil"/>
              <w:right w:val="nil"/>
            </w:tcBorders>
            <w:shd w:val="clear" w:color="auto" w:fill="auto"/>
            <w:noWrap/>
            <w:vAlign w:val="bottom"/>
            <w:hideMark/>
          </w:tcPr>
          <w:p w14:paraId="25FB4944" w14:textId="0E383573" w:rsidR="00F826D0" w:rsidRPr="003328EE" w:rsidRDefault="00F826D0" w:rsidP="00D65F93">
            <w:pPr>
              <w:rPr>
                <w:rFonts w:eastAsia="Times New Roman"/>
                <w:color w:val="000000"/>
                <w:sz w:val="18"/>
                <w:szCs w:val="18"/>
              </w:rPr>
            </w:pPr>
            <w:r w:rsidRPr="003328EE">
              <w:rPr>
                <w:rFonts w:eastAsia="Times New Roman"/>
                <w:color w:val="000000"/>
                <w:sz w:val="18"/>
                <w:szCs w:val="18"/>
              </w:rPr>
              <w:t>Desensitization</w:t>
            </w:r>
          </w:p>
        </w:tc>
        <w:tc>
          <w:tcPr>
            <w:tcW w:w="3183" w:type="dxa"/>
            <w:tcBorders>
              <w:top w:val="nil"/>
              <w:left w:val="nil"/>
              <w:bottom w:val="nil"/>
              <w:right w:val="nil"/>
            </w:tcBorders>
            <w:shd w:val="clear" w:color="auto" w:fill="auto"/>
            <w:noWrap/>
            <w:vAlign w:val="bottom"/>
            <w:hideMark/>
          </w:tcPr>
          <w:p w14:paraId="34367D56" w14:textId="1AF51C50"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29731899" w14:textId="24522989"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3F835C94" w14:textId="2BB1600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D83800B" w14:textId="63369AD7" w:rsidR="00F826D0" w:rsidRPr="003328EE" w:rsidRDefault="00F826D0" w:rsidP="00D65F93">
            <w:pPr>
              <w:rPr>
                <w:rFonts w:eastAsia="Times New Roman"/>
                <w:color w:val="000000"/>
                <w:sz w:val="18"/>
                <w:szCs w:val="18"/>
              </w:rPr>
            </w:pPr>
            <w:r w:rsidRPr="003328EE">
              <w:rPr>
                <w:rFonts w:eastAsia="Times New Roman"/>
                <w:color w:val="000000"/>
                <w:sz w:val="18"/>
                <w:szCs w:val="18"/>
              </w:rPr>
              <w:t>Grace et al., 2016</w:t>
            </w:r>
          </w:p>
        </w:tc>
        <w:tc>
          <w:tcPr>
            <w:tcW w:w="1156" w:type="dxa"/>
            <w:tcBorders>
              <w:top w:val="nil"/>
              <w:left w:val="nil"/>
              <w:bottom w:val="nil"/>
              <w:right w:val="nil"/>
            </w:tcBorders>
            <w:shd w:val="clear" w:color="auto" w:fill="auto"/>
            <w:noWrap/>
            <w:vAlign w:val="bottom"/>
            <w:hideMark/>
          </w:tcPr>
          <w:p w14:paraId="28D3FD84" w14:textId="46BE2B8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361665A" w14:textId="77777777" w:rsidTr="00D65F93">
        <w:trPr>
          <w:trHeight w:val="320"/>
        </w:trPr>
        <w:tc>
          <w:tcPr>
            <w:tcW w:w="3545" w:type="dxa"/>
            <w:tcBorders>
              <w:top w:val="nil"/>
              <w:left w:val="nil"/>
              <w:bottom w:val="nil"/>
              <w:right w:val="nil"/>
            </w:tcBorders>
            <w:shd w:val="clear" w:color="auto" w:fill="auto"/>
            <w:noWrap/>
            <w:vAlign w:val="bottom"/>
            <w:hideMark/>
          </w:tcPr>
          <w:p w14:paraId="1C4C974A" w14:textId="0875E0F4" w:rsidR="00F826D0" w:rsidRPr="003328EE" w:rsidRDefault="00F826D0" w:rsidP="00D65F93">
            <w:pPr>
              <w:rPr>
                <w:rFonts w:eastAsia="Times New Roman"/>
                <w:color w:val="000000"/>
                <w:sz w:val="18"/>
                <w:szCs w:val="18"/>
              </w:rPr>
            </w:pPr>
            <w:r w:rsidRPr="003328EE">
              <w:rPr>
                <w:rFonts w:eastAsia="Times New Roman"/>
                <w:color w:val="000000"/>
                <w:sz w:val="18"/>
                <w:szCs w:val="18"/>
              </w:rPr>
              <w:t>Detachment from Industry</w:t>
            </w:r>
          </w:p>
        </w:tc>
        <w:tc>
          <w:tcPr>
            <w:tcW w:w="3183" w:type="dxa"/>
            <w:tcBorders>
              <w:top w:val="nil"/>
              <w:left w:val="nil"/>
              <w:bottom w:val="nil"/>
              <w:right w:val="nil"/>
            </w:tcBorders>
            <w:shd w:val="clear" w:color="auto" w:fill="auto"/>
            <w:noWrap/>
            <w:vAlign w:val="bottom"/>
            <w:hideMark/>
          </w:tcPr>
          <w:p w14:paraId="4154B47F" w14:textId="16666B4C"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699D31F8" w14:textId="11F095A5"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4E92DC06" w14:textId="671F55A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30F9F5A" w14:textId="0DF2C5DE" w:rsidR="00F826D0" w:rsidRPr="003328EE" w:rsidRDefault="00F826D0" w:rsidP="00D65F93">
            <w:pPr>
              <w:rPr>
                <w:rFonts w:eastAsia="Times New Roman"/>
                <w:color w:val="000000"/>
                <w:sz w:val="18"/>
                <w:szCs w:val="18"/>
              </w:rPr>
            </w:pPr>
            <w:r w:rsidRPr="003328EE">
              <w:rPr>
                <w:rFonts w:eastAsia="Times New Roman"/>
                <w:color w:val="000000"/>
                <w:sz w:val="18"/>
                <w:szCs w:val="18"/>
              </w:rPr>
              <w:t>Vinnari &amp; Vinnari, 2013</w:t>
            </w:r>
          </w:p>
        </w:tc>
        <w:tc>
          <w:tcPr>
            <w:tcW w:w="1156" w:type="dxa"/>
            <w:tcBorders>
              <w:top w:val="nil"/>
              <w:left w:val="nil"/>
              <w:bottom w:val="nil"/>
              <w:right w:val="nil"/>
            </w:tcBorders>
            <w:shd w:val="clear" w:color="auto" w:fill="auto"/>
            <w:noWrap/>
            <w:vAlign w:val="bottom"/>
            <w:hideMark/>
          </w:tcPr>
          <w:p w14:paraId="39614358" w14:textId="7ABBBE9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ED4FBB2" w14:textId="77777777" w:rsidTr="00D65F93">
        <w:trPr>
          <w:trHeight w:val="320"/>
        </w:trPr>
        <w:tc>
          <w:tcPr>
            <w:tcW w:w="3545" w:type="dxa"/>
            <w:tcBorders>
              <w:top w:val="nil"/>
              <w:left w:val="nil"/>
              <w:bottom w:val="nil"/>
              <w:right w:val="nil"/>
            </w:tcBorders>
            <w:shd w:val="clear" w:color="auto" w:fill="auto"/>
            <w:noWrap/>
            <w:vAlign w:val="bottom"/>
            <w:hideMark/>
          </w:tcPr>
          <w:p w14:paraId="2AA06D4D" w14:textId="09086144" w:rsidR="00F826D0" w:rsidRPr="003328EE" w:rsidRDefault="00F826D0" w:rsidP="00D65F93">
            <w:pPr>
              <w:rPr>
                <w:rFonts w:eastAsia="Times New Roman"/>
                <w:color w:val="000000"/>
                <w:sz w:val="18"/>
                <w:szCs w:val="18"/>
              </w:rPr>
            </w:pPr>
            <w:r w:rsidRPr="003328EE">
              <w:rPr>
                <w:rFonts w:eastAsia="Times New Roman"/>
                <w:color w:val="000000"/>
                <w:sz w:val="18"/>
                <w:szCs w:val="18"/>
              </w:rPr>
              <w:t>Meat Paradox</w:t>
            </w:r>
          </w:p>
        </w:tc>
        <w:tc>
          <w:tcPr>
            <w:tcW w:w="3183" w:type="dxa"/>
            <w:tcBorders>
              <w:top w:val="nil"/>
              <w:left w:val="nil"/>
              <w:bottom w:val="nil"/>
              <w:right w:val="nil"/>
            </w:tcBorders>
            <w:shd w:val="clear" w:color="auto" w:fill="auto"/>
            <w:noWrap/>
            <w:vAlign w:val="bottom"/>
            <w:hideMark/>
          </w:tcPr>
          <w:p w14:paraId="678DFE4F" w14:textId="012DF3B4"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4D6206A6" w14:textId="00B4932F"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44A5E200" w14:textId="679A48E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ADBEFB8" w14:textId="61ADC18C" w:rsidR="00F826D0" w:rsidRPr="003328EE" w:rsidRDefault="00F826D0" w:rsidP="00D65F93">
            <w:pPr>
              <w:rPr>
                <w:rFonts w:eastAsia="Times New Roman"/>
                <w:color w:val="000000"/>
                <w:sz w:val="18"/>
                <w:szCs w:val="18"/>
              </w:rPr>
            </w:pPr>
            <w:r w:rsidRPr="003328EE">
              <w:rPr>
                <w:rFonts w:eastAsia="Times New Roman"/>
                <w:color w:val="000000"/>
                <w:sz w:val="18"/>
                <w:szCs w:val="18"/>
              </w:rPr>
              <w:t>Loughnan et al., 2010</w:t>
            </w:r>
          </w:p>
        </w:tc>
        <w:tc>
          <w:tcPr>
            <w:tcW w:w="1156" w:type="dxa"/>
            <w:tcBorders>
              <w:top w:val="nil"/>
              <w:left w:val="nil"/>
              <w:bottom w:val="nil"/>
              <w:right w:val="nil"/>
            </w:tcBorders>
            <w:shd w:val="clear" w:color="auto" w:fill="auto"/>
            <w:noWrap/>
            <w:vAlign w:val="bottom"/>
            <w:hideMark/>
          </w:tcPr>
          <w:p w14:paraId="528837E4" w14:textId="76A1D15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A901E82" w14:textId="77777777" w:rsidTr="00D65F93">
        <w:trPr>
          <w:trHeight w:val="320"/>
        </w:trPr>
        <w:tc>
          <w:tcPr>
            <w:tcW w:w="3545" w:type="dxa"/>
            <w:tcBorders>
              <w:top w:val="nil"/>
              <w:left w:val="nil"/>
              <w:bottom w:val="nil"/>
              <w:right w:val="nil"/>
            </w:tcBorders>
            <w:shd w:val="clear" w:color="auto" w:fill="auto"/>
            <w:noWrap/>
            <w:vAlign w:val="bottom"/>
            <w:hideMark/>
          </w:tcPr>
          <w:p w14:paraId="5BC8BBA5" w14:textId="7F931EDC" w:rsidR="00F826D0" w:rsidRPr="003328EE" w:rsidRDefault="00F826D0" w:rsidP="00D65F93">
            <w:pPr>
              <w:rPr>
                <w:rFonts w:eastAsia="Times New Roman"/>
                <w:color w:val="000000"/>
                <w:sz w:val="18"/>
                <w:szCs w:val="18"/>
              </w:rPr>
            </w:pPr>
            <w:r w:rsidRPr="003328EE">
              <w:rPr>
                <w:rFonts w:eastAsia="Times New Roman"/>
                <w:color w:val="000000"/>
                <w:sz w:val="18"/>
                <w:szCs w:val="18"/>
              </w:rPr>
              <w:t>Meat Paradox</w:t>
            </w:r>
          </w:p>
        </w:tc>
        <w:tc>
          <w:tcPr>
            <w:tcW w:w="3183" w:type="dxa"/>
            <w:tcBorders>
              <w:top w:val="nil"/>
              <w:left w:val="nil"/>
              <w:bottom w:val="nil"/>
              <w:right w:val="nil"/>
            </w:tcBorders>
            <w:shd w:val="clear" w:color="auto" w:fill="auto"/>
            <w:noWrap/>
            <w:vAlign w:val="bottom"/>
            <w:hideMark/>
          </w:tcPr>
          <w:p w14:paraId="3ED39CEE" w14:textId="7676EC5E"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57383731" w14:textId="5B74C82A"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22AA3FC0" w14:textId="08DE929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85C6045" w14:textId="074ED963"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0AE627C3" w14:textId="65B9F96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654EEBE" w14:textId="77777777" w:rsidTr="00D65F93">
        <w:trPr>
          <w:trHeight w:val="320"/>
        </w:trPr>
        <w:tc>
          <w:tcPr>
            <w:tcW w:w="3545" w:type="dxa"/>
            <w:tcBorders>
              <w:top w:val="nil"/>
              <w:left w:val="nil"/>
              <w:bottom w:val="nil"/>
              <w:right w:val="nil"/>
            </w:tcBorders>
            <w:shd w:val="clear" w:color="auto" w:fill="auto"/>
            <w:noWrap/>
            <w:vAlign w:val="bottom"/>
            <w:hideMark/>
          </w:tcPr>
          <w:p w14:paraId="45EF43AF" w14:textId="199F8091"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3183" w:type="dxa"/>
            <w:tcBorders>
              <w:top w:val="nil"/>
              <w:left w:val="nil"/>
              <w:bottom w:val="nil"/>
              <w:right w:val="nil"/>
            </w:tcBorders>
            <w:shd w:val="clear" w:color="auto" w:fill="auto"/>
            <w:noWrap/>
            <w:vAlign w:val="bottom"/>
            <w:hideMark/>
          </w:tcPr>
          <w:p w14:paraId="07045DFB" w14:textId="730B9B2E"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4D960BA6" w14:textId="707FA1BC"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1049B241" w14:textId="3FDDE5A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6481E02" w14:textId="4C68C813" w:rsidR="00F826D0" w:rsidRPr="003328EE" w:rsidRDefault="00F826D0" w:rsidP="00D65F93">
            <w:pPr>
              <w:rPr>
                <w:rFonts w:eastAsia="Times New Roman"/>
                <w:color w:val="000000"/>
                <w:sz w:val="18"/>
                <w:szCs w:val="18"/>
              </w:rPr>
            </w:pPr>
            <w:r w:rsidRPr="003328EE">
              <w:rPr>
                <w:rFonts w:eastAsia="Times New Roman"/>
                <w:color w:val="000000"/>
                <w:sz w:val="18"/>
                <w:szCs w:val="18"/>
              </w:rPr>
              <w:t>Makiniemi &amp; Vinio, 2014</w:t>
            </w:r>
          </w:p>
        </w:tc>
        <w:tc>
          <w:tcPr>
            <w:tcW w:w="1156" w:type="dxa"/>
            <w:tcBorders>
              <w:top w:val="nil"/>
              <w:left w:val="nil"/>
              <w:bottom w:val="nil"/>
              <w:right w:val="nil"/>
            </w:tcBorders>
            <w:shd w:val="clear" w:color="auto" w:fill="auto"/>
            <w:noWrap/>
            <w:vAlign w:val="bottom"/>
            <w:hideMark/>
          </w:tcPr>
          <w:p w14:paraId="47B42DFC" w14:textId="5977973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B320A5F" w14:textId="77777777" w:rsidTr="00D65F93">
        <w:trPr>
          <w:trHeight w:val="320"/>
        </w:trPr>
        <w:tc>
          <w:tcPr>
            <w:tcW w:w="3545" w:type="dxa"/>
            <w:tcBorders>
              <w:top w:val="nil"/>
              <w:left w:val="nil"/>
              <w:bottom w:val="nil"/>
              <w:right w:val="nil"/>
            </w:tcBorders>
            <w:shd w:val="clear" w:color="auto" w:fill="auto"/>
            <w:noWrap/>
            <w:vAlign w:val="bottom"/>
            <w:hideMark/>
          </w:tcPr>
          <w:p w14:paraId="6357D2D3" w14:textId="22304C1E" w:rsidR="00F826D0" w:rsidRPr="003328EE" w:rsidRDefault="00F826D0" w:rsidP="00D65F93">
            <w:pPr>
              <w:rPr>
                <w:rFonts w:eastAsia="Times New Roman"/>
                <w:color w:val="000000"/>
                <w:sz w:val="18"/>
                <w:szCs w:val="18"/>
              </w:rPr>
            </w:pPr>
            <w:r w:rsidRPr="003328EE">
              <w:rPr>
                <w:rFonts w:eastAsia="Times New Roman"/>
                <w:color w:val="000000"/>
                <w:sz w:val="18"/>
                <w:szCs w:val="18"/>
              </w:rPr>
              <w:t>Moral Justification</w:t>
            </w:r>
          </w:p>
        </w:tc>
        <w:tc>
          <w:tcPr>
            <w:tcW w:w="3183" w:type="dxa"/>
            <w:tcBorders>
              <w:top w:val="nil"/>
              <w:left w:val="nil"/>
              <w:bottom w:val="nil"/>
              <w:right w:val="nil"/>
            </w:tcBorders>
            <w:shd w:val="clear" w:color="auto" w:fill="auto"/>
            <w:noWrap/>
            <w:vAlign w:val="bottom"/>
            <w:hideMark/>
          </w:tcPr>
          <w:p w14:paraId="3B3FE6C2" w14:textId="31DF49C6"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1D846EDB" w14:textId="3DCA24B1"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7C9D7AE2" w14:textId="6D63155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0801A33" w14:textId="5FC2C8E5" w:rsidR="00F826D0" w:rsidRPr="003328EE" w:rsidRDefault="00F826D0" w:rsidP="00D65F93">
            <w:pPr>
              <w:rPr>
                <w:rFonts w:eastAsia="Times New Roman"/>
                <w:color w:val="000000"/>
                <w:sz w:val="18"/>
                <w:szCs w:val="18"/>
              </w:rPr>
            </w:pPr>
            <w:r w:rsidRPr="003328EE">
              <w:rPr>
                <w:rFonts w:eastAsia="Times New Roman"/>
                <w:color w:val="000000"/>
                <w:sz w:val="18"/>
                <w:szCs w:val="18"/>
              </w:rPr>
              <w:t>Grace et al., 2016</w:t>
            </w:r>
          </w:p>
        </w:tc>
        <w:tc>
          <w:tcPr>
            <w:tcW w:w="1156" w:type="dxa"/>
            <w:tcBorders>
              <w:top w:val="nil"/>
              <w:left w:val="nil"/>
              <w:bottom w:val="nil"/>
              <w:right w:val="nil"/>
            </w:tcBorders>
            <w:shd w:val="clear" w:color="auto" w:fill="auto"/>
            <w:noWrap/>
            <w:vAlign w:val="bottom"/>
            <w:hideMark/>
          </w:tcPr>
          <w:p w14:paraId="0D79F82A" w14:textId="30ED4E4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F826E4B" w14:textId="77777777" w:rsidTr="00D65F93">
        <w:trPr>
          <w:trHeight w:val="320"/>
        </w:trPr>
        <w:tc>
          <w:tcPr>
            <w:tcW w:w="3545" w:type="dxa"/>
            <w:tcBorders>
              <w:top w:val="nil"/>
              <w:left w:val="nil"/>
              <w:bottom w:val="nil"/>
              <w:right w:val="nil"/>
            </w:tcBorders>
            <w:shd w:val="clear" w:color="auto" w:fill="auto"/>
            <w:noWrap/>
            <w:vAlign w:val="bottom"/>
            <w:hideMark/>
          </w:tcPr>
          <w:p w14:paraId="69C4B14E" w14:textId="568A067F" w:rsidR="00F826D0" w:rsidRPr="003328EE" w:rsidRDefault="00F826D0" w:rsidP="00D65F93">
            <w:pPr>
              <w:rPr>
                <w:rFonts w:eastAsia="Times New Roman"/>
                <w:color w:val="000000"/>
                <w:sz w:val="18"/>
                <w:szCs w:val="18"/>
              </w:rPr>
            </w:pPr>
            <w:r w:rsidRPr="003328EE">
              <w:rPr>
                <w:rFonts w:eastAsia="Times New Roman"/>
                <w:color w:val="000000"/>
                <w:sz w:val="18"/>
                <w:szCs w:val="18"/>
              </w:rPr>
              <w:t>Moral Justification</w:t>
            </w:r>
          </w:p>
        </w:tc>
        <w:tc>
          <w:tcPr>
            <w:tcW w:w="3183" w:type="dxa"/>
            <w:tcBorders>
              <w:top w:val="nil"/>
              <w:left w:val="nil"/>
              <w:bottom w:val="nil"/>
              <w:right w:val="nil"/>
            </w:tcBorders>
            <w:shd w:val="clear" w:color="auto" w:fill="auto"/>
            <w:noWrap/>
            <w:vAlign w:val="bottom"/>
            <w:hideMark/>
          </w:tcPr>
          <w:p w14:paraId="39D2F286" w14:textId="0732B661"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6CAEDBD0" w14:textId="610CC5AD"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0B33B24D" w14:textId="56BF599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94BF1A3" w14:textId="0FBA7FD9"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5181E6DC" w14:textId="7BD2CE3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990407D" w14:textId="77777777" w:rsidTr="00D65F93">
        <w:trPr>
          <w:trHeight w:val="320"/>
        </w:trPr>
        <w:tc>
          <w:tcPr>
            <w:tcW w:w="3545" w:type="dxa"/>
            <w:tcBorders>
              <w:top w:val="nil"/>
              <w:left w:val="nil"/>
              <w:bottom w:val="nil"/>
              <w:right w:val="nil"/>
            </w:tcBorders>
            <w:shd w:val="clear" w:color="auto" w:fill="auto"/>
            <w:noWrap/>
            <w:vAlign w:val="bottom"/>
            <w:hideMark/>
          </w:tcPr>
          <w:p w14:paraId="49CE346C" w14:textId="79AF0613"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06BDF2C6" w14:textId="0663C2AA"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401739BF" w14:textId="0C129041"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560F277B" w14:textId="68C31FC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E6A8462" w14:textId="52A07D29" w:rsidR="00F826D0" w:rsidRPr="003328EE" w:rsidRDefault="00F826D0" w:rsidP="00D65F93">
            <w:pPr>
              <w:rPr>
                <w:rFonts w:eastAsia="Times New Roman"/>
                <w:color w:val="000000"/>
                <w:sz w:val="18"/>
                <w:szCs w:val="18"/>
              </w:rPr>
            </w:pPr>
            <w:r w:rsidRPr="003328EE">
              <w:rPr>
                <w:rFonts w:eastAsia="Times New Roman"/>
                <w:color w:val="000000"/>
                <w:sz w:val="18"/>
                <w:szCs w:val="18"/>
              </w:rPr>
              <w:t>Worsley &amp; Skrzypiec, 1998</w:t>
            </w:r>
          </w:p>
        </w:tc>
        <w:tc>
          <w:tcPr>
            <w:tcW w:w="1156" w:type="dxa"/>
            <w:tcBorders>
              <w:top w:val="nil"/>
              <w:left w:val="nil"/>
              <w:bottom w:val="nil"/>
              <w:right w:val="nil"/>
            </w:tcBorders>
            <w:shd w:val="clear" w:color="auto" w:fill="auto"/>
            <w:noWrap/>
            <w:vAlign w:val="bottom"/>
            <w:hideMark/>
          </w:tcPr>
          <w:p w14:paraId="77657040" w14:textId="624AC64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58C331F" w14:textId="77777777" w:rsidTr="00D65F93">
        <w:trPr>
          <w:trHeight w:val="320"/>
        </w:trPr>
        <w:tc>
          <w:tcPr>
            <w:tcW w:w="3545" w:type="dxa"/>
            <w:tcBorders>
              <w:top w:val="nil"/>
              <w:left w:val="nil"/>
              <w:bottom w:val="nil"/>
              <w:right w:val="nil"/>
            </w:tcBorders>
            <w:shd w:val="clear" w:color="auto" w:fill="auto"/>
            <w:noWrap/>
            <w:vAlign w:val="bottom"/>
            <w:hideMark/>
          </w:tcPr>
          <w:p w14:paraId="7E06AAFC" w14:textId="66199666"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60DA92DC" w14:textId="1CB7DB4B"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3C40F1F1" w14:textId="2F31261F"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228E733C" w14:textId="374A0E61"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DE77F9D" w14:textId="0CE7BDAA" w:rsidR="00F826D0" w:rsidRPr="003328EE" w:rsidRDefault="00F826D0" w:rsidP="00D65F93">
            <w:pPr>
              <w:rPr>
                <w:rFonts w:eastAsia="Times New Roman"/>
                <w:color w:val="000000"/>
                <w:sz w:val="18"/>
                <w:szCs w:val="18"/>
              </w:rPr>
            </w:pPr>
            <w:r w:rsidRPr="003328EE">
              <w:rPr>
                <w:rFonts w:eastAsia="Times New Roman"/>
                <w:color w:val="000000"/>
                <w:sz w:val="18"/>
                <w:szCs w:val="18"/>
              </w:rPr>
              <w:t>Fox &amp; Ward, 2008</w:t>
            </w:r>
          </w:p>
        </w:tc>
        <w:tc>
          <w:tcPr>
            <w:tcW w:w="1156" w:type="dxa"/>
            <w:tcBorders>
              <w:top w:val="nil"/>
              <w:left w:val="nil"/>
              <w:bottom w:val="nil"/>
              <w:right w:val="nil"/>
            </w:tcBorders>
            <w:shd w:val="clear" w:color="auto" w:fill="auto"/>
            <w:noWrap/>
            <w:vAlign w:val="bottom"/>
            <w:hideMark/>
          </w:tcPr>
          <w:p w14:paraId="45179A6D" w14:textId="5EC545F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733E572" w14:textId="77777777" w:rsidTr="00D65F93">
        <w:trPr>
          <w:trHeight w:val="320"/>
        </w:trPr>
        <w:tc>
          <w:tcPr>
            <w:tcW w:w="3545" w:type="dxa"/>
            <w:tcBorders>
              <w:top w:val="nil"/>
              <w:left w:val="nil"/>
              <w:bottom w:val="nil"/>
              <w:right w:val="nil"/>
            </w:tcBorders>
            <w:shd w:val="clear" w:color="auto" w:fill="auto"/>
            <w:noWrap/>
            <w:vAlign w:val="bottom"/>
            <w:hideMark/>
          </w:tcPr>
          <w:p w14:paraId="5E91F8D6" w14:textId="6F3D7688"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21041C03" w14:textId="28108334"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35B352A4" w14:textId="6010DBC2"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3B763638" w14:textId="7712BAE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10AD79D" w14:textId="316B41A8" w:rsidR="00F826D0" w:rsidRPr="003328EE" w:rsidRDefault="00F826D0" w:rsidP="00D65F93">
            <w:pPr>
              <w:rPr>
                <w:rFonts w:eastAsia="Times New Roman"/>
                <w:color w:val="000000"/>
                <w:sz w:val="18"/>
                <w:szCs w:val="18"/>
              </w:rPr>
            </w:pPr>
            <w:r w:rsidRPr="003328EE">
              <w:rPr>
                <w:rFonts w:eastAsia="Times New Roman"/>
                <w:color w:val="000000"/>
                <w:sz w:val="18"/>
                <w:szCs w:val="18"/>
              </w:rPr>
              <w:t>Janda &amp; Trocchia, 2001</w:t>
            </w:r>
          </w:p>
        </w:tc>
        <w:tc>
          <w:tcPr>
            <w:tcW w:w="1156" w:type="dxa"/>
            <w:tcBorders>
              <w:top w:val="nil"/>
              <w:left w:val="nil"/>
              <w:bottom w:val="nil"/>
              <w:right w:val="nil"/>
            </w:tcBorders>
            <w:shd w:val="clear" w:color="auto" w:fill="auto"/>
            <w:noWrap/>
            <w:vAlign w:val="bottom"/>
            <w:hideMark/>
          </w:tcPr>
          <w:p w14:paraId="57FE70A2" w14:textId="186E8FA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54EB55C" w14:textId="77777777" w:rsidTr="00D65F93">
        <w:trPr>
          <w:trHeight w:val="320"/>
        </w:trPr>
        <w:tc>
          <w:tcPr>
            <w:tcW w:w="3545" w:type="dxa"/>
            <w:tcBorders>
              <w:top w:val="nil"/>
              <w:left w:val="nil"/>
              <w:bottom w:val="nil"/>
              <w:right w:val="nil"/>
            </w:tcBorders>
            <w:shd w:val="clear" w:color="auto" w:fill="auto"/>
            <w:noWrap/>
            <w:vAlign w:val="bottom"/>
            <w:hideMark/>
          </w:tcPr>
          <w:p w14:paraId="7CF62425" w14:textId="370E3D1D"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09D5A890" w14:textId="3C25D8C2"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64B05F5F" w14:textId="0245A33A"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5D47AF27" w14:textId="6BF73039"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2175DBC" w14:textId="36B8FD31" w:rsidR="00F826D0" w:rsidRPr="003328EE" w:rsidRDefault="00F826D0" w:rsidP="00D65F93">
            <w:pPr>
              <w:rPr>
                <w:rFonts w:eastAsia="Times New Roman"/>
                <w:color w:val="000000"/>
                <w:sz w:val="18"/>
                <w:szCs w:val="18"/>
              </w:rPr>
            </w:pPr>
            <w:r w:rsidRPr="003328EE">
              <w:rPr>
                <w:rFonts w:eastAsia="Times New Roman"/>
                <w:color w:val="000000"/>
                <w:sz w:val="18"/>
                <w:szCs w:val="18"/>
              </w:rPr>
              <w:t>Ruby, 2012</w:t>
            </w:r>
          </w:p>
        </w:tc>
        <w:tc>
          <w:tcPr>
            <w:tcW w:w="1156" w:type="dxa"/>
            <w:tcBorders>
              <w:top w:val="nil"/>
              <w:left w:val="nil"/>
              <w:bottom w:val="nil"/>
              <w:right w:val="nil"/>
            </w:tcBorders>
            <w:shd w:val="clear" w:color="auto" w:fill="auto"/>
            <w:noWrap/>
            <w:vAlign w:val="bottom"/>
            <w:hideMark/>
          </w:tcPr>
          <w:p w14:paraId="7573C4B8" w14:textId="3A0022D5"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BDACEAC" w14:textId="77777777" w:rsidTr="00D65F93">
        <w:trPr>
          <w:trHeight w:val="320"/>
        </w:trPr>
        <w:tc>
          <w:tcPr>
            <w:tcW w:w="3545" w:type="dxa"/>
            <w:tcBorders>
              <w:top w:val="nil"/>
              <w:left w:val="nil"/>
              <w:bottom w:val="nil"/>
              <w:right w:val="nil"/>
            </w:tcBorders>
            <w:shd w:val="clear" w:color="auto" w:fill="auto"/>
            <w:noWrap/>
            <w:vAlign w:val="bottom"/>
            <w:hideMark/>
          </w:tcPr>
          <w:p w14:paraId="679087A0" w14:textId="21E52C58"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2EAFF30C" w14:textId="70494B90"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2F0BD8BF" w14:textId="5182587F"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7486D281" w14:textId="131D41C3"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34684C3" w14:textId="4F6176CB" w:rsidR="00F826D0" w:rsidRPr="003328EE" w:rsidRDefault="00F826D0" w:rsidP="00D65F93">
            <w:pPr>
              <w:rPr>
                <w:rFonts w:eastAsia="Times New Roman"/>
                <w:color w:val="000000"/>
                <w:sz w:val="18"/>
                <w:szCs w:val="18"/>
              </w:rPr>
            </w:pPr>
            <w:r w:rsidRPr="003328EE">
              <w:rPr>
                <w:rFonts w:eastAsia="Times New Roman"/>
                <w:color w:val="000000"/>
                <w:sz w:val="18"/>
                <w:szCs w:val="18"/>
              </w:rPr>
              <w:t>Beardsworth &amp; Keil</w:t>
            </w:r>
            <w:r>
              <w:rPr>
                <w:rFonts w:eastAsia="Times New Roman"/>
                <w:color w:val="000000"/>
                <w:sz w:val="18"/>
                <w:szCs w:val="18"/>
              </w:rPr>
              <w:t>, 1993</w:t>
            </w:r>
          </w:p>
        </w:tc>
        <w:tc>
          <w:tcPr>
            <w:tcW w:w="1156" w:type="dxa"/>
            <w:tcBorders>
              <w:top w:val="nil"/>
              <w:left w:val="nil"/>
              <w:bottom w:val="nil"/>
              <w:right w:val="nil"/>
            </w:tcBorders>
            <w:shd w:val="clear" w:color="auto" w:fill="auto"/>
            <w:noWrap/>
            <w:vAlign w:val="bottom"/>
            <w:hideMark/>
          </w:tcPr>
          <w:p w14:paraId="73602E3D" w14:textId="35CBB98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C881857" w14:textId="77777777" w:rsidTr="00D65F93">
        <w:trPr>
          <w:trHeight w:val="320"/>
        </w:trPr>
        <w:tc>
          <w:tcPr>
            <w:tcW w:w="3545" w:type="dxa"/>
            <w:tcBorders>
              <w:top w:val="nil"/>
              <w:left w:val="nil"/>
              <w:bottom w:val="nil"/>
              <w:right w:val="nil"/>
            </w:tcBorders>
            <w:shd w:val="clear" w:color="auto" w:fill="auto"/>
            <w:noWrap/>
            <w:vAlign w:val="bottom"/>
            <w:hideMark/>
          </w:tcPr>
          <w:p w14:paraId="243787B5" w14:textId="197DEA74"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015E01D3" w14:textId="7EC2D80E"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0E78B1AE" w14:textId="34398704"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47451244" w14:textId="1DF496AD"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FDA8692" w14:textId="35CE8625" w:rsidR="00F826D0" w:rsidRPr="003328EE" w:rsidRDefault="00F826D0" w:rsidP="00D65F93">
            <w:pPr>
              <w:rPr>
                <w:rFonts w:eastAsia="Times New Roman"/>
                <w:color w:val="000000"/>
                <w:sz w:val="18"/>
                <w:szCs w:val="18"/>
              </w:rPr>
            </w:pPr>
            <w:r w:rsidRPr="003328EE">
              <w:rPr>
                <w:rFonts w:eastAsia="Times New Roman"/>
                <w:color w:val="000000"/>
                <w:sz w:val="18"/>
                <w:szCs w:val="18"/>
              </w:rPr>
              <w:t>de Backer &amp; Hudders, 2014</w:t>
            </w:r>
          </w:p>
        </w:tc>
        <w:tc>
          <w:tcPr>
            <w:tcW w:w="1156" w:type="dxa"/>
            <w:tcBorders>
              <w:top w:val="nil"/>
              <w:left w:val="nil"/>
              <w:bottom w:val="nil"/>
              <w:right w:val="nil"/>
            </w:tcBorders>
            <w:shd w:val="clear" w:color="auto" w:fill="auto"/>
            <w:noWrap/>
            <w:vAlign w:val="bottom"/>
            <w:hideMark/>
          </w:tcPr>
          <w:p w14:paraId="3D695253" w14:textId="5B80BDD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46B0131" w14:textId="77777777" w:rsidTr="00D65F93">
        <w:trPr>
          <w:trHeight w:val="320"/>
        </w:trPr>
        <w:tc>
          <w:tcPr>
            <w:tcW w:w="3545" w:type="dxa"/>
            <w:tcBorders>
              <w:top w:val="nil"/>
              <w:left w:val="nil"/>
              <w:bottom w:val="nil"/>
              <w:right w:val="nil"/>
            </w:tcBorders>
            <w:shd w:val="clear" w:color="auto" w:fill="auto"/>
            <w:noWrap/>
            <w:vAlign w:val="bottom"/>
            <w:hideMark/>
          </w:tcPr>
          <w:p w14:paraId="5C1A8171" w14:textId="2B3961A1"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7FE4C2F5" w14:textId="1F45EF16"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06183B53" w14:textId="55261D96"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6AA89E9D" w14:textId="572FD26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1D9E777" w14:textId="73847E5E" w:rsidR="00F826D0" w:rsidRPr="003328EE" w:rsidRDefault="00F826D0" w:rsidP="00D65F93">
            <w:pPr>
              <w:rPr>
                <w:rFonts w:eastAsia="Times New Roman"/>
                <w:color w:val="000000"/>
                <w:sz w:val="18"/>
                <w:szCs w:val="18"/>
              </w:rPr>
            </w:pPr>
            <w:r w:rsidRPr="003328EE">
              <w:rPr>
                <w:rFonts w:eastAsia="Times New Roman"/>
                <w:color w:val="000000"/>
                <w:sz w:val="18"/>
                <w:szCs w:val="18"/>
              </w:rPr>
              <w:t>Haverstock &amp; Forgays, 2012</w:t>
            </w:r>
          </w:p>
        </w:tc>
        <w:tc>
          <w:tcPr>
            <w:tcW w:w="1156" w:type="dxa"/>
            <w:tcBorders>
              <w:top w:val="nil"/>
              <w:left w:val="nil"/>
              <w:bottom w:val="nil"/>
              <w:right w:val="nil"/>
            </w:tcBorders>
            <w:shd w:val="clear" w:color="auto" w:fill="auto"/>
            <w:noWrap/>
            <w:vAlign w:val="bottom"/>
            <w:hideMark/>
          </w:tcPr>
          <w:p w14:paraId="7F91B8C9" w14:textId="7F08BD0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5A5E301" w14:textId="77777777" w:rsidTr="00D65F93">
        <w:trPr>
          <w:trHeight w:val="320"/>
        </w:trPr>
        <w:tc>
          <w:tcPr>
            <w:tcW w:w="3545" w:type="dxa"/>
            <w:tcBorders>
              <w:top w:val="nil"/>
              <w:left w:val="nil"/>
              <w:bottom w:val="nil"/>
              <w:right w:val="nil"/>
            </w:tcBorders>
            <w:shd w:val="clear" w:color="auto" w:fill="auto"/>
            <w:noWrap/>
            <w:vAlign w:val="bottom"/>
            <w:hideMark/>
          </w:tcPr>
          <w:p w14:paraId="6819662D" w14:textId="3585FF58"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3171C116" w14:textId="04867D5A"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740942AE" w14:textId="6FD1D316"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224FF750" w14:textId="7C94197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0CF7354" w14:textId="00BE3191" w:rsidR="00F826D0" w:rsidRPr="003328EE" w:rsidRDefault="00F826D0" w:rsidP="00D65F93">
            <w:pPr>
              <w:rPr>
                <w:rFonts w:eastAsia="Times New Roman"/>
                <w:color w:val="000000"/>
                <w:sz w:val="18"/>
                <w:szCs w:val="18"/>
              </w:rPr>
            </w:pPr>
            <w:r w:rsidRPr="003328EE">
              <w:rPr>
                <w:rFonts w:eastAsia="Times New Roman"/>
                <w:color w:val="000000"/>
                <w:sz w:val="18"/>
                <w:szCs w:val="18"/>
              </w:rPr>
              <w:t>Lea &amp; Worsley, 2002</w:t>
            </w:r>
          </w:p>
        </w:tc>
        <w:tc>
          <w:tcPr>
            <w:tcW w:w="1156" w:type="dxa"/>
            <w:tcBorders>
              <w:top w:val="nil"/>
              <w:left w:val="nil"/>
              <w:bottom w:val="nil"/>
              <w:right w:val="nil"/>
            </w:tcBorders>
            <w:shd w:val="clear" w:color="auto" w:fill="auto"/>
            <w:noWrap/>
            <w:vAlign w:val="bottom"/>
            <w:hideMark/>
          </w:tcPr>
          <w:p w14:paraId="6188515A" w14:textId="2081435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318325A" w14:textId="77777777" w:rsidTr="00D65F93">
        <w:trPr>
          <w:trHeight w:val="320"/>
        </w:trPr>
        <w:tc>
          <w:tcPr>
            <w:tcW w:w="3545" w:type="dxa"/>
            <w:tcBorders>
              <w:top w:val="nil"/>
              <w:left w:val="nil"/>
              <w:bottom w:val="nil"/>
              <w:right w:val="nil"/>
            </w:tcBorders>
            <w:shd w:val="clear" w:color="auto" w:fill="auto"/>
            <w:noWrap/>
            <w:vAlign w:val="bottom"/>
            <w:hideMark/>
          </w:tcPr>
          <w:p w14:paraId="08027A21" w14:textId="199DB717"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6213F284" w14:textId="6BEC47D0"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324BAA70" w14:textId="2992E80F"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1BD66787" w14:textId="5D54D7C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B4E5B8C" w14:textId="3477C575"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581AB17F" w14:textId="0EBA84B5"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D78E3BC" w14:textId="77777777" w:rsidTr="00D65F93">
        <w:trPr>
          <w:trHeight w:val="320"/>
        </w:trPr>
        <w:tc>
          <w:tcPr>
            <w:tcW w:w="3545" w:type="dxa"/>
            <w:tcBorders>
              <w:top w:val="nil"/>
              <w:left w:val="nil"/>
              <w:bottom w:val="nil"/>
              <w:right w:val="nil"/>
            </w:tcBorders>
            <w:shd w:val="clear" w:color="auto" w:fill="auto"/>
            <w:noWrap/>
            <w:vAlign w:val="bottom"/>
            <w:hideMark/>
          </w:tcPr>
          <w:p w14:paraId="225058AD" w14:textId="237FA031"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7F669E3D" w14:textId="65E576FA"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1ED18F9C" w14:textId="6A74B9F5"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687F1A7A" w14:textId="239760D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F27AD1C" w14:textId="51962B82" w:rsidR="00F826D0" w:rsidRPr="003328EE" w:rsidRDefault="00F826D0" w:rsidP="00D65F93">
            <w:pPr>
              <w:rPr>
                <w:rFonts w:eastAsia="Times New Roman"/>
                <w:color w:val="000000"/>
                <w:sz w:val="18"/>
                <w:szCs w:val="18"/>
              </w:rPr>
            </w:pPr>
            <w:r w:rsidRPr="003328EE">
              <w:rPr>
                <w:rFonts w:eastAsia="Times New Roman"/>
                <w:color w:val="000000"/>
                <w:sz w:val="18"/>
                <w:szCs w:val="18"/>
              </w:rPr>
              <w:t>Bratanova et al., 2011</w:t>
            </w:r>
          </w:p>
        </w:tc>
        <w:tc>
          <w:tcPr>
            <w:tcW w:w="1156" w:type="dxa"/>
            <w:tcBorders>
              <w:top w:val="nil"/>
              <w:left w:val="nil"/>
              <w:bottom w:val="nil"/>
              <w:right w:val="nil"/>
            </w:tcBorders>
            <w:shd w:val="clear" w:color="auto" w:fill="auto"/>
            <w:noWrap/>
            <w:vAlign w:val="bottom"/>
            <w:hideMark/>
          </w:tcPr>
          <w:p w14:paraId="6028EF80" w14:textId="4801200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1EB6BAD" w14:textId="77777777" w:rsidTr="00D65F93">
        <w:trPr>
          <w:trHeight w:val="320"/>
        </w:trPr>
        <w:tc>
          <w:tcPr>
            <w:tcW w:w="3545" w:type="dxa"/>
            <w:tcBorders>
              <w:top w:val="nil"/>
              <w:left w:val="nil"/>
              <w:bottom w:val="nil"/>
              <w:right w:val="nil"/>
            </w:tcBorders>
            <w:shd w:val="clear" w:color="auto" w:fill="auto"/>
            <w:noWrap/>
            <w:vAlign w:val="bottom"/>
            <w:hideMark/>
          </w:tcPr>
          <w:p w14:paraId="41C55BCB" w14:textId="5A98382C"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4B5F52F0" w14:textId="1EDE7554"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22FD9303" w14:textId="783204B8"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74FD9B0D" w14:textId="44BAC16B"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0322E12" w14:textId="166A429C" w:rsidR="00F826D0" w:rsidRPr="003328EE" w:rsidRDefault="00F826D0" w:rsidP="00D65F93">
            <w:pPr>
              <w:rPr>
                <w:rFonts w:eastAsia="Times New Roman"/>
                <w:color w:val="000000"/>
                <w:sz w:val="18"/>
                <w:szCs w:val="18"/>
              </w:rPr>
            </w:pPr>
            <w:r w:rsidRPr="003328EE">
              <w:rPr>
                <w:rFonts w:eastAsia="Times New Roman"/>
                <w:color w:val="000000"/>
                <w:sz w:val="18"/>
                <w:szCs w:val="18"/>
              </w:rPr>
              <w:t>Caracciolo et al., 2016</w:t>
            </w:r>
          </w:p>
        </w:tc>
        <w:tc>
          <w:tcPr>
            <w:tcW w:w="1156" w:type="dxa"/>
            <w:tcBorders>
              <w:top w:val="nil"/>
              <w:left w:val="nil"/>
              <w:bottom w:val="nil"/>
              <w:right w:val="nil"/>
            </w:tcBorders>
            <w:shd w:val="clear" w:color="auto" w:fill="auto"/>
            <w:noWrap/>
            <w:vAlign w:val="bottom"/>
            <w:hideMark/>
          </w:tcPr>
          <w:p w14:paraId="601E3530" w14:textId="1BBB001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ED1A54A" w14:textId="77777777" w:rsidTr="00D65F93">
        <w:trPr>
          <w:trHeight w:val="320"/>
        </w:trPr>
        <w:tc>
          <w:tcPr>
            <w:tcW w:w="3545" w:type="dxa"/>
            <w:tcBorders>
              <w:top w:val="nil"/>
              <w:left w:val="nil"/>
              <w:bottom w:val="nil"/>
              <w:right w:val="nil"/>
            </w:tcBorders>
            <w:shd w:val="clear" w:color="auto" w:fill="auto"/>
            <w:noWrap/>
            <w:vAlign w:val="bottom"/>
            <w:hideMark/>
          </w:tcPr>
          <w:p w14:paraId="3F8E7B47" w14:textId="160B3801"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581C2BCF" w14:textId="380681D4"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4BC98CF3" w14:textId="20CDEDA6"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0E311D92" w14:textId="2CB213A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D4834F9" w14:textId="3689AAFE" w:rsidR="00F826D0" w:rsidRPr="003328EE" w:rsidRDefault="00F826D0" w:rsidP="00D65F93">
            <w:pPr>
              <w:rPr>
                <w:rFonts w:eastAsia="Times New Roman"/>
                <w:color w:val="000000"/>
                <w:sz w:val="18"/>
                <w:szCs w:val="18"/>
              </w:rPr>
            </w:pPr>
            <w:r w:rsidRPr="003328EE">
              <w:rPr>
                <w:rFonts w:eastAsia="Times New Roman"/>
                <w:color w:val="000000"/>
                <w:sz w:val="18"/>
                <w:szCs w:val="18"/>
              </w:rPr>
              <w:t>Grace et al., 2016</w:t>
            </w:r>
          </w:p>
        </w:tc>
        <w:tc>
          <w:tcPr>
            <w:tcW w:w="1156" w:type="dxa"/>
            <w:tcBorders>
              <w:top w:val="nil"/>
              <w:left w:val="nil"/>
              <w:bottom w:val="nil"/>
              <w:right w:val="nil"/>
            </w:tcBorders>
            <w:shd w:val="clear" w:color="auto" w:fill="auto"/>
            <w:noWrap/>
            <w:vAlign w:val="bottom"/>
            <w:hideMark/>
          </w:tcPr>
          <w:p w14:paraId="2624DA26" w14:textId="53DF3D7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E4B46D8" w14:textId="77777777" w:rsidTr="00D65F93">
        <w:trPr>
          <w:trHeight w:val="320"/>
        </w:trPr>
        <w:tc>
          <w:tcPr>
            <w:tcW w:w="3545" w:type="dxa"/>
            <w:tcBorders>
              <w:top w:val="nil"/>
              <w:left w:val="nil"/>
              <w:bottom w:val="nil"/>
              <w:right w:val="nil"/>
            </w:tcBorders>
            <w:shd w:val="clear" w:color="auto" w:fill="auto"/>
            <w:noWrap/>
            <w:vAlign w:val="bottom"/>
            <w:hideMark/>
          </w:tcPr>
          <w:p w14:paraId="7BBEFEA4" w14:textId="4F1ADBAB"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693BD608" w14:textId="03CC8CB2"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378EE5DF" w14:textId="45DAA8A0"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0015643F" w14:textId="0F43D14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FB37C42" w14:textId="55529D2D" w:rsidR="00F826D0" w:rsidRPr="003328EE" w:rsidRDefault="00F826D0" w:rsidP="00D65F93">
            <w:pPr>
              <w:rPr>
                <w:rFonts w:eastAsia="Times New Roman"/>
                <w:color w:val="000000"/>
                <w:sz w:val="18"/>
                <w:szCs w:val="18"/>
              </w:rPr>
            </w:pPr>
            <w:r w:rsidRPr="003328EE">
              <w:rPr>
                <w:rFonts w:eastAsia="Times New Roman"/>
                <w:color w:val="000000"/>
                <w:sz w:val="18"/>
                <w:szCs w:val="18"/>
              </w:rPr>
              <w:t>Ruby &amp; Heine, 2011</w:t>
            </w:r>
          </w:p>
        </w:tc>
        <w:tc>
          <w:tcPr>
            <w:tcW w:w="1156" w:type="dxa"/>
            <w:tcBorders>
              <w:top w:val="nil"/>
              <w:left w:val="nil"/>
              <w:bottom w:val="nil"/>
              <w:right w:val="nil"/>
            </w:tcBorders>
            <w:shd w:val="clear" w:color="auto" w:fill="auto"/>
            <w:noWrap/>
            <w:vAlign w:val="bottom"/>
            <w:hideMark/>
          </w:tcPr>
          <w:p w14:paraId="33B2D2BC" w14:textId="77914B3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3D69A62" w14:textId="77777777" w:rsidTr="00D65F93">
        <w:trPr>
          <w:trHeight w:val="320"/>
        </w:trPr>
        <w:tc>
          <w:tcPr>
            <w:tcW w:w="3545" w:type="dxa"/>
            <w:tcBorders>
              <w:top w:val="nil"/>
              <w:left w:val="nil"/>
              <w:bottom w:val="nil"/>
              <w:right w:val="nil"/>
            </w:tcBorders>
            <w:shd w:val="clear" w:color="auto" w:fill="auto"/>
            <w:noWrap/>
            <w:vAlign w:val="bottom"/>
            <w:hideMark/>
          </w:tcPr>
          <w:p w14:paraId="58E9B06C" w14:textId="45FEF02D" w:rsidR="00F826D0" w:rsidRPr="003328EE" w:rsidRDefault="00F826D0" w:rsidP="00D65F93">
            <w:pPr>
              <w:rPr>
                <w:rFonts w:eastAsia="Times New Roman"/>
                <w:color w:val="000000"/>
                <w:sz w:val="18"/>
                <w:szCs w:val="18"/>
              </w:rPr>
            </w:pPr>
            <w:r w:rsidRPr="003328EE">
              <w:rPr>
                <w:rFonts w:eastAsia="Times New Roman"/>
                <w:color w:val="000000"/>
                <w:sz w:val="18"/>
                <w:szCs w:val="18"/>
              </w:rPr>
              <w:t>Morals</w:t>
            </w:r>
          </w:p>
        </w:tc>
        <w:tc>
          <w:tcPr>
            <w:tcW w:w="3183" w:type="dxa"/>
            <w:tcBorders>
              <w:top w:val="nil"/>
              <w:left w:val="nil"/>
              <w:bottom w:val="nil"/>
              <w:right w:val="nil"/>
            </w:tcBorders>
            <w:shd w:val="clear" w:color="auto" w:fill="auto"/>
            <w:noWrap/>
            <w:vAlign w:val="bottom"/>
            <w:hideMark/>
          </w:tcPr>
          <w:p w14:paraId="18220511" w14:textId="14705E62"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6C290AE1" w14:textId="284BF654"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7D93524B" w14:textId="78439861"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7C9117E" w14:textId="4637C3CD" w:rsidR="00F826D0" w:rsidRPr="003328EE" w:rsidRDefault="00F826D0" w:rsidP="00D65F93">
            <w:pPr>
              <w:rPr>
                <w:rFonts w:eastAsia="Times New Roman"/>
                <w:color w:val="000000"/>
                <w:sz w:val="18"/>
                <w:szCs w:val="18"/>
              </w:rPr>
            </w:pPr>
            <w:r w:rsidRPr="003328EE">
              <w:rPr>
                <w:rFonts w:eastAsia="Times New Roman"/>
                <w:color w:val="000000"/>
                <w:sz w:val="18"/>
                <w:szCs w:val="18"/>
              </w:rPr>
              <w:t>Leitzmann, 2014</w:t>
            </w:r>
          </w:p>
        </w:tc>
        <w:tc>
          <w:tcPr>
            <w:tcW w:w="1156" w:type="dxa"/>
            <w:tcBorders>
              <w:top w:val="nil"/>
              <w:left w:val="nil"/>
              <w:bottom w:val="nil"/>
              <w:right w:val="nil"/>
            </w:tcBorders>
            <w:shd w:val="clear" w:color="auto" w:fill="auto"/>
            <w:noWrap/>
            <w:vAlign w:val="bottom"/>
            <w:hideMark/>
          </w:tcPr>
          <w:p w14:paraId="17B0C732" w14:textId="3B8E9147"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0B4703D" w14:textId="77777777" w:rsidTr="00D65F93">
        <w:trPr>
          <w:trHeight w:val="320"/>
        </w:trPr>
        <w:tc>
          <w:tcPr>
            <w:tcW w:w="3545" w:type="dxa"/>
            <w:tcBorders>
              <w:top w:val="nil"/>
              <w:left w:val="nil"/>
              <w:bottom w:val="nil"/>
              <w:right w:val="nil"/>
            </w:tcBorders>
            <w:shd w:val="clear" w:color="auto" w:fill="auto"/>
            <w:noWrap/>
            <w:vAlign w:val="bottom"/>
            <w:hideMark/>
          </w:tcPr>
          <w:p w14:paraId="0AED9DE9" w14:textId="21EABE04" w:rsidR="00F826D0" w:rsidRPr="003328EE" w:rsidRDefault="00F826D0" w:rsidP="00D65F93">
            <w:pPr>
              <w:rPr>
                <w:rFonts w:eastAsia="Times New Roman"/>
                <w:color w:val="000000"/>
                <w:sz w:val="18"/>
                <w:szCs w:val="18"/>
              </w:rPr>
            </w:pPr>
            <w:r>
              <w:rPr>
                <w:rFonts w:eastAsia="Times New Roman"/>
                <w:color w:val="000000"/>
                <w:sz w:val="18"/>
                <w:szCs w:val="18"/>
              </w:rPr>
              <w:t>Obscuring Personal Responsibility</w:t>
            </w:r>
          </w:p>
        </w:tc>
        <w:tc>
          <w:tcPr>
            <w:tcW w:w="3183" w:type="dxa"/>
            <w:tcBorders>
              <w:top w:val="nil"/>
              <w:left w:val="nil"/>
              <w:bottom w:val="nil"/>
              <w:right w:val="nil"/>
            </w:tcBorders>
            <w:shd w:val="clear" w:color="auto" w:fill="auto"/>
            <w:noWrap/>
            <w:vAlign w:val="bottom"/>
            <w:hideMark/>
          </w:tcPr>
          <w:p w14:paraId="58CFB44E" w14:textId="1EFE2B4B"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33450B2C" w14:textId="116D5683"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7ACA73F8" w14:textId="52FC6DC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3CFDAE5" w14:textId="1D92C4F2"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2014</w:t>
            </w:r>
          </w:p>
        </w:tc>
        <w:tc>
          <w:tcPr>
            <w:tcW w:w="1156" w:type="dxa"/>
            <w:tcBorders>
              <w:top w:val="nil"/>
              <w:left w:val="nil"/>
              <w:bottom w:val="nil"/>
              <w:right w:val="nil"/>
            </w:tcBorders>
            <w:shd w:val="clear" w:color="auto" w:fill="auto"/>
            <w:noWrap/>
            <w:vAlign w:val="bottom"/>
            <w:hideMark/>
          </w:tcPr>
          <w:p w14:paraId="180D48F4" w14:textId="0F4E8F3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37874A4" w14:textId="77777777" w:rsidTr="00D65F93">
        <w:trPr>
          <w:trHeight w:val="320"/>
        </w:trPr>
        <w:tc>
          <w:tcPr>
            <w:tcW w:w="3545" w:type="dxa"/>
            <w:tcBorders>
              <w:top w:val="nil"/>
              <w:left w:val="nil"/>
              <w:bottom w:val="nil"/>
              <w:right w:val="nil"/>
            </w:tcBorders>
            <w:shd w:val="clear" w:color="auto" w:fill="auto"/>
            <w:noWrap/>
            <w:vAlign w:val="bottom"/>
            <w:hideMark/>
          </w:tcPr>
          <w:p w14:paraId="3542A575" w14:textId="3070E11C" w:rsidR="00F826D0" w:rsidRPr="003328EE" w:rsidRDefault="00F826D0" w:rsidP="00D65F93">
            <w:pPr>
              <w:rPr>
                <w:rFonts w:eastAsia="Times New Roman"/>
                <w:color w:val="000000"/>
                <w:sz w:val="18"/>
                <w:szCs w:val="18"/>
              </w:rPr>
            </w:pPr>
            <w:r w:rsidRPr="003328EE">
              <w:rPr>
                <w:rFonts w:eastAsia="Times New Roman"/>
                <w:color w:val="000000"/>
                <w:sz w:val="18"/>
                <w:szCs w:val="18"/>
              </w:rPr>
              <w:t>Recognition of Benefits</w:t>
            </w:r>
          </w:p>
        </w:tc>
        <w:tc>
          <w:tcPr>
            <w:tcW w:w="3183" w:type="dxa"/>
            <w:tcBorders>
              <w:top w:val="nil"/>
              <w:left w:val="nil"/>
              <w:bottom w:val="nil"/>
              <w:right w:val="nil"/>
            </w:tcBorders>
            <w:shd w:val="clear" w:color="auto" w:fill="auto"/>
            <w:noWrap/>
            <w:vAlign w:val="bottom"/>
            <w:hideMark/>
          </w:tcPr>
          <w:p w14:paraId="58D2566A" w14:textId="31211F2D"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184A0357" w14:textId="7DF1FCC9"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6A6EEA7C" w14:textId="6B28A0B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C2674A2" w14:textId="5DC34B5B" w:rsidR="00F826D0" w:rsidRPr="003328EE" w:rsidRDefault="00F826D0" w:rsidP="00D65F93">
            <w:pPr>
              <w:rPr>
                <w:rFonts w:eastAsia="Times New Roman"/>
                <w:color w:val="000000"/>
                <w:sz w:val="18"/>
                <w:szCs w:val="18"/>
              </w:rPr>
            </w:pPr>
            <w:r w:rsidRPr="003328EE">
              <w:rPr>
                <w:rFonts w:eastAsia="Times New Roman"/>
                <w:color w:val="000000"/>
                <w:sz w:val="18"/>
                <w:szCs w:val="18"/>
              </w:rPr>
              <w:t>Lea &amp; Worsley, 2003</w:t>
            </w:r>
          </w:p>
        </w:tc>
        <w:tc>
          <w:tcPr>
            <w:tcW w:w="1156" w:type="dxa"/>
            <w:tcBorders>
              <w:top w:val="nil"/>
              <w:left w:val="nil"/>
              <w:bottom w:val="nil"/>
              <w:right w:val="nil"/>
            </w:tcBorders>
            <w:shd w:val="clear" w:color="auto" w:fill="auto"/>
            <w:noWrap/>
            <w:vAlign w:val="bottom"/>
            <w:hideMark/>
          </w:tcPr>
          <w:p w14:paraId="2A553FAC" w14:textId="2677BAD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FD92B49" w14:textId="77777777" w:rsidTr="00D65F93">
        <w:trPr>
          <w:trHeight w:val="320"/>
        </w:trPr>
        <w:tc>
          <w:tcPr>
            <w:tcW w:w="3545" w:type="dxa"/>
            <w:tcBorders>
              <w:top w:val="nil"/>
              <w:left w:val="nil"/>
              <w:bottom w:val="nil"/>
              <w:right w:val="nil"/>
            </w:tcBorders>
            <w:shd w:val="clear" w:color="auto" w:fill="auto"/>
            <w:noWrap/>
            <w:vAlign w:val="bottom"/>
            <w:hideMark/>
          </w:tcPr>
          <w:p w14:paraId="5F1F722C" w14:textId="351FB51F" w:rsidR="00F826D0" w:rsidRPr="003328EE" w:rsidRDefault="00F826D0" w:rsidP="00D65F93">
            <w:pPr>
              <w:rPr>
                <w:rFonts w:eastAsia="Times New Roman"/>
                <w:color w:val="000000"/>
                <w:sz w:val="18"/>
                <w:szCs w:val="18"/>
              </w:rPr>
            </w:pPr>
            <w:r w:rsidRPr="003328EE">
              <w:rPr>
                <w:rFonts w:eastAsia="Times New Roman"/>
                <w:color w:val="000000"/>
                <w:sz w:val="18"/>
                <w:szCs w:val="18"/>
              </w:rPr>
              <w:t>Recognition of Benefits</w:t>
            </w:r>
          </w:p>
        </w:tc>
        <w:tc>
          <w:tcPr>
            <w:tcW w:w="3183" w:type="dxa"/>
            <w:tcBorders>
              <w:top w:val="nil"/>
              <w:left w:val="nil"/>
              <w:bottom w:val="nil"/>
              <w:right w:val="nil"/>
            </w:tcBorders>
            <w:shd w:val="clear" w:color="auto" w:fill="auto"/>
            <w:noWrap/>
            <w:vAlign w:val="bottom"/>
            <w:hideMark/>
          </w:tcPr>
          <w:p w14:paraId="546BDD79" w14:textId="319E24B3"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491C3C7B" w14:textId="69A7E6D1"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5B490623" w14:textId="0DC8F3E7"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B7D432F" w14:textId="7CD3889C" w:rsidR="00F826D0" w:rsidRPr="003328EE" w:rsidRDefault="00F826D0" w:rsidP="00D65F93">
            <w:pPr>
              <w:rPr>
                <w:rFonts w:eastAsia="Times New Roman"/>
                <w:color w:val="000000"/>
                <w:sz w:val="18"/>
                <w:szCs w:val="18"/>
              </w:rPr>
            </w:pPr>
            <w:r w:rsidRPr="003328EE">
              <w:rPr>
                <w:rFonts w:eastAsia="Times New Roman"/>
                <w:color w:val="000000"/>
                <w:sz w:val="18"/>
                <w:szCs w:val="18"/>
              </w:rPr>
              <w:t>Lea et al., 2006</w:t>
            </w:r>
          </w:p>
        </w:tc>
        <w:tc>
          <w:tcPr>
            <w:tcW w:w="1156" w:type="dxa"/>
            <w:tcBorders>
              <w:top w:val="nil"/>
              <w:left w:val="nil"/>
              <w:bottom w:val="nil"/>
              <w:right w:val="nil"/>
            </w:tcBorders>
            <w:shd w:val="clear" w:color="auto" w:fill="auto"/>
            <w:noWrap/>
            <w:vAlign w:val="bottom"/>
            <w:hideMark/>
          </w:tcPr>
          <w:p w14:paraId="2F872D14" w14:textId="026B136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E2C40E6" w14:textId="77777777" w:rsidTr="00D65F93">
        <w:trPr>
          <w:trHeight w:val="320"/>
        </w:trPr>
        <w:tc>
          <w:tcPr>
            <w:tcW w:w="3545" w:type="dxa"/>
            <w:tcBorders>
              <w:top w:val="nil"/>
              <w:left w:val="nil"/>
              <w:bottom w:val="nil"/>
              <w:right w:val="nil"/>
            </w:tcBorders>
            <w:shd w:val="clear" w:color="auto" w:fill="auto"/>
            <w:noWrap/>
            <w:vAlign w:val="bottom"/>
            <w:hideMark/>
          </w:tcPr>
          <w:p w14:paraId="795E733F" w14:textId="41CE84E4" w:rsidR="00F826D0" w:rsidRPr="003328EE" w:rsidRDefault="00F826D0" w:rsidP="00D65F93">
            <w:pPr>
              <w:rPr>
                <w:rFonts w:eastAsia="Times New Roman"/>
                <w:color w:val="000000"/>
                <w:sz w:val="18"/>
                <w:szCs w:val="18"/>
              </w:rPr>
            </w:pPr>
            <w:r w:rsidRPr="003328EE">
              <w:rPr>
                <w:rFonts w:eastAsia="Times New Roman"/>
                <w:color w:val="000000"/>
                <w:sz w:val="18"/>
                <w:szCs w:val="18"/>
              </w:rPr>
              <w:t>Recognition of Benefits</w:t>
            </w:r>
          </w:p>
        </w:tc>
        <w:tc>
          <w:tcPr>
            <w:tcW w:w="3183" w:type="dxa"/>
            <w:tcBorders>
              <w:top w:val="nil"/>
              <w:left w:val="nil"/>
              <w:bottom w:val="nil"/>
              <w:right w:val="nil"/>
            </w:tcBorders>
            <w:shd w:val="clear" w:color="auto" w:fill="auto"/>
            <w:noWrap/>
            <w:vAlign w:val="bottom"/>
            <w:hideMark/>
          </w:tcPr>
          <w:p w14:paraId="37782F19" w14:textId="15190209"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18B3ABA0" w14:textId="0D477B1C"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3FCBCEED" w14:textId="6AED6DB3"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8CE1D9D" w14:textId="6DA9DFE4" w:rsidR="00F826D0" w:rsidRPr="003328EE" w:rsidRDefault="00F826D0" w:rsidP="00D65F93">
            <w:pPr>
              <w:rPr>
                <w:rFonts w:eastAsia="Times New Roman"/>
                <w:color w:val="000000"/>
                <w:sz w:val="18"/>
                <w:szCs w:val="18"/>
              </w:rPr>
            </w:pPr>
            <w:r w:rsidRPr="003328EE">
              <w:rPr>
                <w:rFonts w:eastAsia="Times New Roman"/>
                <w:color w:val="000000"/>
                <w:sz w:val="18"/>
                <w:szCs w:val="18"/>
              </w:rPr>
              <w:t>Pohjolainen et al., 2014</w:t>
            </w:r>
          </w:p>
        </w:tc>
        <w:tc>
          <w:tcPr>
            <w:tcW w:w="1156" w:type="dxa"/>
            <w:tcBorders>
              <w:top w:val="nil"/>
              <w:left w:val="nil"/>
              <w:bottom w:val="nil"/>
              <w:right w:val="nil"/>
            </w:tcBorders>
            <w:shd w:val="clear" w:color="auto" w:fill="auto"/>
            <w:noWrap/>
            <w:vAlign w:val="bottom"/>
            <w:hideMark/>
          </w:tcPr>
          <w:p w14:paraId="6652B665" w14:textId="603C9E9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B182B31" w14:textId="77777777" w:rsidTr="00D65F93">
        <w:trPr>
          <w:trHeight w:val="320"/>
        </w:trPr>
        <w:tc>
          <w:tcPr>
            <w:tcW w:w="3545" w:type="dxa"/>
            <w:tcBorders>
              <w:top w:val="nil"/>
              <w:left w:val="nil"/>
              <w:bottom w:val="nil"/>
              <w:right w:val="nil"/>
            </w:tcBorders>
            <w:shd w:val="clear" w:color="auto" w:fill="auto"/>
            <w:noWrap/>
            <w:vAlign w:val="bottom"/>
            <w:hideMark/>
          </w:tcPr>
          <w:p w14:paraId="52C262DD" w14:textId="6979AB78" w:rsidR="00F826D0" w:rsidRPr="003328EE" w:rsidRDefault="00F826D0" w:rsidP="00D65F93">
            <w:pPr>
              <w:rPr>
                <w:rFonts w:eastAsia="Times New Roman"/>
                <w:color w:val="000000"/>
                <w:sz w:val="18"/>
                <w:szCs w:val="18"/>
              </w:rPr>
            </w:pPr>
            <w:r w:rsidRPr="003328EE">
              <w:rPr>
                <w:rFonts w:eastAsia="Times New Roman"/>
                <w:color w:val="000000"/>
                <w:sz w:val="18"/>
                <w:szCs w:val="18"/>
              </w:rPr>
              <w:t>Recognition of Benefits</w:t>
            </w:r>
          </w:p>
        </w:tc>
        <w:tc>
          <w:tcPr>
            <w:tcW w:w="3183" w:type="dxa"/>
            <w:tcBorders>
              <w:top w:val="nil"/>
              <w:left w:val="nil"/>
              <w:bottom w:val="nil"/>
              <w:right w:val="nil"/>
            </w:tcBorders>
            <w:shd w:val="clear" w:color="auto" w:fill="auto"/>
            <w:noWrap/>
            <w:vAlign w:val="bottom"/>
            <w:hideMark/>
          </w:tcPr>
          <w:p w14:paraId="065791AE" w14:textId="44755850"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687C6812" w14:textId="2B305B51"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07B16CA9" w14:textId="2A131C0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CA23502" w14:textId="25083C94" w:rsidR="00F826D0" w:rsidRPr="003328EE" w:rsidRDefault="00F826D0" w:rsidP="00D65F93">
            <w:pPr>
              <w:rPr>
                <w:rFonts w:eastAsia="Times New Roman"/>
                <w:color w:val="000000"/>
                <w:sz w:val="18"/>
                <w:szCs w:val="18"/>
              </w:rPr>
            </w:pPr>
            <w:r w:rsidRPr="003328EE">
              <w:rPr>
                <w:rFonts w:eastAsia="Times New Roman"/>
                <w:color w:val="000000"/>
                <w:sz w:val="18"/>
                <w:szCs w:val="18"/>
              </w:rPr>
              <w:t>Chekima et al., 2016</w:t>
            </w:r>
          </w:p>
        </w:tc>
        <w:tc>
          <w:tcPr>
            <w:tcW w:w="1156" w:type="dxa"/>
            <w:tcBorders>
              <w:top w:val="nil"/>
              <w:left w:val="nil"/>
              <w:bottom w:val="nil"/>
              <w:right w:val="nil"/>
            </w:tcBorders>
            <w:shd w:val="clear" w:color="auto" w:fill="auto"/>
            <w:noWrap/>
            <w:vAlign w:val="bottom"/>
            <w:hideMark/>
          </w:tcPr>
          <w:p w14:paraId="35D86E9C" w14:textId="158DF44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2502E38" w14:textId="77777777" w:rsidTr="00D65F93">
        <w:trPr>
          <w:trHeight w:val="320"/>
        </w:trPr>
        <w:tc>
          <w:tcPr>
            <w:tcW w:w="3545" w:type="dxa"/>
            <w:tcBorders>
              <w:top w:val="nil"/>
              <w:left w:val="nil"/>
              <w:bottom w:val="nil"/>
              <w:right w:val="nil"/>
            </w:tcBorders>
            <w:shd w:val="clear" w:color="auto" w:fill="auto"/>
            <w:noWrap/>
            <w:vAlign w:val="bottom"/>
            <w:hideMark/>
          </w:tcPr>
          <w:p w14:paraId="793DCC71" w14:textId="2F70539A" w:rsidR="00F826D0" w:rsidRPr="003328EE" w:rsidRDefault="00F826D0" w:rsidP="00D65F93">
            <w:pPr>
              <w:rPr>
                <w:rFonts w:eastAsia="Times New Roman"/>
                <w:color w:val="000000"/>
                <w:sz w:val="18"/>
                <w:szCs w:val="18"/>
              </w:rPr>
            </w:pPr>
            <w:r w:rsidRPr="003328EE">
              <w:rPr>
                <w:rFonts w:eastAsia="Times New Roman"/>
                <w:color w:val="000000"/>
                <w:sz w:val="18"/>
                <w:szCs w:val="18"/>
              </w:rPr>
              <w:t>Recognition of Benefits</w:t>
            </w:r>
          </w:p>
        </w:tc>
        <w:tc>
          <w:tcPr>
            <w:tcW w:w="3183" w:type="dxa"/>
            <w:tcBorders>
              <w:top w:val="nil"/>
              <w:left w:val="nil"/>
              <w:bottom w:val="nil"/>
              <w:right w:val="nil"/>
            </w:tcBorders>
            <w:shd w:val="clear" w:color="auto" w:fill="auto"/>
            <w:noWrap/>
            <w:vAlign w:val="bottom"/>
            <w:hideMark/>
          </w:tcPr>
          <w:p w14:paraId="52D8FC7E" w14:textId="63492970"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695B47E9" w14:textId="6C4AB053"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6DE2A330" w14:textId="31B7F566"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A9B57B5" w14:textId="4165AC2C" w:rsidR="00F826D0" w:rsidRPr="003328EE" w:rsidRDefault="00F826D0" w:rsidP="00D65F93">
            <w:pPr>
              <w:rPr>
                <w:rFonts w:eastAsia="Times New Roman"/>
                <w:color w:val="000000"/>
                <w:sz w:val="18"/>
                <w:szCs w:val="18"/>
              </w:rPr>
            </w:pPr>
            <w:r w:rsidRPr="003328EE">
              <w:rPr>
                <w:rFonts w:eastAsia="Times New Roman"/>
                <w:color w:val="000000"/>
                <w:sz w:val="18"/>
                <w:szCs w:val="18"/>
              </w:rPr>
              <w:t>Kongsback, 2016</w:t>
            </w:r>
          </w:p>
        </w:tc>
        <w:tc>
          <w:tcPr>
            <w:tcW w:w="1156" w:type="dxa"/>
            <w:tcBorders>
              <w:top w:val="nil"/>
              <w:left w:val="nil"/>
              <w:bottom w:val="nil"/>
              <w:right w:val="nil"/>
            </w:tcBorders>
            <w:shd w:val="clear" w:color="auto" w:fill="auto"/>
            <w:noWrap/>
            <w:vAlign w:val="bottom"/>
            <w:hideMark/>
          </w:tcPr>
          <w:p w14:paraId="24808A8E" w14:textId="0F8AD81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8E67203" w14:textId="77777777" w:rsidTr="00D65F93">
        <w:trPr>
          <w:trHeight w:val="320"/>
        </w:trPr>
        <w:tc>
          <w:tcPr>
            <w:tcW w:w="3545" w:type="dxa"/>
            <w:tcBorders>
              <w:top w:val="nil"/>
              <w:left w:val="nil"/>
              <w:bottom w:val="nil"/>
              <w:right w:val="nil"/>
            </w:tcBorders>
            <w:shd w:val="clear" w:color="auto" w:fill="auto"/>
            <w:noWrap/>
            <w:vAlign w:val="bottom"/>
            <w:hideMark/>
          </w:tcPr>
          <w:p w14:paraId="090A02DF" w14:textId="179E019C" w:rsidR="00F826D0" w:rsidRPr="003328EE" w:rsidRDefault="00F826D0" w:rsidP="00D65F93">
            <w:pPr>
              <w:rPr>
                <w:rFonts w:eastAsia="Times New Roman"/>
                <w:color w:val="000000"/>
                <w:sz w:val="18"/>
                <w:szCs w:val="18"/>
              </w:rPr>
            </w:pPr>
            <w:r w:rsidRPr="003328EE">
              <w:rPr>
                <w:rFonts w:eastAsia="Times New Roman"/>
                <w:color w:val="000000"/>
                <w:sz w:val="18"/>
                <w:szCs w:val="18"/>
              </w:rPr>
              <w:t>Self-Exonerations</w:t>
            </w:r>
          </w:p>
        </w:tc>
        <w:tc>
          <w:tcPr>
            <w:tcW w:w="3183" w:type="dxa"/>
            <w:tcBorders>
              <w:top w:val="nil"/>
              <w:left w:val="nil"/>
              <w:bottom w:val="nil"/>
              <w:right w:val="nil"/>
            </w:tcBorders>
            <w:shd w:val="clear" w:color="auto" w:fill="auto"/>
            <w:noWrap/>
            <w:vAlign w:val="bottom"/>
            <w:hideMark/>
          </w:tcPr>
          <w:p w14:paraId="601CE779" w14:textId="43814A03" w:rsidR="00F826D0" w:rsidRPr="003328EE" w:rsidRDefault="00F826D0" w:rsidP="00D65F93">
            <w:pPr>
              <w:rPr>
                <w:rFonts w:eastAsia="Times New Roman"/>
                <w:color w:val="000000"/>
                <w:sz w:val="18"/>
                <w:szCs w:val="18"/>
              </w:rPr>
            </w:pPr>
            <w:r w:rsidRPr="003328EE">
              <w:rPr>
                <w:rFonts w:eastAsia="Times New Roman"/>
                <w:color w:val="000000"/>
                <w:sz w:val="18"/>
                <w:szCs w:val="18"/>
              </w:rPr>
              <w:t>Moral Disengagement</w:t>
            </w:r>
          </w:p>
        </w:tc>
        <w:tc>
          <w:tcPr>
            <w:tcW w:w="2061" w:type="dxa"/>
            <w:tcBorders>
              <w:top w:val="nil"/>
              <w:left w:val="nil"/>
              <w:bottom w:val="nil"/>
              <w:right w:val="nil"/>
            </w:tcBorders>
            <w:shd w:val="clear" w:color="auto" w:fill="auto"/>
            <w:noWrap/>
            <w:vAlign w:val="bottom"/>
            <w:hideMark/>
          </w:tcPr>
          <w:p w14:paraId="4FE8EB37" w14:textId="103ECB7C" w:rsidR="00F826D0" w:rsidRPr="003328EE" w:rsidRDefault="00F826D0" w:rsidP="00D65F93">
            <w:pPr>
              <w:rPr>
                <w:rFonts w:eastAsia="Times New Roman"/>
                <w:color w:val="000000"/>
                <w:sz w:val="18"/>
                <w:szCs w:val="18"/>
              </w:rPr>
            </w:pPr>
            <w:r w:rsidRPr="003328EE">
              <w:rPr>
                <w:rFonts w:eastAsia="Times New Roman"/>
                <w:color w:val="000000"/>
                <w:sz w:val="18"/>
                <w:szCs w:val="18"/>
              </w:rPr>
              <w:t>Cognitive Dissonance</w:t>
            </w:r>
          </w:p>
        </w:tc>
        <w:tc>
          <w:tcPr>
            <w:tcW w:w="993" w:type="dxa"/>
            <w:tcBorders>
              <w:top w:val="nil"/>
              <w:left w:val="nil"/>
              <w:bottom w:val="nil"/>
              <w:right w:val="nil"/>
            </w:tcBorders>
            <w:shd w:val="clear" w:color="auto" w:fill="auto"/>
            <w:noWrap/>
            <w:vAlign w:val="bottom"/>
            <w:hideMark/>
          </w:tcPr>
          <w:p w14:paraId="35948A27" w14:textId="2C99AE8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E84C699" w14:textId="0C63F5AF"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66C3998C" w14:textId="0E84140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8275376" w14:textId="77777777" w:rsidTr="00D65F93">
        <w:trPr>
          <w:trHeight w:val="320"/>
        </w:trPr>
        <w:tc>
          <w:tcPr>
            <w:tcW w:w="3545" w:type="dxa"/>
            <w:tcBorders>
              <w:top w:val="nil"/>
              <w:left w:val="nil"/>
              <w:bottom w:val="nil"/>
              <w:right w:val="nil"/>
            </w:tcBorders>
            <w:shd w:val="clear" w:color="auto" w:fill="auto"/>
            <w:noWrap/>
            <w:vAlign w:val="bottom"/>
            <w:hideMark/>
          </w:tcPr>
          <w:p w14:paraId="3BB0DB58" w14:textId="2D0101B5" w:rsidR="00F826D0" w:rsidRPr="003328EE" w:rsidRDefault="00F826D0" w:rsidP="00D65F93">
            <w:pPr>
              <w:rPr>
                <w:rFonts w:eastAsia="Times New Roman"/>
                <w:color w:val="000000"/>
                <w:sz w:val="18"/>
                <w:szCs w:val="18"/>
              </w:rPr>
            </w:pPr>
            <w:r w:rsidRPr="003328EE">
              <w:rPr>
                <w:rFonts w:eastAsia="Times New Roman"/>
                <w:color w:val="000000"/>
                <w:sz w:val="18"/>
                <w:szCs w:val="18"/>
              </w:rPr>
              <w:t>Bone Density</w:t>
            </w:r>
          </w:p>
        </w:tc>
        <w:tc>
          <w:tcPr>
            <w:tcW w:w="3183" w:type="dxa"/>
            <w:tcBorders>
              <w:top w:val="nil"/>
              <w:left w:val="nil"/>
              <w:bottom w:val="nil"/>
              <w:right w:val="nil"/>
            </w:tcBorders>
            <w:shd w:val="clear" w:color="auto" w:fill="auto"/>
            <w:noWrap/>
            <w:vAlign w:val="bottom"/>
            <w:hideMark/>
          </w:tcPr>
          <w:p w14:paraId="0ADB9B5C" w14:textId="3911E34E"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25E3CA7A" w14:textId="79D6991A"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EDB6AAF" w14:textId="2E89A8C8"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298968A" w14:textId="561CC125" w:rsidR="00F826D0" w:rsidRPr="003328EE" w:rsidRDefault="00F826D0" w:rsidP="00D65F93">
            <w:pPr>
              <w:rPr>
                <w:rFonts w:eastAsia="Times New Roman"/>
                <w:color w:val="000000"/>
                <w:sz w:val="18"/>
                <w:szCs w:val="18"/>
              </w:rPr>
            </w:pPr>
            <w:r w:rsidRPr="003328EE">
              <w:rPr>
                <w:rFonts w:eastAsia="Times New Roman"/>
                <w:color w:val="000000"/>
                <w:sz w:val="18"/>
                <w:szCs w:val="18"/>
              </w:rPr>
              <w:t>Bobic et al., 2012</w:t>
            </w:r>
          </w:p>
        </w:tc>
        <w:tc>
          <w:tcPr>
            <w:tcW w:w="1156" w:type="dxa"/>
            <w:tcBorders>
              <w:top w:val="nil"/>
              <w:left w:val="nil"/>
              <w:bottom w:val="nil"/>
              <w:right w:val="nil"/>
            </w:tcBorders>
            <w:shd w:val="clear" w:color="auto" w:fill="auto"/>
            <w:noWrap/>
            <w:vAlign w:val="bottom"/>
            <w:hideMark/>
          </w:tcPr>
          <w:p w14:paraId="22D3F33E" w14:textId="05F0E68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A453491" w14:textId="77777777" w:rsidTr="00D65F93">
        <w:trPr>
          <w:trHeight w:val="320"/>
        </w:trPr>
        <w:tc>
          <w:tcPr>
            <w:tcW w:w="3545" w:type="dxa"/>
            <w:tcBorders>
              <w:top w:val="nil"/>
              <w:left w:val="nil"/>
              <w:bottom w:val="nil"/>
              <w:right w:val="nil"/>
            </w:tcBorders>
            <w:shd w:val="clear" w:color="auto" w:fill="auto"/>
            <w:noWrap/>
            <w:vAlign w:val="bottom"/>
            <w:hideMark/>
          </w:tcPr>
          <w:p w14:paraId="57B9A9B6" w14:textId="4D3CB138"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08B08EC7" w14:textId="1B87196C"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78620BBB" w14:textId="400A4F2B"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46901E9" w14:textId="239107D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B7B46F3" w14:textId="57FC41E0" w:rsidR="00F826D0" w:rsidRPr="003328EE" w:rsidRDefault="00F826D0" w:rsidP="00D65F93">
            <w:pPr>
              <w:rPr>
                <w:rFonts w:eastAsia="Times New Roman"/>
                <w:color w:val="000000"/>
                <w:sz w:val="18"/>
                <w:szCs w:val="18"/>
              </w:rPr>
            </w:pPr>
            <w:r w:rsidRPr="003328EE">
              <w:rPr>
                <w:rFonts w:eastAsia="Times New Roman"/>
                <w:color w:val="000000"/>
                <w:sz w:val="18"/>
                <w:szCs w:val="18"/>
              </w:rPr>
              <w:t>Haverstock &amp; Forgays, 2012</w:t>
            </w:r>
          </w:p>
        </w:tc>
        <w:tc>
          <w:tcPr>
            <w:tcW w:w="1156" w:type="dxa"/>
            <w:tcBorders>
              <w:top w:val="nil"/>
              <w:left w:val="nil"/>
              <w:bottom w:val="nil"/>
              <w:right w:val="nil"/>
            </w:tcBorders>
            <w:shd w:val="clear" w:color="auto" w:fill="auto"/>
            <w:noWrap/>
            <w:vAlign w:val="bottom"/>
            <w:hideMark/>
          </w:tcPr>
          <w:p w14:paraId="335DA30F" w14:textId="320A932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7BEABEE" w14:textId="77777777" w:rsidTr="00F826D0">
        <w:trPr>
          <w:trHeight w:val="279"/>
        </w:trPr>
        <w:tc>
          <w:tcPr>
            <w:tcW w:w="3545" w:type="dxa"/>
            <w:tcBorders>
              <w:top w:val="nil"/>
              <w:left w:val="nil"/>
              <w:bottom w:val="nil"/>
              <w:right w:val="nil"/>
            </w:tcBorders>
            <w:shd w:val="clear" w:color="auto" w:fill="auto"/>
            <w:noWrap/>
            <w:vAlign w:val="bottom"/>
            <w:hideMark/>
          </w:tcPr>
          <w:p w14:paraId="3BFE6868" w14:textId="2955B5DB"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29F82D6F" w14:textId="068BA78B"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30F3B206" w14:textId="47164F3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0015A96" w14:textId="67573D98"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EFCEE22" w14:textId="543CBBC5" w:rsidR="00F826D0" w:rsidRPr="003328EE" w:rsidRDefault="00F826D0" w:rsidP="00D65F93">
            <w:pPr>
              <w:rPr>
                <w:rFonts w:eastAsia="Times New Roman"/>
                <w:color w:val="000000"/>
                <w:sz w:val="18"/>
                <w:szCs w:val="18"/>
              </w:rPr>
            </w:pPr>
            <w:r w:rsidRPr="003328EE">
              <w:rPr>
                <w:rFonts w:eastAsia="Times New Roman"/>
                <w:color w:val="000000"/>
                <w:sz w:val="18"/>
                <w:szCs w:val="18"/>
              </w:rPr>
              <w:t>Hill, 2002</w:t>
            </w:r>
          </w:p>
        </w:tc>
        <w:tc>
          <w:tcPr>
            <w:tcW w:w="1156" w:type="dxa"/>
            <w:tcBorders>
              <w:top w:val="nil"/>
              <w:left w:val="nil"/>
              <w:bottom w:val="nil"/>
              <w:right w:val="nil"/>
            </w:tcBorders>
            <w:shd w:val="clear" w:color="auto" w:fill="auto"/>
            <w:noWrap/>
            <w:vAlign w:val="bottom"/>
            <w:hideMark/>
          </w:tcPr>
          <w:p w14:paraId="68484652" w14:textId="4269FCAD"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28E620A" w14:textId="77777777" w:rsidTr="00F826D0">
        <w:trPr>
          <w:trHeight w:val="307"/>
        </w:trPr>
        <w:tc>
          <w:tcPr>
            <w:tcW w:w="3545" w:type="dxa"/>
            <w:tcBorders>
              <w:top w:val="nil"/>
              <w:left w:val="nil"/>
              <w:bottom w:val="nil"/>
              <w:right w:val="nil"/>
            </w:tcBorders>
            <w:shd w:val="clear" w:color="auto" w:fill="auto"/>
            <w:noWrap/>
            <w:vAlign w:val="bottom"/>
            <w:hideMark/>
          </w:tcPr>
          <w:p w14:paraId="28D691C5" w14:textId="23DDE4DA"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4AA2F0E8" w14:textId="4DA03C77"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6800D2EA" w14:textId="07CB61E3"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2A844A9" w14:textId="0C49AE2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9DA8730" w14:textId="687E2221" w:rsidR="00F826D0" w:rsidRPr="003328EE" w:rsidRDefault="00F826D0" w:rsidP="00D65F93">
            <w:pPr>
              <w:rPr>
                <w:rFonts w:eastAsia="Times New Roman"/>
                <w:color w:val="000000"/>
                <w:sz w:val="18"/>
                <w:szCs w:val="18"/>
              </w:rPr>
            </w:pPr>
            <w:r w:rsidRPr="003328EE">
              <w:rPr>
                <w:rFonts w:eastAsia="Times New Roman"/>
                <w:color w:val="000000"/>
                <w:sz w:val="18"/>
                <w:szCs w:val="18"/>
              </w:rPr>
              <w:t>Barr &amp; Chapman, 2002</w:t>
            </w:r>
          </w:p>
        </w:tc>
        <w:tc>
          <w:tcPr>
            <w:tcW w:w="1156" w:type="dxa"/>
            <w:tcBorders>
              <w:top w:val="nil"/>
              <w:left w:val="nil"/>
              <w:bottom w:val="nil"/>
              <w:right w:val="nil"/>
            </w:tcBorders>
            <w:shd w:val="clear" w:color="auto" w:fill="auto"/>
            <w:noWrap/>
            <w:vAlign w:val="bottom"/>
            <w:hideMark/>
          </w:tcPr>
          <w:p w14:paraId="3F80FD9E" w14:textId="2115630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A1D5467" w14:textId="77777777" w:rsidTr="00D65F93">
        <w:trPr>
          <w:trHeight w:val="320"/>
        </w:trPr>
        <w:tc>
          <w:tcPr>
            <w:tcW w:w="3545" w:type="dxa"/>
            <w:tcBorders>
              <w:top w:val="nil"/>
              <w:left w:val="nil"/>
              <w:bottom w:val="nil"/>
              <w:right w:val="nil"/>
            </w:tcBorders>
            <w:shd w:val="clear" w:color="auto" w:fill="auto"/>
            <w:noWrap/>
            <w:vAlign w:val="bottom"/>
            <w:hideMark/>
          </w:tcPr>
          <w:p w14:paraId="3B53EE4D" w14:textId="36216D71"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1DE9E38E" w14:textId="61489AEC"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30CB816C" w14:textId="067DD2D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A30E6FA" w14:textId="3CDD251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119B707" w14:textId="24B122F5" w:rsidR="00F826D0" w:rsidRPr="003328EE" w:rsidRDefault="00F826D0" w:rsidP="00D65F93">
            <w:pPr>
              <w:rPr>
                <w:rFonts w:eastAsia="Times New Roman"/>
                <w:color w:val="000000"/>
                <w:sz w:val="18"/>
                <w:szCs w:val="18"/>
              </w:rPr>
            </w:pPr>
            <w:r w:rsidRPr="003328EE">
              <w:rPr>
                <w:rFonts w:eastAsia="Times New Roman"/>
                <w:color w:val="000000"/>
                <w:sz w:val="18"/>
                <w:szCs w:val="18"/>
              </w:rPr>
              <w:t>Ruby, 2012</w:t>
            </w:r>
          </w:p>
        </w:tc>
        <w:tc>
          <w:tcPr>
            <w:tcW w:w="1156" w:type="dxa"/>
            <w:tcBorders>
              <w:top w:val="nil"/>
              <w:left w:val="nil"/>
              <w:bottom w:val="nil"/>
              <w:right w:val="nil"/>
            </w:tcBorders>
            <w:shd w:val="clear" w:color="auto" w:fill="auto"/>
            <w:noWrap/>
            <w:vAlign w:val="bottom"/>
            <w:hideMark/>
          </w:tcPr>
          <w:p w14:paraId="228F2F7B" w14:textId="4777B7C6"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04A0BF3" w14:textId="77777777" w:rsidTr="00D65F93">
        <w:trPr>
          <w:trHeight w:val="320"/>
        </w:trPr>
        <w:tc>
          <w:tcPr>
            <w:tcW w:w="3545" w:type="dxa"/>
            <w:tcBorders>
              <w:top w:val="nil"/>
              <w:left w:val="nil"/>
              <w:bottom w:val="nil"/>
              <w:right w:val="nil"/>
            </w:tcBorders>
            <w:shd w:val="clear" w:color="auto" w:fill="auto"/>
            <w:noWrap/>
            <w:vAlign w:val="bottom"/>
            <w:hideMark/>
          </w:tcPr>
          <w:p w14:paraId="023BE1A4" w14:textId="52E166D0"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4E4C0B79" w14:textId="1A1BF134"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5660F1F5" w14:textId="6BF8888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02F1C0B" w14:textId="73ADD1C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A53BC3F" w14:textId="065F1D66" w:rsidR="00F826D0" w:rsidRPr="003328EE" w:rsidRDefault="00F826D0" w:rsidP="00D65F93">
            <w:pPr>
              <w:rPr>
                <w:rFonts w:eastAsia="Times New Roman"/>
                <w:color w:val="000000"/>
                <w:sz w:val="18"/>
                <w:szCs w:val="18"/>
              </w:rPr>
            </w:pPr>
            <w:r w:rsidRPr="003328EE">
              <w:rPr>
                <w:rFonts w:eastAsia="Times New Roman"/>
                <w:color w:val="000000"/>
                <w:sz w:val="18"/>
                <w:szCs w:val="18"/>
              </w:rPr>
              <w:t>Wilson et al., 2004</w:t>
            </w:r>
          </w:p>
        </w:tc>
        <w:tc>
          <w:tcPr>
            <w:tcW w:w="1156" w:type="dxa"/>
            <w:tcBorders>
              <w:top w:val="nil"/>
              <w:left w:val="nil"/>
              <w:bottom w:val="nil"/>
              <w:right w:val="nil"/>
            </w:tcBorders>
            <w:shd w:val="clear" w:color="auto" w:fill="auto"/>
            <w:noWrap/>
            <w:vAlign w:val="bottom"/>
            <w:hideMark/>
          </w:tcPr>
          <w:p w14:paraId="49698617" w14:textId="774C09C4"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3366E515" w14:textId="77777777" w:rsidTr="00D65F93">
        <w:trPr>
          <w:trHeight w:val="320"/>
        </w:trPr>
        <w:tc>
          <w:tcPr>
            <w:tcW w:w="3545" w:type="dxa"/>
            <w:tcBorders>
              <w:top w:val="nil"/>
              <w:left w:val="nil"/>
              <w:bottom w:val="nil"/>
              <w:right w:val="nil"/>
            </w:tcBorders>
            <w:shd w:val="clear" w:color="auto" w:fill="auto"/>
            <w:noWrap/>
            <w:vAlign w:val="bottom"/>
            <w:hideMark/>
          </w:tcPr>
          <w:p w14:paraId="63B9632F" w14:textId="464F4E69"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5A1EF04B" w14:textId="24B55DEC"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6FF54E80" w14:textId="3965183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0D17BDD" w14:textId="02B5338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F898E65" w14:textId="4A0FE6C1" w:rsidR="00F826D0" w:rsidRPr="003328EE" w:rsidRDefault="00F826D0" w:rsidP="00D65F93">
            <w:pPr>
              <w:rPr>
                <w:rFonts w:eastAsia="Times New Roman"/>
                <w:color w:val="000000"/>
                <w:sz w:val="18"/>
                <w:szCs w:val="18"/>
              </w:rPr>
            </w:pPr>
            <w:r w:rsidRPr="003328EE">
              <w:rPr>
                <w:rFonts w:eastAsia="Times New Roman"/>
                <w:color w:val="000000"/>
                <w:sz w:val="18"/>
                <w:szCs w:val="18"/>
              </w:rPr>
              <w:t>Jabs et al., 2000</w:t>
            </w:r>
          </w:p>
        </w:tc>
        <w:tc>
          <w:tcPr>
            <w:tcW w:w="1156" w:type="dxa"/>
            <w:tcBorders>
              <w:top w:val="nil"/>
              <w:left w:val="nil"/>
              <w:bottom w:val="nil"/>
              <w:right w:val="nil"/>
            </w:tcBorders>
            <w:shd w:val="clear" w:color="auto" w:fill="auto"/>
            <w:noWrap/>
            <w:vAlign w:val="bottom"/>
            <w:hideMark/>
          </w:tcPr>
          <w:p w14:paraId="0B28B2FA" w14:textId="29A64C2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C9A5A6A" w14:textId="77777777" w:rsidTr="00D65F93">
        <w:trPr>
          <w:trHeight w:val="320"/>
        </w:trPr>
        <w:tc>
          <w:tcPr>
            <w:tcW w:w="3545" w:type="dxa"/>
            <w:tcBorders>
              <w:top w:val="nil"/>
              <w:left w:val="nil"/>
              <w:bottom w:val="nil"/>
              <w:right w:val="nil"/>
            </w:tcBorders>
            <w:shd w:val="clear" w:color="auto" w:fill="auto"/>
            <w:noWrap/>
            <w:vAlign w:val="bottom"/>
            <w:hideMark/>
          </w:tcPr>
          <w:p w14:paraId="0D6F1C51" w14:textId="6CB69AE7"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7A9E000D" w14:textId="1BE8DDC6"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1A74EE82" w14:textId="7C098A68"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2EEA767" w14:textId="15E9FD8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898DA68" w14:textId="28386EA4" w:rsidR="00F826D0" w:rsidRPr="003328EE" w:rsidRDefault="00F826D0" w:rsidP="00D65F93">
            <w:pPr>
              <w:rPr>
                <w:rFonts w:eastAsia="Times New Roman"/>
                <w:color w:val="000000"/>
                <w:sz w:val="18"/>
                <w:szCs w:val="18"/>
              </w:rPr>
            </w:pPr>
            <w:r w:rsidRPr="003328EE">
              <w:rPr>
                <w:rFonts w:eastAsia="Times New Roman"/>
                <w:color w:val="000000"/>
                <w:sz w:val="18"/>
                <w:szCs w:val="18"/>
              </w:rPr>
              <w:t>Lea et al., 2006</w:t>
            </w:r>
          </w:p>
        </w:tc>
        <w:tc>
          <w:tcPr>
            <w:tcW w:w="1156" w:type="dxa"/>
            <w:tcBorders>
              <w:top w:val="nil"/>
              <w:left w:val="nil"/>
              <w:bottom w:val="nil"/>
              <w:right w:val="nil"/>
            </w:tcBorders>
            <w:shd w:val="clear" w:color="auto" w:fill="auto"/>
            <w:noWrap/>
            <w:vAlign w:val="bottom"/>
            <w:hideMark/>
          </w:tcPr>
          <w:p w14:paraId="4AFFA644" w14:textId="50296DF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4408917" w14:textId="77777777" w:rsidTr="00D65F93">
        <w:trPr>
          <w:trHeight w:val="320"/>
        </w:trPr>
        <w:tc>
          <w:tcPr>
            <w:tcW w:w="3545" w:type="dxa"/>
            <w:tcBorders>
              <w:top w:val="nil"/>
              <w:left w:val="nil"/>
              <w:bottom w:val="nil"/>
              <w:right w:val="nil"/>
            </w:tcBorders>
            <w:shd w:val="clear" w:color="auto" w:fill="auto"/>
            <w:noWrap/>
            <w:vAlign w:val="bottom"/>
            <w:hideMark/>
          </w:tcPr>
          <w:p w14:paraId="588B7AEF" w14:textId="14B27600"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79F80846" w14:textId="5F6D85C1"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3B626362" w14:textId="31FAE718"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88B8D7A" w14:textId="34CE65E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CBF6A39" w14:textId="3CE66727"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465ACB92" w14:textId="7BB9E172"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37C4BB41" w14:textId="77777777" w:rsidTr="00D65F93">
        <w:trPr>
          <w:trHeight w:val="320"/>
        </w:trPr>
        <w:tc>
          <w:tcPr>
            <w:tcW w:w="3545" w:type="dxa"/>
            <w:tcBorders>
              <w:top w:val="nil"/>
              <w:left w:val="nil"/>
              <w:bottom w:val="nil"/>
              <w:right w:val="nil"/>
            </w:tcBorders>
            <w:shd w:val="clear" w:color="auto" w:fill="auto"/>
            <w:noWrap/>
            <w:vAlign w:val="bottom"/>
            <w:hideMark/>
          </w:tcPr>
          <w:p w14:paraId="5AD80428" w14:textId="2B83C60B"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2C245357" w14:textId="4196B772"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089DFE29" w14:textId="30AAF646"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02C1E4C" w14:textId="5FAB7CE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7931451" w14:textId="201D4FF1" w:rsidR="00F826D0" w:rsidRPr="003328EE" w:rsidRDefault="00F826D0" w:rsidP="00D65F93">
            <w:pPr>
              <w:rPr>
                <w:rFonts w:eastAsia="Times New Roman"/>
                <w:color w:val="000000"/>
                <w:sz w:val="18"/>
                <w:szCs w:val="18"/>
              </w:rPr>
            </w:pPr>
            <w:r w:rsidRPr="003328EE">
              <w:rPr>
                <w:rFonts w:eastAsia="Times New Roman"/>
                <w:color w:val="000000"/>
                <w:sz w:val="18"/>
                <w:szCs w:val="18"/>
              </w:rPr>
              <w:t>Pistollato et al., 2015</w:t>
            </w:r>
          </w:p>
        </w:tc>
        <w:tc>
          <w:tcPr>
            <w:tcW w:w="1156" w:type="dxa"/>
            <w:tcBorders>
              <w:top w:val="nil"/>
              <w:left w:val="nil"/>
              <w:bottom w:val="nil"/>
              <w:right w:val="nil"/>
            </w:tcBorders>
            <w:shd w:val="clear" w:color="auto" w:fill="auto"/>
            <w:noWrap/>
            <w:vAlign w:val="bottom"/>
            <w:hideMark/>
          </w:tcPr>
          <w:p w14:paraId="507F1E93" w14:textId="0767C3B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9C493DF" w14:textId="77777777" w:rsidTr="00D65F93">
        <w:trPr>
          <w:trHeight w:val="320"/>
        </w:trPr>
        <w:tc>
          <w:tcPr>
            <w:tcW w:w="3545" w:type="dxa"/>
            <w:tcBorders>
              <w:top w:val="nil"/>
              <w:left w:val="nil"/>
              <w:bottom w:val="nil"/>
              <w:right w:val="nil"/>
            </w:tcBorders>
            <w:shd w:val="clear" w:color="auto" w:fill="auto"/>
            <w:noWrap/>
            <w:vAlign w:val="bottom"/>
            <w:hideMark/>
          </w:tcPr>
          <w:p w14:paraId="11507BE4" w14:textId="724D5E72"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57AD940C" w14:textId="679A9914"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39156F5F" w14:textId="712B3C4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65E4F48" w14:textId="5D6A40B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B14205F" w14:textId="73CC510C"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7E2AC495" w14:textId="5433F8C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7245DB0" w14:textId="77777777" w:rsidTr="00D65F93">
        <w:trPr>
          <w:trHeight w:val="320"/>
        </w:trPr>
        <w:tc>
          <w:tcPr>
            <w:tcW w:w="3545" w:type="dxa"/>
            <w:tcBorders>
              <w:top w:val="nil"/>
              <w:left w:val="nil"/>
              <w:bottom w:val="nil"/>
              <w:right w:val="nil"/>
            </w:tcBorders>
            <w:shd w:val="clear" w:color="auto" w:fill="auto"/>
            <w:noWrap/>
            <w:vAlign w:val="bottom"/>
            <w:hideMark/>
          </w:tcPr>
          <w:p w14:paraId="1569A2B6" w14:textId="5E6E3D3F"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1093EBA6" w14:textId="4B86DBBC"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15C3F661" w14:textId="50CA58C2"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9CFAE20" w14:textId="2CD6A1B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F57AEA8" w14:textId="4BFBB49C" w:rsidR="00F826D0" w:rsidRPr="003328EE" w:rsidRDefault="00F826D0" w:rsidP="00D65F93">
            <w:pPr>
              <w:rPr>
                <w:rFonts w:eastAsia="Times New Roman"/>
                <w:color w:val="000000"/>
                <w:sz w:val="18"/>
                <w:szCs w:val="18"/>
              </w:rPr>
            </w:pPr>
            <w:r w:rsidRPr="003328EE">
              <w:rPr>
                <w:rFonts w:eastAsia="Times New Roman"/>
                <w:color w:val="000000"/>
                <w:sz w:val="18"/>
                <w:szCs w:val="18"/>
              </w:rPr>
              <w:t>Temme et al., 2013</w:t>
            </w:r>
          </w:p>
        </w:tc>
        <w:tc>
          <w:tcPr>
            <w:tcW w:w="1156" w:type="dxa"/>
            <w:tcBorders>
              <w:top w:val="nil"/>
              <w:left w:val="nil"/>
              <w:bottom w:val="nil"/>
              <w:right w:val="nil"/>
            </w:tcBorders>
            <w:shd w:val="clear" w:color="auto" w:fill="auto"/>
            <w:noWrap/>
            <w:vAlign w:val="bottom"/>
            <w:hideMark/>
          </w:tcPr>
          <w:p w14:paraId="71D4433D" w14:textId="221905D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CBB84A0" w14:textId="77777777" w:rsidTr="00D65F93">
        <w:trPr>
          <w:trHeight w:val="320"/>
        </w:trPr>
        <w:tc>
          <w:tcPr>
            <w:tcW w:w="3545" w:type="dxa"/>
            <w:tcBorders>
              <w:top w:val="nil"/>
              <w:left w:val="nil"/>
              <w:bottom w:val="nil"/>
              <w:right w:val="nil"/>
            </w:tcBorders>
            <w:shd w:val="clear" w:color="auto" w:fill="auto"/>
            <w:noWrap/>
            <w:vAlign w:val="bottom"/>
            <w:hideMark/>
          </w:tcPr>
          <w:p w14:paraId="492B23BF" w14:textId="4632AA93"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17072524" w14:textId="7EA81C3F"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082885E3" w14:textId="36D2EDB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5A50499" w14:textId="6996BBD7"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6AE1EB8" w14:textId="63F3423E" w:rsidR="00F826D0" w:rsidRPr="003328EE" w:rsidRDefault="00F826D0" w:rsidP="00D65F93">
            <w:pPr>
              <w:rPr>
                <w:rFonts w:eastAsia="Times New Roman"/>
                <w:color w:val="000000"/>
                <w:sz w:val="18"/>
                <w:szCs w:val="18"/>
              </w:rPr>
            </w:pPr>
            <w:r w:rsidRPr="003328EE">
              <w:rPr>
                <w:rFonts w:eastAsia="Times New Roman"/>
                <w:color w:val="000000"/>
                <w:sz w:val="18"/>
                <w:szCs w:val="18"/>
              </w:rPr>
              <w:t>Larsson et al., 2002</w:t>
            </w:r>
          </w:p>
        </w:tc>
        <w:tc>
          <w:tcPr>
            <w:tcW w:w="1156" w:type="dxa"/>
            <w:tcBorders>
              <w:top w:val="nil"/>
              <w:left w:val="nil"/>
              <w:bottom w:val="nil"/>
              <w:right w:val="nil"/>
            </w:tcBorders>
            <w:shd w:val="clear" w:color="auto" w:fill="auto"/>
            <w:noWrap/>
            <w:vAlign w:val="bottom"/>
            <w:hideMark/>
          </w:tcPr>
          <w:p w14:paraId="10DD8171" w14:textId="0D2DB0D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4563B40" w14:textId="77777777" w:rsidTr="00D65F93">
        <w:trPr>
          <w:trHeight w:val="320"/>
        </w:trPr>
        <w:tc>
          <w:tcPr>
            <w:tcW w:w="3545" w:type="dxa"/>
            <w:tcBorders>
              <w:top w:val="nil"/>
              <w:left w:val="nil"/>
              <w:bottom w:val="nil"/>
              <w:right w:val="nil"/>
            </w:tcBorders>
            <w:shd w:val="clear" w:color="auto" w:fill="auto"/>
            <w:noWrap/>
            <w:vAlign w:val="bottom"/>
            <w:hideMark/>
          </w:tcPr>
          <w:p w14:paraId="60DBA6EB" w14:textId="78FD4EE6"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659F796F" w14:textId="380F19E1"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32027F07" w14:textId="356A675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4CFF202" w14:textId="3F32D605"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883EE9F" w14:textId="4689249F" w:rsidR="00F826D0" w:rsidRPr="003328EE" w:rsidRDefault="00F826D0" w:rsidP="00D65F93">
            <w:pPr>
              <w:rPr>
                <w:rFonts w:eastAsia="Times New Roman"/>
                <w:color w:val="000000"/>
                <w:sz w:val="18"/>
                <w:szCs w:val="18"/>
              </w:rPr>
            </w:pPr>
            <w:r w:rsidRPr="003328EE">
              <w:rPr>
                <w:rFonts w:eastAsia="Times New Roman"/>
                <w:color w:val="000000"/>
                <w:sz w:val="18"/>
                <w:szCs w:val="18"/>
              </w:rPr>
              <w:t>Palaniswamy, 2003</w:t>
            </w:r>
          </w:p>
        </w:tc>
        <w:tc>
          <w:tcPr>
            <w:tcW w:w="1156" w:type="dxa"/>
            <w:tcBorders>
              <w:top w:val="nil"/>
              <w:left w:val="nil"/>
              <w:bottom w:val="nil"/>
              <w:right w:val="nil"/>
            </w:tcBorders>
            <w:shd w:val="clear" w:color="auto" w:fill="auto"/>
            <w:noWrap/>
            <w:vAlign w:val="bottom"/>
            <w:hideMark/>
          </w:tcPr>
          <w:p w14:paraId="586636EE" w14:textId="692642EE"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87D8FFC" w14:textId="77777777" w:rsidTr="00D65F93">
        <w:trPr>
          <w:trHeight w:val="320"/>
        </w:trPr>
        <w:tc>
          <w:tcPr>
            <w:tcW w:w="3545" w:type="dxa"/>
            <w:tcBorders>
              <w:top w:val="nil"/>
              <w:left w:val="nil"/>
              <w:bottom w:val="nil"/>
              <w:right w:val="nil"/>
            </w:tcBorders>
            <w:shd w:val="clear" w:color="auto" w:fill="auto"/>
            <w:noWrap/>
            <w:vAlign w:val="bottom"/>
            <w:hideMark/>
          </w:tcPr>
          <w:p w14:paraId="5B2BEA94" w14:textId="3EEE1549"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3ED311EC" w14:textId="54FF3086"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426362A0" w14:textId="4C716367"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9CB706F" w14:textId="3E654041"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CA54A23" w14:textId="49515C43" w:rsidR="00F826D0" w:rsidRPr="003328EE" w:rsidRDefault="00F826D0" w:rsidP="00D65F93">
            <w:pPr>
              <w:rPr>
                <w:rFonts w:eastAsia="Times New Roman"/>
                <w:color w:val="000000"/>
                <w:sz w:val="18"/>
                <w:szCs w:val="18"/>
              </w:rPr>
            </w:pPr>
            <w:r w:rsidRPr="003328EE">
              <w:rPr>
                <w:rFonts w:eastAsia="Times New Roman"/>
                <w:color w:val="000000"/>
                <w:sz w:val="18"/>
                <w:szCs w:val="18"/>
              </w:rPr>
              <w:t>Clarys et al., 2014</w:t>
            </w:r>
          </w:p>
        </w:tc>
        <w:tc>
          <w:tcPr>
            <w:tcW w:w="1156" w:type="dxa"/>
            <w:tcBorders>
              <w:top w:val="nil"/>
              <w:left w:val="nil"/>
              <w:bottom w:val="nil"/>
              <w:right w:val="nil"/>
            </w:tcBorders>
            <w:shd w:val="clear" w:color="auto" w:fill="auto"/>
            <w:noWrap/>
            <w:vAlign w:val="bottom"/>
            <w:hideMark/>
          </w:tcPr>
          <w:p w14:paraId="3C19E546" w14:textId="1EF57BC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C183925" w14:textId="77777777" w:rsidTr="00D65F93">
        <w:trPr>
          <w:trHeight w:val="320"/>
        </w:trPr>
        <w:tc>
          <w:tcPr>
            <w:tcW w:w="3545" w:type="dxa"/>
            <w:tcBorders>
              <w:top w:val="nil"/>
              <w:left w:val="nil"/>
              <w:bottom w:val="nil"/>
              <w:right w:val="nil"/>
            </w:tcBorders>
            <w:shd w:val="clear" w:color="auto" w:fill="auto"/>
            <w:noWrap/>
            <w:vAlign w:val="bottom"/>
            <w:hideMark/>
          </w:tcPr>
          <w:p w14:paraId="1409A36C" w14:textId="1FAF6D21"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50CF16CA" w14:textId="46D665EB"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33AA11D5" w14:textId="610B56D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E7AF90A" w14:textId="175B4A2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EB0B43F" w14:textId="7A8C8003"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0BFFB6E5" w14:textId="601F9E8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4361CD2" w14:textId="77777777" w:rsidTr="00D65F93">
        <w:trPr>
          <w:trHeight w:val="320"/>
        </w:trPr>
        <w:tc>
          <w:tcPr>
            <w:tcW w:w="3545" w:type="dxa"/>
            <w:tcBorders>
              <w:top w:val="nil"/>
              <w:left w:val="nil"/>
              <w:bottom w:val="nil"/>
              <w:right w:val="nil"/>
            </w:tcBorders>
            <w:shd w:val="clear" w:color="auto" w:fill="auto"/>
            <w:noWrap/>
            <w:vAlign w:val="bottom"/>
            <w:hideMark/>
          </w:tcPr>
          <w:p w14:paraId="785524FE" w14:textId="13253072"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75791B7B" w14:textId="30BD2D30"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42203D96" w14:textId="68EBB5B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9E77FBA" w14:textId="457F83A4"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11BF369" w14:textId="77E08CBB" w:rsidR="00F826D0" w:rsidRPr="003328EE" w:rsidRDefault="00F826D0" w:rsidP="00D65F93">
            <w:pPr>
              <w:rPr>
                <w:rFonts w:eastAsia="Times New Roman"/>
                <w:color w:val="000000"/>
                <w:sz w:val="18"/>
                <w:szCs w:val="18"/>
              </w:rPr>
            </w:pPr>
            <w:r w:rsidRPr="003328EE">
              <w:rPr>
                <w:rFonts w:eastAsia="Times New Roman"/>
                <w:color w:val="000000"/>
                <w:sz w:val="18"/>
                <w:szCs w:val="18"/>
              </w:rPr>
              <w:t>Leitzmann, 2014</w:t>
            </w:r>
          </w:p>
        </w:tc>
        <w:tc>
          <w:tcPr>
            <w:tcW w:w="1156" w:type="dxa"/>
            <w:tcBorders>
              <w:top w:val="nil"/>
              <w:left w:val="nil"/>
              <w:bottom w:val="nil"/>
              <w:right w:val="nil"/>
            </w:tcBorders>
            <w:shd w:val="clear" w:color="auto" w:fill="auto"/>
            <w:noWrap/>
            <w:vAlign w:val="bottom"/>
            <w:hideMark/>
          </w:tcPr>
          <w:p w14:paraId="5855F21D" w14:textId="67904C9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7802ED1" w14:textId="77777777" w:rsidTr="00D65F93">
        <w:trPr>
          <w:trHeight w:val="320"/>
        </w:trPr>
        <w:tc>
          <w:tcPr>
            <w:tcW w:w="3545" w:type="dxa"/>
            <w:tcBorders>
              <w:top w:val="nil"/>
              <w:left w:val="nil"/>
              <w:bottom w:val="nil"/>
              <w:right w:val="nil"/>
            </w:tcBorders>
            <w:shd w:val="clear" w:color="auto" w:fill="auto"/>
            <w:noWrap/>
            <w:vAlign w:val="bottom"/>
            <w:hideMark/>
          </w:tcPr>
          <w:p w14:paraId="5AFC9FC5" w14:textId="5BDB9283" w:rsidR="00F826D0" w:rsidRPr="003328EE" w:rsidRDefault="00F826D0" w:rsidP="00D65F93">
            <w:pPr>
              <w:rPr>
                <w:rFonts w:eastAsia="Times New Roman"/>
                <w:color w:val="000000"/>
                <w:sz w:val="18"/>
                <w:szCs w:val="18"/>
              </w:rPr>
            </w:pPr>
            <w:r w:rsidRPr="003328EE">
              <w:rPr>
                <w:rFonts w:eastAsia="Times New Roman"/>
                <w:color w:val="000000"/>
                <w:sz w:val="18"/>
                <w:szCs w:val="18"/>
              </w:rPr>
              <w:t>Deficiencies Myth</w:t>
            </w:r>
          </w:p>
        </w:tc>
        <w:tc>
          <w:tcPr>
            <w:tcW w:w="3183" w:type="dxa"/>
            <w:tcBorders>
              <w:top w:val="nil"/>
              <w:left w:val="nil"/>
              <w:bottom w:val="nil"/>
              <w:right w:val="nil"/>
            </w:tcBorders>
            <w:shd w:val="clear" w:color="auto" w:fill="auto"/>
            <w:noWrap/>
            <w:vAlign w:val="bottom"/>
            <w:hideMark/>
          </w:tcPr>
          <w:p w14:paraId="288A2F98" w14:textId="74C82BAD"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5850AAB1" w14:textId="4B5B36B7"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9B1254A" w14:textId="3C91A6DF"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BF04B52" w14:textId="45B90C80" w:rsidR="00F826D0" w:rsidRPr="003328EE" w:rsidRDefault="00F826D0" w:rsidP="00D65F93">
            <w:pPr>
              <w:rPr>
                <w:rFonts w:eastAsia="Times New Roman"/>
                <w:color w:val="000000"/>
                <w:sz w:val="18"/>
                <w:szCs w:val="18"/>
              </w:rPr>
            </w:pPr>
            <w:r w:rsidRPr="003328EE">
              <w:rPr>
                <w:rFonts w:eastAsia="Times New Roman"/>
                <w:color w:val="000000"/>
                <w:sz w:val="18"/>
                <w:szCs w:val="18"/>
              </w:rPr>
              <w:t>Leitzmann, 2005</w:t>
            </w:r>
          </w:p>
        </w:tc>
        <w:tc>
          <w:tcPr>
            <w:tcW w:w="1156" w:type="dxa"/>
            <w:tcBorders>
              <w:top w:val="nil"/>
              <w:left w:val="nil"/>
              <w:bottom w:val="nil"/>
              <w:right w:val="nil"/>
            </w:tcBorders>
            <w:shd w:val="clear" w:color="auto" w:fill="auto"/>
            <w:noWrap/>
            <w:vAlign w:val="bottom"/>
            <w:hideMark/>
          </w:tcPr>
          <w:p w14:paraId="1C864E8D" w14:textId="08803EDB"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97F11DD" w14:textId="77777777" w:rsidTr="00D65F93">
        <w:trPr>
          <w:trHeight w:val="320"/>
        </w:trPr>
        <w:tc>
          <w:tcPr>
            <w:tcW w:w="3545" w:type="dxa"/>
            <w:tcBorders>
              <w:top w:val="nil"/>
              <w:left w:val="nil"/>
              <w:bottom w:val="nil"/>
              <w:right w:val="nil"/>
            </w:tcBorders>
            <w:shd w:val="clear" w:color="auto" w:fill="auto"/>
            <w:noWrap/>
            <w:vAlign w:val="bottom"/>
            <w:hideMark/>
          </w:tcPr>
          <w:p w14:paraId="3B90FF96" w14:textId="5AC8F30D" w:rsidR="00F826D0" w:rsidRPr="003328EE" w:rsidRDefault="00F826D0" w:rsidP="00D65F93">
            <w:pPr>
              <w:rPr>
                <w:rFonts w:eastAsia="Times New Roman"/>
                <w:color w:val="000000"/>
                <w:sz w:val="18"/>
                <w:szCs w:val="18"/>
              </w:rPr>
            </w:pPr>
            <w:r w:rsidRPr="003328EE">
              <w:rPr>
                <w:rFonts w:eastAsia="Times New Roman"/>
                <w:color w:val="000000"/>
                <w:sz w:val="18"/>
                <w:szCs w:val="18"/>
              </w:rPr>
              <w:t>Eating Disorder Myth</w:t>
            </w:r>
          </w:p>
        </w:tc>
        <w:tc>
          <w:tcPr>
            <w:tcW w:w="3183" w:type="dxa"/>
            <w:tcBorders>
              <w:top w:val="nil"/>
              <w:left w:val="nil"/>
              <w:bottom w:val="nil"/>
              <w:right w:val="nil"/>
            </w:tcBorders>
            <w:shd w:val="clear" w:color="auto" w:fill="auto"/>
            <w:noWrap/>
            <w:vAlign w:val="bottom"/>
            <w:hideMark/>
          </w:tcPr>
          <w:p w14:paraId="44A9FA67" w14:textId="11D2EEAB"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47F82440" w14:textId="74EB0AC6"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5937522" w14:textId="17076BB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5015093" w14:textId="287423DF" w:rsidR="00F826D0" w:rsidRPr="003328EE" w:rsidRDefault="00F826D0" w:rsidP="00D65F93">
            <w:pPr>
              <w:rPr>
                <w:rFonts w:eastAsia="Times New Roman"/>
                <w:color w:val="000000"/>
                <w:sz w:val="18"/>
                <w:szCs w:val="18"/>
              </w:rPr>
            </w:pPr>
            <w:r w:rsidRPr="003328EE">
              <w:rPr>
                <w:rFonts w:eastAsia="Times New Roman"/>
                <w:color w:val="000000"/>
                <w:sz w:val="18"/>
                <w:szCs w:val="18"/>
              </w:rPr>
              <w:t>Bardon-Cone et al., 2012</w:t>
            </w:r>
          </w:p>
        </w:tc>
        <w:tc>
          <w:tcPr>
            <w:tcW w:w="1156" w:type="dxa"/>
            <w:tcBorders>
              <w:top w:val="nil"/>
              <w:left w:val="nil"/>
              <w:bottom w:val="nil"/>
              <w:right w:val="nil"/>
            </w:tcBorders>
            <w:shd w:val="clear" w:color="auto" w:fill="auto"/>
            <w:noWrap/>
            <w:vAlign w:val="bottom"/>
            <w:hideMark/>
          </w:tcPr>
          <w:p w14:paraId="2E7CEC39" w14:textId="7576FEB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D0C5F34" w14:textId="77777777" w:rsidTr="00D65F93">
        <w:trPr>
          <w:trHeight w:val="320"/>
        </w:trPr>
        <w:tc>
          <w:tcPr>
            <w:tcW w:w="3545" w:type="dxa"/>
            <w:tcBorders>
              <w:top w:val="nil"/>
              <w:left w:val="nil"/>
              <w:bottom w:val="nil"/>
              <w:right w:val="nil"/>
            </w:tcBorders>
            <w:shd w:val="clear" w:color="auto" w:fill="auto"/>
            <w:noWrap/>
            <w:vAlign w:val="bottom"/>
            <w:hideMark/>
          </w:tcPr>
          <w:p w14:paraId="6ADD05E0" w14:textId="3AECB954" w:rsidR="00F826D0" w:rsidRPr="003328EE" w:rsidRDefault="00F826D0" w:rsidP="00D65F93">
            <w:pPr>
              <w:rPr>
                <w:rFonts w:eastAsia="Times New Roman"/>
                <w:color w:val="000000"/>
                <w:sz w:val="18"/>
                <w:szCs w:val="18"/>
              </w:rPr>
            </w:pPr>
            <w:r w:rsidRPr="003328EE">
              <w:rPr>
                <w:rFonts w:eastAsia="Times New Roman"/>
                <w:color w:val="000000"/>
                <w:sz w:val="18"/>
                <w:szCs w:val="18"/>
              </w:rPr>
              <w:t>Eating Disorder Myth</w:t>
            </w:r>
          </w:p>
        </w:tc>
        <w:tc>
          <w:tcPr>
            <w:tcW w:w="3183" w:type="dxa"/>
            <w:tcBorders>
              <w:top w:val="nil"/>
              <w:left w:val="nil"/>
              <w:bottom w:val="nil"/>
              <w:right w:val="nil"/>
            </w:tcBorders>
            <w:shd w:val="clear" w:color="auto" w:fill="auto"/>
            <w:noWrap/>
            <w:vAlign w:val="bottom"/>
            <w:hideMark/>
          </w:tcPr>
          <w:p w14:paraId="3C37643A" w14:textId="4AAC573F"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340CD6AB" w14:textId="0789A517"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B94308A" w14:textId="7C7123C5"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F1716D8" w14:textId="20067A56" w:rsidR="00F826D0" w:rsidRPr="003328EE" w:rsidRDefault="00F826D0" w:rsidP="00D65F93">
            <w:pPr>
              <w:rPr>
                <w:rFonts w:eastAsia="Times New Roman"/>
                <w:color w:val="000000"/>
                <w:sz w:val="18"/>
                <w:szCs w:val="18"/>
              </w:rPr>
            </w:pPr>
            <w:r w:rsidRPr="003328EE">
              <w:rPr>
                <w:rFonts w:eastAsia="Times New Roman"/>
                <w:color w:val="000000"/>
                <w:sz w:val="18"/>
                <w:szCs w:val="18"/>
              </w:rPr>
              <w:t>Brinkman et al., 2014</w:t>
            </w:r>
          </w:p>
        </w:tc>
        <w:tc>
          <w:tcPr>
            <w:tcW w:w="1156" w:type="dxa"/>
            <w:tcBorders>
              <w:top w:val="nil"/>
              <w:left w:val="nil"/>
              <w:bottom w:val="nil"/>
              <w:right w:val="nil"/>
            </w:tcBorders>
            <w:shd w:val="clear" w:color="auto" w:fill="auto"/>
            <w:noWrap/>
            <w:vAlign w:val="bottom"/>
            <w:hideMark/>
          </w:tcPr>
          <w:p w14:paraId="23D427EC" w14:textId="348BF93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11E3AED" w14:textId="77777777" w:rsidTr="00D65F93">
        <w:trPr>
          <w:trHeight w:val="320"/>
        </w:trPr>
        <w:tc>
          <w:tcPr>
            <w:tcW w:w="3545" w:type="dxa"/>
            <w:tcBorders>
              <w:top w:val="nil"/>
              <w:left w:val="nil"/>
              <w:bottom w:val="nil"/>
              <w:right w:val="nil"/>
            </w:tcBorders>
            <w:shd w:val="clear" w:color="auto" w:fill="auto"/>
            <w:noWrap/>
            <w:vAlign w:val="bottom"/>
            <w:hideMark/>
          </w:tcPr>
          <w:p w14:paraId="7EAD18E4" w14:textId="20DF3569" w:rsidR="00F826D0" w:rsidRPr="003328EE" w:rsidRDefault="00F826D0" w:rsidP="00D65F93">
            <w:pPr>
              <w:rPr>
                <w:rFonts w:eastAsia="Times New Roman"/>
                <w:color w:val="000000"/>
                <w:sz w:val="18"/>
                <w:szCs w:val="18"/>
              </w:rPr>
            </w:pPr>
            <w:r w:rsidRPr="003328EE">
              <w:rPr>
                <w:rFonts w:eastAsia="Times New Roman"/>
                <w:color w:val="000000"/>
                <w:sz w:val="18"/>
                <w:szCs w:val="18"/>
              </w:rPr>
              <w:t>Eating Disorder Myth</w:t>
            </w:r>
          </w:p>
        </w:tc>
        <w:tc>
          <w:tcPr>
            <w:tcW w:w="3183" w:type="dxa"/>
            <w:tcBorders>
              <w:top w:val="nil"/>
              <w:left w:val="nil"/>
              <w:bottom w:val="nil"/>
              <w:right w:val="nil"/>
            </w:tcBorders>
            <w:shd w:val="clear" w:color="auto" w:fill="auto"/>
            <w:noWrap/>
            <w:vAlign w:val="bottom"/>
            <w:hideMark/>
          </w:tcPr>
          <w:p w14:paraId="51A0DC36" w14:textId="51155847"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232CE759" w14:textId="04FB024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CB4121C" w14:textId="76CC7C42"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327684D" w14:textId="1AF6DF38" w:rsidR="00F826D0" w:rsidRPr="003328EE" w:rsidRDefault="00F826D0" w:rsidP="00D65F93">
            <w:pPr>
              <w:rPr>
                <w:rFonts w:eastAsia="Times New Roman"/>
                <w:color w:val="000000"/>
                <w:sz w:val="18"/>
                <w:szCs w:val="18"/>
              </w:rPr>
            </w:pPr>
            <w:r w:rsidRPr="003328EE">
              <w:rPr>
                <w:rFonts w:eastAsia="Times New Roman"/>
                <w:color w:val="000000"/>
                <w:sz w:val="18"/>
                <w:szCs w:val="18"/>
              </w:rPr>
              <w:t>Forestell et al., 2012</w:t>
            </w:r>
          </w:p>
        </w:tc>
        <w:tc>
          <w:tcPr>
            <w:tcW w:w="1156" w:type="dxa"/>
            <w:tcBorders>
              <w:top w:val="nil"/>
              <w:left w:val="nil"/>
              <w:bottom w:val="nil"/>
              <w:right w:val="nil"/>
            </w:tcBorders>
            <w:shd w:val="clear" w:color="auto" w:fill="auto"/>
            <w:noWrap/>
            <w:vAlign w:val="bottom"/>
            <w:hideMark/>
          </w:tcPr>
          <w:p w14:paraId="49D951A6" w14:textId="639AD1B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DC8F983" w14:textId="77777777" w:rsidTr="00D65F93">
        <w:trPr>
          <w:trHeight w:val="320"/>
        </w:trPr>
        <w:tc>
          <w:tcPr>
            <w:tcW w:w="3545" w:type="dxa"/>
            <w:tcBorders>
              <w:top w:val="nil"/>
              <w:left w:val="nil"/>
              <w:bottom w:val="nil"/>
              <w:right w:val="nil"/>
            </w:tcBorders>
            <w:shd w:val="clear" w:color="auto" w:fill="auto"/>
            <w:noWrap/>
            <w:vAlign w:val="bottom"/>
            <w:hideMark/>
          </w:tcPr>
          <w:p w14:paraId="6FC765F8" w14:textId="0E1A91B9" w:rsidR="00F826D0" w:rsidRPr="003328EE" w:rsidRDefault="00F826D0" w:rsidP="00D65F93">
            <w:pPr>
              <w:rPr>
                <w:rFonts w:eastAsia="Times New Roman"/>
                <w:color w:val="000000"/>
                <w:sz w:val="18"/>
                <w:szCs w:val="18"/>
              </w:rPr>
            </w:pPr>
            <w:r w:rsidRPr="003328EE">
              <w:rPr>
                <w:rFonts w:eastAsia="Times New Roman"/>
                <w:color w:val="000000"/>
                <w:sz w:val="18"/>
                <w:szCs w:val="18"/>
              </w:rPr>
              <w:t>Eating Disorder Myth</w:t>
            </w:r>
          </w:p>
        </w:tc>
        <w:tc>
          <w:tcPr>
            <w:tcW w:w="3183" w:type="dxa"/>
            <w:tcBorders>
              <w:top w:val="nil"/>
              <w:left w:val="nil"/>
              <w:bottom w:val="nil"/>
              <w:right w:val="nil"/>
            </w:tcBorders>
            <w:shd w:val="clear" w:color="auto" w:fill="auto"/>
            <w:noWrap/>
            <w:vAlign w:val="bottom"/>
            <w:hideMark/>
          </w:tcPr>
          <w:p w14:paraId="4F9FCD0F" w14:textId="59F7A707"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408A9CEE" w14:textId="12458B9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0B32031" w14:textId="70D836C5"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2E6C774" w14:textId="4B4901C4" w:rsidR="00F826D0" w:rsidRPr="003328EE" w:rsidRDefault="00F826D0" w:rsidP="00D65F93">
            <w:pPr>
              <w:rPr>
                <w:rFonts w:eastAsia="Times New Roman"/>
                <w:color w:val="000000"/>
                <w:sz w:val="18"/>
                <w:szCs w:val="18"/>
              </w:rPr>
            </w:pPr>
            <w:r w:rsidRPr="003328EE">
              <w:rPr>
                <w:rFonts w:eastAsia="Times New Roman"/>
                <w:color w:val="000000"/>
                <w:sz w:val="18"/>
                <w:szCs w:val="18"/>
              </w:rPr>
              <w:t>Hill, 2002</w:t>
            </w:r>
          </w:p>
        </w:tc>
        <w:tc>
          <w:tcPr>
            <w:tcW w:w="1156" w:type="dxa"/>
            <w:tcBorders>
              <w:top w:val="nil"/>
              <w:left w:val="nil"/>
              <w:bottom w:val="nil"/>
              <w:right w:val="nil"/>
            </w:tcBorders>
            <w:shd w:val="clear" w:color="auto" w:fill="auto"/>
            <w:noWrap/>
            <w:vAlign w:val="bottom"/>
            <w:hideMark/>
          </w:tcPr>
          <w:p w14:paraId="3A7E63D7" w14:textId="001D87D6"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993711A" w14:textId="77777777" w:rsidTr="00D65F93">
        <w:trPr>
          <w:trHeight w:val="320"/>
        </w:trPr>
        <w:tc>
          <w:tcPr>
            <w:tcW w:w="3545" w:type="dxa"/>
            <w:tcBorders>
              <w:top w:val="nil"/>
              <w:left w:val="nil"/>
              <w:bottom w:val="nil"/>
              <w:right w:val="nil"/>
            </w:tcBorders>
            <w:shd w:val="clear" w:color="auto" w:fill="auto"/>
            <w:noWrap/>
            <w:vAlign w:val="bottom"/>
            <w:hideMark/>
          </w:tcPr>
          <w:p w14:paraId="4218D83A" w14:textId="39884783" w:rsidR="00F826D0" w:rsidRPr="003328EE" w:rsidRDefault="00F826D0" w:rsidP="00D65F93">
            <w:pPr>
              <w:rPr>
                <w:rFonts w:eastAsia="Times New Roman"/>
                <w:color w:val="000000"/>
                <w:sz w:val="18"/>
                <w:szCs w:val="18"/>
              </w:rPr>
            </w:pPr>
            <w:r w:rsidRPr="003328EE">
              <w:rPr>
                <w:rFonts w:eastAsia="Times New Roman"/>
                <w:color w:val="000000"/>
                <w:sz w:val="18"/>
                <w:szCs w:val="18"/>
              </w:rPr>
              <w:t>Eating Disorder Myth</w:t>
            </w:r>
          </w:p>
        </w:tc>
        <w:tc>
          <w:tcPr>
            <w:tcW w:w="3183" w:type="dxa"/>
            <w:tcBorders>
              <w:top w:val="nil"/>
              <w:left w:val="nil"/>
              <w:bottom w:val="nil"/>
              <w:right w:val="nil"/>
            </w:tcBorders>
            <w:shd w:val="clear" w:color="auto" w:fill="auto"/>
            <w:noWrap/>
            <w:vAlign w:val="bottom"/>
            <w:hideMark/>
          </w:tcPr>
          <w:p w14:paraId="4E2C0768" w14:textId="0AA77357"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0A24EE8F" w14:textId="0E485D48"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5E0AC41" w14:textId="753FABD3"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73D1E51" w14:textId="3B955474" w:rsidR="00F826D0" w:rsidRPr="003328EE" w:rsidRDefault="00F826D0" w:rsidP="00D65F93">
            <w:pPr>
              <w:rPr>
                <w:rFonts w:eastAsia="Times New Roman"/>
                <w:color w:val="000000"/>
                <w:sz w:val="18"/>
                <w:szCs w:val="18"/>
              </w:rPr>
            </w:pPr>
            <w:r w:rsidRPr="003328EE">
              <w:rPr>
                <w:rFonts w:eastAsia="Times New Roman"/>
                <w:color w:val="000000"/>
                <w:sz w:val="18"/>
                <w:szCs w:val="18"/>
              </w:rPr>
              <w:t>Larsson et al., 2002</w:t>
            </w:r>
          </w:p>
        </w:tc>
        <w:tc>
          <w:tcPr>
            <w:tcW w:w="1156" w:type="dxa"/>
            <w:tcBorders>
              <w:top w:val="nil"/>
              <w:left w:val="nil"/>
              <w:bottom w:val="nil"/>
              <w:right w:val="nil"/>
            </w:tcBorders>
            <w:shd w:val="clear" w:color="auto" w:fill="auto"/>
            <w:noWrap/>
            <w:vAlign w:val="bottom"/>
            <w:hideMark/>
          </w:tcPr>
          <w:p w14:paraId="5EC0E80F" w14:textId="21BA99D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AF88541" w14:textId="77777777" w:rsidTr="00D65F93">
        <w:trPr>
          <w:trHeight w:val="320"/>
        </w:trPr>
        <w:tc>
          <w:tcPr>
            <w:tcW w:w="3545" w:type="dxa"/>
            <w:tcBorders>
              <w:top w:val="nil"/>
              <w:left w:val="nil"/>
              <w:bottom w:val="nil"/>
              <w:right w:val="nil"/>
            </w:tcBorders>
            <w:shd w:val="clear" w:color="auto" w:fill="auto"/>
            <w:noWrap/>
            <w:vAlign w:val="bottom"/>
            <w:hideMark/>
          </w:tcPr>
          <w:p w14:paraId="1866AA45" w14:textId="6F1D24B7" w:rsidR="00F826D0" w:rsidRPr="003328EE" w:rsidRDefault="00F826D0" w:rsidP="00D65F93">
            <w:pPr>
              <w:rPr>
                <w:rFonts w:eastAsia="Times New Roman"/>
                <w:color w:val="000000"/>
                <w:sz w:val="18"/>
                <w:szCs w:val="18"/>
              </w:rPr>
            </w:pPr>
            <w:r w:rsidRPr="003328EE">
              <w:rPr>
                <w:rFonts w:eastAsia="Times New Roman"/>
                <w:color w:val="000000"/>
                <w:sz w:val="18"/>
                <w:szCs w:val="18"/>
              </w:rPr>
              <w:t>Health</w:t>
            </w:r>
          </w:p>
        </w:tc>
        <w:tc>
          <w:tcPr>
            <w:tcW w:w="3183" w:type="dxa"/>
            <w:tcBorders>
              <w:top w:val="nil"/>
              <w:left w:val="nil"/>
              <w:bottom w:val="nil"/>
              <w:right w:val="nil"/>
            </w:tcBorders>
            <w:shd w:val="clear" w:color="auto" w:fill="auto"/>
            <w:noWrap/>
            <w:vAlign w:val="bottom"/>
            <w:hideMark/>
          </w:tcPr>
          <w:p w14:paraId="359ED8E8" w14:textId="15B29291"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29F40CD5" w14:textId="60F8558D"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29D04F9" w14:textId="6AE8AF7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CD483C6" w14:textId="7AF1F97F"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6FD0090F" w14:textId="2A3FCA0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7579F84" w14:textId="77777777" w:rsidTr="00D65F93">
        <w:trPr>
          <w:trHeight w:val="320"/>
        </w:trPr>
        <w:tc>
          <w:tcPr>
            <w:tcW w:w="3545" w:type="dxa"/>
            <w:tcBorders>
              <w:top w:val="nil"/>
              <w:left w:val="nil"/>
              <w:bottom w:val="nil"/>
              <w:right w:val="nil"/>
            </w:tcBorders>
            <w:shd w:val="clear" w:color="auto" w:fill="auto"/>
            <w:noWrap/>
            <w:vAlign w:val="bottom"/>
            <w:hideMark/>
          </w:tcPr>
          <w:p w14:paraId="4B1CCB61" w14:textId="0FEA4746" w:rsidR="00F826D0" w:rsidRPr="003328EE" w:rsidRDefault="00F826D0" w:rsidP="00D65F93">
            <w:pPr>
              <w:rPr>
                <w:rFonts w:eastAsia="Times New Roman"/>
                <w:color w:val="000000"/>
                <w:sz w:val="18"/>
                <w:szCs w:val="18"/>
              </w:rPr>
            </w:pPr>
            <w:r w:rsidRPr="003328EE">
              <w:rPr>
                <w:rFonts w:eastAsia="Times New Roman"/>
                <w:color w:val="000000"/>
                <w:sz w:val="18"/>
                <w:szCs w:val="18"/>
              </w:rPr>
              <w:t>Health Impact on Newborns</w:t>
            </w:r>
          </w:p>
        </w:tc>
        <w:tc>
          <w:tcPr>
            <w:tcW w:w="3183" w:type="dxa"/>
            <w:tcBorders>
              <w:top w:val="nil"/>
              <w:left w:val="nil"/>
              <w:bottom w:val="nil"/>
              <w:right w:val="nil"/>
            </w:tcBorders>
            <w:shd w:val="clear" w:color="auto" w:fill="auto"/>
            <w:noWrap/>
            <w:vAlign w:val="bottom"/>
            <w:hideMark/>
          </w:tcPr>
          <w:p w14:paraId="2AB32DFE" w14:textId="504719E7"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36F83660" w14:textId="3598A649"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B4AD731" w14:textId="194933F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12E563B" w14:textId="344201E5" w:rsidR="00F826D0" w:rsidRPr="003328EE" w:rsidRDefault="00F826D0" w:rsidP="00D65F93">
            <w:pPr>
              <w:rPr>
                <w:rFonts w:eastAsia="Times New Roman"/>
                <w:color w:val="000000"/>
                <w:sz w:val="18"/>
                <w:szCs w:val="18"/>
              </w:rPr>
            </w:pPr>
            <w:r w:rsidRPr="003328EE">
              <w:rPr>
                <w:rFonts w:eastAsia="Times New Roman"/>
                <w:color w:val="000000"/>
                <w:sz w:val="18"/>
                <w:szCs w:val="18"/>
              </w:rPr>
              <w:t>Pistollato et al., 2015</w:t>
            </w:r>
          </w:p>
        </w:tc>
        <w:tc>
          <w:tcPr>
            <w:tcW w:w="1156" w:type="dxa"/>
            <w:tcBorders>
              <w:top w:val="nil"/>
              <w:left w:val="nil"/>
              <w:bottom w:val="nil"/>
              <w:right w:val="nil"/>
            </w:tcBorders>
            <w:shd w:val="clear" w:color="auto" w:fill="auto"/>
            <w:noWrap/>
            <w:vAlign w:val="bottom"/>
            <w:hideMark/>
          </w:tcPr>
          <w:p w14:paraId="59AEF0C5" w14:textId="7CD7AFF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DFB3FD7" w14:textId="77777777" w:rsidTr="00D65F93">
        <w:trPr>
          <w:trHeight w:val="320"/>
        </w:trPr>
        <w:tc>
          <w:tcPr>
            <w:tcW w:w="3545" w:type="dxa"/>
            <w:tcBorders>
              <w:top w:val="nil"/>
              <w:left w:val="nil"/>
              <w:bottom w:val="nil"/>
              <w:right w:val="nil"/>
            </w:tcBorders>
            <w:shd w:val="clear" w:color="auto" w:fill="auto"/>
            <w:noWrap/>
            <w:vAlign w:val="bottom"/>
            <w:hideMark/>
          </w:tcPr>
          <w:p w14:paraId="678F5EA5" w14:textId="11D8FE90" w:rsidR="00F826D0" w:rsidRPr="003328EE" w:rsidRDefault="00F826D0" w:rsidP="00D65F93">
            <w:pPr>
              <w:rPr>
                <w:rFonts w:eastAsia="Times New Roman"/>
                <w:color w:val="000000"/>
                <w:sz w:val="18"/>
                <w:szCs w:val="18"/>
              </w:rPr>
            </w:pPr>
            <w:r w:rsidRPr="003328EE">
              <w:rPr>
                <w:rFonts w:eastAsia="Times New Roman"/>
                <w:color w:val="000000"/>
                <w:sz w:val="18"/>
                <w:szCs w:val="18"/>
              </w:rPr>
              <w:t>Nutritional Density</w:t>
            </w:r>
          </w:p>
        </w:tc>
        <w:tc>
          <w:tcPr>
            <w:tcW w:w="3183" w:type="dxa"/>
            <w:tcBorders>
              <w:top w:val="nil"/>
              <w:left w:val="nil"/>
              <w:bottom w:val="nil"/>
              <w:right w:val="nil"/>
            </w:tcBorders>
            <w:shd w:val="clear" w:color="auto" w:fill="auto"/>
            <w:noWrap/>
            <w:vAlign w:val="bottom"/>
            <w:hideMark/>
          </w:tcPr>
          <w:p w14:paraId="022EDC07" w14:textId="4739429B"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5ABBA43A" w14:textId="40C665A2"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B981AF0" w14:textId="2A38BF4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54E602C" w14:textId="030D64FC" w:rsidR="00F826D0" w:rsidRPr="003328EE" w:rsidRDefault="00F826D0" w:rsidP="00D65F93">
            <w:pPr>
              <w:rPr>
                <w:rFonts w:eastAsia="Times New Roman"/>
                <w:color w:val="000000"/>
                <w:sz w:val="18"/>
                <w:szCs w:val="18"/>
              </w:rPr>
            </w:pPr>
            <w:r w:rsidRPr="003328EE">
              <w:rPr>
                <w:rFonts w:eastAsia="Times New Roman"/>
                <w:color w:val="000000"/>
                <w:sz w:val="18"/>
                <w:szCs w:val="18"/>
              </w:rPr>
              <w:t>Ruby et al., 2016</w:t>
            </w:r>
          </w:p>
        </w:tc>
        <w:tc>
          <w:tcPr>
            <w:tcW w:w="1156" w:type="dxa"/>
            <w:tcBorders>
              <w:top w:val="nil"/>
              <w:left w:val="nil"/>
              <w:bottom w:val="nil"/>
              <w:right w:val="nil"/>
            </w:tcBorders>
            <w:shd w:val="clear" w:color="auto" w:fill="auto"/>
            <w:noWrap/>
            <w:vAlign w:val="bottom"/>
            <w:hideMark/>
          </w:tcPr>
          <w:p w14:paraId="6ACC62E8" w14:textId="5C0E91C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319FAF2" w14:textId="77777777" w:rsidTr="00D65F93">
        <w:trPr>
          <w:trHeight w:val="320"/>
        </w:trPr>
        <w:tc>
          <w:tcPr>
            <w:tcW w:w="3545" w:type="dxa"/>
            <w:tcBorders>
              <w:top w:val="nil"/>
              <w:left w:val="nil"/>
              <w:bottom w:val="nil"/>
              <w:right w:val="nil"/>
            </w:tcBorders>
            <w:shd w:val="clear" w:color="auto" w:fill="auto"/>
            <w:noWrap/>
            <w:vAlign w:val="bottom"/>
            <w:hideMark/>
          </w:tcPr>
          <w:p w14:paraId="6ACCE1C3" w14:textId="63B430D6" w:rsidR="00F826D0" w:rsidRPr="003328EE" w:rsidRDefault="00F826D0" w:rsidP="00D65F93">
            <w:pPr>
              <w:rPr>
                <w:rFonts w:eastAsia="Times New Roman"/>
                <w:color w:val="000000"/>
                <w:sz w:val="18"/>
                <w:szCs w:val="18"/>
              </w:rPr>
            </w:pPr>
            <w:r w:rsidRPr="003328EE">
              <w:rPr>
                <w:rFonts w:eastAsia="Times New Roman"/>
                <w:color w:val="000000"/>
                <w:sz w:val="18"/>
                <w:szCs w:val="18"/>
              </w:rPr>
              <w:t>Nutritional Density</w:t>
            </w:r>
          </w:p>
        </w:tc>
        <w:tc>
          <w:tcPr>
            <w:tcW w:w="3183" w:type="dxa"/>
            <w:tcBorders>
              <w:top w:val="nil"/>
              <w:left w:val="nil"/>
              <w:bottom w:val="nil"/>
              <w:right w:val="nil"/>
            </w:tcBorders>
            <w:shd w:val="clear" w:color="auto" w:fill="auto"/>
            <w:noWrap/>
            <w:vAlign w:val="bottom"/>
            <w:hideMark/>
          </w:tcPr>
          <w:p w14:paraId="50FDDAB1" w14:textId="498D2345"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35BBA506" w14:textId="72806B2B"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AB6A028" w14:textId="5BD04343"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B2B1B96" w14:textId="2EA534F6" w:rsidR="00F826D0" w:rsidRPr="003328EE" w:rsidRDefault="00F826D0" w:rsidP="00D65F93">
            <w:pPr>
              <w:rPr>
                <w:rFonts w:eastAsia="Times New Roman"/>
                <w:color w:val="000000"/>
                <w:sz w:val="18"/>
                <w:szCs w:val="18"/>
              </w:rPr>
            </w:pPr>
            <w:r w:rsidRPr="003328EE">
              <w:rPr>
                <w:rFonts w:eastAsia="Times New Roman"/>
                <w:color w:val="000000"/>
                <w:sz w:val="18"/>
                <w:szCs w:val="18"/>
              </w:rPr>
              <w:t>Kouvari et al., 2016</w:t>
            </w:r>
          </w:p>
        </w:tc>
        <w:tc>
          <w:tcPr>
            <w:tcW w:w="1156" w:type="dxa"/>
            <w:tcBorders>
              <w:top w:val="nil"/>
              <w:left w:val="nil"/>
              <w:bottom w:val="nil"/>
              <w:right w:val="nil"/>
            </w:tcBorders>
            <w:shd w:val="clear" w:color="auto" w:fill="auto"/>
            <w:noWrap/>
            <w:vAlign w:val="bottom"/>
            <w:hideMark/>
          </w:tcPr>
          <w:p w14:paraId="4FCE297A" w14:textId="3CA51D40"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DCD5073" w14:textId="77777777" w:rsidTr="00D65F93">
        <w:trPr>
          <w:trHeight w:val="320"/>
        </w:trPr>
        <w:tc>
          <w:tcPr>
            <w:tcW w:w="3545" w:type="dxa"/>
            <w:tcBorders>
              <w:top w:val="nil"/>
              <w:left w:val="nil"/>
              <w:bottom w:val="nil"/>
              <w:right w:val="nil"/>
            </w:tcBorders>
            <w:shd w:val="clear" w:color="auto" w:fill="auto"/>
            <w:noWrap/>
            <w:vAlign w:val="bottom"/>
            <w:hideMark/>
          </w:tcPr>
          <w:p w14:paraId="06BCF6A6" w14:textId="6DE4B7B5" w:rsidR="00F826D0" w:rsidRPr="003328EE" w:rsidRDefault="00F826D0" w:rsidP="00D65F93">
            <w:pPr>
              <w:rPr>
                <w:rFonts w:eastAsia="Times New Roman"/>
                <w:color w:val="000000"/>
                <w:sz w:val="18"/>
                <w:szCs w:val="18"/>
              </w:rPr>
            </w:pPr>
            <w:r w:rsidRPr="003328EE">
              <w:rPr>
                <w:rFonts w:eastAsia="Times New Roman"/>
                <w:color w:val="000000"/>
                <w:sz w:val="18"/>
                <w:szCs w:val="18"/>
              </w:rPr>
              <w:t>Nutritional Density</w:t>
            </w:r>
          </w:p>
        </w:tc>
        <w:tc>
          <w:tcPr>
            <w:tcW w:w="3183" w:type="dxa"/>
            <w:tcBorders>
              <w:top w:val="nil"/>
              <w:left w:val="nil"/>
              <w:bottom w:val="nil"/>
              <w:right w:val="nil"/>
            </w:tcBorders>
            <w:shd w:val="clear" w:color="auto" w:fill="auto"/>
            <w:noWrap/>
            <w:vAlign w:val="bottom"/>
            <w:hideMark/>
          </w:tcPr>
          <w:p w14:paraId="1A4F04E4" w14:textId="1684036B"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647B5659" w14:textId="1852DA63"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AAC8506" w14:textId="76FD527E"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7781835" w14:textId="4FF2FAB5" w:rsidR="00F826D0" w:rsidRPr="003328EE" w:rsidRDefault="00F826D0" w:rsidP="00D65F93">
            <w:pPr>
              <w:rPr>
                <w:rFonts w:eastAsia="Times New Roman"/>
                <w:color w:val="000000"/>
                <w:sz w:val="18"/>
                <w:szCs w:val="18"/>
              </w:rPr>
            </w:pPr>
            <w:r w:rsidRPr="003328EE">
              <w:rPr>
                <w:rFonts w:eastAsia="Times New Roman"/>
                <w:color w:val="000000"/>
                <w:sz w:val="18"/>
                <w:szCs w:val="18"/>
              </w:rPr>
              <w:t>Clarys et al., 2014</w:t>
            </w:r>
          </w:p>
        </w:tc>
        <w:tc>
          <w:tcPr>
            <w:tcW w:w="1156" w:type="dxa"/>
            <w:tcBorders>
              <w:top w:val="nil"/>
              <w:left w:val="nil"/>
              <w:bottom w:val="nil"/>
              <w:right w:val="nil"/>
            </w:tcBorders>
            <w:shd w:val="clear" w:color="auto" w:fill="auto"/>
            <w:noWrap/>
            <w:vAlign w:val="bottom"/>
            <w:hideMark/>
          </w:tcPr>
          <w:p w14:paraId="5545B212" w14:textId="165ED33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D1650FE" w14:textId="77777777" w:rsidTr="00D65F93">
        <w:trPr>
          <w:trHeight w:val="320"/>
        </w:trPr>
        <w:tc>
          <w:tcPr>
            <w:tcW w:w="3545" w:type="dxa"/>
            <w:tcBorders>
              <w:top w:val="nil"/>
              <w:left w:val="nil"/>
              <w:bottom w:val="nil"/>
              <w:right w:val="nil"/>
            </w:tcBorders>
            <w:shd w:val="clear" w:color="auto" w:fill="auto"/>
            <w:noWrap/>
            <w:vAlign w:val="bottom"/>
            <w:hideMark/>
          </w:tcPr>
          <w:p w14:paraId="78944BE7" w14:textId="2FEB3CDF" w:rsidR="00F826D0" w:rsidRPr="003328EE" w:rsidRDefault="00F826D0" w:rsidP="00D65F93">
            <w:pPr>
              <w:rPr>
                <w:rFonts w:eastAsia="Times New Roman"/>
                <w:color w:val="000000"/>
                <w:sz w:val="18"/>
                <w:szCs w:val="18"/>
              </w:rPr>
            </w:pPr>
            <w:r w:rsidRPr="003328EE">
              <w:rPr>
                <w:rFonts w:eastAsia="Times New Roman"/>
                <w:color w:val="000000"/>
                <w:sz w:val="18"/>
                <w:szCs w:val="18"/>
              </w:rPr>
              <w:t>Nutritional Necessity</w:t>
            </w:r>
          </w:p>
        </w:tc>
        <w:tc>
          <w:tcPr>
            <w:tcW w:w="3183" w:type="dxa"/>
            <w:tcBorders>
              <w:top w:val="nil"/>
              <w:left w:val="nil"/>
              <w:bottom w:val="nil"/>
              <w:right w:val="nil"/>
            </w:tcBorders>
            <w:shd w:val="clear" w:color="auto" w:fill="auto"/>
            <w:noWrap/>
            <w:vAlign w:val="bottom"/>
            <w:hideMark/>
          </w:tcPr>
          <w:p w14:paraId="6C30CE22" w14:textId="6435795A"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2760D9E0" w14:textId="5136D9D9"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9933307" w14:textId="5FDB1F2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F19666A" w14:textId="66E09DF5" w:rsidR="00F826D0" w:rsidRPr="003328EE" w:rsidRDefault="00F826D0" w:rsidP="00D65F93">
            <w:pPr>
              <w:rPr>
                <w:rFonts w:eastAsia="Times New Roman"/>
                <w:color w:val="000000"/>
                <w:sz w:val="18"/>
                <w:szCs w:val="18"/>
              </w:rPr>
            </w:pPr>
            <w:r w:rsidRPr="003328EE">
              <w:rPr>
                <w:rFonts w:eastAsia="Times New Roman"/>
                <w:color w:val="000000"/>
                <w:sz w:val="18"/>
                <w:szCs w:val="18"/>
              </w:rPr>
              <w:t>Vinnari &amp; Vinnari, 2013</w:t>
            </w:r>
          </w:p>
        </w:tc>
        <w:tc>
          <w:tcPr>
            <w:tcW w:w="1156" w:type="dxa"/>
            <w:tcBorders>
              <w:top w:val="nil"/>
              <w:left w:val="nil"/>
              <w:bottom w:val="nil"/>
              <w:right w:val="nil"/>
            </w:tcBorders>
            <w:shd w:val="clear" w:color="auto" w:fill="auto"/>
            <w:noWrap/>
            <w:vAlign w:val="bottom"/>
            <w:hideMark/>
          </w:tcPr>
          <w:p w14:paraId="7C7AC64C" w14:textId="18761B3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1A3F584" w14:textId="77777777" w:rsidTr="00D65F93">
        <w:trPr>
          <w:trHeight w:val="320"/>
        </w:trPr>
        <w:tc>
          <w:tcPr>
            <w:tcW w:w="3545" w:type="dxa"/>
            <w:tcBorders>
              <w:top w:val="nil"/>
              <w:left w:val="nil"/>
              <w:bottom w:val="nil"/>
              <w:right w:val="nil"/>
            </w:tcBorders>
            <w:shd w:val="clear" w:color="auto" w:fill="auto"/>
            <w:noWrap/>
            <w:vAlign w:val="bottom"/>
            <w:hideMark/>
          </w:tcPr>
          <w:p w14:paraId="2C2DCBA9" w14:textId="42767E84" w:rsidR="00F826D0" w:rsidRPr="003328EE" w:rsidRDefault="00F826D0" w:rsidP="00D65F93">
            <w:pPr>
              <w:rPr>
                <w:rFonts w:eastAsia="Times New Roman"/>
                <w:color w:val="000000"/>
                <w:sz w:val="18"/>
                <w:szCs w:val="18"/>
              </w:rPr>
            </w:pPr>
            <w:r w:rsidRPr="003328EE">
              <w:rPr>
                <w:rFonts w:eastAsia="Times New Roman"/>
                <w:color w:val="000000"/>
                <w:sz w:val="18"/>
                <w:szCs w:val="18"/>
              </w:rPr>
              <w:t>Nutritional Necessity</w:t>
            </w:r>
          </w:p>
        </w:tc>
        <w:tc>
          <w:tcPr>
            <w:tcW w:w="3183" w:type="dxa"/>
            <w:tcBorders>
              <w:top w:val="nil"/>
              <w:left w:val="nil"/>
              <w:bottom w:val="nil"/>
              <w:right w:val="nil"/>
            </w:tcBorders>
            <w:shd w:val="clear" w:color="auto" w:fill="auto"/>
            <w:noWrap/>
            <w:vAlign w:val="bottom"/>
            <w:hideMark/>
          </w:tcPr>
          <w:p w14:paraId="73EACC63" w14:textId="7959AFA8"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11AFE26F" w14:textId="31454F49"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38E8887" w14:textId="4636F29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E187278" w14:textId="5D4D47E2" w:rsidR="00F826D0" w:rsidRPr="003328EE" w:rsidRDefault="00F826D0" w:rsidP="00D65F93">
            <w:pPr>
              <w:rPr>
                <w:rFonts w:eastAsia="Times New Roman"/>
                <w:color w:val="000000"/>
                <w:sz w:val="18"/>
                <w:szCs w:val="18"/>
              </w:rPr>
            </w:pPr>
            <w:r w:rsidRPr="003328EE">
              <w:rPr>
                <w:rFonts w:eastAsia="Times New Roman"/>
                <w:color w:val="000000"/>
                <w:sz w:val="18"/>
                <w:szCs w:val="18"/>
              </w:rPr>
              <w:t>Grace et al., 2016</w:t>
            </w:r>
          </w:p>
        </w:tc>
        <w:tc>
          <w:tcPr>
            <w:tcW w:w="1156" w:type="dxa"/>
            <w:tcBorders>
              <w:top w:val="nil"/>
              <w:left w:val="nil"/>
              <w:bottom w:val="nil"/>
              <w:right w:val="nil"/>
            </w:tcBorders>
            <w:shd w:val="clear" w:color="auto" w:fill="auto"/>
            <w:noWrap/>
            <w:vAlign w:val="bottom"/>
            <w:hideMark/>
          </w:tcPr>
          <w:p w14:paraId="7AEC2DBF" w14:textId="3661DB9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140F942" w14:textId="77777777" w:rsidTr="00D65F93">
        <w:trPr>
          <w:trHeight w:val="320"/>
        </w:trPr>
        <w:tc>
          <w:tcPr>
            <w:tcW w:w="3545" w:type="dxa"/>
            <w:tcBorders>
              <w:top w:val="nil"/>
              <w:left w:val="nil"/>
              <w:bottom w:val="nil"/>
              <w:right w:val="nil"/>
            </w:tcBorders>
            <w:shd w:val="clear" w:color="auto" w:fill="auto"/>
            <w:noWrap/>
            <w:vAlign w:val="bottom"/>
            <w:hideMark/>
          </w:tcPr>
          <w:p w14:paraId="1A0EAFFB" w14:textId="755389C0" w:rsidR="00F826D0" w:rsidRPr="003328EE" w:rsidRDefault="00F826D0" w:rsidP="00D65F93">
            <w:pPr>
              <w:rPr>
                <w:rFonts w:eastAsia="Times New Roman"/>
                <w:color w:val="000000"/>
                <w:sz w:val="18"/>
                <w:szCs w:val="18"/>
              </w:rPr>
            </w:pPr>
            <w:r w:rsidRPr="003328EE">
              <w:rPr>
                <w:rFonts w:eastAsia="Times New Roman"/>
                <w:color w:val="000000"/>
                <w:sz w:val="18"/>
                <w:szCs w:val="18"/>
              </w:rPr>
              <w:t>Pregnancy-Related Issues</w:t>
            </w:r>
          </w:p>
        </w:tc>
        <w:tc>
          <w:tcPr>
            <w:tcW w:w="3183" w:type="dxa"/>
            <w:tcBorders>
              <w:top w:val="nil"/>
              <w:left w:val="nil"/>
              <w:bottom w:val="nil"/>
              <w:right w:val="nil"/>
            </w:tcBorders>
            <w:shd w:val="clear" w:color="auto" w:fill="auto"/>
            <w:noWrap/>
            <w:vAlign w:val="bottom"/>
            <w:hideMark/>
          </w:tcPr>
          <w:p w14:paraId="408200A8" w14:textId="2F09BC5F"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56600A04" w14:textId="58D468D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D6D2541" w14:textId="411CD47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F3AF460" w14:textId="157580D0" w:rsidR="00F826D0" w:rsidRPr="003328EE" w:rsidRDefault="00F826D0" w:rsidP="00D65F93">
            <w:pPr>
              <w:rPr>
                <w:rFonts w:eastAsia="Times New Roman"/>
                <w:color w:val="000000"/>
                <w:sz w:val="18"/>
                <w:szCs w:val="18"/>
              </w:rPr>
            </w:pPr>
            <w:r w:rsidRPr="003328EE">
              <w:rPr>
                <w:rFonts w:eastAsia="Times New Roman"/>
                <w:color w:val="000000"/>
                <w:sz w:val="18"/>
                <w:szCs w:val="18"/>
              </w:rPr>
              <w:t>Pistollato et al., 2015</w:t>
            </w:r>
          </w:p>
        </w:tc>
        <w:tc>
          <w:tcPr>
            <w:tcW w:w="1156" w:type="dxa"/>
            <w:tcBorders>
              <w:top w:val="nil"/>
              <w:left w:val="nil"/>
              <w:bottom w:val="nil"/>
              <w:right w:val="nil"/>
            </w:tcBorders>
            <w:shd w:val="clear" w:color="auto" w:fill="auto"/>
            <w:noWrap/>
            <w:vAlign w:val="bottom"/>
            <w:hideMark/>
          </w:tcPr>
          <w:p w14:paraId="33BDBE79" w14:textId="156F791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8D845E7" w14:textId="77777777" w:rsidTr="00D65F93">
        <w:trPr>
          <w:trHeight w:val="320"/>
        </w:trPr>
        <w:tc>
          <w:tcPr>
            <w:tcW w:w="3545" w:type="dxa"/>
            <w:tcBorders>
              <w:top w:val="nil"/>
              <w:left w:val="nil"/>
              <w:bottom w:val="nil"/>
              <w:right w:val="nil"/>
            </w:tcBorders>
            <w:shd w:val="clear" w:color="auto" w:fill="auto"/>
            <w:noWrap/>
            <w:vAlign w:val="bottom"/>
            <w:hideMark/>
          </w:tcPr>
          <w:p w14:paraId="04A70F87" w14:textId="42EC4F4B" w:rsidR="00F826D0" w:rsidRPr="003328EE" w:rsidRDefault="00F826D0" w:rsidP="00D65F93">
            <w:pPr>
              <w:rPr>
                <w:rFonts w:eastAsia="Times New Roman"/>
                <w:color w:val="000000"/>
                <w:sz w:val="18"/>
                <w:szCs w:val="18"/>
              </w:rPr>
            </w:pPr>
            <w:r w:rsidRPr="003328EE">
              <w:rPr>
                <w:rFonts w:eastAsia="Times New Roman"/>
                <w:color w:val="000000"/>
                <w:sz w:val="18"/>
                <w:szCs w:val="18"/>
              </w:rPr>
              <w:t>Pregnancy-Related Issues</w:t>
            </w:r>
          </w:p>
        </w:tc>
        <w:tc>
          <w:tcPr>
            <w:tcW w:w="3183" w:type="dxa"/>
            <w:tcBorders>
              <w:top w:val="nil"/>
              <w:left w:val="nil"/>
              <w:bottom w:val="nil"/>
              <w:right w:val="nil"/>
            </w:tcBorders>
            <w:shd w:val="clear" w:color="auto" w:fill="auto"/>
            <w:noWrap/>
            <w:vAlign w:val="bottom"/>
            <w:hideMark/>
          </w:tcPr>
          <w:p w14:paraId="180B6A83" w14:textId="79457D97"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0901ED79" w14:textId="0A512118"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9FFF22E" w14:textId="7A1B4C0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AFAA387" w14:textId="4F040770" w:rsidR="00F826D0" w:rsidRPr="003328EE" w:rsidRDefault="00F826D0" w:rsidP="00D65F93">
            <w:pPr>
              <w:rPr>
                <w:rFonts w:eastAsia="Times New Roman"/>
                <w:color w:val="000000"/>
                <w:sz w:val="18"/>
                <w:szCs w:val="18"/>
              </w:rPr>
            </w:pPr>
            <w:r w:rsidRPr="003328EE">
              <w:rPr>
                <w:rFonts w:eastAsia="Times New Roman"/>
                <w:color w:val="000000"/>
                <w:sz w:val="18"/>
                <w:szCs w:val="18"/>
              </w:rPr>
              <w:t>Palaniswamy, 2003</w:t>
            </w:r>
          </w:p>
        </w:tc>
        <w:tc>
          <w:tcPr>
            <w:tcW w:w="1156" w:type="dxa"/>
            <w:tcBorders>
              <w:top w:val="nil"/>
              <w:left w:val="nil"/>
              <w:bottom w:val="nil"/>
              <w:right w:val="nil"/>
            </w:tcBorders>
            <w:shd w:val="clear" w:color="auto" w:fill="auto"/>
            <w:noWrap/>
            <w:vAlign w:val="bottom"/>
            <w:hideMark/>
          </w:tcPr>
          <w:p w14:paraId="5C60638F" w14:textId="1A8F9FD3"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1451893" w14:textId="77777777" w:rsidTr="00D65F93">
        <w:trPr>
          <w:trHeight w:val="320"/>
        </w:trPr>
        <w:tc>
          <w:tcPr>
            <w:tcW w:w="3545" w:type="dxa"/>
            <w:tcBorders>
              <w:top w:val="nil"/>
              <w:left w:val="nil"/>
              <w:bottom w:val="nil"/>
              <w:right w:val="nil"/>
            </w:tcBorders>
            <w:shd w:val="clear" w:color="auto" w:fill="auto"/>
            <w:noWrap/>
            <w:vAlign w:val="bottom"/>
            <w:hideMark/>
          </w:tcPr>
          <w:p w14:paraId="1BFEB0C5" w14:textId="157262A6" w:rsidR="00F826D0" w:rsidRPr="003328EE" w:rsidRDefault="00F826D0" w:rsidP="00D65F93">
            <w:pPr>
              <w:rPr>
                <w:rFonts w:eastAsia="Times New Roman"/>
                <w:color w:val="000000"/>
                <w:sz w:val="18"/>
                <w:szCs w:val="18"/>
              </w:rPr>
            </w:pPr>
            <w:r w:rsidRPr="003328EE">
              <w:rPr>
                <w:rFonts w:eastAsia="Times New Roman"/>
                <w:color w:val="000000"/>
                <w:sz w:val="18"/>
                <w:szCs w:val="18"/>
              </w:rPr>
              <w:t>Pregnancy-Related Issues</w:t>
            </w:r>
          </w:p>
        </w:tc>
        <w:tc>
          <w:tcPr>
            <w:tcW w:w="3183" w:type="dxa"/>
            <w:tcBorders>
              <w:top w:val="nil"/>
              <w:left w:val="nil"/>
              <w:bottom w:val="nil"/>
              <w:right w:val="nil"/>
            </w:tcBorders>
            <w:shd w:val="clear" w:color="auto" w:fill="auto"/>
            <w:noWrap/>
            <w:vAlign w:val="bottom"/>
            <w:hideMark/>
          </w:tcPr>
          <w:p w14:paraId="14D0472B" w14:textId="7707D292"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1546E8AF" w14:textId="0A677D1A"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C592D8E" w14:textId="3E8DA9A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4359253" w14:textId="723E18CE" w:rsidR="00F826D0" w:rsidRPr="003328EE" w:rsidRDefault="00F826D0" w:rsidP="00D65F93">
            <w:pPr>
              <w:rPr>
                <w:rFonts w:eastAsia="Times New Roman"/>
                <w:color w:val="000000"/>
                <w:sz w:val="18"/>
                <w:szCs w:val="18"/>
              </w:rPr>
            </w:pPr>
            <w:r w:rsidRPr="003328EE">
              <w:rPr>
                <w:rFonts w:eastAsia="Times New Roman"/>
                <w:color w:val="000000"/>
                <w:sz w:val="18"/>
                <w:szCs w:val="18"/>
              </w:rPr>
              <w:t>Piccoli et al., 2015</w:t>
            </w:r>
          </w:p>
        </w:tc>
        <w:tc>
          <w:tcPr>
            <w:tcW w:w="1156" w:type="dxa"/>
            <w:tcBorders>
              <w:top w:val="nil"/>
              <w:left w:val="nil"/>
              <w:bottom w:val="nil"/>
              <w:right w:val="nil"/>
            </w:tcBorders>
            <w:shd w:val="clear" w:color="auto" w:fill="auto"/>
            <w:noWrap/>
            <w:vAlign w:val="bottom"/>
            <w:hideMark/>
          </w:tcPr>
          <w:p w14:paraId="763B7003" w14:textId="6B699C3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BFD680D" w14:textId="77777777" w:rsidTr="00D65F93">
        <w:trPr>
          <w:trHeight w:val="320"/>
        </w:trPr>
        <w:tc>
          <w:tcPr>
            <w:tcW w:w="3545" w:type="dxa"/>
            <w:tcBorders>
              <w:top w:val="nil"/>
              <w:left w:val="nil"/>
              <w:bottom w:val="nil"/>
              <w:right w:val="nil"/>
            </w:tcBorders>
            <w:shd w:val="clear" w:color="auto" w:fill="auto"/>
            <w:noWrap/>
            <w:vAlign w:val="bottom"/>
            <w:hideMark/>
          </w:tcPr>
          <w:p w14:paraId="32CCB86A" w14:textId="5BDA7DA9" w:rsidR="00F826D0" w:rsidRPr="003328EE" w:rsidRDefault="00F826D0" w:rsidP="00D65F93">
            <w:pPr>
              <w:rPr>
                <w:rFonts w:eastAsia="Times New Roman"/>
                <w:color w:val="000000"/>
                <w:sz w:val="18"/>
                <w:szCs w:val="18"/>
              </w:rPr>
            </w:pPr>
            <w:r w:rsidRPr="003328EE">
              <w:rPr>
                <w:rFonts w:eastAsia="Times New Roman"/>
                <w:color w:val="000000"/>
                <w:sz w:val="18"/>
                <w:szCs w:val="18"/>
              </w:rPr>
              <w:t>Slow Growth in Children</w:t>
            </w:r>
          </w:p>
        </w:tc>
        <w:tc>
          <w:tcPr>
            <w:tcW w:w="3183" w:type="dxa"/>
            <w:tcBorders>
              <w:top w:val="nil"/>
              <w:left w:val="nil"/>
              <w:bottom w:val="nil"/>
              <w:right w:val="nil"/>
            </w:tcBorders>
            <w:shd w:val="clear" w:color="auto" w:fill="auto"/>
            <w:noWrap/>
            <w:vAlign w:val="bottom"/>
            <w:hideMark/>
          </w:tcPr>
          <w:p w14:paraId="72CB7B65" w14:textId="55F5453F"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0349B713" w14:textId="511779D5"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E00FE3D" w14:textId="66D56274"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72635B1" w14:textId="58F31769" w:rsidR="00F826D0" w:rsidRPr="003328EE" w:rsidRDefault="00F826D0" w:rsidP="00D65F93">
            <w:pPr>
              <w:rPr>
                <w:rFonts w:eastAsia="Times New Roman"/>
                <w:color w:val="000000"/>
                <w:sz w:val="18"/>
                <w:szCs w:val="18"/>
              </w:rPr>
            </w:pPr>
            <w:r w:rsidRPr="003328EE">
              <w:rPr>
                <w:rFonts w:eastAsia="Times New Roman"/>
                <w:color w:val="000000"/>
                <w:sz w:val="18"/>
                <w:szCs w:val="18"/>
              </w:rPr>
              <w:t>Palaniswamy, 2003</w:t>
            </w:r>
          </w:p>
        </w:tc>
        <w:tc>
          <w:tcPr>
            <w:tcW w:w="1156" w:type="dxa"/>
            <w:tcBorders>
              <w:top w:val="nil"/>
              <w:left w:val="nil"/>
              <w:bottom w:val="nil"/>
              <w:right w:val="nil"/>
            </w:tcBorders>
            <w:shd w:val="clear" w:color="auto" w:fill="auto"/>
            <w:noWrap/>
            <w:vAlign w:val="bottom"/>
            <w:hideMark/>
          </w:tcPr>
          <w:p w14:paraId="1FE69561" w14:textId="2E7BB7D4"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9C538F4" w14:textId="77777777" w:rsidTr="00D65F93">
        <w:trPr>
          <w:trHeight w:val="320"/>
        </w:trPr>
        <w:tc>
          <w:tcPr>
            <w:tcW w:w="3545" w:type="dxa"/>
            <w:tcBorders>
              <w:top w:val="nil"/>
              <w:left w:val="nil"/>
              <w:bottom w:val="nil"/>
              <w:right w:val="nil"/>
            </w:tcBorders>
            <w:shd w:val="clear" w:color="auto" w:fill="auto"/>
            <w:noWrap/>
            <w:vAlign w:val="bottom"/>
            <w:hideMark/>
          </w:tcPr>
          <w:p w14:paraId="738DB54D" w14:textId="73F5D331" w:rsidR="00F826D0" w:rsidRPr="003328EE" w:rsidRDefault="00F826D0" w:rsidP="00D65F93">
            <w:pPr>
              <w:rPr>
                <w:rFonts w:eastAsia="Times New Roman"/>
                <w:color w:val="000000"/>
                <w:sz w:val="18"/>
                <w:szCs w:val="18"/>
              </w:rPr>
            </w:pPr>
            <w:r w:rsidRPr="003328EE">
              <w:rPr>
                <w:rFonts w:eastAsia="Times New Roman"/>
                <w:color w:val="000000"/>
                <w:sz w:val="18"/>
                <w:szCs w:val="18"/>
              </w:rPr>
              <w:t>Weight/Diet Myth</w:t>
            </w:r>
          </w:p>
        </w:tc>
        <w:tc>
          <w:tcPr>
            <w:tcW w:w="3183" w:type="dxa"/>
            <w:tcBorders>
              <w:top w:val="nil"/>
              <w:left w:val="nil"/>
              <w:bottom w:val="nil"/>
              <w:right w:val="nil"/>
            </w:tcBorders>
            <w:shd w:val="clear" w:color="auto" w:fill="auto"/>
            <w:noWrap/>
            <w:vAlign w:val="bottom"/>
            <w:hideMark/>
          </w:tcPr>
          <w:p w14:paraId="1E715179" w14:textId="6B1CC8C3" w:rsidR="00F826D0" w:rsidRPr="003328EE" w:rsidRDefault="00F826D0" w:rsidP="00D65F93">
            <w:pPr>
              <w:rPr>
                <w:rFonts w:eastAsia="Times New Roman"/>
                <w:color w:val="000000"/>
                <w:sz w:val="18"/>
                <w:szCs w:val="18"/>
              </w:rPr>
            </w:pPr>
            <w:r w:rsidRPr="003328EE">
              <w:rPr>
                <w:rFonts w:eastAsia="Times New Roman"/>
                <w:color w:val="000000"/>
                <w:sz w:val="18"/>
                <w:szCs w:val="18"/>
              </w:rPr>
              <w:t>Health Perception</w:t>
            </w:r>
          </w:p>
        </w:tc>
        <w:tc>
          <w:tcPr>
            <w:tcW w:w="2061" w:type="dxa"/>
            <w:tcBorders>
              <w:top w:val="nil"/>
              <w:left w:val="nil"/>
              <w:bottom w:val="nil"/>
              <w:right w:val="nil"/>
            </w:tcBorders>
            <w:shd w:val="clear" w:color="auto" w:fill="auto"/>
            <w:noWrap/>
            <w:vAlign w:val="bottom"/>
            <w:hideMark/>
          </w:tcPr>
          <w:p w14:paraId="7C4F443A" w14:textId="4CFCED43"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7F96AE5" w14:textId="56CED646"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686968E" w14:textId="6FE2A99B" w:rsidR="00F826D0" w:rsidRPr="003328EE" w:rsidRDefault="00F826D0" w:rsidP="00D65F93">
            <w:pPr>
              <w:rPr>
                <w:rFonts w:eastAsia="Times New Roman"/>
                <w:color w:val="000000"/>
                <w:sz w:val="18"/>
                <w:szCs w:val="18"/>
              </w:rPr>
            </w:pPr>
            <w:r w:rsidRPr="003328EE">
              <w:rPr>
                <w:rFonts w:eastAsia="Times New Roman"/>
                <w:color w:val="000000"/>
                <w:sz w:val="18"/>
                <w:szCs w:val="18"/>
              </w:rPr>
              <w:t>de Backer &amp; Hudders, 2014</w:t>
            </w:r>
          </w:p>
        </w:tc>
        <w:tc>
          <w:tcPr>
            <w:tcW w:w="1156" w:type="dxa"/>
            <w:tcBorders>
              <w:top w:val="nil"/>
              <w:left w:val="nil"/>
              <w:bottom w:val="nil"/>
              <w:right w:val="nil"/>
            </w:tcBorders>
            <w:shd w:val="clear" w:color="auto" w:fill="auto"/>
            <w:noWrap/>
            <w:vAlign w:val="bottom"/>
            <w:hideMark/>
          </w:tcPr>
          <w:p w14:paraId="744A845F" w14:textId="1DF1DE4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776B31D" w14:textId="77777777" w:rsidTr="00D65F93">
        <w:trPr>
          <w:trHeight w:val="320"/>
        </w:trPr>
        <w:tc>
          <w:tcPr>
            <w:tcW w:w="3545" w:type="dxa"/>
            <w:tcBorders>
              <w:top w:val="nil"/>
              <w:left w:val="nil"/>
              <w:bottom w:val="nil"/>
              <w:right w:val="nil"/>
            </w:tcBorders>
            <w:shd w:val="clear" w:color="auto" w:fill="auto"/>
            <w:noWrap/>
            <w:vAlign w:val="bottom"/>
            <w:hideMark/>
          </w:tcPr>
          <w:p w14:paraId="4E26E000" w14:textId="46FA6892" w:rsidR="00F826D0" w:rsidRPr="003328EE" w:rsidRDefault="00F826D0" w:rsidP="00D65F93">
            <w:pPr>
              <w:rPr>
                <w:rFonts w:eastAsia="Times New Roman"/>
                <w:color w:val="000000"/>
                <w:sz w:val="18"/>
                <w:szCs w:val="18"/>
              </w:rPr>
            </w:pPr>
            <w:r w:rsidRPr="003328EE">
              <w:rPr>
                <w:rFonts w:eastAsia="Times New Roman"/>
                <w:color w:val="000000"/>
                <w:sz w:val="18"/>
                <w:szCs w:val="18"/>
              </w:rPr>
              <w:t>Attachment</w:t>
            </w:r>
          </w:p>
        </w:tc>
        <w:tc>
          <w:tcPr>
            <w:tcW w:w="3183" w:type="dxa"/>
            <w:tcBorders>
              <w:top w:val="nil"/>
              <w:left w:val="nil"/>
              <w:bottom w:val="nil"/>
              <w:right w:val="nil"/>
            </w:tcBorders>
            <w:shd w:val="clear" w:color="auto" w:fill="auto"/>
            <w:noWrap/>
            <w:vAlign w:val="bottom"/>
            <w:hideMark/>
          </w:tcPr>
          <w:p w14:paraId="446C4767" w14:textId="513E92BA"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08FC075F" w14:textId="6F08FC26"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7B38FE4" w14:textId="0A2A123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EA40980" w14:textId="2B167BF2"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060D4E04" w14:textId="75A2DDD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D32A410" w14:textId="77777777" w:rsidTr="00D65F93">
        <w:trPr>
          <w:trHeight w:val="320"/>
        </w:trPr>
        <w:tc>
          <w:tcPr>
            <w:tcW w:w="3545" w:type="dxa"/>
            <w:tcBorders>
              <w:top w:val="nil"/>
              <w:left w:val="nil"/>
              <w:bottom w:val="nil"/>
              <w:right w:val="nil"/>
            </w:tcBorders>
            <w:shd w:val="clear" w:color="auto" w:fill="auto"/>
            <w:noWrap/>
            <w:vAlign w:val="bottom"/>
            <w:hideMark/>
          </w:tcPr>
          <w:p w14:paraId="2FC23A33" w14:textId="50209AF2" w:rsidR="00F826D0" w:rsidRPr="003328EE" w:rsidRDefault="00F826D0" w:rsidP="00D65F93">
            <w:pPr>
              <w:rPr>
                <w:rFonts w:eastAsia="Times New Roman"/>
                <w:color w:val="000000"/>
                <w:sz w:val="18"/>
                <w:szCs w:val="18"/>
              </w:rPr>
            </w:pPr>
            <w:r w:rsidRPr="003328EE">
              <w:rPr>
                <w:rFonts w:eastAsia="Times New Roman"/>
                <w:color w:val="000000"/>
                <w:sz w:val="18"/>
                <w:szCs w:val="18"/>
              </w:rPr>
              <w:t>Centrality</w:t>
            </w:r>
          </w:p>
        </w:tc>
        <w:tc>
          <w:tcPr>
            <w:tcW w:w="3183" w:type="dxa"/>
            <w:tcBorders>
              <w:top w:val="nil"/>
              <w:left w:val="nil"/>
              <w:bottom w:val="nil"/>
              <w:right w:val="nil"/>
            </w:tcBorders>
            <w:shd w:val="clear" w:color="auto" w:fill="auto"/>
            <w:noWrap/>
            <w:vAlign w:val="bottom"/>
            <w:hideMark/>
          </w:tcPr>
          <w:p w14:paraId="493F8820" w14:textId="2B182891"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2556060C" w14:textId="19BDC16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032CCB4" w14:textId="1C668E9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7E40721" w14:textId="27221A53"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31F27300" w14:textId="7F6205C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82813F0" w14:textId="77777777" w:rsidTr="00D65F93">
        <w:trPr>
          <w:trHeight w:val="320"/>
        </w:trPr>
        <w:tc>
          <w:tcPr>
            <w:tcW w:w="3545" w:type="dxa"/>
            <w:tcBorders>
              <w:top w:val="nil"/>
              <w:left w:val="nil"/>
              <w:bottom w:val="nil"/>
              <w:right w:val="nil"/>
            </w:tcBorders>
            <w:shd w:val="clear" w:color="auto" w:fill="auto"/>
            <w:noWrap/>
            <w:vAlign w:val="bottom"/>
            <w:hideMark/>
          </w:tcPr>
          <w:p w14:paraId="5ACCC437" w14:textId="5C22E6EA" w:rsidR="00F826D0" w:rsidRPr="003328EE" w:rsidRDefault="00F826D0" w:rsidP="00D65F93">
            <w:pPr>
              <w:rPr>
                <w:rFonts w:eastAsia="Times New Roman"/>
                <w:color w:val="000000"/>
                <w:sz w:val="18"/>
                <w:szCs w:val="18"/>
              </w:rPr>
            </w:pPr>
            <w:r w:rsidRPr="003328EE">
              <w:rPr>
                <w:rFonts w:eastAsia="Times New Roman"/>
                <w:color w:val="000000"/>
                <w:sz w:val="18"/>
                <w:szCs w:val="18"/>
              </w:rPr>
              <w:t>Centrality</w:t>
            </w:r>
          </w:p>
        </w:tc>
        <w:tc>
          <w:tcPr>
            <w:tcW w:w="3183" w:type="dxa"/>
            <w:tcBorders>
              <w:top w:val="nil"/>
              <w:left w:val="nil"/>
              <w:bottom w:val="nil"/>
              <w:right w:val="nil"/>
            </w:tcBorders>
            <w:shd w:val="clear" w:color="auto" w:fill="auto"/>
            <w:noWrap/>
            <w:vAlign w:val="bottom"/>
            <w:hideMark/>
          </w:tcPr>
          <w:p w14:paraId="7C9059FA" w14:textId="4FE75316"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48D8D085" w14:textId="48AB8AD3"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0C44C2B" w14:textId="3EA59A1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5AADCE5" w14:textId="0EDB01A6"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2014</w:t>
            </w:r>
          </w:p>
        </w:tc>
        <w:tc>
          <w:tcPr>
            <w:tcW w:w="1156" w:type="dxa"/>
            <w:tcBorders>
              <w:top w:val="nil"/>
              <w:left w:val="nil"/>
              <w:bottom w:val="nil"/>
              <w:right w:val="nil"/>
            </w:tcBorders>
            <w:shd w:val="clear" w:color="auto" w:fill="auto"/>
            <w:noWrap/>
            <w:vAlign w:val="bottom"/>
            <w:hideMark/>
          </w:tcPr>
          <w:p w14:paraId="46E91DC6" w14:textId="264DE392"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4E80D2C" w14:textId="77777777" w:rsidTr="00D65F93">
        <w:trPr>
          <w:trHeight w:val="320"/>
        </w:trPr>
        <w:tc>
          <w:tcPr>
            <w:tcW w:w="3545" w:type="dxa"/>
            <w:tcBorders>
              <w:top w:val="nil"/>
              <w:left w:val="nil"/>
              <w:bottom w:val="nil"/>
              <w:right w:val="nil"/>
            </w:tcBorders>
            <w:shd w:val="clear" w:color="auto" w:fill="auto"/>
            <w:noWrap/>
            <w:vAlign w:val="bottom"/>
            <w:hideMark/>
          </w:tcPr>
          <w:p w14:paraId="3491C451" w14:textId="09DF6A33" w:rsidR="00F826D0" w:rsidRPr="003328EE" w:rsidRDefault="00F826D0" w:rsidP="00D65F93">
            <w:pPr>
              <w:rPr>
                <w:rFonts w:eastAsia="Times New Roman"/>
                <w:color w:val="000000"/>
                <w:sz w:val="18"/>
                <w:szCs w:val="18"/>
              </w:rPr>
            </w:pPr>
            <w:r w:rsidRPr="003328EE">
              <w:rPr>
                <w:rFonts w:eastAsia="Times New Roman"/>
                <w:color w:val="000000"/>
                <w:sz w:val="18"/>
                <w:szCs w:val="18"/>
              </w:rPr>
              <w:t>Centrality</w:t>
            </w:r>
          </w:p>
        </w:tc>
        <w:tc>
          <w:tcPr>
            <w:tcW w:w="3183" w:type="dxa"/>
            <w:tcBorders>
              <w:top w:val="nil"/>
              <w:left w:val="nil"/>
              <w:bottom w:val="nil"/>
              <w:right w:val="nil"/>
            </w:tcBorders>
            <w:shd w:val="clear" w:color="auto" w:fill="auto"/>
            <w:noWrap/>
            <w:vAlign w:val="bottom"/>
            <w:hideMark/>
          </w:tcPr>
          <w:p w14:paraId="57252114" w14:textId="3F8EBA21"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4672EB4F" w14:textId="1FDCCE9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1BA16E2" w14:textId="4993A96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B0CA622" w14:textId="24C053E7" w:rsidR="00F826D0" w:rsidRPr="003328EE" w:rsidRDefault="00F826D0" w:rsidP="00D65F93">
            <w:pPr>
              <w:rPr>
                <w:rFonts w:eastAsia="Times New Roman"/>
                <w:color w:val="000000"/>
                <w:sz w:val="18"/>
                <w:szCs w:val="18"/>
              </w:rPr>
            </w:pPr>
            <w:r w:rsidRPr="003328EE">
              <w:rPr>
                <w:rFonts w:eastAsia="Times New Roman"/>
                <w:color w:val="000000"/>
                <w:sz w:val="18"/>
                <w:szCs w:val="18"/>
              </w:rPr>
              <w:t>Vanhonacker et al., 2013</w:t>
            </w:r>
          </w:p>
        </w:tc>
        <w:tc>
          <w:tcPr>
            <w:tcW w:w="1156" w:type="dxa"/>
            <w:tcBorders>
              <w:top w:val="nil"/>
              <w:left w:val="nil"/>
              <w:bottom w:val="nil"/>
              <w:right w:val="nil"/>
            </w:tcBorders>
            <w:shd w:val="clear" w:color="auto" w:fill="auto"/>
            <w:noWrap/>
            <w:vAlign w:val="bottom"/>
            <w:hideMark/>
          </w:tcPr>
          <w:p w14:paraId="4F4E2B83" w14:textId="4940EDD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CD88ED3" w14:textId="77777777" w:rsidTr="00D65F93">
        <w:trPr>
          <w:trHeight w:val="320"/>
        </w:trPr>
        <w:tc>
          <w:tcPr>
            <w:tcW w:w="3545" w:type="dxa"/>
            <w:tcBorders>
              <w:top w:val="nil"/>
              <w:left w:val="nil"/>
              <w:bottom w:val="nil"/>
              <w:right w:val="nil"/>
            </w:tcBorders>
            <w:shd w:val="clear" w:color="auto" w:fill="auto"/>
            <w:noWrap/>
            <w:vAlign w:val="bottom"/>
            <w:hideMark/>
          </w:tcPr>
          <w:p w14:paraId="554DF686" w14:textId="74B278E3" w:rsidR="00F826D0" w:rsidRPr="003328EE" w:rsidRDefault="00F826D0" w:rsidP="00D65F93">
            <w:pPr>
              <w:rPr>
                <w:rFonts w:eastAsia="Times New Roman"/>
                <w:color w:val="000000"/>
                <w:sz w:val="18"/>
                <w:szCs w:val="18"/>
              </w:rPr>
            </w:pPr>
            <w:r w:rsidRPr="003328EE">
              <w:rPr>
                <w:rFonts w:eastAsia="Times New Roman"/>
                <w:color w:val="000000"/>
                <w:sz w:val="18"/>
                <w:szCs w:val="18"/>
              </w:rPr>
              <w:t>Centrality</w:t>
            </w:r>
          </w:p>
        </w:tc>
        <w:tc>
          <w:tcPr>
            <w:tcW w:w="3183" w:type="dxa"/>
            <w:tcBorders>
              <w:top w:val="nil"/>
              <w:left w:val="nil"/>
              <w:bottom w:val="nil"/>
              <w:right w:val="nil"/>
            </w:tcBorders>
            <w:shd w:val="clear" w:color="auto" w:fill="auto"/>
            <w:noWrap/>
            <w:vAlign w:val="bottom"/>
            <w:hideMark/>
          </w:tcPr>
          <w:p w14:paraId="2AF74C98" w14:textId="5F298DB3"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C423BDB" w14:textId="750339DE"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3FF3C31" w14:textId="1FA2BE1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1B4F28D" w14:textId="275E63B1" w:rsidR="00F826D0" w:rsidRPr="003328EE" w:rsidRDefault="00F826D0" w:rsidP="00D65F93">
            <w:pPr>
              <w:rPr>
                <w:rFonts w:eastAsia="Times New Roman"/>
                <w:color w:val="000000"/>
                <w:sz w:val="18"/>
                <w:szCs w:val="18"/>
              </w:rPr>
            </w:pPr>
            <w:r w:rsidRPr="003328EE">
              <w:rPr>
                <w:rFonts w:eastAsia="Times New Roman"/>
                <w:color w:val="000000"/>
                <w:sz w:val="18"/>
                <w:szCs w:val="18"/>
              </w:rPr>
              <w:t>Kearney, 2010</w:t>
            </w:r>
          </w:p>
        </w:tc>
        <w:tc>
          <w:tcPr>
            <w:tcW w:w="1156" w:type="dxa"/>
            <w:tcBorders>
              <w:top w:val="nil"/>
              <w:left w:val="nil"/>
              <w:bottom w:val="nil"/>
              <w:right w:val="nil"/>
            </w:tcBorders>
            <w:shd w:val="clear" w:color="auto" w:fill="auto"/>
            <w:noWrap/>
            <w:vAlign w:val="bottom"/>
            <w:hideMark/>
          </w:tcPr>
          <w:p w14:paraId="05C9E165" w14:textId="41A2A1FD"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257C149" w14:textId="77777777" w:rsidTr="00D65F93">
        <w:trPr>
          <w:trHeight w:val="320"/>
        </w:trPr>
        <w:tc>
          <w:tcPr>
            <w:tcW w:w="3545" w:type="dxa"/>
            <w:tcBorders>
              <w:top w:val="nil"/>
              <w:left w:val="nil"/>
              <w:bottom w:val="nil"/>
              <w:right w:val="nil"/>
            </w:tcBorders>
            <w:shd w:val="clear" w:color="auto" w:fill="auto"/>
            <w:noWrap/>
            <w:vAlign w:val="bottom"/>
            <w:hideMark/>
          </w:tcPr>
          <w:p w14:paraId="0AEBF1CC" w14:textId="3E70138B" w:rsidR="00F826D0" w:rsidRPr="003328EE" w:rsidRDefault="00F826D0" w:rsidP="00D65F93">
            <w:pPr>
              <w:rPr>
                <w:rFonts w:eastAsia="Times New Roman"/>
                <w:color w:val="000000"/>
                <w:sz w:val="18"/>
                <w:szCs w:val="18"/>
              </w:rPr>
            </w:pPr>
            <w:r w:rsidRPr="003328EE">
              <w:rPr>
                <w:rFonts w:eastAsia="Times New Roman"/>
                <w:color w:val="000000"/>
                <w:sz w:val="18"/>
                <w:szCs w:val="18"/>
              </w:rPr>
              <w:t>Convenience</w:t>
            </w:r>
          </w:p>
        </w:tc>
        <w:tc>
          <w:tcPr>
            <w:tcW w:w="3183" w:type="dxa"/>
            <w:tcBorders>
              <w:top w:val="nil"/>
              <w:left w:val="nil"/>
              <w:bottom w:val="nil"/>
              <w:right w:val="nil"/>
            </w:tcBorders>
            <w:shd w:val="clear" w:color="auto" w:fill="auto"/>
            <w:noWrap/>
            <w:vAlign w:val="bottom"/>
            <w:hideMark/>
          </w:tcPr>
          <w:p w14:paraId="18A7DAFB" w14:textId="65D6E56E"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7A8887AD" w14:textId="4C4F7DB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2C9F666" w14:textId="2A10AFA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8FE9F50" w14:textId="6F46D981" w:rsidR="00F826D0" w:rsidRPr="003328EE" w:rsidRDefault="00F826D0" w:rsidP="00D65F93">
            <w:pPr>
              <w:rPr>
                <w:rFonts w:eastAsia="Times New Roman"/>
                <w:color w:val="000000"/>
                <w:sz w:val="18"/>
                <w:szCs w:val="18"/>
              </w:rPr>
            </w:pPr>
            <w:r w:rsidRPr="003328EE">
              <w:rPr>
                <w:rFonts w:eastAsia="Times New Roman"/>
                <w:color w:val="000000"/>
                <w:sz w:val="18"/>
                <w:szCs w:val="18"/>
              </w:rPr>
              <w:t>Hoek et al., 2011</w:t>
            </w:r>
          </w:p>
        </w:tc>
        <w:tc>
          <w:tcPr>
            <w:tcW w:w="1156" w:type="dxa"/>
            <w:tcBorders>
              <w:top w:val="nil"/>
              <w:left w:val="nil"/>
              <w:bottom w:val="nil"/>
              <w:right w:val="nil"/>
            </w:tcBorders>
            <w:shd w:val="clear" w:color="auto" w:fill="auto"/>
            <w:noWrap/>
            <w:vAlign w:val="bottom"/>
            <w:hideMark/>
          </w:tcPr>
          <w:p w14:paraId="5B32AE5B" w14:textId="56FF576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01E4553" w14:textId="77777777" w:rsidTr="00D65F93">
        <w:trPr>
          <w:trHeight w:val="320"/>
        </w:trPr>
        <w:tc>
          <w:tcPr>
            <w:tcW w:w="3545" w:type="dxa"/>
            <w:tcBorders>
              <w:top w:val="nil"/>
              <w:left w:val="nil"/>
              <w:bottom w:val="nil"/>
              <w:right w:val="nil"/>
            </w:tcBorders>
            <w:shd w:val="clear" w:color="auto" w:fill="auto"/>
            <w:noWrap/>
            <w:vAlign w:val="bottom"/>
            <w:hideMark/>
          </w:tcPr>
          <w:p w14:paraId="3B9EDA66" w14:textId="4B606D34" w:rsidR="00F826D0" w:rsidRPr="003328EE" w:rsidRDefault="00F826D0" w:rsidP="00D65F93">
            <w:pPr>
              <w:rPr>
                <w:rFonts w:eastAsia="Times New Roman"/>
                <w:color w:val="000000"/>
                <w:sz w:val="18"/>
                <w:szCs w:val="18"/>
              </w:rPr>
            </w:pPr>
            <w:r w:rsidRPr="003328EE">
              <w:rPr>
                <w:rFonts w:eastAsia="Times New Roman"/>
                <w:color w:val="000000"/>
                <w:sz w:val="18"/>
                <w:szCs w:val="18"/>
              </w:rPr>
              <w:t>Convenience</w:t>
            </w:r>
          </w:p>
        </w:tc>
        <w:tc>
          <w:tcPr>
            <w:tcW w:w="3183" w:type="dxa"/>
            <w:tcBorders>
              <w:top w:val="nil"/>
              <w:left w:val="nil"/>
              <w:bottom w:val="nil"/>
              <w:right w:val="nil"/>
            </w:tcBorders>
            <w:shd w:val="clear" w:color="auto" w:fill="auto"/>
            <w:noWrap/>
            <w:vAlign w:val="bottom"/>
            <w:hideMark/>
          </w:tcPr>
          <w:p w14:paraId="582D3C77" w14:textId="378A79F0"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A759106" w14:textId="581D34E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B496D51" w14:textId="6FF6942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AF3A9F8" w14:textId="15E5CAB4" w:rsidR="00F826D0" w:rsidRPr="003328EE" w:rsidRDefault="00F826D0" w:rsidP="00D65F93">
            <w:pPr>
              <w:rPr>
                <w:rFonts w:eastAsia="Times New Roman"/>
                <w:color w:val="000000"/>
                <w:sz w:val="18"/>
                <w:szCs w:val="18"/>
              </w:rPr>
            </w:pPr>
            <w:r w:rsidRPr="003328EE">
              <w:rPr>
                <w:rFonts w:eastAsia="Times New Roman"/>
                <w:color w:val="000000"/>
                <w:sz w:val="18"/>
                <w:szCs w:val="18"/>
              </w:rPr>
              <w:t>Makiniemi &amp; Vinio, 2014</w:t>
            </w:r>
          </w:p>
        </w:tc>
        <w:tc>
          <w:tcPr>
            <w:tcW w:w="1156" w:type="dxa"/>
            <w:tcBorders>
              <w:top w:val="nil"/>
              <w:left w:val="nil"/>
              <w:bottom w:val="nil"/>
              <w:right w:val="nil"/>
            </w:tcBorders>
            <w:shd w:val="clear" w:color="auto" w:fill="auto"/>
            <w:noWrap/>
            <w:vAlign w:val="bottom"/>
            <w:hideMark/>
          </w:tcPr>
          <w:p w14:paraId="70CC7E82" w14:textId="69990D3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A46A07E" w14:textId="77777777" w:rsidTr="00D65F93">
        <w:trPr>
          <w:trHeight w:val="320"/>
        </w:trPr>
        <w:tc>
          <w:tcPr>
            <w:tcW w:w="3545" w:type="dxa"/>
            <w:tcBorders>
              <w:top w:val="nil"/>
              <w:left w:val="nil"/>
              <w:bottom w:val="nil"/>
              <w:right w:val="nil"/>
            </w:tcBorders>
            <w:shd w:val="clear" w:color="auto" w:fill="auto"/>
            <w:noWrap/>
            <w:vAlign w:val="bottom"/>
            <w:hideMark/>
          </w:tcPr>
          <w:p w14:paraId="545663FB" w14:textId="3DC4C484" w:rsidR="00F826D0" w:rsidRPr="003328EE" w:rsidRDefault="00F826D0" w:rsidP="00D65F93">
            <w:pPr>
              <w:rPr>
                <w:rFonts w:eastAsia="Times New Roman"/>
                <w:color w:val="000000"/>
                <w:sz w:val="18"/>
                <w:szCs w:val="18"/>
              </w:rPr>
            </w:pPr>
            <w:r w:rsidRPr="003328EE">
              <w:rPr>
                <w:rFonts w:eastAsia="Times New Roman"/>
                <w:color w:val="000000"/>
                <w:sz w:val="18"/>
                <w:szCs w:val="18"/>
              </w:rPr>
              <w:t>Convenience</w:t>
            </w:r>
          </w:p>
        </w:tc>
        <w:tc>
          <w:tcPr>
            <w:tcW w:w="3183" w:type="dxa"/>
            <w:tcBorders>
              <w:top w:val="nil"/>
              <w:left w:val="nil"/>
              <w:bottom w:val="nil"/>
              <w:right w:val="nil"/>
            </w:tcBorders>
            <w:shd w:val="clear" w:color="auto" w:fill="auto"/>
            <w:noWrap/>
            <w:vAlign w:val="bottom"/>
            <w:hideMark/>
          </w:tcPr>
          <w:p w14:paraId="11468481" w14:textId="4FB2EC2F"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956070D" w14:textId="24102D28"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45974C8" w14:textId="1026CFC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6E20E8D" w14:textId="67CC9A37"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2954EE4C" w14:textId="07E6DFD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C6BCD7F" w14:textId="77777777" w:rsidTr="00D65F93">
        <w:trPr>
          <w:trHeight w:val="320"/>
        </w:trPr>
        <w:tc>
          <w:tcPr>
            <w:tcW w:w="3545" w:type="dxa"/>
            <w:tcBorders>
              <w:top w:val="nil"/>
              <w:left w:val="nil"/>
              <w:bottom w:val="nil"/>
              <w:right w:val="nil"/>
            </w:tcBorders>
            <w:shd w:val="clear" w:color="auto" w:fill="auto"/>
            <w:noWrap/>
            <w:vAlign w:val="bottom"/>
            <w:hideMark/>
          </w:tcPr>
          <w:p w14:paraId="4287D52B" w14:textId="2429246D" w:rsidR="00F826D0" w:rsidRPr="003328EE" w:rsidRDefault="00F826D0" w:rsidP="00D65F93">
            <w:pPr>
              <w:rPr>
                <w:rFonts w:eastAsia="Times New Roman"/>
                <w:color w:val="000000"/>
                <w:sz w:val="18"/>
                <w:szCs w:val="18"/>
              </w:rPr>
            </w:pPr>
            <w:r w:rsidRPr="003328EE">
              <w:rPr>
                <w:rFonts w:eastAsia="Times New Roman"/>
                <w:color w:val="000000"/>
                <w:sz w:val="18"/>
                <w:szCs w:val="18"/>
              </w:rPr>
              <w:t>Cravings</w:t>
            </w:r>
          </w:p>
        </w:tc>
        <w:tc>
          <w:tcPr>
            <w:tcW w:w="3183" w:type="dxa"/>
            <w:tcBorders>
              <w:top w:val="nil"/>
              <w:left w:val="nil"/>
              <w:bottom w:val="nil"/>
              <w:right w:val="nil"/>
            </w:tcBorders>
            <w:shd w:val="clear" w:color="auto" w:fill="auto"/>
            <w:noWrap/>
            <w:vAlign w:val="bottom"/>
            <w:hideMark/>
          </w:tcPr>
          <w:p w14:paraId="7009B2D4" w14:textId="68F4D878"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3F1E518C" w14:textId="61CBD1A2"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92B3C4F" w14:textId="2FA343D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AB54B02" w14:textId="14DA1ED3" w:rsidR="00F826D0" w:rsidRPr="003328EE" w:rsidRDefault="00F826D0" w:rsidP="00D65F93">
            <w:pPr>
              <w:rPr>
                <w:rFonts w:eastAsia="Times New Roman"/>
                <w:color w:val="000000"/>
                <w:sz w:val="18"/>
                <w:szCs w:val="18"/>
              </w:rPr>
            </w:pPr>
            <w:r w:rsidRPr="003328EE">
              <w:rPr>
                <w:rFonts w:eastAsia="Times New Roman"/>
                <w:color w:val="000000"/>
                <w:sz w:val="18"/>
                <w:szCs w:val="18"/>
              </w:rPr>
              <w:t>Hirschler, 2011</w:t>
            </w:r>
          </w:p>
        </w:tc>
        <w:tc>
          <w:tcPr>
            <w:tcW w:w="1156" w:type="dxa"/>
            <w:tcBorders>
              <w:top w:val="nil"/>
              <w:left w:val="nil"/>
              <w:bottom w:val="nil"/>
              <w:right w:val="nil"/>
            </w:tcBorders>
            <w:shd w:val="clear" w:color="auto" w:fill="auto"/>
            <w:noWrap/>
            <w:vAlign w:val="bottom"/>
            <w:hideMark/>
          </w:tcPr>
          <w:p w14:paraId="780B8149" w14:textId="5B2BD43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E9C3816" w14:textId="77777777" w:rsidTr="00D65F93">
        <w:trPr>
          <w:trHeight w:val="320"/>
        </w:trPr>
        <w:tc>
          <w:tcPr>
            <w:tcW w:w="3545" w:type="dxa"/>
            <w:tcBorders>
              <w:top w:val="nil"/>
              <w:left w:val="nil"/>
              <w:bottom w:val="nil"/>
              <w:right w:val="nil"/>
            </w:tcBorders>
            <w:shd w:val="clear" w:color="auto" w:fill="auto"/>
            <w:noWrap/>
            <w:vAlign w:val="bottom"/>
            <w:hideMark/>
          </w:tcPr>
          <w:p w14:paraId="7EB76443" w14:textId="3177AA17" w:rsidR="00F826D0" w:rsidRPr="003328EE" w:rsidRDefault="00F826D0" w:rsidP="00D65F93">
            <w:pPr>
              <w:rPr>
                <w:rFonts w:eastAsia="Times New Roman"/>
                <w:color w:val="000000"/>
                <w:sz w:val="18"/>
                <w:szCs w:val="18"/>
              </w:rPr>
            </w:pPr>
            <w:r w:rsidRPr="003328EE">
              <w:rPr>
                <w:rFonts w:eastAsia="Times New Roman"/>
                <w:color w:val="000000"/>
                <w:sz w:val="18"/>
                <w:szCs w:val="18"/>
              </w:rPr>
              <w:t>Cravings</w:t>
            </w:r>
          </w:p>
        </w:tc>
        <w:tc>
          <w:tcPr>
            <w:tcW w:w="3183" w:type="dxa"/>
            <w:tcBorders>
              <w:top w:val="nil"/>
              <w:left w:val="nil"/>
              <w:bottom w:val="nil"/>
              <w:right w:val="nil"/>
            </w:tcBorders>
            <w:shd w:val="clear" w:color="auto" w:fill="auto"/>
            <w:noWrap/>
            <w:vAlign w:val="bottom"/>
            <w:hideMark/>
          </w:tcPr>
          <w:p w14:paraId="5C8E6A87" w14:textId="5EA4DE05"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E99B78D" w14:textId="1D94FCA9"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A237563" w14:textId="5D82D1A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D5B36A6" w14:textId="1154C518" w:rsidR="00F826D0" w:rsidRPr="003328EE" w:rsidRDefault="00F826D0" w:rsidP="00D65F93">
            <w:pPr>
              <w:rPr>
                <w:rFonts w:eastAsia="Times New Roman"/>
                <w:color w:val="000000"/>
                <w:sz w:val="18"/>
                <w:szCs w:val="18"/>
              </w:rPr>
            </w:pPr>
            <w:r w:rsidRPr="003328EE">
              <w:rPr>
                <w:rFonts w:eastAsia="Times New Roman"/>
                <w:color w:val="000000"/>
                <w:sz w:val="18"/>
                <w:szCs w:val="18"/>
              </w:rPr>
              <w:t>Neumark-Sztainer et al., 1999</w:t>
            </w:r>
          </w:p>
        </w:tc>
        <w:tc>
          <w:tcPr>
            <w:tcW w:w="1156" w:type="dxa"/>
            <w:tcBorders>
              <w:top w:val="nil"/>
              <w:left w:val="nil"/>
              <w:bottom w:val="nil"/>
              <w:right w:val="nil"/>
            </w:tcBorders>
            <w:shd w:val="clear" w:color="auto" w:fill="auto"/>
            <w:noWrap/>
            <w:vAlign w:val="bottom"/>
            <w:hideMark/>
          </w:tcPr>
          <w:p w14:paraId="3F4C566C" w14:textId="074798D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AEBF74F" w14:textId="77777777" w:rsidTr="00D65F93">
        <w:trPr>
          <w:trHeight w:val="320"/>
        </w:trPr>
        <w:tc>
          <w:tcPr>
            <w:tcW w:w="3545" w:type="dxa"/>
            <w:tcBorders>
              <w:top w:val="nil"/>
              <w:left w:val="nil"/>
              <w:bottom w:val="nil"/>
              <w:right w:val="nil"/>
            </w:tcBorders>
            <w:shd w:val="clear" w:color="auto" w:fill="auto"/>
            <w:noWrap/>
            <w:vAlign w:val="bottom"/>
            <w:hideMark/>
          </w:tcPr>
          <w:p w14:paraId="7A208F70" w14:textId="1FB95D52" w:rsidR="00F826D0" w:rsidRPr="003328EE" w:rsidRDefault="00F826D0" w:rsidP="00D65F93">
            <w:pPr>
              <w:rPr>
                <w:rFonts w:eastAsia="Times New Roman"/>
                <w:color w:val="000000"/>
                <w:sz w:val="18"/>
                <w:szCs w:val="18"/>
              </w:rPr>
            </w:pPr>
            <w:r w:rsidRPr="003328EE">
              <w:rPr>
                <w:rFonts w:eastAsia="Times New Roman"/>
                <w:color w:val="000000"/>
                <w:sz w:val="18"/>
                <w:szCs w:val="18"/>
              </w:rPr>
              <w:t>Cravings</w:t>
            </w:r>
          </w:p>
        </w:tc>
        <w:tc>
          <w:tcPr>
            <w:tcW w:w="3183" w:type="dxa"/>
            <w:tcBorders>
              <w:top w:val="nil"/>
              <w:left w:val="nil"/>
              <w:bottom w:val="nil"/>
              <w:right w:val="nil"/>
            </w:tcBorders>
            <w:shd w:val="clear" w:color="auto" w:fill="auto"/>
            <w:noWrap/>
            <w:vAlign w:val="bottom"/>
            <w:hideMark/>
          </w:tcPr>
          <w:p w14:paraId="4E2BA7CF" w14:textId="505314B3"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7BD18E3B" w14:textId="2F1E4652"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14A6C10" w14:textId="40DA5FF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F207AC1" w14:textId="3D4AFA87" w:rsidR="00F826D0" w:rsidRPr="003328EE" w:rsidRDefault="00F826D0" w:rsidP="00D65F93">
            <w:pPr>
              <w:rPr>
                <w:rFonts w:eastAsia="Times New Roman"/>
                <w:color w:val="000000"/>
                <w:sz w:val="18"/>
                <w:szCs w:val="18"/>
              </w:rPr>
            </w:pPr>
            <w:r w:rsidRPr="003328EE">
              <w:rPr>
                <w:rFonts w:eastAsia="Times New Roman"/>
                <w:color w:val="000000"/>
                <w:sz w:val="18"/>
                <w:szCs w:val="18"/>
              </w:rPr>
              <w:t>Leroy &amp; Praet, 2015</w:t>
            </w:r>
          </w:p>
        </w:tc>
        <w:tc>
          <w:tcPr>
            <w:tcW w:w="1156" w:type="dxa"/>
            <w:tcBorders>
              <w:top w:val="nil"/>
              <w:left w:val="nil"/>
              <w:bottom w:val="nil"/>
              <w:right w:val="nil"/>
            </w:tcBorders>
            <w:shd w:val="clear" w:color="auto" w:fill="auto"/>
            <w:noWrap/>
            <w:vAlign w:val="bottom"/>
            <w:hideMark/>
          </w:tcPr>
          <w:p w14:paraId="6C1208E4" w14:textId="60A9719D"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39A07AB" w14:textId="77777777" w:rsidTr="00D65F93">
        <w:trPr>
          <w:trHeight w:val="320"/>
        </w:trPr>
        <w:tc>
          <w:tcPr>
            <w:tcW w:w="3545" w:type="dxa"/>
            <w:tcBorders>
              <w:top w:val="nil"/>
              <w:left w:val="nil"/>
              <w:bottom w:val="nil"/>
              <w:right w:val="nil"/>
            </w:tcBorders>
            <w:shd w:val="clear" w:color="auto" w:fill="auto"/>
            <w:noWrap/>
            <w:vAlign w:val="bottom"/>
            <w:hideMark/>
          </w:tcPr>
          <w:p w14:paraId="197B5B82" w14:textId="2F3ACC8A" w:rsidR="00F826D0" w:rsidRPr="003328EE" w:rsidRDefault="00F826D0" w:rsidP="00D65F93">
            <w:pPr>
              <w:rPr>
                <w:rFonts w:eastAsia="Times New Roman"/>
                <w:color w:val="000000"/>
                <w:sz w:val="18"/>
                <w:szCs w:val="18"/>
              </w:rPr>
            </w:pPr>
            <w:r w:rsidRPr="003328EE">
              <w:rPr>
                <w:rFonts w:eastAsia="Times New Roman"/>
                <w:color w:val="000000"/>
                <w:sz w:val="18"/>
                <w:szCs w:val="18"/>
              </w:rPr>
              <w:t>Cravings</w:t>
            </w:r>
          </w:p>
        </w:tc>
        <w:tc>
          <w:tcPr>
            <w:tcW w:w="3183" w:type="dxa"/>
            <w:tcBorders>
              <w:top w:val="nil"/>
              <w:left w:val="nil"/>
              <w:bottom w:val="nil"/>
              <w:right w:val="nil"/>
            </w:tcBorders>
            <w:shd w:val="clear" w:color="auto" w:fill="auto"/>
            <w:noWrap/>
            <w:vAlign w:val="bottom"/>
            <w:hideMark/>
          </w:tcPr>
          <w:p w14:paraId="2C723A7B" w14:textId="210286B6"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353A59A0" w14:textId="2B14F20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A8D19E8" w14:textId="6F587D8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2279766" w14:textId="0538CDE4" w:rsidR="00F826D0" w:rsidRPr="003328EE" w:rsidRDefault="00F826D0" w:rsidP="00D65F93">
            <w:pPr>
              <w:rPr>
                <w:rFonts w:eastAsia="Times New Roman"/>
                <w:color w:val="000000"/>
                <w:sz w:val="18"/>
                <w:szCs w:val="18"/>
              </w:rPr>
            </w:pPr>
            <w:r w:rsidRPr="003328EE">
              <w:rPr>
                <w:rFonts w:eastAsia="Times New Roman"/>
                <w:color w:val="000000"/>
                <w:sz w:val="18"/>
                <w:szCs w:val="18"/>
              </w:rPr>
              <w:t>Erinosho et al., 2015</w:t>
            </w:r>
          </w:p>
        </w:tc>
        <w:tc>
          <w:tcPr>
            <w:tcW w:w="1156" w:type="dxa"/>
            <w:tcBorders>
              <w:top w:val="nil"/>
              <w:left w:val="nil"/>
              <w:bottom w:val="nil"/>
              <w:right w:val="nil"/>
            </w:tcBorders>
            <w:shd w:val="clear" w:color="auto" w:fill="auto"/>
            <w:noWrap/>
            <w:vAlign w:val="bottom"/>
            <w:hideMark/>
          </w:tcPr>
          <w:p w14:paraId="33E7EDC9" w14:textId="6C9D762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90914CD" w14:textId="77777777" w:rsidTr="00D65F93">
        <w:trPr>
          <w:trHeight w:val="320"/>
        </w:trPr>
        <w:tc>
          <w:tcPr>
            <w:tcW w:w="3545" w:type="dxa"/>
            <w:tcBorders>
              <w:top w:val="nil"/>
              <w:left w:val="nil"/>
              <w:bottom w:val="nil"/>
              <w:right w:val="nil"/>
            </w:tcBorders>
            <w:shd w:val="clear" w:color="auto" w:fill="auto"/>
            <w:noWrap/>
            <w:vAlign w:val="bottom"/>
            <w:hideMark/>
          </w:tcPr>
          <w:p w14:paraId="2725082F" w14:textId="4AB85AD1" w:rsidR="00F826D0" w:rsidRPr="003328EE" w:rsidRDefault="00F826D0" w:rsidP="00D65F93">
            <w:pPr>
              <w:rPr>
                <w:rFonts w:eastAsia="Times New Roman"/>
                <w:color w:val="000000"/>
                <w:sz w:val="18"/>
                <w:szCs w:val="18"/>
              </w:rPr>
            </w:pPr>
            <w:r w:rsidRPr="003328EE">
              <w:rPr>
                <w:rFonts w:eastAsia="Times New Roman"/>
                <w:color w:val="000000"/>
                <w:sz w:val="18"/>
                <w:szCs w:val="18"/>
              </w:rPr>
              <w:t>Culture</w:t>
            </w:r>
          </w:p>
        </w:tc>
        <w:tc>
          <w:tcPr>
            <w:tcW w:w="3183" w:type="dxa"/>
            <w:tcBorders>
              <w:top w:val="nil"/>
              <w:left w:val="nil"/>
              <w:bottom w:val="nil"/>
              <w:right w:val="nil"/>
            </w:tcBorders>
            <w:shd w:val="clear" w:color="auto" w:fill="auto"/>
            <w:noWrap/>
            <w:vAlign w:val="bottom"/>
            <w:hideMark/>
          </w:tcPr>
          <w:p w14:paraId="52B7BD7A" w14:textId="72E28438"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DECD951" w14:textId="07A5A049"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259FD20" w14:textId="1E1194B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150827A" w14:textId="64F8F835" w:rsidR="00F826D0" w:rsidRPr="003328EE" w:rsidRDefault="00F826D0" w:rsidP="00D65F93">
            <w:pPr>
              <w:rPr>
                <w:rFonts w:eastAsia="Times New Roman"/>
                <w:color w:val="000000"/>
                <w:sz w:val="18"/>
                <w:szCs w:val="18"/>
              </w:rPr>
            </w:pPr>
            <w:r w:rsidRPr="003328EE">
              <w:rPr>
                <w:rFonts w:eastAsia="Times New Roman"/>
                <w:color w:val="000000"/>
                <w:sz w:val="18"/>
                <w:szCs w:val="18"/>
              </w:rPr>
              <w:t>Lea &amp; Worsley, 2003</w:t>
            </w:r>
          </w:p>
        </w:tc>
        <w:tc>
          <w:tcPr>
            <w:tcW w:w="1156" w:type="dxa"/>
            <w:tcBorders>
              <w:top w:val="nil"/>
              <w:left w:val="nil"/>
              <w:bottom w:val="nil"/>
              <w:right w:val="nil"/>
            </w:tcBorders>
            <w:shd w:val="clear" w:color="auto" w:fill="auto"/>
            <w:noWrap/>
            <w:vAlign w:val="bottom"/>
            <w:hideMark/>
          </w:tcPr>
          <w:p w14:paraId="48AA5198" w14:textId="26EE1A6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BAB77F4" w14:textId="77777777" w:rsidTr="00D65F93">
        <w:trPr>
          <w:trHeight w:val="320"/>
        </w:trPr>
        <w:tc>
          <w:tcPr>
            <w:tcW w:w="3545" w:type="dxa"/>
            <w:tcBorders>
              <w:top w:val="nil"/>
              <w:left w:val="nil"/>
              <w:bottom w:val="nil"/>
              <w:right w:val="nil"/>
            </w:tcBorders>
            <w:shd w:val="clear" w:color="auto" w:fill="auto"/>
            <w:noWrap/>
            <w:vAlign w:val="bottom"/>
            <w:hideMark/>
          </w:tcPr>
          <w:p w14:paraId="7C6FDB7A" w14:textId="6E2B5604" w:rsidR="00F826D0" w:rsidRPr="003328EE" w:rsidRDefault="00F826D0" w:rsidP="00D65F93">
            <w:pPr>
              <w:rPr>
                <w:rFonts w:eastAsia="Times New Roman"/>
                <w:color w:val="000000"/>
                <w:sz w:val="18"/>
                <w:szCs w:val="18"/>
              </w:rPr>
            </w:pPr>
            <w:r w:rsidRPr="003328EE">
              <w:rPr>
                <w:rFonts w:eastAsia="Times New Roman"/>
                <w:color w:val="000000"/>
                <w:sz w:val="18"/>
                <w:szCs w:val="18"/>
              </w:rPr>
              <w:t>Culture</w:t>
            </w:r>
          </w:p>
        </w:tc>
        <w:tc>
          <w:tcPr>
            <w:tcW w:w="3183" w:type="dxa"/>
            <w:tcBorders>
              <w:top w:val="nil"/>
              <w:left w:val="nil"/>
              <w:bottom w:val="nil"/>
              <w:right w:val="nil"/>
            </w:tcBorders>
            <w:shd w:val="clear" w:color="auto" w:fill="auto"/>
            <w:noWrap/>
            <w:vAlign w:val="bottom"/>
            <w:hideMark/>
          </w:tcPr>
          <w:p w14:paraId="6A43E3CF" w14:textId="1A73EF40"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49876C37" w14:textId="6EBA1A1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B4F6906" w14:textId="386A506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07CEC5C" w14:textId="00C9EF13" w:rsidR="00F826D0" w:rsidRPr="003328EE" w:rsidRDefault="00F826D0" w:rsidP="00D65F93">
            <w:pPr>
              <w:rPr>
                <w:rFonts w:eastAsia="Times New Roman"/>
                <w:color w:val="000000"/>
                <w:sz w:val="18"/>
                <w:szCs w:val="18"/>
              </w:rPr>
            </w:pPr>
            <w:r w:rsidRPr="003328EE">
              <w:rPr>
                <w:rFonts w:eastAsia="Times New Roman"/>
                <w:color w:val="000000"/>
                <w:sz w:val="18"/>
                <w:szCs w:val="18"/>
              </w:rPr>
              <w:t>Pohjolainen et al., 2014</w:t>
            </w:r>
          </w:p>
        </w:tc>
        <w:tc>
          <w:tcPr>
            <w:tcW w:w="1156" w:type="dxa"/>
            <w:tcBorders>
              <w:top w:val="nil"/>
              <w:left w:val="nil"/>
              <w:bottom w:val="nil"/>
              <w:right w:val="nil"/>
            </w:tcBorders>
            <w:shd w:val="clear" w:color="auto" w:fill="auto"/>
            <w:noWrap/>
            <w:vAlign w:val="bottom"/>
            <w:hideMark/>
          </w:tcPr>
          <w:p w14:paraId="338475E4" w14:textId="43C81B1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C9466C8" w14:textId="77777777" w:rsidTr="00D65F93">
        <w:trPr>
          <w:trHeight w:val="320"/>
        </w:trPr>
        <w:tc>
          <w:tcPr>
            <w:tcW w:w="3545" w:type="dxa"/>
            <w:tcBorders>
              <w:top w:val="nil"/>
              <w:left w:val="nil"/>
              <w:bottom w:val="nil"/>
              <w:right w:val="nil"/>
            </w:tcBorders>
            <w:shd w:val="clear" w:color="auto" w:fill="auto"/>
            <w:noWrap/>
            <w:vAlign w:val="bottom"/>
            <w:hideMark/>
          </w:tcPr>
          <w:p w14:paraId="7C25BA75" w14:textId="5165912B" w:rsidR="00F826D0" w:rsidRPr="003328EE" w:rsidRDefault="00F826D0" w:rsidP="00D65F93">
            <w:pPr>
              <w:rPr>
                <w:rFonts w:eastAsia="Times New Roman"/>
                <w:color w:val="000000"/>
                <w:sz w:val="18"/>
                <w:szCs w:val="18"/>
              </w:rPr>
            </w:pPr>
            <w:r w:rsidRPr="003328EE">
              <w:rPr>
                <w:rFonts w:eastAsia="Times New Roman"/>
                <w:color w:val="000000"/>
                <w:sz w:val="18"/>
                <w:szCs w:val="18"/>
              </w:rPr>
              <w:t>Culture</w:t>
            </w:r>
          </w:p>
        </w:tc>
        <w:tc>
          <w:tcPr>
            <w:tcW w:w="3183" w:type="dxa"/>
            <w:tcBorders>
              <w:top w:val="nil"/>
              <w:left w:val="nil"/>
              <w:bottom w:val="nil"/>
              <w:right w:val="nil"/>
            </w:tcBorders>
            <w:shd w:val="clear" w:color="auto" w:fill="auto"/>
            <w:noWrap/>
            <w:vAlign w:val="bottom"/>
            <w:hideMark/>
          </w:tcPr>
          <w:p w14:paraId="4E6F0D38" w14:textId="63170CA4"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55AFAC8" w14:textId="4B73188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E539189" w14:textId="2C52ADA4"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7032E87" w14:textId="6DA91E02" w:rsidR="00F826D0" w:rsidRPr="003328EE" w:rsidRDefault="00F826D0" w:rsidP="00D65F93">
            <w:pPr>
              <w:rPr>
                <w:rFonts w:eastAsia="Times New Roman"/>
                <w:color w:val="000000"/>
                <w:sz w:val="18"/>
                <w:szCs w:val="18"/>
              </w:rPr>
            </w:pPr>
            <w:r w:rsidRPr="003328EE">
              <w:rPr>
                <w:rFonts w:eastAsia="Times New Roman"/>
                <w:color w:val="000000"/>
                <w:sz w:val="18"/>
                <w:szCs w:val="18"/>
              </w:rPr>
              <w:t>Leroy &amp; Praet, 2015</w:t>
            </w:r>
          </w:p>
        </w:tc>
        <w:tc>
          <w:tcPr>
            <w:tcW w:w="1156" w:type="dxa"/>
            <w:tcBorders>
              <w:top w:val="nil"/>
              <w:left w:val="nil"/>
              <w:bottom w:val="nil"/>
              <w:right w:val="nil"/>
            </w:tcBorders>
            <w:shd w:val="clear" w:color="auto" w:fill="auto"/>
            <w:noWrap/>
            <w:vAlign w:val="bottom"/>
            <w:hideMark/>
          </w:tcPr>
          <w:p w14:paraId="601CD140" w14:textId="3E33321B"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F6030BE" w14:textId="77777777" w:rsidTr="00D65F93">
        <w:trPr>
          <w:trHeight w:val="320"/>
        </w:trPr>
        <w:tc>
          <w:tcPr>
            <w:tcW w:w="3545" w:type="dxa"/>
            <w:tcBorders>
              <w:top w:val="nil"/>
              <w:left w:val="nil"/>
              <w:bottom w:val="nil"/>
              <w:right w:val="nil"/>
            </w:tcBorders>
            <w:shd w:val="clear" w:color="auto" w:fill="auto"/>
            <w:noWrap/>
            <w:vAlign w:val="bottom"/>
            <w:hideMark/>
          </w:tcPr>
          <w:p w14:paraId="7437DB06" w14:textId="62B0C17C" w:rsidR="00F826D0" w:rsidRPr="003328EE" w:rsidRDefault="00F826D0" w:rsidP="00D65F93">
            <w:pPr>
              <w:rPr>
                <w:rFonts w:eastAsia="Times New Roman"/>
                <w:color w:val="000000"/>
                <w:sz w:val="18"/>
                <w:szCs w:val="18"/>
              </w:rPr>
            </w:pPr>
            <w:r w:rsidRPr="003328EE">
              <w:rPr>
                <w:rFonts w:eastAsia="Times New Roman"/>
                <w:color w:val="000000"/>
                <w:sz w:val="18"/>
                <w:szCs w:val="18"/>
              </w:rPr>
              <w:t>Culture</w:t>
            </w:r>
          </w:p>
        </w:tc>
        <w:tc>
          <w:tcPr>
            <w:tcW w:w="3183" w:type="dxa"/>
            <w:tcBorders>
              <w:top w:val="nil"/>
              <w:left w:val="nil"/>
              <w:bottom w:val="nil"/>
              <w:right w:val="nil"/>
            </w:tcBorders>
            <w:shd w:val="clear" w:color="auto" w:fill="auto"/>
            <w:noWrap/>
            <w:vAlign w:val="bottom"/>
            <w:hideMark/>
          </w:tcPr>
          <w:p w14:paraId="1DDA6340" w14:textId="1AB3AF52"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E1E61A5" w14:textId="59E36828"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E94D726" w14:textId="4F3DCCD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F0EAF56" w14:textId="154B69C6" w:rsidR="00F826D0" w:rsidRPr="003328EE" w:rsidRDefault="00F826D0" w:rsidP="00D65F93">
            <w:pPr>
              <w:rPr>
                <w:rFonts w:eastAsia="Times New Roman"/>
                <w:color w:val="000000"/>
                <w:sz w:val="18"/>
                <w:szCs w:val="18"/>
              </w:rPr>
            </w:pPr>
            <w:r w:rsidRPr="003328EE">
              <w:rPr>
                <w:rFonts w:eastAsia="Times New Roman"/>
                <w:color w:val="000000"/>
                <w:sz w:val="18"/>
                <w:szCs w:val="18"/>
              </w:rPr>
              <w:t>Batison et al., 2012</w:t>
            </w:r>
          </w:p>
        </w:tc>
        <w:tc>
          <w:tcPr>
            <w:tcW w:w="1156" w:type="dxa"/>
            <w:tcBorders>
              <w:top w:val="nil"/>
              <w:left w:val="nil"/>
              <w:bottom w:val="nil"/>
              <w:right w:val="nil"/>
            </w:tcBorders>
            <w:shd w:val="clear" w:color="auto" w:fill="auto"/>
            <w:noWrap/>
            <w:vAlign w:val="bottom"/>
            <w:hideMark/>
          </w:tcPr>
          <w:p w14:paraId="31694A9D" w14:textId="7F0A9ED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AEDBC48" w14:textId="77777777" w:rsidTr="00D65F93">
        <w:trPr>
          <w:trHeight w:val="320"/>
        </w:trPr>
        <w:tc>
          <w:tcPr>
            <w:tcW w:w="3545" w:type="dxa"/>
            <w:tcBorders>
              <w:top w:val="nil"/>
              <w:left w:val="nil"/>
              <w:bottom w:val="nil"/>
              <w:right w:val="nil"/>
            </w:tcBorders>
            <w:shd w:val="clear" w:color="auto" w:fill="auto"/>
            <w:noWrap/>
            <w:vAlign w:val="bottom"/>
            <w:hideMark/>
          </w:tcPr>
          <w:p w14:paraId="183ABC59" w14:textId="7F51EC6E" w:rsidR="00F826D0" w:rsidRPr="003328EE" w:rsidRDefault="00F826D0" w:rsidP="00D65F93">
            <w:pPr>
              <w:rPr>
                <w:rFonts w:eastAsia="Times New Roman"/>
                <w:color w:val="000000"/>
                <w:sz w:val="18"/>
                <w:szCs w:val="18"/>
              </w:rPr>
            </w:pPr>
            <w:r w:rsidRPr="003328EE">
              <w:rPr>
                <w:rFonts w:eastAsia="Times New Roman"/>
                <w:color w:val="000000"/>
                <w:sz w:val="18"/>
                <w:szCs w:val="18"/>
              </w:rPr>
              <w:t>Culture</w:t>
            </w:r>
          </w:p>
        </w:tc>
        <w:tc>
          <w:tcPr>
            <w:tcW w:w="3183" w:type="dxa"/>
            <w:tcBorders>
              <w:top w:val="nil"/>
              <w:left w:val="nil"/>
              <w:bottom w:val="nil"/>
              <w:right w:val="nil"/>
            </w:tcBorders>
            <w:shd w:val="clear" w:color="auto" w:fill="auto"/>
            <w:noWrap/>
            <w:vAlign w:val="bottom"/>
            <w:hideMark/>
          </w:tcPr>
          <w:p w14:paraId="20585536" w14:textId="5CE787C2"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77C9B8E7" w14:textId="4D763D16"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0C77047" w14:textId="768965F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E2B1F18" w14:textId="62C9D263" w:rsidR="00F826D0" w:rsidRPr="003328EE" w:rsidRDefault="00F826D0" w:rsidP="00D65F93">
            <w:pPr>
              <w:rPr>
                <w:rFonts w:eastAsia="Times New Roman"/>
                <w:color w:val="000000"/>
                <w:sz w:val="18"/>
                <w:szCs w:val="18"/>
              </w:rPr>
            </w:pPr>
            <w:r w:rsidRPr="003328EE">
              <w:rPr>
                <w:rFonts w:eastAsia="Times New Roman"/>
                <w:color w:val="000000"/>
                <w:sz w:val="18"/>
                <w:szCs w:val="18"/>
              </w:rPr>
              <w:t>Vinnari &amp; Vinnari, 2013</w:t>
            </w:r>
          </w:p>
        </w:tc>
        <w:tc>
          <w:tcPr>
            <w:tcW w:w="1156" w:type="dxa"/>
            <w:tcBorders>
              <w:top w:val="nil"/>
              <w:left w:val="nil"/>
              <w:bottom w:val="nil"/>
              <w:right w:val="nil"/>
            </w:tcBorders>
            <w:shd w:val="clear" w:color="auto" w:fill="auto"/>
            <w:noWrap/>
            <w:vAlign w:val="bottom"/>
            <w:hideMark/>
          </w:tcPr>
          <w:p w14:paraId="6754CA9C" w14:textId="52DE958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60043A1" w14:textId="77777777" w:rsidTr="00D65F93">
        <w:trPr>
          <w:trHeight w:val="320"/>
        </w:trPr>
        <w:tc>
          <w:tcPr>
            <w:tcW w:w="3545" w:type="dxa"/>
            <w:tcBorders>
              <w:top w:val="nil"/>
              <w:left w:val="nil"/>
              <w:bottom w:val="nil"/>
              <w:right w:val="nil"/>
            </w:tcBorders>
            <w:shd w:val="clear" w:color="auto" w:fill="auto"/>
            <w:noWrap/>
            <w:vAlign w:val="bottom"/>
            <w:hideMark/>
          </w:tcPr>
          <w:p w14:paraId="4D5CE86D" w14:textId="6FB827B8" w:rsidR="00F826D0" w:rsidRPr="003328EE" w:rsidRDefault="00F826D0" w:rsidP="00D65F93">
            <w:pPr>
              <w:rPr>
                <w:rFonts w:eastAsia="Times New Roman"/>
                <w:color w:val="000000"/>
                <w:sz w:val="18"/>
                <w:szCs w:val="18"/>
              </w:rPr>
            </w:pPr>
            <w:r w:rsidRPr="003328EE">
              <w:rPr>
                <w:rFonts w:eastAsia="Times New Roman"/>
                <w:color w:val="000000"/>
                <w:sz w:val="18"/>
                <w:szCs w:val="18"/>
              </w:rPr>
              <w:t>Culture</w:t>
            </w:r>
          </w:p>
        </w:tc>
        <w:tc>
          <w:tcPr>
            <w:tcW w:w="3183" w:type="dxa"/>
            <w:tcBorders>
              <w:top w:val="nil"/>
              <w:left w:val="nil"/>
              <w:bottom w:val="nil"/>
              <w:right w:val="nil"/>
            </w:tcBorders>
            <w:shd w:val="clear" w:color="auto" w:fill="auto"/>
            <w:noWrap/>
            <w:vAlign w:val="bottom"/>
            <w:hideMark/>
          </w:tcPr>
          <w:p w14:paraId="004D8860" w14:textId="40F1C748"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39757822" w14:textId="6DF78492"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A8E7F1A" w14:textId="31B676E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7AEECFF" w14:textId="78CA7D75"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2014</w:t>
            </w:r>
          </w:p>
        </w:tc>
        <w:tc>
          <w:tcPr>
            <w:tcW w:w="1156" w:type="dxa"/>
            <w:tcBorders>
              <w:top w:val="nil"/>
              <w:left w:val="nil"/>
              <w:bottom w:val="nil"/>
              <w:right w:val="nil"/>
            </w:tcBorders>
            <w:shd w:val="clear" w:color="auto" w:fill="auto"/>
            <w:noWrap/>
            <w:vAlign w:val="bottom"/>
            <w:hideMark/>
          </w:tcPr>
          <w:p w14:paraId="0CC6E9B4" w14:textId="1521E506"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8980F39" w14:textId="77777777" w:rsidTr="00D65F93">
        <w:trPr>
          <w:trHeight w:val="320"/>
        </w:trPr>
        <w:tc>
          <w:tcPr>
            <w:tcW w:w="3545" w:type="dxa"/>
            <w:tcBorders>
              <w:top w:val="nil"/>
              <w:left w:val="nil"/>
              <w:bottom w:val="nil"/>
              <w:right w:val="nil"/>
            </w:tcBorders>
            <w:shd w:val="clear" w:color="auto" w:fill="auto"/>
            <w:noWrap/>
            <w:vAlign w:val="bottom"/>
            <w:hideMark/>
          </w:tcPr>
          <w:p w14:paraId="132F5BE5" w14:textId="6F2961CB" w:rsidR="00F826D0" w:rsidRPr="003328EE" w:rsidRDefault="00F826D0" w:rsidP="00D65F93">
            <w:pPr>
              <w:rPr>
                <w:rFonts w:eastAsia="Times New Roman"/>
                <w:color w:val="000000"/>
                <w:sz w:val="18"/>
                <w:szCs w:val="18"/>
              </w:rPr>
            </w:pPr>
            <w:r w:rsidRPr="003328EE">
              <w:rPr>
                <w:rFonts w:eastAsia="Times New Roman"/>
                <w:color w:val="000000"/>
                <w:sz w:val="18"/>
                <w:szCs w:val="18"/>
              </w:rPr>
              <w:t>Culture</w:t>
            </w:r>
          </w:p>
        </w:tc>
        <w:tc>
          <w:tcPr>
            <w:tcW w:w="3183" w:type="dxa"/>
            <w:tcBorders>
              <w:top w:val="nil"/>
              <w:left w:val="nil"/>
              <w:bottom w:val="nil"/>
              <w:right w:val="nil"/>
            </w:tcBorders>
            <w:shd w:val="clear" w:color="auto" w:fill="auto"/>
            <w:noWrap/>
            <w:vAlign w:val="bottom"/>
            <w:hideMark/>
          </w:tcPr>
          <w:p w14:paraId="1AE522F5" w14:textId="1B025158"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37ABE69" w14:textId="28D2692D"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6E79ED4" w14:textId="14A415D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EC51F4E" w14:textId="00AFEE56" w:rsidR="00F826D0" w:rsidRPr="003328EE" w:rsidRDefault="00F826D0" w:rsidP="00D65F93">
            <w:pPr>
              <w:rPr>
                <w:rFonts w:eastAsia="Times New Roman"/>
                <w:color w:val="000000"/>
                <w:sz w:val="18"/>
                <w:szCs w:val="18"/>
              </w:rPr>
            </w:pPr>
            <w:r w:rsidRPr="003328EE">
              <w:rPr>
                <w:rFonts w:eastAsia="Times New Roman"/>
                <w:color w:val="000000"/>
                <w:sz w:val="18"/>
                <w:szCs w:val="18"/>
              </w:rPr>
              <w:t>Vanhonacker et al., 2013</w:t>
            </w:r>
          </w:p>
        </w:tc>
        <w:tc>
          <w:tcPr>
            <w:tcW w:w="1156" w:type="dxa"/>
            <w:tcBorders>
              <w:top w:val="nil"/>
              <w:left w:val="nil"/>
              <w:bottom w:val="nil"/>
              <w:right w:val="nil"/>
            </w:tcBorders>
            <w:shd w:val="clear" w:color="auto" w:fill="auto"/>
            <w:noWrap/>
            <w:vAlign w:val="bottom"/>
            <w:hideMark/>
          </w:tcPr>
          <w:p w14:paraId="5B4EC994" w14:textId="3BCCA05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CF8D53E" w14:textId="77777777" w:rsidTr="00D65F93">
        <w:trPr>
          <w:trHeight w:val="320"/>
        </w:trPr>
        <w:tc>
          <w:tcPr>
            <w:tcW w:w="3545" w:type="dxa"/>
            <w:tcBorders>
              <w:top w:val="nil"/>
              <w:left w:val="nil"/>
              <w:bottom w:val="nil"/>
              <w:right w:val="nil"/>
            </w:tcBorders>
            <w:shd w:val="clear" w:color="auto" w:fill="auto"/>
            <w:noWrap/>
            <w:vAlign w:val="bottom"/>
            <w:hideMark/>
          </w:tcPr>
          <w:p w14:paraId="7C8D0373" w14:textId="23DDD566" w:rsidR="00F826D0" w:rsidRPr="003328EE" w:rsidRDefault="00F826D0" w:rsidP="00D65F93">
            <w:pPr>
              <w:rPr>
                <w:rFonts w:eastAsia="Times New Roman"/>
                <w:color w:val="000000"/>
                <w:sz w:val="18"/>
                <w:szCs w:val="18"/>
              </w:rPr>
            </w:pPr>
            <w:r w:rsidRPr="003328EE">
              <w:rPr>
                <w:rFonts w:eastAsia="Times New Roman"/>
                <w:color w:val="000000"/>
                <w:sz w:val="18"/>
                <w:szCs w:val="18"/>
              </w:rPr>
              <w:t>Culture</w:t>
            </w:r>
          </w:p>
        </w:tc>
        <w:tc>
          <w:tcPr>
            <w:tcW w:w="3183" w:type="dxa"/>
            <w:tcBorders>
              <w:top w:val="nil"/>
              <w:left w:val="nil"/>
              <w:bottom w:val="nil"/>
              <w:right w:val="nil"/>
            </w:tcBorders>
            <w:shd w:val="clear" w:color="auto" w:fill="auto"/>
            <w:noWrap/>
            <w:vAlign w:val="bottom"/>
            <w:hideMark/>
          </w:tcPr>
          <w:p w14:paraId="48CA5BD2" w14:textId="79FDCF96"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63169AC" w14:textId="56751515"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0AFB1EC" w14:textId="4E92BD9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F495451" w14:textId="6D16067A" w:rsidR="00F826D0" w:rsidRPr="003328EE" w:rsidRDefault="00F826D0" w:rsidP="00D65F93">
            <w:pPr>
              <w:rPr>
                <w:rFonts w:eastAsia="Times New Roman"/>
                <w:color w:val="000000"/>
                <w:sz w:val="18"/>
                <w:szCs w:val="18"/>
              </w:rPr>
            </w:pPr>
            <w:r w:rsidRPr="003328EE">
              <w:rPr>
                <w:rFonts w:eastAsia="Times New Roman"/>
                <w:color w:val="000000"/>
                <w:sz w:val="18"/>
                <w:szCs w:val="18"/>
              </w:rPr>
              <w:t>Carlsson-Kanyama, 1998</w:t>
            </w:r>
          </w:p>
        </w:tc>
        <w:tc>
          <w:tcPr>
            <w:tcW w:w="1156" w:type="dxa"/>
            <w:tcBorders>
              <w:top w:val="nil"/>
              <w:left w:val="nil"/>
              <w:bottom w:val="nil"/>
              <w:right w:val="nil"/>
            </w:tcBorders>
            <w:shd w:val="clear" w:color="auto" w:fill="auto"/>
            <w:noWrap/>
            <w:vAlign w:val="bottom"/>
            <w:hideMark/>
          </w:tcPr>
          <w:p w14:paraId="6B34A05C" w14:textId="7A2F23B8"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Primary </w:t>
            </w:r>
          </w:p>
        </w:tc>
      </w:tr>
      <w:tr w:rsidR="00F826D0" w:rsidRPr="003328EE" w14:paraId="74E0BC99" w14:textId="77777777" w:rsidTr="00D65F93">
        <w:trPr>
          <w:trHeight w:val="320"/>
        </w:trPr>
        <w:tc>
          <w:tcPr>
            <w:tcW w:w="3545" w:type="dxa"/>
            <w:tcBorders>
              <w:top w:val="nil"/>
              <w:left w:val="nil"/>
              <w:bottom w:val="nil"/>
              <w:right w:val="nil"/>
            </w:tcBorders>
            <w:shd w:val="clear" w:color="auto" w:fill="auto"/>
            <w:noWrap/>
            <w:vAlign w:val="bottom"/>
            <w:hideMark/>
          </w:tcPr>
          <w:p w14:paraId="5119940C" w14:textId="586BE094" w:rsidR="00F826D0" w:rsidRPr="003328EE" w:rsidRDefault="00F826D0" w:rsidP="00D65F93">
            <w:pPr>
              <w:rPr>
                <w:rFonts w:eastAsia="Times New Roman"/>
                <w:color w:val="000000"/>
                <w:sz w:val="18"/>
                <w:szCs w:val="18"/>
              </w:rPr>
            </w:pPr>
            <w:r w:rsidRPr="003328EE">
              <w:rPr>
                <w:rFonts w:eastAsia="Times New Roman"/>
                <w:color w:val="000000"/>
                <w:sz w:val="18"/>
                <w:szCs w:val="18"/>
              </w:rPr>
              <w:t>Culture</w:t>
            </w:r>
          </w:p>
        </w:tc>
        <w:tc>
          <w:tcPr>
            <w:tcW w:w="3183" w:type="dxa"/>
            <w:tcBorders>
              <w:top w:val="nil"/>
              <w:left w:val="nil"/>
              <w:bottom w:val="nil"/>
              <w:right w:val="nil"/>
            </w:tcBorders>
            <w:shd w:val="clear" w:color="auto" w:fill="auto"/>
            <w:noWrap/>
            <w:vAlign w:val="bottom"/>
            <w:hideMark/>
          </w:tcPr>
          <w:p w14:paraId="5D51791C" w14:textId="5A03421A"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99FFE77" w14:textId="401D683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9F1E629" w14:textId="12E8398D"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0177EF2" w14:textId="4D3C6ABC" w:rsidR="00F826D0" w:rsidRPr="003328EE" w:rsidRDefault="00F826D0" w:rsidP="00D65F93">
            <w:pPr>
              <w:rPr>
                <w:rFonts w:eastAsia="Times New Roman"/>
                <w:color w:val="000000"/>
                <w:sz w:val="18"/>
                <w:szCs w:val="18"/>
              </w:rPr>
            </w:pPr>
            <w:r w:rsidRPr="003328EE">
              <w:rPr>
                <w:rFonts w:eastAsia="Times New Roman"/>
                <w:color w:val="000000"/>
                <w:sz w:val="18"/>
                <w:szCs w:val="18"/>
              </w:rPr>
              <w:t>Kearney, 2010</w:t>
            </w:r>
          </w:p>
        </w:tc>
        <w:tc>
          <w:tcPr>
            <w:tcW w:w="1156" w:type="dxa"/>
            <w:tcBorders>
              <w:top w:val="nil"/>
              <w:left w:val="nil"/>
              <w:bottom w:val="nil"/>
              <w:right w:val="nil"/>
            </w:tcBorders>
            <w:shd w:val="clear" w:color="auto" w:fill="auto"/>
            <w:noWrap/>
            <w:vAlign w:val="bottom"/>
            <w:hideMark/>
          </w:tcPr>
          <w:p w14:paraId="606DF1C3" w14:textId="63B40237"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AE78C5E" w14:textId="77777777" w:rsidTr="00D65F93">
        <w:trPr>
          <w:trHeight w:val="320"/>
        </w:trPr>
        <w:tc>
          <w:tcPr>
            <w:tcW w:w="3545" w:type="dxa"/>
            <w:tcBorders>
              <w:top w:val="nil"/>
              <w:left w:val="nil"/>
              <w:bottom w:val="nil"/>
              <w:right w:val="nil"/>
            </w:tcBorders>
            <w:shd w:val="clear" w:color="auto" w:fill="auto"/>
            <w:noWrap/>
            <w:vAlign w:val="bottom"/>
            <w:hideMark/>
          </w:tcPr>
          <w:p w14:paraId="6CB035F6" w14:textId="3FEF6CE0" w:rsidR="00F826D0" w:rsidRPr="003328EE" w:rsidRDefault="00F826D0" w:rsidP="00D65F93">
            <w:pPr>
              <w:rPr>
                <w:rFonts w:eastAsia="Times New Roman"/>
                <w:color w:val="000000"/>
                <w:sz w:val="18"/>
                <w:szCs w:val="18"/>
              </w:rPr>
            </w:pPr>
            <w:r w:rsidRPr="003328EE">
              <w:rPr>
                <w:rFonts w:eastAsia="Times New Roman"/>
                <w:color w:val="000000"/>
                <w:sz w:val="18"/>
                <w:szCs w:val="18"/>
              </w:rPr>
              <w:t>Difficult</w:t>
            </w:r>
          </w:p>
        </w:tc>
        <w:tc>
          <w:tcPr>
            <w:tcW w:w="3183" w:type="dxa"/>
            <w:tcBorders>
              <w:top w:val="nil"/>
              <w:left w:val="nil"/>
              <w:bottom w:val="nil"/>
              <w:right w:val="nil"/>
            </w:tcBorders>
            <w:shd w:val="clear" w:color="auto" w:fill="auto"/>
            <w:noWrap/>
            <w:vAlign w:val="bottom"/>
            <w:hideMark/>
          </w:tcPr>
          <w:p w14:paraId="3F130C4A" w14:textId="664CD484"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8CB3857" w14:textId="0779CF2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73D4A0F" w14:textId="46B0E1A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54EDCDE" w14:textId="72C8C54B" w:rsidR="00F826D0" w:rsidRPr="003328EE" w:rsidRDefault="00F826D0" w:rsidP="00D65F93">
            <w:pPr>
              <w:rPr>
                <w:rFonts w:eastAsia="Times New Roman"/>
                <w:color w:val="000000"/>
                <w:sz w:val="18"/>
                <w:szCs w:val="18"/>
              </w:rPr>
            </w:pPr>
            <w:r w:rsidRPr="003328EE">
              <w:rPr>
                <w:rFonts w:eastAsia="Times New Roman"/>
                <w:color w:val="000000"/>
                <w:sz w:val="18"/>
                <w:szCs w:val="18"/>
              </w:rPr>
              <w:t>Makiniemi &amp; Vinio, 2014</w:t>
            </w:r>
          </w:p>
        </w:tc>
        <w:tc>
          <w:tcPr>
            <w:tcW w:w="1156" w:type="dxa"/>
            <w:tcBorders>
              <w:top w:val="nil"/>
              <w:left w:val="nil"/>
              <w:bottom w:val="nil"/>
              <w:right w:val="nil"/>
            </w:tcBorders>
            <w:shd w:val="clear" w:color="auto" w:fill="auto"/>
            <w:noWrap/>
            <w:vAlign w:val="bottom"/>
            <w:hideMark/>
          </w:tcPr>
          <w:p w14:paraId="4D7C0C0F" w14:textId="600DE38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A006E89" w14:textId="77777777" w:rsidTr="00D65F93">
        <w:trPr>
          <w:trHeight w:val="320"/>
        </w:trPr>
        <w:tc>
          <w:tcPr>
            <w:tcW w:w="3545" w:type="dxa"/>
            <w:tcBorders>
              <w:top w:val="nil"/>
              <w:left w:val="nil"/>
              <w:bottom w:val="nil"/>
              <w:right w:val="nil"/>
            </w:tcBorders>
            <w:shd w:val="clear" w:color="auto" w:fill="auto"/>
            <w:noWrap/>
            <w:vAlign w:val="bottom"/>
            <w:hideMark/>
          </w:tcPr>
          <w:p w14:paraId="1000C1BA" w14:textId="62E385BC" w:rsidR="00F826D0" w:rsidRPr="003328EE" w:rsidRDefault="00F826D0" w:rsidP="00D65F93">
            <w:pPr>
              <w:rPr>
                <w:rFonts w:eastAsia="Times New Roman"/>
                <w:color w:val="000000"/>
                <w:sz w:val="18"/>
                <w:szCs w:val="18"/>
              </w:rPr>
            </w:pPr>
            <w:r w:rsidRPr="003328EE">
              <w:rPr>
                <w:rFonts w:eastAsia="Times New Roman"/>
                <w:color w:val="000000"/>
                <w:sz w:val="18"/>
                <w:szCs w:val="18"/>
              </w:rPr>
              <w:t>Enjoyment</w:t>
            </w:r>
          </w:p>
        </w:tc>
        <w:tc>
          <w:tcPr>
            <w:tcW w:w="3183" w:type="dxa"/>
            <w:tcBorders>
              <w:top w:val="nil"/>
              <w:left w:val="nil"/>
              <w:bottom w:val="nil"/>
              <w:right w:val="nil"/>
            </w:tcBorders>
            <w:shd w:val="clear" w:color="auto" w:fill="auto"/>
            <w:noWrap/>
            <w:vAlign w:val="bottom"/>
            <w:hideMark/>
          </w:tcPr>
          <w:p w14:paraId="0814AC4E" w14:textId="6C6360D6"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C22D480" w14:textId="40F45A25"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F3EF3C2" w14:textId="36E3246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D1A61B3" w14:textId="546AEA96" w:rsidR="00F826D0" w:rsidRPr="003328EE" w:rsidRDefault="00F826D0" w:rsidP="00D65F93">
            <w:pPr>
              <w:rPr>
                <w:rFonts w:eastAsia="Times New Roman"/>
                <w:color w:val="000000"/>
                <w:sz w:val="18"/>
                <w:szCs w:val="18"/>
              </w:rPr>
            </w:pPr>
            <w:r w:rsidRPr="003328EE">
              <w:rPr>
                <w:rFonts w:eastAsia="Times New Roman"/>
                <w:color w:val="000000"/>
                <w:sz w:val="18"/>
                <w:szCs w:val="18"/>
              </w:rPr>
              <w:t>Lea &amp; Worsley, 2003</w:t>
            </w:r>
          </w:p>
        </w:tc>
        <w:tc>
          <w:tcPr>
            <w:tcW w:w="1156" w:type="dxa"/>
            <w:tcBorders>
              <w:top w:val="nil"/>
              <w:left w:val="nil"/>
              <w:bottom w:val="nil"/>
              <w:right w:val="nil"/>
            </w:tcBorders>
            <w:shd w:val="clear" w:color="auto" w:fill="auto"/>
            <w:noWrap/>
            <w:vAlign w:val="bottom"/>
            <w:hideMark/>
          </w:tcPr>
          <w:p w14:paraId="6822CC31" w14:textId="030C41B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E5A84E2" w14:textId="77777777" w:rsidTr="00D65F93">
        <w:trPr>
          <w:trHeight w:val="320"/>
        </w:trPr>
        <w:tc>
          <w:tcPr>
            <w:tcW w:w="3545" w:type="dxa"/>
            <w:tcBorders>
              <w:top w:val="nil"/>
              <w:left w:val="nil"/>
              <w:bottom w:val="nil"/>
              <w:right w:val="nil"/>
            </w:tcBorders>
            <w:shd w:val="clear" w:color="auto" w:fill="auto"/>
            <w:noWrap/>
            <w:vAlign w:val="bottom"/>
            <w:hideMark/>
          </w:tcPr>
          <w:p w14:paraId="1D9D457A" w14:textId="3A48A44C" w:rsidR="00F826D0" w:rsidRPr="003328EE" w:rsidRDefault="00F826D0" w:rsidP="00D65F93">
            <w:pPr>
              <w:rPr>
                <w:rFonts w:eastAsia="Times New Roman"/>
                <w:color w:val="000000"/>
                <w:sz w:val="18"/>
                <w:szCs w:val="18"/>
              </w:rPr>
            </w:pPr>
            <w:r w:rsidRPr="003328EE">
              <w:rPr>
                <w:rFonts w:eastAsia="Times New Roman"/>
                <w:color w:val="000000"/>
                <w:sz w:val="18"/>
                <w:szCs w:val="18"/>
              </w:rPr>
              <w:t>Enjoyment</w:t>
            </w:r>
          </w:p>
        </w:tc>
        <w:tc>
          <w:tcPr>
            <w:tcW w:w="3183" w:type="dxa"/>
            <w:tcBorders>
              <w:top w:val="nil"/>
              <w:left w:val="nil"/>
              <w:bottom w:val="nil"/>
              <w:right w:val="nil"/>
            </w:tcBorders>
            <w:shd w:val="clear" w:color="auto" w:fill="auto"/>
            <w:noWrap/>
            <w:vAlign w:val="bottom"/>
            <w:hideMark/>
          </w:tcPr>
          <w:p w14:paraId="357F2CA4" w14:textId="49565E1F"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AE068D1" w14:textId="04EE777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E220094" w14:textId="0C082F45"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97D01E9" w14:textId="6AE89D01" w:rsidR="00F826D0" w:rsidRPr="003328EE" w:rsidRDefault="00F826D0" w:rsidP="00D65F93">
            <w:pPr>
              <w:rPr>
                <w:rFonts w:eastAsia="Times New Roman"/>
                <w:color w:val="000000"/>
                <w:sz w:val="18"/>
                <w:szCs w:val="18"/>
              </w:rPr>
            </w:pPr>
            <w:r w:rsidRPr="003328EE">
              <w:rPr>
                <w:rFonts w:eastAsia="Times New Roman"/>
                <w:color w:val="000000"/>
                <w:sz w:val="18"/>
                <w:szCs w:val="18"/>
              </w:rPr>
              <w:t>Leroy &amp; Praet, 2015</w:t>
            </w:r>
          </w:p>
        </w:tc>
        <w:tc>
          <w:tcPr>
            <w:tcW w:w="1156" w:type="dxa"/>
            <w:tcBorders>
              <w:top w:val="nil"/>
              <w:left w:val="nil"/>
              <w:bottom w:val="nil"/>
              <w:right w:val="nil"/>
            </w:tcBorders>
            <w:shd w:val="clear" w:color="auto" w:fill="auto"/>
            <w:noWrap/>
            <w:vAlign w:val="bottom"/>
            <w:hideMark/>
          </w:tcPr>
          <w:p w14:paraId="0BBF20D0" w14:textId="2F1FE1C5"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09DC91E" w14:textId="77777777" w:rsidTr="00D65F93">
        <w:trPr>
          <w:trHeight w:val="320"/>
        </w:trPr>
        <w:tc>
          <w:tcPr>
            <w:tcW w:w="3545" w:type="dxa"/>
            <w:tcBorders>
              <w:top w:val="nil"/>
              <w:left w:val="nil"/>
              <w:bottom w:val="nil"/>
              <w:right w:val="nil"/>
            </w:tcBorders>
            <w:shd w:val="clear" w:color="auto" w:fill="auto"/>
            <w:noWrap/>
            <w:vAlign w:val="bottom"/>
            <w:hideMark/>
          </w:tcPr>
          <w:p w14:paraId="31A8AA38" w14:textId="2AB71F5A" w:rsidR="00F826D0" w:rsidRPr="003328EE" w:rsidRDefault="00F826D0" w:rsidP="00D65F93">
            <w:pPr>
              <w:rPr>
                <w:rFonts w:eastAsia="Times New Roman"/>
                <w:color w:val="000000"/>
                <w:sz w:val="18"/>
                <w:szCs w:val="18"/>
              </w:rPr>
            </w:pPr>
            <w:r w:rsidRPr="003328EE">
              <w:rPr>
                <w:rFonts w:eastAsia="Times New Roman"/>
                <w:color w:val="000000"/>
                <w:sz w:val="18"/>
                <w:szCs w:val="18"/>
              </w:rPr>
              <w:t>Enjoyment</w:t>
            </w:r>
          </w:p>
        </w:tc>
        <w:tc>
          <w:tcPr>
            <w:tcW w:w="3183" w:type="dxa"/>
            <w:tcBorders>
              <w:top w:val="nil"/>
              <w:left w:val="nil"/>
              <w:bottom w:val="nil"/>
              <w:right w:val="nil"/>
            </w:tcBorders>
            <w:shd w:val="clear" w:color="auto" w:fill="auto"/>
            <w:noWrap/>
            <w:vAlign w:val="bottom"/>
            <w:hideMark/>
          </w:tcPr>
          <w:p w14:paraId="2E96F133" w14:textId="3868F6B8"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FAFF69C" w14:textId="4A1C364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C94AAA5" w14:textId="5CE9FAD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E634C09" w14:textId="4BB4D191" w:rsidR="00F826D0" w:rsidRPr="003328EE" w:rsidRDefault="00F826D0" w:rsidP="00D65F93">
            <w:pPr>
              <w:rPr>
                <w:rFonts w:eastAsia="Times New Roman"/>
                <w:color w:val="000000"/>
                <w:sz w:val="18"/>
                <w:szCs w:val="18"/>
              </w:rPr>
            </w:pPr>
            <w:r w:rsidRPr="003328EE">
              <w:rPr>
                <w:rFonts w:eastAsia="Times New Roman"/>
                <w:color w:val="000000"/>
                <w:sz w:val="18"/>
                <w:szCs w:val="18"/>
              </w:rPr>
              <w:t>Vanhonacker et al., 2013</w:t>
            </w:r>
          </w:p>
        </w:tc>
        <w:tc>
          <w:tcPr>
            <w:tcW w:w="1156" w:type="dxa"/>
            <w:tcBorders>
              <w:top w:val="nil"/>
              <w:left w:val="nil"/>
              <w:bottom w:val="nil"/>
              <w:right w:val="nil"/>
            </w:tcBorders>
            <w:shd w:val="clear" w:color="auto" w:fill="auto"/>
            <w:noWrap/>
            <w:vAlign w:val="bottom"/>
            <w:hideMark/>
          </w:tcPr>
          <w:p w14:paraId="4268FC24" w14:textId="7594862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7882188" w14:textId="77777777" w:rsidTr="00D65F93">
        <w:trPr>
          <w:trHeight w:val="320"/>
        </w:trPr>
        <w:tc>
          <w:tcPr>
            <w:tcW w:w="3545" w:type="dxa"/>
            <w:tcBorders>
              <w:top w:val="nil"/>
              <w:left w:val="nil"/>
              <w:bottom w:val="nil"/>
              <w:right w:val="nil"/>
            </w:tcBorders>
            <w:shd w:val="clear" w:color="auto" w:fill="auto"/>
            <w:noWrap/>
            <w:vAlign w:val="bottom"/>
            <w:hideMark/>
          </w:tcPr>
          <w:p w14:paraId="50396E25" w14:textId="1DA30AAA" w:rsidR="00F826D0" w:rsidRPr="003328EE" w:rsidRDefault="00F826D0" w:rsidP="00D65F93">
            <w:pPr>
              <w:rPr>
                <w:rFonts w:eastAsia="Times New Roman"/>
                <w:color w:val="000000"/>
                <w:sz w:val="18"/>
                <w:szCs w:val="18"/>
              </w:rPr>
            </w:pPr>
            <w:r w:rsidRPr="003328EE">
              <w:rPr>
                <w:rFonts w:eastAsia="Times New Roman"/>
                <w:color w:val="000000"/>
                <w:sz w:val="18"/>
                <w:szCs w:val="18"/>
              </w:rPr>
              <w:t>Food Appropriateness</w:t>
            </w:r>
          </w:p>
        </w:tc>
        <w:tc>
          <w:tcPr>
            <w:tcW w:w="3183" w:type="dxa"/>
            <w:tcBorders>
              <w:top w:val="nil"/>
              <w:left w:val="nil"/>
              <w:bottom w:val="nil"/>
              <w:right w:val="nil"/>
            </w:tcBorders>
            <w:shd w:val="clear" w:color="auto" w:fill="auto"/>
            <w:noWrap/>
            <w:vAlign w:val="bottom"/>
            <w:hideMark/>
          </w:tcPr>
          <w:p w14:paraId="46437102" w14:textId="3F9079BB"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24534553" w14:textId="63BED7A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99754B3" w14:textId="28943315"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D991ECF" w14:textId="204A781C" w:rsidR="00F826D0" w:rsidRPr="003328EE" w:rsidRDefault="00F826D0" w:rsidP="00D65F93">
            <w:pPr>
              <w:rPr>
                <w:rFonts w:eastAsia="Times New Roman"/>
                <w:color w:val="000000"/>
                <w:sz w:val="18"/>
                <w:szCs w:val="18"/>
              </w:rPr>
            </w:pPr>
            <w:r w:rsidRPr="003328EE">
              <w:rPr>
                <w:rFonts w:eastAsia="Times New Roman"/>
                <w:color w:val="000000"/>
                <w:sz w:val="18"/>
                <w:szCs w:val="18"/>
              </w:rPr>
              <w:t>Tan et al., 2016</w:t>
            </w:r>
          </w:p>
        </w:tc>
        <w:tc>
          <w:tcPr>
            <w:tcW w:w="1156" w:type="dxa"/>
            <w:tcBorders>
              <w:top w:val="nil"/>
              <w:left w:val="nil"/>
              <w:bottom w:val="nil"/>
              <w:right w:val="nil"/>
            </w:tcBorders>
            <w:shd w:val="clear" w:color="auto" w:fill="auto"/>
            <w:noWrap/>
            <w:vAlign w:val="bottom"/>
            <w:hideMark/>
          </w:tcPr>
          <w:p w14:paraId="663FC57C" w14:textId="4F03BEB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2083F66" w14:textId="77777777" w:rsidTr="00D65F93">
        <w:trPr>
          <w:trHeight w:val="320"/>
        </w:trPr>
        <w:tc>
          <w:tcPr>
            <w:tcW w:w="3545" w:type="dxa"/>
            <w:tcBorders>
              <w:top w:val="nil"/>
              <w:left w:val="nil"/>
              <w:bottom w:val="nil"/>
              <w:right w:val="nil"/>
            </w:tcBorders>
            <w:shd w:val="clear" w:color="auto" w:fill="auto"/>
            <w:noWrap/>
            <w:vAlign w:val="bottom"/>
            <w:hideMark/>
          </w:tcPr>
          <w:p w14:paraId="7C7B1F11" w14:textId="142C49F7" w:rsidR="00F826D0" w:rsidRPr="003328EE" w:rsidRDefault="00F826D0" w:rsidP="00D65F93">
            <w:pPr>
              <w:rPr>
                <w:rFonts w:eastAsia="Times New Roman"/>
                <w:color w:val="000000"/>
                <w:sz w:val="18"/>
                <w:szCs w:val="18"/>
              </w:rPr>
            </w:pPr>
            <w:r w:rsidRPr="003328EE">
              <w:rPr>
                <w:rFonts w:eastAsia="Times New Roman"/>
                <w:color w:val="000000"/>
                <w:sz w:val="18"/>
                <w:szCs w:val="18"/>
              </w:rPr>
              <w:t>Habit</w:t>
            </w:r>
          </w:p>
        </w:tc>
        <w:tc>
          <w:tcPr>
            <w:tcW w:w="3183" w:type="dxa"/>
            <w:tcBorders>
              <w:top w:val="nil"/>
              <w:left w:val="nil"/>
              <w:bottom w:val="nil"/>
              <w:right w:val="nil"/>
            </w:tcBorders>
            <w:shd w:val="clear" w:color="auto" w:fill="auto"/>
            <w:noWrap/>
            <w:vAlign w:val="bottom"/>
            <w:hideMark/>
          </w:tcPr>
          <w:p w14:paraId="1A63C604" w14:textId="5EAA9B65"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00B03E3B" w14:textId="0D803642"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4500872" w14:textId="5B59116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D60BAEF" w14:textId="2BA0BE6D" w:rsidR="00F826D0" w:rsidRPr="003328EE" w:rsidRDefault="00F826D0" w:rsidP="00D65F93">
            <w:pPr>
              <w:rPr>
                <w:rFonts w:eastAsia="Times New Roman"/>
                <w:color w:val="000000"/>
                <w:sz w:val="18"/>
                <w:szCs w:val="18"/>
              </w:rPr>
            </w:pPr>
            <w:r w:rsidRPr="003328EE">
              <w:rPr>
                <w:rFonts w:eastAsia="Times New Roman"/>
                <w:color w:val="000000"/>
                <w:sz w:val="18"/>
                <w:szCs w:val="18"/>
              </w:rPr>
              <w:t>Erinosho et al., 2015</w:t>
            </w:r>
          </w:p>
        </w:tc>
        <w:tc>
          <w:tcPr>
            <w:tcW w:w="1156" w:type="dxa"/>
            <w:tcBorders>
              <w:top w:val="nil"/>
              <w:left w:val="nil"/>
              <w:bottom w:val="nil"/>
              <w:right w:val="nil"/>
            </w:tcBorders>
            <w:shd w:val="clear" w:color="auto" w:fill="auto"/>
            <w:noWrap/>
            <w:vAlign w:val="bottom"/>
            <w:hideMark/>
          </w:tcPr>
          <w:p w14:paraId="52F026AB" w14:textId="763054C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2DC2209" w14:textId="77777777" w:rsidTr="00D65F93">
        <w:trPr>
          <w:trHeight w:val="320"/>
        </w:trPr>
        <w:tc>
          <w:tcPr>
            <w:tcW w:w="3545" w:type="dxa"/>
            <w:tcBorders>
              <w:top w:val="nil"/>
              <w:left w:val="nil"/>
              <w:bottom w:val="nil"/>
              <w:right w:val="nil"/>
            </w:tcBorders>
            <w:shd w:val="clear" w:color="auto" w:fill="auto"/>
            <w:noWrap/>
            <w:vAlign w:val="bottom"/>
            <w:hideMark/>
          </w:tcPr>
          <w:p w14:paraId="717510D5" w14:textId="5FF16D6F" w:rsidR="00F826D0" w:rsidRPr="003328EE" w:rsidRDefault="00F826D0" w:rsidP="00D65F93">
            <w:pPr>
              <w:rPr>
                <w:rFonts w:eastAsia="Times New Roman"/>
                <w:color w:val="000000"/>
                <w:sz w:val="18"/>
                <w:szCs w:val="18"/>
              </w:rPr>
            </w:pPr>
            <w:r w:rsidRPr="003328EE">
              <w:rPr>
                <w:rFonts w:eastAsia="Times New Roman"/>
                <w:color w:val="000000"/>
                <w:sz w:val="18"/>
                <w:szCs w:val="18"/>
              </w:rPr>
              <w:t>Habit</w:t>
            </w:r>
          </w:p>
        </w:tc>
        <w:tc>
          <w:tcPr>
            <w:tcW w:w="3183" w:type="dxa"/>
            <w:tcBorders>
              <w:top w:val="nil"/>
              <w:left w:val="nil"/>
              <w:bottom w:val="nil"/>
              <w:right w:val="nil"/>
            </w:tcBorders>
            <w:shd w:val="clear" w:color="auto" w:fill="auto"/>
            <w:noWrap/>
            <w:vAlign w:val="bottom"/>
            <w:hideMark/>
          </w:tcPr>
          <w:p w14:paraId="3313A0FC" w14:textId="3C9742A4"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313A2B7" w14:textId="043A9035"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355FEAD" w14:textId="01CF8A2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5181587" w14:textId="496566A1"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47FEBE6C" w14:textId="0AA39ACC"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1A22C83" w14:textId="77777777" w:rsidTr="00D65F93">
        <w:trPr>
          <w:trHeight w:val="320"/>
        </w:trPr>
        <w:tc>
          <w:tcPr>
            <w:tcW w:w="3545" w:type="dxa"/>
            <w:tcBorders>
              <w:top w:val="nil"/>
              <w:left w:val="nil"/>
              <w:bottom w:val="nil"/>
              <w:right w:val="nil"/>
            </w:tcBorders>
            <w:shd w:val="clear" w:color="auto" w:fill="auto"/>
            <w:noWrap/>
            <w:vAlign w:val="bottom"/>
            <w:hideMark/>
          </w:tcPr>
          <w:p w14:paraId="22125CDB" w14:textId="6E14549D" w:rsidR="00F826D0" w:rsidRPr="003328EE" w:rsidRDefault="00F826D0" w:rsidP="00D65F93">
            <w:pPr>
              <w:rPr>
                <w:rFonts w:eastAsia="Times New Roman"/>
                <w:color w:val="000000"/>
                <w:sz w:val="18"/>
                <w:szCs w:val="18"/>
              </w:rPr>
            </w:pPr>
            <w:r w:rsidRPr="003328EE">
              <w:rPr>
                <w:rFonts w:eastAsia="Times New Roman"/>
                <w:color w:val="000000"/>
                <w:sz w:val="18"/>
                <w:szCs w:val="18"/>
              </w:rPr>
              <w:t>Habit</w:t>
            </w:r>
          </w:p>
        </w:tc>
        <w:tc>
          <w:tcPr>
            <w:tcW w:w="3183" w:type="dxa"/>
            <w:tcBorders>
              <w:top w:val="nil"/>
              <w:left w:val="nil"/>
              <w:bottom w:val="nil"/>
              <w:right w:val="nil"/>
            </w:tcBorders>
            <w:shd w:val="clear" w:color="auto" w:fill="auto"/>
            <w:noWrap/>
            <w:vAlign w:val="bottom"/>
            <w:hideMark/>
          </w:tcPr>
          <w:p w14:paraId="35811021" w14:textId="7A8AEC84"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3354A246" w14:textId="2B4ECE7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0E21A91" w14:textId="0D0C9E1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D21FCED" w14:textId="399437A1"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6BF0D82D" w14:textId="20DD7AD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774666E" w14:textId="77777777" w:rsidTr="00D65F93">
        <w:trPr>
          <w:trHeight w:val="320"/>
        </w:trPr>
        <w:tc>
          <w:tcPr>
            <w:tcW w:w="3545" w:type="dxa"/>
            <w:tcBorders>
              <w:top w:val="nil"/>
              <w:left w:val="nil"/>
              <w:bottom w:val="nil"/>
              <w:right w:val="nil"/>
            </w:tcBorders>
            <w:shd w:val="clear" w:color="auto" w:fill="auto"/>
            <w:noWrap/>
            <w:vAlign w:val="bottom"/>
            <w:hideMark/>
          </w:tcPr>
          <w:p w14:paraId="1592624D" w14:textId="76EC6CBF" w:rsidR="00F826D0" w:rsidRPr="003328EE" w:rsidRDefault="00F826D0" w:rsidP="00D65F93">
            <w:pPr>
              <w:rPr>
                <w:rFonts w:eastAsia="Times New Roman"/>
                <w:color w:val="000000"/>
                <w:sz w:val="18"/>
                <w:szCs w:val="18"/>
              </w:rPr>
            </w:pPr>
            <w:r w:rsidRPr="003328EE">
              <w:rPr>
                <w:rFonts w:eastAsia="Times New Roman"/>
                <w:color w:val="000000"/>
                <w:sz w:val="18"/>
                <w:szCs w:val="18"/>
              </w:rPr>
              <w:t>Habit</w:t>
            </w:r>
          </w:p>
        </w:tc>
        <w:tc>
          <w:tcPr>
            <w:tcW w:w="3183" w:type="dxa"/>
            <w:tcBorders>
              <w:top w:val="nil"/>
              <w:left w:val="nil"/>
              <w:bottom w:val="nil"/>
              <w:right w:val="nil"/>
            </w:tcBorders>
            <w:shd w:val="clear" w:color="auto" w:fill="auto"/>
            <w:noWrap/>
            <w:vAlign w:val="bottom"/>
            <w:hideMark/>
          </w:tcPr>
          <w:p w14:paraId="2BD1ED1B" w14:textId="2308A655"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2F81E313" w14:textId="7C35EDDA"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4F12792" w14:textId="69BEC1B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287D372" w14:textId="6E9AB3C8" w:rsidR="00F826D0" w:rsidRPr="003328EE" w:rsidRDefault="00F826D0" w:rsidP="00D65F93">
            <w:pPr>
              <w:rPr>
                <w:rFonts w:eastAsia="Times New Roman"/>
                <w:color w:val="000000"/>
                <w:sz w:val="18"/>
                <w:szCs w:val="18"/>
              </w:rPr>
            </w:pPr>
            <w:r w:rsidRPr="003328EE">
              <w:rPr>
                <w:rFonts w:eastAsia="Times New Roman"/>
                <w:color w:val="000000"/>
                <w:sz w:val="18"/>
                <w:szCs w:val="18"/>
              </w:rPr>
              <w:t>Kearney, 2010</w:t>
            </w:r>
          </w:p>
        </w:tc>
        <w:tc>
          <w:tcPr>
            <w:tcW w:w="1156" w:type="dxa"/>
            <w:tcBorders>
              <w:top w:val="nil"/>
              <w:left w:val="nil"/>
              <w:bottom w:val="nil"/>
              <w:right w:val="nil"/>
            </w:tcBorders>
            <w:shd w:val="clear" w:color="auto" w:fill="auto"/>
            <w:noWrap/>
            <w:vAlign w:val="bottom"/>
            <w:hideMark/>
          </w:tcPr>
          <w:p w14:paraId="3FC79A3A" w14:textId="75F2442F"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ECC85F6" w14:textId="77777777" w:rsidTr="00D65F93">
        <w:trPr>
          <w:trHeight w:val="320"/>
        </w:trPr>
        <w:tc>
          <w:tcPr>
            <w:tcW w:w="3545" w:type="dxa"/>
            <w:tcBorders>
              <w:top w:val="nil"/>
              <w:left w:val="nil"/>
              <w:bottom w:val="nil"/>
              <w:right w:val="nil"/>
            </w:tcBorders>
            <w:shd w:val="clear" w:color="auto" w:fill="auto"/>
            <w:noWrap/>
            <w:vAlign w:val="bottom"/>
            <w:hideMark/>
          </w:tcPr>
          <w:p w14:paraId="778A6F1C" w14:textId="1E75783B" w:rsidR="00F826D0" w:rsidRPr="003328EE" w:rsidRDefault="00F826D0" w:rsidP="00D65F93">
            <w:pPr>
              <w:rPr>
                <w:rFonts w:eastAsia="Times New Roman"/>
                <w:color w:val="000000"/>
                <w:sz w:val="18"/>
                <w:szCs w:val="18"/>
              </w:rPr>
            </w:pPr>
            <w:r w:rsidRPr="003328EE">
              <w:rPr>
                <w:rFonts w:eastAsia="Times New Roman"/>
                <w:color w:val="000000"/>
                <w:sz w:val="18"/>
                <w:szCs w:val="18"/>
              </w:rPr>
              <w:t>Hunger</w:t>
            </w:r>
          </w:p>
        </w:tc>
        <w:tc>
          <w:tcPr>
            <w:tcW w:w="3183" w:type="dxa"/>
            <w:tcBorders>
              <w:top w:val="nil"/>
              <w:left w:val="nil"/>
              <w:bottom w:val="nil"/>
              <w:right w:val="nil"/>
            </w:tcBorders>
            <w:shd w:val="clear" w:color="auto" w:fill="auto"/>
            <w:noWrap/>
            <w:vAlign w:val="bottom"/>
            <w:hideMark/>
          </w:tcPr>
          <w:p w14:paraId="14D58D9F" w14:textId="507D3460"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FA6B765" w14:textId="6ED1A53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9D68518" w14:textId="56A82E4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5BCB6AB" w14:textId="52B3AD54" w:rsidR="00F826D0" w:rsidRPr="003328EE" w:rsidRDefault="00F826D0" w:rsidP="00D65F93">
            <w:pPr>
              <w:rPr>
                <w:rFonts w:eastAsia="Times New Roman"/>
                <w:color w:val="000000"/>
                <w:sz w:val="18"/>
                <w:szCs w:val="18"/>
              </w:rPr>
            </w:pPr>
            <w:r w:rsidRPr="003328EE">
              <w:rPr>
                <w:rFonts w:eastAsia="Times New Roman"/>
                <w:color w:val="000000"/>
                <w:sz w:val="18"/>
                <w:szCs w:val="18"/>
              </w:rPr>
              <w:t>Neacsu et al., 2014</w:t>
            </w:r>
          </w:p>
        </w:tc>
        <w:tc>
          <w:tcPr>
            <w:tcW w:w="1156" w:type="dxa"/>
            <w:tcBorders>
              <w:top w:val="nil"/>
              <w:left w:val="nil"/>
              <w:bottom w:val="nil"/>
              <w:right w:val="nil"/>
            </w:tcBorders>
            <w:shd w:val="clear" w:color="auto" w:fill="auto"/>
            <w:noWrap/>
            <w:vAlign w:val="bottom"/>
            <w:hideMark/>
          </w:tcPr>
          <w:p w14:paraId="43B8ACDD" w14:textId="652B1E0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F64C19E" w14:textId="77777777" w:rsidTr="00D65F93">
        <w:trPr>
          <w:trHeight w:val="320"/>
        </w:trPr>
        <w:tc>
          <w:tcPr>
            <w:tcW w:w="3545" w:type="dxa"/>
            <w:tcBorders>
              <w:top w:val="nil"/>
              <w:left w:val="nil"/>
              <w:bottom w:val="nil"/>
              <w:right w:val="nil"/>
            </w:tcBorders>
            <w:shd w:val="clear" w:color="auto" w:fill="auto"/>
            <w:noWrap/>
            <w:vAlign w:val="bottom"/>
            <w:hideMark/>
          </w:tcPr>
          <w:p w14:paraId="273BE285" w14:textId="4D8ACDC5" w:rsidR="00F826D0" w:rsidRPr="003328EE" w:rsidRDefault="00F826D0" w:rsidP="00D65F93">
            <w:pPr>
              <w:rPr>
                <w:rFonts w:eastAsia="Times New Roman"/>
                <w:color w:val="000000"/>
                <w:sz w:val="18"/>
                <w:szCs w:val="18"/>
              </w:rPr>
            </w:pPr>
            <w:r w:rsidRPr="003328EE">
              <w:rPr>
                <w:rFonts w:eastAsia="Times New Roman"/>
                <w:color w:val="000000"/>
                <w:sz w:val="18"/>
                <w:szCs w:val="18"/>
              </w:rPr>
              <w:t>Hunger</w:t>
            </w:r>
          </w:p>
        </w:tc>
        <w:tc>
          <w:tcPr>
            <w:tcW w:w="3183" w:type="dxa"/>
            <w:tcBorders>
              <w:top w:val="nil"/>
              <w:left w:val="nil"/>
              <w:bottom w:val="nil"/>
              <w:right w:val="nil"/>
            </w:tcBorders>
            <w:shd w:val="clear" w:color="auto" w:fill="auto"/>
            <w:noWrap/>
            <w:vAlign w:val="bottom"/>
            <w:hideMark/>
          </w:tcPr>
          <w:p w14:paraId="3F6DCBFA" w14:textId="11DDA03B"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7237107B" w14:textId="2E44D46B"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58036A5" w14:textId="0A14DB9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2BD2A70" w14:textId="6E5898CD" w:rsidR="00F826D0" w:rsidRPr="003328EE" w:rsidRDefault="00F826D0" w:rsidP="00D65F93">
            <w:pPr>
              <w:rPr>
                <w:rFonts w:eastAsia="Times New Roman"/>
                <w:color w:val="000000"/>
                <w:sz w:val="18"/>
                <w:szCs w:val="18"/>
              </w:rPr>
            </w:pPr>
            <w:r w:rsidRPr="003328EE">
              <w:rPr>
                <w:rFonts w:eastAsia="Times New Roman"/>
                <w:color w:val="000000"/>
                <w:sz w:val="18"/>
                <w:szCs w:val="18"/>
              </w:rPr>
              <w:t>Neumark-Sztainer et al., 1999</w:t>
            </w:r>
          </w:p>
        </w:tc>
        <w:tc>
          <w:tcPr>
            <w:tcW w:w="1156" w:type="dxa"/>
            <w:tcBorders>
              <w:top w:val="nil"/>
              <w:left w:val="nil"/>
              <w:bottom w:val="nil"/>
              <w:right w:val="nil"/>
            </w:tcBorders>
            <w:shd w:val="clear" w:color="auto" w:fill="auto"/>
            <w:noWrap/>
            <w:vAlign w:val="bottom"/>
            <w:hideMark/>
          </w:tcPr>
          <w:p w14:paraId="0E11E401" w14:textId="6A177A7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1821CBF" w14:textId="77777777" w:rsidTr="00D65F93">
        <w:trPr>
          <w:trHeight w:val="320"/>
        </w:trPr>
        <w:tc>
          <w:tcPr>
            <w:tcW w:w="3545" w:type="dxa"/>
            <w:tcBorders>
              <w:top w:val="nil"/>
              <w:left w:val="nil"/>
              <w:bottom w:val="nil"/>
              <w:right w:val="nil"/>
            </w:tcBorders>
            <w:shd w:val="clear" w:color="auto" w:fill="auto"/>
            <w:noWrap/>
            <w:vAlign w:val="bottom"/>
            <w:hideMark/>
          </w:tcPr>
          <w:p w14:paraId="3764C0A3" w14:textId="533BAE37" w:rsidR="00F826D0" w:rsidRPr="003328EE" w:rsidRDefault="00F826D0" w:rsidP="00D65F93">
            <w:pPr>
              <w:rPr>
                <w:rFonts w:eastAsia="Times New Roman"/>
                <w:color w:val="000000"/>
                <w:sz w:val="18"/>
                <w:szCs w:val="18"/>
              </w:rPr>
            </w:pPr>
            <w:r w:rsidRPr="003328EE">
              <w:rPr>
                <w:rFonts w:eastAsia="Times New Roman"/>
                <w:color w:val="000000"/>
                <w:sz w:val="18"/>
                <w:szCs w:val="18"/>
              </w:rPr>
              <w:t>Hunger</w:t>
            </w:r>
          </w:p>
        </w:tc>
        <w:tc>
          <w:tcPr>
            <w:tcW w:w="3183" w:type="dxa"/>
            <w:tcBorders>
              <w:top w:val="nil"/>
              <w:left w:val="nil"/>
              <w:bottom w:val="nil"/>
              <w:right w:val="nil"/>
            </w:tcBorders>
            <w:shd w:val="clear" w:color="auto" w:fill="auto"/>
            <w:noWrap/>
            <w:vAlign w:val="bottom"/>
            <w:hideMark/>
          </w:tcPr>
          <w:p w14:paraId="2F3EF8D2" w14:textId="4F129D24"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DDC4E55" w14:textId="1D6DE9D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7B5D5A4" w14:textId="2E4AFB36"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5D1C85A" w14:textId="031EC32D" w:rsidR="00F826D0" w:rsidRPr="003328EE" w:rsidRDefault="00F826D0" w:rsidP="00D65F93">
            <w:pPr>
              <w:rPr>
                <w:rFonts w:eastAsia="Times New Roman"/>
                <w:color w:val="000000"/>
                <w:sz w:val="18"/>
                <w:szCs w:val="18"/>
              </w:rPr>
            </w:pPr>
            <w:r w:rsidRPr="003328EE">
              <w:rPr>
                <w:rFonts w:eastAsia="Times New Roman"/>
                <w:color w:val="000000"/>
                <w:sz w:val="18"/>
                <w:szCs w:val="18"/>
              </w:rPr>
              <w:t>Nederkoorn et al., 2009</w:t>
            </w:r>
          </w:p>
        </w:tc>
        <w:tc>
          <w:tcPr>
            <w:tcW w:w="1156" w:type="dxa"/>
            <w:tcBorders>
              <w:top w:val="nil"/>
              <w:left w:val="nil"/>
              <w:bottom w:val="nil"/>
              <w:right w:val="nil"/>
            </w:tcBorders>
            <w:shd w:val="clear" w:color="auto" w:fill="auto"/>
            <w:noWrap/>
            <w:vAlign w:val="bottom"/>
            <w:hideMark/>
          </w:tcPr>
          <w:p w14:paraId="5BFFDB04" w14:textId="7A5CF59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E2E833E" w14:textId="77777777" w:rsidTr="00D65F93">
        <w:trPr>
          <w:trHeight w:val="320"/>
        </w:trPr>
        <w:tc>
          <w:tcPr>
            <w:tcW w:w="3545" w:type="dxa"/>
            <w:tcBorders>
              <w:top w:val="nil"/>
              <w:left w:val="nil"/>
              <w:bottom w:val="nil"/>
              <w:right w:val="nil"/>
            </w:tcBorders>
            <w:shd w:val="clear" w:color="auto" w:fill="auto"/>
            <w:noWrap/>
            <w:vAlign w:val="bottom"/>
            <w:hideMark/>
          </w:tcPr>
          <w:p w14:paraId="77957B43" w14:textId="58AB8C5A" w:rsidR="00F826D0" w:rsidRPr="003328EE" w:rsidRDefault="00F826D0" w:rsidP="00D65F93">
            <w:pPr>
              <w:rPr>
                <w:rFonts w:eastAsia="Times New Roman"/>
                <w:color w:val="000000"/>
                <w:sz w:val="18"/>
                <w:szCs w:val="18"/>
              </w:rPr>
            </w:pPr>
            <w:r w:rsidRPr="003328EE">
              <w:rPr>
                <w:rFonts w:eastAsia="Times New Roman"/>
                <w:color w:val="000000"/>
                <w:sz w:val="18"/>
                <w:szCs w:val="18"/>
              </w:rPr>
              <w:t>Hunger</w:t>
            </w:r>
          </w:p>
        </w:tc>
        <w:tc>
          <w:tcPr>
            <w:tcW w:w="3183" w:type="dxa"/>
            <w:tcBorders>
              <w:top w:val="nil"/>
              <w:left w:val="nil"/>
              <w:bottom w:val="nil"/>
              <w:right w:val="nil"/>
            </w:tcBorders>
            <w:shd w:val="clear" w:color="auto" w:fill="auto"/>
            <w:noWrap/>
            <w:vAlign w:val="bottom"/>
            <w:hideMark/>
          </w:tcPr>
          <w:p w14:paraId="3CA6BC2B" w14:textId="14FC6986"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38D822E" w14:textId="7E9586BE"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6C80044" w14:textId="6223113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1BF1D94" w14:textId="4F6FDA42" w:rsidR="00F826D0" w:rsidRPr="003328EE" w:rsidRDefault="00F826D0" w:rsidP="00D65F93">
            <w:pPr>
              <w:rPr>
                <w:rFonts w:eastAsia="Times New Roman"/>
                <w:color w:val="000000"/>
                <w:sz w:val="18"/>
                <w:szCs w:val="18"/>
              </w:rPr>
            </w:pPr>
            <w:r w:rsidRPr="003328EE">
              <w:rPr>
                <w:rFonts w:eastAsia="Times New Roman"/>
                <w:color w:val="000000"/>
                <w:sz w:val="18"/>
                <w:szCs w:val="18"/>
              </w:rPr>
              <w:t>Katcher et al., 2010</w:t>
            </w:r>
          </w:p>
        </w:tc>
        <w:tc>
          <w:tcPr>
            <w:tcW w:w="1156" w:type="dxa"/>
            <w:tcBorders>
              <w:top w:val="nil"/>
              <w:left w:val="nil"/>
              <w:bottom w:val="nil"/>
              <w:right w:val="nil"/>
            </w:tcBorders>
            <w:shd w:val="clear" w:color="auto" w:fill="auto"/>
            <w:noWrap/>
            <w:vAlign w:val="bottom"/>
            <w:hideMark/>
          </w:tcPr>
          <w:p w14:paraId="1BDE6752" w14:textId="6BE7AF1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3D952B7" w14:textId="77777777" w:rsidTr="00D65F93">
        <w:trPr>
          <w:trHeight w:val="320"/>
        </w:trPr>
        <w:tc>
          <w:tcPr>
            <w:tcW w:w="3545" w:type="dxa"/>
            <w:tcBorders>
              <w:top w:val="nil"/>
              <w:left w:val="nil"/>
              <w:bottom w:val="nil"/>
              <w:right w:val="nil"/>
            </w:tcBorders>
            <w:shd w:val="clear" w:color="auto" w:fill="auto"/>
            <w:noWrap/>
            <w:vAlign w:val="bottom"/>
            <w:hideMark/>
          </w:tcPr>
          <w:p w14:paraId="196DB2D3" w14:textId="3B7E5E85" w:rsidR="00F826D0" w:rsidRPr="003328EE" w:rsidRDefault="00F826D0" w:rsidP="00D65F93">
            <w:pPr>
              <w:rPr>
                <w:rFonts w:eastAsia="Times New Roman"/>
                <w:color w:val="000000"/>
                <w:sz w:val="18"/>
                <w:szCs w:val="18"/>
              </w:rPr>
            </w:pPr>
            <w:r w:rsidRPr="003328EE">
              <w:rPr>
                <w:rFonts w:eastAsia="Times New Roman"/>
                <w:color w:val="000000"/>
                <w:sz w:val="18"/>
                <w:szCs w:val="18"/>
              </w:rPr>
              <w:t>Imperfect Choice</w:t>
            </w:r>
          </w:p>
        </w:tc>
        <w:tc>
          <w:tcPr>
            <w:tcW w:w="3183" w:type="dxa"/>
            <w:tcBorders>
              <w:top w:val="nil"/>
              <w:left w:val="nil"/>
              <w:bottom w:val="nil"/>
              <w:right w:val="nil"/>
            </w:tcBorders>
            <w:shd w:val="clear" w:color="auto" w:fill="auto"/>
            <w:noWrap/>
            <w:vAlign w:val="bottom"/>
            <w:hideMark/>
          </w:tcPr>
          <w:p w14:paraId="2071FF34" w14:textId="745B07F4"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0582A5B" w14:textId="205A3D68"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15DD54D" w14:textId="33EA538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7CCC88E" w14:textId="2D39DC09" w:rsidR="00F826D0" w:rsidRPr="003328EE" w:rsidRDefault="00F826D0" w:rsidP="00D65F93">
            <w:pPr>
              <w:rPr>
                <w:rFonts w:eastAsia="Times New Roman"/>
                <w:color w:val="000000"/>
                <w:sz w:val="18"/>
                <w:szCs w:val="18"/>
              </w:rPr>
            </w:pPr>
            <w:r w:rsidRPr="003328EE">
              <w:rPr>
                <w:rFonts w:eastAsia="Times New Roman"/>
                <w:color w:val="000000"/>
                <w:sz w:val="18"/>
                <w:szCs w:val="18"/>
              </w:rPr>
              <w:t>Wahlen et al., 2012</w:t>
            </w:r>
          </w:p>
        </w:tc>
        <w:tc>
          <w:tcPr>
            <w:tcW w:w="1156" w:type="dxa"/>
            <w:tcBorders>
              <w:top w:val="nil"/>
              <w:left w:val="nil"/>
              <w:bottom w:val="nil"/>
              <w:right w:val="nil"/>
            </w:tcBorders>
            <w:shd w:val="clear" w:color="auto" w:fill="auto"/>
            <w:noWrap/>
            <w:vAlign w:val="bottom"/>
            <w:hideMark/>
          </w:tcPr>
          <w:p w14:paraId="3636EAC5" w14:textId="64CB5333"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Primary </w:t>
            </w:r>
          </w:p>
        </w:tc>
      </w:tr>
      <w:tr w:rsidR="00F826D0" w:rsidRPr="003328EE" w14:paraId="6B413B30" w14:textId="77777777" w:rsidTr="00D65F93">
        <w:trPr>
          <w:trHeight w:val="320"/>
        </w:trPr>
        <w:tc>
          <w:tcPr>
            <w:tcW w:w="3545" w:type="dxa"/>
            <w:tcBorders>
              <w:top w:val="nil"/>
              <w:left w:val="nil"/>
              <w:bottom w:val="nil"/>
              <w:right w:val="nil"/>
            </w:tcBorders>
            <w:shd w:val="clear" w:color="auto" w:fill="auto"/>
            <w:noWrap/>
            <w:vAlign w:val="bottom"/>
            <w:hideMark/>
          </w:tcPr>
          <w:p w14:paraId="73473DCC" w14:textId="2DF74199" w:rsidR="00F826D0" w:rsidRPr="003328EE" w:rsidRDefault="00F826D0" w:rsidP="00D65F93">
            <w:pPr>
              <w:rPr>
                <w:rFonts w:eastAsia="Times New Roman"/>
                <w:color w:val="000000"/>
                <w:sz w:val="18"/>
                <w:szCs w:val="18"/>
              </w:rPr>
            </w:pPr>
            <w:r w:rsidRPr="003328EE">
              <w:rPr>
                <w:rFonts w:eastAsia="Times New Roman"/>
                <w:color w:val="000000"/>
                <w:sz w:val="18"/>
                <w:szCs w:val="18"/>
              </w:rPr>
              <w:t>Impractical</w:t>
            </w:r>
          </w:p>
        </w:tc>
        <w:tc>
          <w:tcPr>
            <w:tcW w:w="3183" w:type="dxa"/>
            <w:tcBorders>
              <w:top w:val="nil"/>
              <w:left w:val="nil"/>
              <w:bottom w:val="nil"/>
              <w:right w:val="nil"/>
            </w:tcBorders>
            <w:shd w:val="clear" w:color="auto" w:fill="auto"/>
            <w:noWrap/>
            <w:vAlign w:val="bottom"/>
            <w:hideMark/>
          </w:tcPr>
          <w:p w14:paraId="0F1ABD1D" w14:textId="6874AD04"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0FD5BAB5" w14:textId="2AE2B98B"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5687BF0" w14:textId="0ABF778F"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46752EB" w14:textId="199EAA09" w:rsidR="00F826D0" w:rsidRPr="003328EE" w:rsidRDefault="00F826D0" w:rsidP="00D65F93">
            <w:pPr>
              <w:rPr>
                <w:rFonts w:eastAsia="Times New Roman"/>
                <w:color w:val="000000"/>
                <w:sz w:val="18"/>
                <w:szCs w:val="18"/>
              </w:rPr>
            </w:pPr>
            <w:r w:rsidRPr="003328EE">
              <w:rPr>
                <w:rFonts w:eastAsia="Times New Roman"/>
                <w:color w:val="000000"/>
                <w:sz w:val="18"/>
                <w:szCs w:val="18"/>
              </w:rPr>
              <w:t>Cherry, 2015</w:t>
            </w:r>
          </w:p>
        </w:tc>
        <w:tc>
          <w:tcPr>
            <w:tcW w:w="1156" w:type="dxa"/>
            <w:tcBorders>
              <w:top w:val="nil"/>
              <w:left w:val="nil"/>
              <w:bottom w:val="nil"/>
              <w:right w:val="nil"/>
            </w:tcBorders>
            <w:shd w:val="clear" w:color="auto" w:fill="auto"/>
            <w:noWrap/>
            <w:vAlign w:val="bottom"/>
            <w:hideMark/>
          </w:tcPr>
          <w:p w14:paraId="6AE4EC11" w14:textId="1B8BCDC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DD52CF6" w14:textId="77777777" w:rsidTr="00D65F93">
        <w:trPr>
          <w:trHeight w:val="320"/>
        </w:trPr>
        <w:tc>
          <w:tcPr>
            <w:tcW w:w="3545" w:type="dxa"/>
            <w:tcBorders>
              <w:top w:val="nil"/>
              <w:left w:val="nil"/>
              <w:bottom w:val="nil"/>
              <w:right w:val="nil"/>
            </w:tcBorders>
            <w:shd w:val="clear" w:color="auto" w:fill="auto"/>
            <w:noWrap/>
            <w:vAlign w:val="bottom"/>
            <w:hideMark/>
          </w:tcPr>
          <w:p w14:paraId="408899BF" w14:textId="2249F288" w:rsidR="00F826D0" w:rsidRPr="003328EE" w:rsidRDefault="00F826D0" w:rsidP="00D65F93">
            <w:pPr>
              <w:rPr>
                <w:rFonts w:eastAsia="Times New Roman"/>
                <w:color w:val="000000"/>
                <w:sz w:val="18"/>
                <w:szCs w:val="18"/>
              </w:rPr>
            </w:pPr>
            <w:r w:rsidRPr="003328EE">
              <w:rPr>
                <w:rFonts w:eastAsia="Times New Roman"/>
                <w:color w:val="000000"/>
                <w:sz w:val="18"/>
                <w:szCs w:val="18"/>
              </w:rPr>
              <w:t>Individual Helplessness</w:t>
            </w:r>
          </w:p>
        </w:tc>
        <w:tc>
          <w:tcPr>
            <w:tcW w:w="3183" w:type="dxa"/>
            <w:tcBorders>
              <w:top w:val="nil"/>
              <w:left w:val="nil"/>
              <w:bottom w:val="nil"/>
              <w:right w:val="nil"/>
            </w:tcBorders>
            <w:shd w:val="clear" w:color="auto" w:fill="auto"/>
            <w:noWrap/>
            <w:vAlign w:val="bottom"/>
            <w:hideMark/>
          </w:tcPr>
          <w:p w14:paraId="537F1139" w14:textId="71FDA919"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4CC49392" w14:textId="465C79F6"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C5E160A" w14:textId="2732EAF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0805AD8" w14:textId="456ADDC7" w:rsidR="00F826D0" w:rsidRPr="003328EE" w:rsidRDefault="00F826D0" w:rsidP="00D65F93">
            <w:pPr>
              <w:rPr>
                <w:rFonts w:eastAsia="Times New Roman"/>
                <w:color w:val="000000"/>
                <w:sz w:val="18"/>
                <w:szCs w:val="18"/>
              </w:rPr>
            </w:pPr>
            <w:r w:rsidRPr="003328EE">
              <w:rPr>
                <w:rFonts w:eastAsia="Times New Roman"/>
                <w:color w:val="000000"/>
                <w:sz w:val="18"/>
                <w:szCs w:val="18"/>
              </w:rPr>
              <w:t>Lorenzoni et al., 2007</w:t>
            </w:r>
          </w:p>
        </w:tc>
        <w:tc>
          <w:tcPr>
            <w:tcW w:w="1156" w:type="dxa"/>
            <w:tcBorders>
              <w:top w:val="nil"/>
              <w:left w:val="nil"/>
              <w:bottom w:val="nil"/>
              <w:right w:val="nil"/>
            </w:tcBorders>
            <w:shd w:val="clear" w:color="auto" w:fill="auto"/>
            <w:noWrap/>
            <w:vAlign w:val="bottom"/>
            <w:hideMark/>
          </w:tcPr>
          <w:p w14:paraId="4729E8CF" w14:textId="1924FFC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8DBA7F0" w14:textId="77777777" w:rsidTr="00D65F93">
        <w:trPr>
          <w:trHeight w:val="320"/>
        </w:trPr>
        <w:tc>
          <w:tcPr>
            <w:tcW w:w="3545" w:type="dxa"/>
            <w:tcBorders>
              <w:top w:val="nil"/>
              <w:left w:val="nil"/>
              <w:bottom w:val="nil"/>
              <w:right w:val="nil"/>
            </w:tcBorders>
            <w:shd w:val="clear" w:color="auto" w:fill="auto"/>
            <w:noWrap/>
            <w:vAlign w:val="bottom"/>
            <w:hideMark/>
          </w:tcPr>
          <w:p w14:paraId="662A9216" w14:textId="169BD6E8" w:rsidR="00F826D0" w:rsidRPr="003328EE" w:rsidRDefault="00F826D0" w:rsidP="00D65F93">
            <w:pPr>
              <w:rPr>
                <w:rFonts w:eastAsia="Times New Roman"/>
                <w:color w:val="000000"/>
                <w:sz w:val="18"/>
                <w:szCs w:val="18"/>
              </w:rPr>
            </w:pPr>
            <w:r w:rsidRPr="003328EE">
              <w:rPr>
                <w:rFonts w:eastAsia="Times New Roman"/>
                <w:color w:val="000000"/>
                <w:sz w:val="18"/>
                <w:szCs w:val="18"/>
              </w:rPr>
              <w:t>Individual Helplessness</w:t>
            </w:r>
          </w:p>
        </w:tc>
        <w:tc>
          <w:tcPr>
            <w:tcW w:w="3183" w:type="dxa"/>
            <w:tcBorders>
              <w:top w:val="nil"/>
              <w:left w:val="nil"/>
              <w:bottom w:val="nil"/>
              <w:right w:val="nil"/>
            </w:tcBorders>
            <w:shd w:val="clear" w:color="auto" w:fill="auto"/>
            <w:noWrap/>
            <w:vAlign w:val="bottom"/>
            <w:hideMark/>
          </w:tcPr>
          <w:p w14:paraId="0A334317" w14:textId="02229A58"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BA18ED0" w14:textId="6C926B6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FF0AA04" w14:textId="302B204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EB71706" w14:textId="75535D11" w:rsidR="00F826D0" w:rsidRPr="003328EE" w:rsidRDefault="00F826D0" w:rsidP="00D65F93">
            <w:pPr>
              <w:rPr>
                <w:rFonts w:eastAsia="Times New Roman"/>
                <w:color w:val="000000"/>
                <w:sz w:val="18"/>
                <w:szCs w:val="18"/>
              </w:rPr>
            </w:pPr>
            <w:r w:rsidRPr="003328EE">
              <w:rPr>
                <w:rFonts w:eastAsia="Times New Roman"/>
                <w:color w:val="000000"/>
                <w:sz w:val="18"/>
                <w:szCs w:val="18"/>
              </w:rPr>
              <w:t>Grace et al., 2016</w:t>
            </w:r>
          </w:p>
        </w:tc>
        <w:tc>
          <w:tcPr>
            <w:tcW w:w="1156" w:type="dxa"/>
            <w:tcBorders>
              <w:top w:val="nil"/>
              <w:left w:val="nil"/>
              <w:bottom w:val="nil"/>
              <w:right w:val="nil"/>
            </w:tcBorders>
            <w:shd w:val="clear" w:color="auto" w:fill="auto"/>
            <w:noWrap/>
            <w:vAlign w:val="bottom"/>
            <w:hideMark/>
          </w:tcPr>
          <w:p w14:paraId="10FB042B" w14:textId="4AE5B01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C05C3B1" w14:textId="77777777" w:rsidTr="00D65F93">
        <w:trPr>
          <w:trHeight w:val="320"/>
        </w:trPr>
        <w:tc>
          <w:tcPr>
            <w:tcW w:w="3545" w:type="dxa"/>
            <w:tcBorders>
              <w:top w:val="nil"/>
              <w:left w:val="nil"/>
              <w:bottom w:val="nil"/>
              <w:right w:val="nil"/>
            </w:tcBorders>
            <w:shd w:val="clear" w:color="auto" w:fill="auto"/>
            <w:noWrap/>
            <w:vAlign w:val="bottom"/>
            <w:hideMark/>
          </w:tcPr>
          <w:p w14:paraId="6DC64C25" w14:textId="2FF66413" w:rsidR="00F826D0" w:rsidRPr="003328EE" w:rsidRDefault="00F826D0" w:rsidP="00D65F93">
            <w:pPr>
              <w:rPr>
                <w:rFonts w:eastAsia="Times New Roman"/>
                <w:color w:val="000000"/>
                <w:sz w:val="18"/>
                <w:szCs w:val="18"/>
              </w:rPr>
            </w:pPr>
            <w:r w:rsidRPr="003328EE">
              <w:rPr>
                <w:rFonts w:eastAsia="Times New Roman"/>
                <w:color w:val="000000"/>
                <w:sz w:val="18"/>
                <w:szCs w:val="18"/>
              </w:rPr>
              <w:t>Lazy, passive</w:t>
            </w:r>
          </w:p>
        </w:tc>
        <w:tc>
          <w:tcPr>
            <w:tcW w:w="3183" w:type="dxa"/>
            <w:tcBorders>
              <w:top w:val="nil"/>
              <w:left w:val="nil"/>
              <w:bottom w:val="nil"/>
              <w:right w:val="nil"/>
            </w:tcBorders>
            <w:shd w:val="clear" w:color="auto" w:fill="auto"/>
            <w:noWrap/>
            <w:vAlign w:val="bottom"/>
            <w:hideMark/>
          </w:tcPr>
          <w:p w14:paraId="6B641CDA" w14:textId="6C7847E6"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7AB3C94F" w14:textId="724F734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E3ECE1D" w14:textId="47CE5634"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A761676" w14:textId="60ED83B6" w:rsidR="00F826D0" w:rsidRPr="003328EE" w:rsidRDefault="00F826D0" w:rsidP="00D65F93">
            <w:pPr>
              <w:rPr>
                <w:rFonts w:eastAsia="Times New Roman"/>
                <w:color w:val="000000"/>
                <w:sz w:val="18"/>
                <w:szCs w:val="18"/>
              </w:rPr>
            </w:pPr>
            <w:r w:rsidRPr="003328EE">
              <w:rPr>
                <w:rFonts w:eastAsia="Times New Roman"/>
                <w:color w:val="000000"/>
                <w:sz w:val="18"/>
                <w:szCs w:val="18"/>
              </w:rPr>
              <w:t>Worsley &amp; Skrzypiec, 1998</w:t>
            </w:r>
          </w:p>
        </w:tc>
        <w:tc>
          <w:tcPr>
            <w:tcW w:w="1156" w:type="dxa"/>
            <w:tcBorders>
              <w:top w:val="nil"/>
              <w:left w:val="nil"/>
              <w:bottom w:val="nil"/>
              <w:right w:val="nil"/>
            </w:tcBorders>
            <w:shd w:val="clear" w:color="auto" w:fill="auto"/>
            <w:noWrap/>
            <w:vAlign w:val="bottom"/>
            <w:hideMark/>
          </w:tcPr>
          <w:p w14:paraId="0F48843D" w14:textId="1EB9E4D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8439500" w14:textId="77777777" w:rsidTr="00D65F93">
        <w:trPr>
          <w:trHeight w:val="320"/>
        </w:trPr>
        <w:tc>
          <w:tcPr>
            <w:tcW w:w="3545" w:type="dxa"/>
            <w:tcBorders>
              <w:top w:val="nil"/>
              <w:left w:val="nil"/>
              <w:bottom w:val="nil"/>
              <w:right w:val="nil"/>
            </w:tcBorders>
            <w:shd w:val="clear" w:color="auto" w:fill="auto"/>
            <w:noWrap/>
            <w:vAlign w:val="bottom"/>
            <w:hideMark/>
          </w:tcPr>
          <w:p w14:paraId="34314B99" w14:textId="49A59939" w:rsidR="00F826D0" w:rsidRPr="003328EE" w:rsidRDefault="00F826D0" w:rsidP="00D65F93">
            <w:pPr>
              <w:rPr>
                <w:rFonts w:eastAsia="Times New Roman"/>
                <w:color w:val="000000"/>
                <w:sz w:val="18"/>
                <w:szCs w:val="18"/>
              </w:rPr>
            </w:pPr>
            <w:r w:rsidRPr="003328EE">
              <w:rPr>
                <w:rFonts w:eastAsia="Times New Roman"/>
                <w:color w:val="000000"/>
                <w:sz w:val="18"/>
                <w:szCs w:val="18"/>
              </w:rPr>
              <w:t>Lazy, passive</w:t>
            </w:r>
          </w:p>
        </w:tc>
        <w:tc>
          <w:tcPr>
            <w:tcW w:w="3183" w:type="dxa"/>
            <w:tcBorders>
              <w:top w:val="nil"/>
              <w:left w:val="nil"/>
              <w:bottom w:val="nil"/>
              <w:right w:val="nil"/>
            </w:tcBorders>
            <w:shd w:val="clear" w:color="auto" w:fill="auto"/>
            <w:noWrap/>
            <w:vAlign w:val="bottom"/>
            <w:hideMark/>
          </w:tcPr>
          <w:p w14:paraId="622DEE71" w14:textId="5CB8EA83"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721584B" w14:textId="2F5A3F6E"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544F6A8" w14:textId="1ABF50F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1B77AD2" w14:textId="4ADC1634" w:rsidR="00F826D0" w:rsidRPr="003328EE" w:rsidRDefault="00F826D0" w:rsidP="00D65F93">
            <w:pPr>
              <w:rPr>
                <w:rFonts w:eastAsia="Times New Roman"/>
                <w:color w:val="000000"/>
                <w:sz w:val="18"/>
                <w:szCs w:val="18"/>
              </w:rPr>
            </w:pPr>
            <w:r w:rsidRPr="003328EE">
              <w:rPr>
                <w:rFonts w:eastAsia="Times New Roman"/>
                <w:color w:val="000000"/>
                <w:sz w:val="18"/>
                <w:szCs w:val="18"/>
              </w:rPr>
              <w:t>Hirschler, 2011</w:t>
            </w:r>
          </w:p>
        </w:tc>
        <w:tc>
          <w:tcPr>
            <w:tcW w:w="1156" w:type="dxa"/>
            <w:tcBorders>
              <w:top w:val="nil"/>
              <w:left w:val="nil"/>
              <w:bottom w:val="nil"/>
              <w:right w:val="nil"/>
            </w:tcBorders>
            <w:shd w:val="clear" w:color="auto" w:fill="auto"/>
            <w:noWrap/>
            <w:vAlign w:val="bottom"/>
            <w:hideMark/>
          </w:tcPr>
          <w:p w14:paraId="26EFCACB" w14:textId="2E427AA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204B1C9" w14:textId="77777777" w:rsidTr="00D65F93">
        <w:trPr>
          <w:trHeight w:val="320"/>
        </w:trPr>
        <w:tc>
          <w:tcPr>
            <w:tcW w:w="3545" w:type="dxa"/>
            <w:tcBorders>
              <w:top w:val="nil"/>
              <w:left w:val="nil"/>
              <w:bottom w:val="nil"/>
              <w:right w:val="nil"/>
            </w:tcBorders>
            <w:shd w:val="clear" w:color="auto" w:fill="auto"/>
            <w:noWrap/>
            <w:vAlign w:val="bottom"/>
            <w:hideMark/>
          </w:tcPr>
          <w:p w14:paraId="33B8173D" w14:textId="0C119310" w:rsidR="00F826D0" w:rsidRPr="003328EE" w:rsidRDefault="00F826D0" w:rsidP="00D65F93">
            <w:pPr>
              <w:rPr>
                <w:rFonts w:eastAsia="Times New Roman"/>
                <w:color w:val="000000"/>
                <w:sz w:val="18"/>
                <w:szCs w:val="18"/>
              </w:rPr>
            </w:pPr>
            <w:r w:rsidRPr="003328EE">
              <w:rPr>
                <w:rFonts w:eastAsia="Times New Roman"/>
                <w:color w:val="000000"/>
                <w:sz w:val="18"/>
                <w:szCs w:val="18"/>
              </w:rPr>
              <w:t>Loss Aversion</w:t>
            </w:r>
          </w:p>
        </w:tc>
        <w:tc>
          <w:tcPr>
            <w:tcW w:w="3183" w:type="dxa"/>
            <w:tcBorders>
              <w:top w:val="nil"/>
              <w:left w:val="nil"/>
              <w:bottom w:val="nil"/>
              <w:right w:val="nil"/>
            </w:tcBorders>
            <w:shd w:val="clear" w:color="auto" w:fill="auto"/>
            <w:noWrap/>
            <w:vAlign w:val="bottom"/>
            <w:hideMark/>
          </w:tcPr>
          <w:p w14:paraId="38604AC3" w14:textId="4DF3A4AD"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120FF3E" w14:textId="28A7F32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9ECD6A6" w14:textId="4B57E8B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DF37214" w14:textId="0BE6CD2C" w:rsidR="00F826D0" w:rsidRPr="003328EE" w:rsidRDefault="00F826D0" w:rsidP="00D65F93">
            <w:pPr>
              <w:rPr>
                <w:rFonts w:eastAsia="Times New Roman"/>
                <w:color w:val="000000"/>
                <w:sz w:val="18"/>
                <w:szCs w:val="18"/>
              </w:rPr>
            </w:pPr>
            <w:r w:rsidRPr="003328EE">
              <w:rPr>
                <w:rFonts w:eastAsia="Times New Roman"/>
                <w:color w:val="000000"/>
                <w:sz w:val="18"/>
                <w:szCs w:val="18"/>
              </w:rPr>
              <w:t>Campbell-Arvai et al., 2014</w:t>
            </w:r>
          </w:p>
        </w:tc>
        <w:tc>
          <w:tcPr>
            <w:tcW w:w="1156" w:type="dxa"/>
            <w:tcBorders>
              <w:top w:val="nil"/>
              <w:left w:val="nil"/>
              <w:bottom w:val="nil"/>
              <w:right w:val="nil"/>
            </w:tcBorders>
            <w:shd w:val="clear" w:color="auto" w:fill="auto"/>
            <w:noWrap/>
            <w:vAlign w:val="bottom"/>
            <w:hideMark/>
          </w:tcPr>
          <w:p w14:paraId="1F6C1F97" w14:textId="00AFDF1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A6D9471" w14:textId="77777777" w:rsidTr="00D65F93">
        <w:trPr>
          <w:trHeight w:val="320"/>
        </w:trPr>
        <w:tc>
          <w:tcPr>
            <w:tcW w:w="3545" w:type="dxa"/>
            <w:tcBorders>
              <w:top w:val="nil"/>
              <w:left w:val="nil"/>
              <w:bottom w:val="nil"/>
              <w:right w:val="nil"/>
            </w:tcBorders>
            <w:shd w:val="clear" w:color="auto" w:fill="auto"/>
            <w:noWrap/>
            <w:vAlign w:val="bottom"/>
            <w:hideMark/>
          </w:tcPr>
          <w:p w14:paraId="59251BE6" w14:textId="02284392" w:rsidR="00F826D0" w:rsidRPr="003328EE" w:rsidRDefault="00F826D0" w:rsidP="00D65F93">
            <w:pPr>
              <w:rPr>
                <w:rFonts w:eastAsia="Times New Roman"/>
                <w:color w:val="000000"/>
                <w:sz w:val="18"/>
                <w:szCs w:val="18"/>
              </w:rPr>
            </w:pPr>
            <w:r w:rsidRPr="003328EE">
              <w:rPr>
                <w:rFonts w:eastAsia="Times New Roman"/>
                <w:color w:val="000000"/>
                <w:sz w:val="18"/>
                <w:szCs w:val="18"/>
              </w:rPr>
              <w:t>Mood</w:t>
            </w:r>
          </w:p>
        </w:tc>
        <w:tc>
          <w:tcPr>
            <w:tcW w:w="3183" w:type="dxa"/>
            <w:tcBorders>
              <w:top w:val="nil"/>
              <w:left w:val="nil"/>
              <w:bottom w:val="nil"/>
              <w:right w:val="nil"/>
            </w:tcBorders>
            <w:shd w:val="clear" w:color="auto" w:fill="auto"/>
            <w:noWrap/>
            <w:vAlign w:val="bottom"/>
            <w:hideMark/>
          </w:tcPr>
          <w:p w14:paraId="7FAC2303" w14:textId="7EFB8CCC"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09C82FD7" w14:textId="51728DD8"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FE0076C" w14:textId="68BA570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0899C8B" w14:textId="598A1782" w:rsidR="00F826D0" w:rsidRPr="003328EE" w:rsidRDefault="00F826D0" w:rsidP="00D65F93">
            <w:pPr>
              <w:rPr>
                <w:rFonts w:eastAsia="Times New Roman"/>
                <w:color w:val="000000"/>
                <w:sz w:val="18"/>
                <w:szCs w:val="18"/>
              </w:rPr>
            </w:pPr>
            <w:r w:rsidRPr="003328EE">
              <w:rPr>
                <w:rFonts w:eastAsia="Times New Roman"/>
                <w:color w:val="000000"/>
                <w:sz w:val="18"/>
                <w:szCs w:val="18"/>
              </w:rPr>
              <w:t>Neumark-Sztainer et al., 1999</w:t>
            </w:r>
          </w:p>
        </w:tc>
        <w:tc>
          <w:tcPr>
            <w:tcW w:w="1156" w:type="dxa"/>
            <w:tcBorders>
              <w:top w:val="nil"/>
              <w:left w:val="nil"/>
              <w:bottom w:val="nil"/>
              <w:right w:val="nil"/>
            </w:tcBorders>
            <w:shd w:val="clear" w:color="auto" w:fill="auto"/>
            <w:noWrap/>
            <w:vAlign w:val="bottom"/>
            <w:hideMark/>
          </w:tcPr>
          <w:p w14:paraId="2A473FF6" w14:textId="2AD3795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B4D2BAE" w14:textId="77777777" w:rsidTr="00D65F93">
        <w:trPr>
          <w:trHeight w:val="320"/>
        </w:trPr>
        <w:tc>
          <w:tcPr>
            <w:tcW w:w="3545" w:type="dxa"/>
            <w:tcBorders>
              <w:top w:val="nil"/>
              <w:left w:val="nil"/>
              <w:bottom w:val="nil"/>
              <w:right w:val="nil"/>
            </w:tcBorders>
            <w:shd w:val="clear" w:color="auto" w:fill="auto"/>
            <w:noWrap/>
            <w:vAlign w:val="bottom"/>
            <w:hideMark/>
          </w:tcPr>
          <w:p w14:paraId="28E45EE3" w14:textId="6CBD11E2" w:rsidR="00F826D0" w:rsidRPr="003328EE" w:rsidRDefault="00F826D0" w:rsidP="00D65F93">
            <w:pPr>
              <w:rPr>
                <w:rFonts w:eastAsia="Times New Roman"/>
                <w:color w:val="000000"/>
                <w:sz w:val="18"/>
                <w:szCs w:val="18"/>
              </w:rPr>
            </w:pPr>
            <w:r w:rsidRPr="003328EE">
              <w:rPr>
                <w:rFonts w:eastAsia="Times New Roman"/>
                <w:color w:val="000000"/>
                <w:sz w:val="18"/>
                <w:szCs w:val="18"/>
              </w:rPr>
              <w:t>Non-Reflective Activity</w:t>
            </w:r>
          </w:p>
        </w:tc>
        <w:tc>
          <w:tcPr>
            <w:tcW w:w="3183" w:type="dxa"/>
            <w:tcBorders>
              <w:top w:val="nil"/>
              <w:left w:val="nil"/>
              <w:bottom w:val="nil"/>
              <w:right w:val="nil"/>
            </w:tcBorders>
            <w:shd w:val="clear" w:color="auto" w:fill="auto"/>
            <w:noWrap/>
            <w:vAlign w:val="bottom"/>
            <w:hideMark/>
          </w:tcPr>
          <w:p w14:paraId="5C18E7E8" w14:textId="13F02E39"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42858706" w14:textId="65B1936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799BF8F" w14:textId="68350BC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0568448" w14:textId="106BDEE4" w:rsidR="00F826D0" w:rsidRPr="003328EE" w:rsidRDefault="00F826D0" w:rsidP="00D65F93">
            <w:pPr>
              <w:rPr>
                <w:rFonts w:eastAsia="Times New Roman"/>
                <w:color w:val="000000"/>
                <w:sz w:val="18"/>
                <w:szCs w:val="18"/>
              </w:rPr>
            </w:pPr>
            <w:r w:rsidRPr="003328EE">
              <w:rPr>
                <w:rFonts w:eastAsia="Times New Roman"/>
                <w:color w:val="000000"/>
                <w:sz w:val="18"/>
                <w:szCs w:val="18"/>
              </w:rPr>
              <w:t>Makiniemi &amp; Vinio, 2014</w:t>
            </w:r>
          </w:p>
        </w:tc>
        <w:tc>
          <w:tcPr>
            <w:tcW w:w="1156" w:type="dxa"/>
            <w:tcBorders>
              <w:top w:val="nil"/>
              <w:left w:val="nil"/>
              <w:bottom w:val="nil"/>
              <w:right w:val="nil"/>
            </w:tcBorders>
            <w:shd w:val="clear" w:color="auto" w:fill="auto"/>
            <w:noWrap/>
            <w:vAlign w:val="bottom"/>
            <w:hideMark/>
          </w:tcPr>
          <w:p w14:paraId="121D5B88" w14:textId="1A2BD03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76EAA4D" w14:textId="77777777" w:rsidTr="00D65F93">
        <w:trPr>
          <w:trHeight w:val="320"/>
        </w:trPr>
        <w:tc>
          <w:tcPr>
            <w:tcW w:w="3545" w:type="dxa"/>
            <w:tcBorders>
              <w:top w:val="nil"/>
              <w:left w:val="nil"/>
              <w:bottom w:val="nil"/>
              <w:right w:val="nil"/>
            </w:tcBorders>
            <w:shd w:val="clear" w:color="auto" w:fill="auto"/>
            <w:noWrap/>
            <w:vAlign w:val="bottom"/>
            <w:hideMark/>
          </w:tcPr>
          <w:p w14:paraId="2A9167B1" w14:textId="00DADA41" w:rsidR="00F826D0" w:rsidRPr="003328EE" w:rsidRDefault="00F826D0" w:rsidP="00D65F93">
            <w:pPr>
              <w:rPr>
                <w:rFonts w:eastAsia="Times New Roman"/>
                <w:color w:val="000000"/>
                <w:sz w:val="18"/>
                <w:szCs w:val="18"/>
              </w:rPr>
            </w:pPr>
            <w:r w:rsidRPr="003328EE">
              <w:rPr>
                <w:rFonts w:eastAsia="Times New Roman"/>
                <w:color w:val="000000"/>
                <w:sz w:val="18"/>
                <w:szCs w:val="18"/>
              </w:rPr>
              <w:t>Pragmatism</w:t>
            </w:r>
          </w:p>
        </w:tc>
        <w:tc>
          <w:tcPr>
            <w:tcW w:w="3183" w:type="dxa"/>
            <w:tcBorders>
              <w:top w:val="nil"/>
              <w:left w:val="nil"/>
              <w:bottom w:val="nil"/>
              <w:right w:val="nil"/>
            </w:tcBorders>
            <w:shd w:val="clear" w:color="auto" w:fill="auto"/>
            <w:noWrap/>
            <w:vAlign w:val="bottom"/>
            <w:hideMark/>
          </w:tcPr>
          <w:p w14:paraId="2743C727" w14:textId="28E77C02"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E3BE4A7" w14:textId="69024B8E"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ABFD16F" w14:textId="24101F2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BD23F0D" w14:textId="36416496" w:rsidR="00F826D0" w:rsidRPr="003328EE" w:rsidRDefault="00F826D0" w:rsidP="00D65F93">
            <w:pPr>
              <w:rPr>
                <w:rFonts w:eastAsia="Times New Roman"/>
                <w:color w:val="000000"/>
                <w:sz w:val="18"/>
                <w:szCs w:val="18"/>
              </w:rPr>
            </w:pPr>
            <w:r w:rsidRPr="003328EE">
              <w:rPr>
                <w:rFonts w:eastAsia="Times New Roman"/>
                <w:color w:val="000000"/>
                <w:sz w:val="18"/>
                <w:szCs w:val="18"/>
              </w:rPr>
              <w:t>Janda &amp; Trocchia, 2001</w:t>
            </w:r>
          </w:p>
        </w:tc>
        <w:tc>
          <w:tcPr>
            <w:tcW w:w="1156" w:type="dxa"/>
            <w:tcBorders>
              <w:top w:val="nil"/>
              <w:left w:val="nil"/>
              <w:bottom w:val="nil"/>
              <w:right w:val="nil"/>
            </w:tcBorders>
            <w:shd w:val="clear" w:color="auto" w:fill="auto"/>
            <w:noWrap/>
            <w:vAlign w:val="bottom"/>
            <w:hideMark/>
          </w:tcPr>
          <w:p w14:paraId="4BC9CA9C" w14:textId="32954AE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813BB15" w14:textId="77777777" w:rsidTr="00D65F93">
        <w:trPr>
          <w:trHeight w:val="320"/>
        </w:trPr>
        <w:tc>
          <w:tcPr>
            <w:tcW w:w="3545" w:type="dxa"/>
            <w:tcBorders>
              <w:top w:val="nil"/>
              <w:left w:val="nil"/>
              <w:bottom w:val="nil"/>
              <w:right w:val="nil"/>
            </w:tcBorders>
            <w:shd w:val="clear" w:color="auto" w:fill="auto"/>
            <w:noWrap/>
            <w:vAlign w:val="bottom"/>
            <w:hideMark/>
          </w:tcPr>
          <w:p w14:paraId="0B880778" w14:textId="39421F83" w:rsidR="00F826D0" w:rsidRPr="003328EE" w:rsidRDefault="00F826D0" w:rsidP="00D65F93">
            <w:pPr>
              <w:rPr>
                <w:rFonts w:eastAsia="Times New Roman"/>
                <w:color w:val="000000"/>
                <w:sz w:val="18"/>
                <w:szCs w:val="18"/>
              </w:rPr>
            </w:pPr>
            <w:r w:rsidRPr="003328EE">
              <w:rPr>
                <w:rFonts w:eastAsia="Times New Roman"/>
                <w:color w:val="000000"/>
                <w:sz w:val="18"/>
                <w:szCs w:val="18"/>
              </w:rPr>
              <w:t>Preparation</w:t>
            </w:r>
          </w:p>
        </w:tc>
        <w:tc>
          <w:tcPr>
            <w:tcW w:w="3183" w:type="dxa"/>
            <w:tcBorders>
              <w:top w:val="nil"/>
              <w:left w:val="nil"/>
              <w:bottom w:val="nil"/>
              <w:right w:val="nil"/>
            </w:tcBorders>
            <w:shd w:val="clear" w:color="auto" w:fill="auto"/>
            <w:noWrap/>
            <w:vAlign w:val="bottom"/>
            <w:hideMark/>
          </w:tcPr>
          <w:p w14:paraId="7C93429C" w14:textId="2B5BBD47"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386F4778" w14:textId="355F0275"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015968B" w14:textId="02E1A0B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73D2510" w14:textId="1F4FDD9A" w:rsidR="00F826D0" w:rsidRPr="003328EE" w:rsidRDefault="00F826D0" w:rsidP="00D65F93">
            <w:pPr>
              <w:rPr>
                <w:rFonts w:eastAsia="Times New Roman"/>
                <w:color w:val="000000"/>
                <w:sz w:val="18"/>
                <w:szCs w:val="18"/>
              </w:rPr>
            </w:pPr>
            <w:r w:rsidRPr="003328EE">
              <w:rPr>
                <w:rFonts w:eastAsia="Times New Roman"/>
                <w:color w:val="000000"/>
                <w:sz w:val="18"/>
                <w:szCs w:val="18"/>
              </w:rPr>
              <w:t>Gobert &amp; Duncan, 2009</w:t>
            </w:r>
          </w:p>
        </w:tc>
        <w:tc>
          <w:tcPr>
            <w:tcW w:w="1156" w:type="dxa"/>
            <w:tcBorders>
              <w:top w:val="nil"/>
              <w:left w:val="nil"/>
              <w:bottom w:val="nil"/>
              <w:right w:val="nil"/>
            </w:tcBorders>
            <w:shd w:val="clear" w:color="auto" w:fill="auto"/>
            <w:noWrap/>
            <w:vAlign w:val="bottom"/>
            <w:hideMark/>
          </w:tcPr>
          <w:p w14:paraId="7FC3DD74" w14:textId="35D16D6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760DD81" w14:textId="77777777" w:rsidTr="00D65F93">
        <w:trPr>
          <w:trHeight w:val="320"/>
        </w:trPr>
        <w:tc>
          <w:tcPr>
            <w:tcW w:w="3545" w:type="dxa"/>
            <w:tcBorders>
              <w:top w:val="nil"/>
              <w:left w:val="nil"/>
              <w:bottom w:val="nil"/>
              <w:right w:val="nil"/>
            </w:tcBorders>
            <w:shd w:val="clear" w:color="auto" w:fill="auto"/>
            <w:noWrap/>
            <w:vAlign w:val="bottom"/>
            <w:hideMark/>
          </w:tcPr>
          <w:p w14:paraId="47FCC58F" w14:textId="6ADB632F" w:rsidR="00F826D0" w:rsidRPr="003328EE" w:rsidRDefault="00F826D0" w:rsidP="00D65F93">
            <w:pPr>
              <w:rPr>
                <w:rFonts w:eastAsia="Times New Roman"/>
                <w:color w:val="000000"/>
                <w:sz w:val="18"/>
                <w:szCs w:val="18"/>
              </w:rPr>
            </w:pPr>
            <w:r w:rsidRPr="003328EE">
              <w:rPr>
                <w:rFonts w:eastAsia="Times New Roman"/>
                <w:color w:val="000000"/>
                <w:sz w:val="18"/>
                <w:szCs w:val="18"/>
              </w:rPr>
              <w:t>Preparation</w:t>
            </w:r>
          </w:p>
        </w:tc>
        <w:tc>
          <w:tcPr>
            <w:tcW w:w="3183" w:type="dxa"/>
            <w:tcBorders>
              <w:top w:val="nil"/>
              <w:left w:val="nil"/>
              <w:bottom w:val="nil"/>
              <w:right w:val="nil"/>
            </w:tcBorders>
            <w:shd w:val="clear" w:color="auto" w:fill="auto"/>
            <w:noWrap/>
            <w:vAlign w:val="bottom"/>
            <w:hideMark/>
          </w:tcPr>
          <w:p w14:paraId="4733C9E1" w14:textId="217C879D"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28D488CB" w14:textId="5052CAD7"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C90953B" w14:textId="12E8093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1B9EF32" w14:textId="481D8DBE" w:rsidR="00F826D0" w:rsidRPr="003328EE" w:rsidRDefault="00F826D0" w:rsidP="00D65F93">
            <w:pPr>
              <w:rPr>
                <w:rFonts w:eastAsia="Times New Roman"/>
                <w:color w:val="000000"/>
                <w:sz w:val="18"/>
                <w:szCs w:val="18"/>
              </w:rPr>
            </w:pPr>
            <w:r w:rsidRPr="003328EE">
              <w:rPr>
                <w:rFonts w:eastAsia="Times New Roman"/>
                <w:color w:val="000000"/>
                <w:sz w:val="18"/>
                <w:szCs w:val="18"/>
              </w:rPr>
              <w:t>Barr &amp; Chapman, 2002</w:t>
            </w:r>
          </w:p>
        </w:tc>
        <w:tc>
          <w:tcPr>
            <w:tcW w:w="1156" w:type="dxa"/>
            <w:tcBorders>
              <w:top w:val="nil"/>
              <w:left w:val="nil"/>
              <w:bottom w:val="nil"/>
              <w:right w:val="nil"/>
            </w:tcBorders>
            <w:shd w:val="clear" w:color="auto" w:fill="auto"/>
            <w:noWrap/>
            <w:vAlign w:val="bottom"/>
            <w:hideMark/>
          </w:tcPr>
          <w:p w14:paraId="651A2741" w14:textId="3DE0380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7FCC629" w14:textId="77777777" w:rsidTr="00D65F93">
        <w:trPr>
          <w:trHeight w:val="320"/>
        </w:trPr>
        <w:tc>
          <w:tcPr>
            <w:tcW w:w="3545" w:type="dxa"/>
            <w:tcBorders>
              <w:top w:val="nil"/>
              <w:left w:val="nil"/>
              <w:bottom w:val="nil"/>
              <w:right w:val="nil"/>
            </w:tcBorders>
            <w:shd w:val="clear" w:color="auto" w:fill="auto"/>
            <w:noWrap/>
            <w:vAlign w:val="bottom"/>
            <w:hideMark/>
          </w:tcPr>
          <w:p w14:paraId="1A1E5F21" w14:textId="4BDCB0B9" w:rsidR="00F826D0" w:rsidRPr="003328EE" w:rsidRDefault="00F826D0" w:rsidP="00D65F93">
            <w:pPr>
              <w:rPr>
                <w:rFonts w:eastAsia="Times New Roman"/>
                <w:color w:val="000000"/>
                <w:sz w:val="18"/>
                <w:szCs w:val="18"/>
              </w:rPr>
            </w:pPr>
            <w:r w:rsidRPr="003328EE">
              <w:rPr>
                <w:rFonts w:eastAsia="Times New Roman"/>
                <w:color w:val="000000"/>
                <w:sz w:val="18"/>
                <w:szCs w:val="18"/>
              </w:rPr>
              <w:t>Quality of Meat Alternatives</w:t>
            </w:r>
          </w:p>
        </w:tc>
        <w:tc>
          <w:tcPr>
            <w:tcW w:w="3183" w:type="dxa"/>
            <w:tcBorders>
              <w:top w:val="nil"/>
              <w:left w:val="nil"/>
              <w:bottom w:val="nil"/>
              <w:right w:val="nil"/>
            </w:tcBorders>
            <w:shd w:val="clear" w:color="auto" w:fill="auto"/>
            <w:noWrap/>
            <w:vAlign w:val="bottom"/>
            <w:hideMark/>
          </w:tcPr>
          <w:p w14:paraId="1A34307C" w14:textId="4D2A7127"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F34C110" w14:textId="70AA90EA"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5DF6F9D" w14:textId="6F9FAE1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7C9839E" w14:textId="66A4EF87" w:rsidR="00F826D0" w:rsidRPr="003328EE" w:rsidRDefault="00F826D0" w:rsidP="00D65F93">
            <w:pPr>
              <w:rPr>
                <w:rFonts w:eastAsia="Times New Roman"/>
                <w:color w:val="000000"/>
                <w:sz w:val="18"/>
                <w:szCs w:val="18"/>
              </w:rPr>
            </w:pPr>
            <w:r w:rsidRPr="003328EE">
              <w:rPr>
                <w:rFonts w:eastAsia="Times New Roman"/>
                <w:color w:val="000000"/>
                <w:sz w:val="18"/>
                <w:szCs w:val="18"/>
              </w:rPr>
              <w:t>Vanhonacker et al., 2013</w:t>
            </w:r>
          </w:p>
        </w:tc>
        <w:tc>
          <w:tcPr>
            <w:tcW w:w="1156" w:type="dxa"/>
            <w:tcBorders>
              <w:top w:val="nil"/>
              <w:left w:val="nil"/>
              <w:bottom w:val="nil"/>
              <w:right w:val="nil"/>
            </w:tcBorders>
            <w:shd w:val="clear" w:color="auto" w:fill="auto"/>
            <w:noWrap/>
            <w:vAlign w:val="bottom"/>
            <w:hideMark/>
          </w:tcPr>
          <w:p w14:paraId="38CB3D55" w14:textId="0F1198C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C19C6E2" w14:textId="77777777" w:rsidTr="00D65F93">
        <w:trPr>
          <w:trHeight w:val="320"/>
        </w:trPr>
        <w:tc>
          <w:tcPr>
            <w:tcW w:w="3545" w:type="dxa"/>
            <w:tcBorders>
              <w:top w:val="nil"/>
              <w:left w:val="nil"/>
              <w:bottom w:val="nil"/>
              <w:right w:val="nil"/>
            </w:tcBorders>
            <w:shd w:val="clear" w:color="auto" w:fill="auto"/>
            <w:noWrap/>
            <w:vAlign w:val="bottom"/>
            <w:hideMark/>
          </w:tcPr>
          <w:p w14:paraId="674AFC64" w14:textId="709FB857" w:rsidR="00F826D0" w:rsidRPr="003328EE" w:rsidRDefault="00F826D0" w:rsidP="00D65F93">
            <w:pPr>
              <w:rPr>
                <w:rFonts w:eastAsia="Times New Roman"/>
                <w:color w:val="000000"/>
                <w:sz w:val="18"/>
                <w:szCs w:val="18"/>
              </w:rPr>
            </w:pPr>
            <w:r w:rsidRPr="003328EE">
              <w:rPr>
                <w:rFonts w:eastAsia="Times New Roman"/>
                <w:color w:val="000000"/>
                <w:sz w:val="18"/>
                <w:szCs w:val="18"/>
              </w:rPr>
              <w:t>Routine</w:t>
            </w:r>
          </w:p>
        </w:tc>
        <w:tc>
          <w:tcPr>
            <w:tcW w:w="3183" w:type="dxa"/>
            <w:tcBorders>
              <w:top w:val="nil"/>
              <w:left w:val="nil"/>
              <w:bottom w:val="nil"/>
              <w:right w:val="nil"/>
            </w:tcBorders>
            <w:shd w:val="clear" w:color="auto" w:fill="auto"/>
            <w:noWrap/>
            <w:vAlign w:val="bottom"/>
            <w:hideMark/>
          </w:tcPr>
          <w:p w14:paraId="42C17EF1" w14:textId="6E4855C6"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42FABA3" w14:textId="34226BA7"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3D835A7" w14:textId="4402519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88F0C4E" w14:textId="36BC7681" w:rsidR="00F826D0" w:rsidRPr="003328EE" w:rsidRDefault="00F826D0" w:rsidP="00D65F93">
            <w:pPr>
              <w:rPr>
                <w:rFonts w:eastAsia="Times New Roman"/>
                <w:color w:val="000000"/>
                <w:sz w:val="18"/>
                <w:szCs w:val="18"/>
              </w:rPr>
            </w:pPr>
            <w:r w:rsidRPr="003328EE">
              <w:rPr>
                <w:rFonts w:eastAsia="Times New Roman"/>
                <w:color w:val="000000"/>
                <w:sz w:val="18"/>
                <w:szCs w:val="18"/>
              </w:rPr>
              <w:t>Neumark-Sztainer et al., 1999</w:t>
            </w:r>
          </w:p>
        </w:tc>
        <w:tc>
          <w:tcPr>
            <w:tcW w:w="1156" w:type="dxa"/>
            <w:tcBorders>
              <w:top w:val="nil"/>
              <w:left w:val="nil"/>
              <w:bottom w:val="nil"/>
              <w:right w:val="nil"/>
            </w:tcBorders>
            <w:shd w:val="clear" w:color="auto" w:fill="auto"/>
            <w:noWrap/>
            <w:vAlign w:val="bottom"/>
            <w:hideMark/>
          </w:tcPr>
          <w:p w14:paraId="42D7CE7F" w14:textId="62C3529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EAE8369" w14:textId="77777777" w:rsidTr="00D65F93">
        <w:trPr>
          <w:trHeight w:val="320"/>
        </w:trPr>
        <w:tc>
          <w:tcPr>
            <w:tcW w:w="3545" w:type="dxa"/>
            <w:tcBorders>
              <w:top w:val="nil"/>
              <w:left w:val="nil"/>
              <w:bottom w:val="nil"/>
              <w:right w:val="nil"/>
            </w:tcBorders>
            <w:shd w:val="clear" w:color="auto" w:fill="auto"/>
            <w:noWrap/>
            <w:vAlign w:val="bottom"/>
            <w:hideMark/>
          </w:tcPr>
          <w:p w14:paraId="33EFC9C2" w14:textId="0E7818F2" w:rsidR="00F826D0" w:rsidRPr="003328EE" w:rsidRDefault="00F826D0" w:rsidP="00D65F93">
            <w:pPr>
              <w:rPr>
                <w:rFonts w:eastAsia="Times New Roman"/>
                <w:color w:val="000000"/>
                <w:sz w:val="18"/>
                <w:szCs w:val="18"/>
              </w:rPr>
            </w:pPr>
            <w:r w:rsidRPr="003328EE">
              <w:rPr>
                <w:rFonts w:eastAsia="Times New Roman"/>
                <w:color w:val="000000"/>
                <w:sz w:val="18"/>
                <w:szCs w:val="18"/>
              </w:rPr>
              <w:t>Routine</w:t>
            </w:r>
          </w:p>
        </w:tc>
        <w:tc>
          <w:tcPr>
            <w:tcW w:w="3183" w:type="dxa"/>
            <w:tcBorders>
              <w:top w:val="nil"/>
              <w:left w:val="nil"/>
              <w:bottom w:val="nil"/>
              <w:right w:val="nil"/>
            </w:tcBorders>
            <w:shd w:val="clear" w:color="auto" w:fill="auto"/>
            <w:noWrap/>
            <w:vAlign w:val="bottom"/>
            <w:hideMark/>
          </w:tcPr>
          <w:p w14:paraId="111BE27C" w14:textId="2CD1F52D"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75CC5BB4" w14:textId="5606E8E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BE6EC1F" w14:textId="603FFF2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4FD321C" w14:textId="6F860C9A"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2014</w:t>
            </w:r>
          </w:p>
        </w:tc>
        <w:tc>
          <w:tcPr>
            <w:tcW w:w="1156" w:type="dxa"/>
            <w:tcBorders>
              <w:top w:val="nil"/>
              <w:left w:val="nil"/>
              <w:bottom w:val="nil"/>
              <w:right w:val="nil"/>
            </w:tcBorders>
            <w:shd w:val="clear" w:color="auto" w:fill="auto"/>
            <w:noWrap/>
            <w:vAlign w:val="bottom"/>
            <w:hideMark/>
          </w:tcPr>
          <w:p w14:paraId="207835A3" w14:textId="4C4FBE6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80A67B9" w14:textId="77777777" w:rsidTr="00D65F93">
        <w:trPr>
          <w:trHeight w:val="320"/>
        </w:trPr>
        <w:tc>
          <w:tcPr>
            <w:tcW w:w="3545" w:type="dxa"/>
            <w:tcBorders>
              <w:top w:val="nil"/>
              <w:left w:val="nil"/>
              <w:bottom w:val="nil"/>
              <w:right w:val="nil"/>
            </w:tcBorders>
            <w:shd w:val="clear" w:color="auto" w:fill="auto"/>
            <w:noWrap/>
            <w:vAlign w:val="bottom"/>
            <w:hideMark/>
          </w:tcPr>
          <w:p w14:paraId="47F41AC7" w14:textId="45713533" w:rsidR="00F826D0" w:rsidRPr="003328EE" w:rsidRDefault="00F826D0" w:rsidP="00D65F93">
            <w:pPr>
              <w:rPr>
                <w:rFonts w:eastAsia="Times New Roman"/>
                <w:color w:val="000000"/>
                <w:sz w:val="18"/>
                <w:szCs w:val="18"/>
              </w:rPr>
            </w:pPr>
            <w:r w:rsidRPr="003328EE">
              <w:rPr>
                <w:rFonts w:eastAsia="Times New Roman"/>
                <w:color w:val="000000"/>
                <w:sz w:val="18"/>
                <w:szCs w:val="18"/>
              </w:rPr>
              <w:t>Routine</w:t>
            </w:r>
          </w:p>
        </w:tc>
        <w:tc>
          <w:tcPr>
            <w:tcW w:w="3183" w:type="dxa"/>
            <w:tcBorders>
              <w:top w:val="nil"/>
              <w:left w:val="nil"/>
              <w:bottom w:val="nil"/>
              <w:right w:val="nil"/>
            </w:tcBorders>
            <w:shd w:val="clear" w:color="auto" w:fill="auto"/>
            <w:noWrap/>
            <w:vAlign w:val="bottom"/>
            <w:hideMark/>
          </w:tcPr>
          <w:p w14:paraId="7AB410A4" w14:textId="234C936A"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8EF674D" w14:textId="227B1D2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35ADB66" w14:textId="3A71751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F9FBD83" w14:textId="529D2533" w:rsidR="00F826D0" w:rsidRPr="003328EE" w:rsidRDefault="00F826D0" w:rsidP="00D65F93">
            <w:pPr>
              <w:rPr>
                <w:rFonts w:eastAsia="Times New Roman"/>
                <w:color w:val="000000"/>
                <w:sz w:val="18"/>
                <w:szCs w:val="18"/>
              </w:rPr>
            </w:pPr>
            <w:r w:rsidRPr="003328EE">
              <w:rPr>
                <w:rFonts w:eastAsia="Times New Roman"/>
                <w:color w:val="000000"/>
                <w:sz w:val="18"/>
                <w:szCs w:val="18"/>
              </w:rPr>
              <w:t>Wahlen et al., 2012</w:t>
            </w:r>
          </w:p>
        </w:tc>
        <w:tc>
          <w:tcPr>
            <w:tcW w:w="1156" w:type="dxa"/>
            <w:tcBorders>
              <w:top w:val="nil"/>
              <w:left w:val="nil"/>
              <w:bottom w:val="nil"/>
              <w:right w:val="nil"/>
            </w:tcBorders>
            <w:shd w:val="clear" w:color="auto" w:fill="auto"/>
            <w:noWrap/>
            <w:vAlign w:val="bottom"/>
            <w:hideMark/>
          </w:tcPr>
          <w:p w14:paraId="7E35FBD0" w14:textId="77D7279F"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Primary </w:t>
            </w:r>
          </w:p>
        </w:tc>
      </w:tr>
      <w:tr w:rsidR="00F826D0" w:rsidRPr="003328EE" w14:paraId="1B10A3FB" w14:textId="77777777" w:rsidTr="00D65F93">
        <w:trPr>
          <w:trHeight w:val="320"/>
        </w:trPr>
        <w:tc>
          <w:tcPr>
            <w:tcW w:w="3545" w:type="dxa"/>
            <w:tcBorders>
              <w:top w:val="nil"/>
              <w:left w:val="nil"/>
              <w:bottom w:val="nil"/>
              <w:right w:val="nil"/>
            </w:tcBorders>
            <w:shd w:val="clear" w:color="auto" w:fill="auto"/>
            <w:noWrap/>
            <w:vAlign w:val="bottom"/>
            <w:hideMark/>
          </w:tcPr>
          <w:p w14:paraId="423A2C80" w14:textId="7575344E" w:rsidR="00F826D0" w:rsidRPr="003328EE" w:rsidRDefault="00F826D0" w:rsidP="00D65F93">
            <w:pPr>
              <w:rPr>
                <w:rFonts w:eastAsia="Times New Roman"/>
                <w:color w:val="000000"/>
                <w:sz w:val="18"/>
                <w:szCs w:val="18"/>
              </w:rPr>
            </w:pPr>
            <w:r w:rsidRPr="003328EE">
              <w:rPr>
                <w:rFonts w:eastAsia="Times New Roman"/>
                <w:color w:val="000000"/>
                <w:sz w:val="18"/>
                <w:szCs w:val="18"/>
              </w:rPr>
              <w:t>Stress</w:t>
            </w:r>
          </w:p>
        </w:tc>
        <w:tc>
          <w:tcPr>
            <w:tcW w:w="3183" w:type="dxa"/>
            <w:tcBorders>
              <w:top w:val="nil"/>
              <w:left w:val="nil"/>
              <w:bottom w:val="nil"/>
              <w:right w:val="nil"/>
            </w:tcBorders>
            <w:shd w:val="clear" w:color="auto" w:fill="auto"/>
            <w:noWrap/>
            <w:vAlign w:val="bottom"/>
            <w:hideMark/>
          </w:tcPr>
          <w:p w14:paraId="4CCA13EC" w14:textId="28757189"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7F6B3460" w14:textId="302DE0CA"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EC53971" w14:textId="2EAB0E5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F39738C" w14:textId="13C565FC" w:rsidR="00F826D0" w:rsidRPr="003328EE" w:rsidRDefault="00F826D0" w:rsidP="00D65F93">
            <w:pPr>
              <w:rPr>
                <w:rFonts w:eastAsia="Times New Roman"/>
                <w:color w:val="000000"/>
                <w:sz w:val="18"/>
                <w:szCs w:val="18"/>
              </w:rPr>
            </w:pPr>
            <w:r w:rsidRPr="003328EE">
              <w:rPr>
                <w:rFonts w:eastAsia="Times New Roman"/>
                <w:color w:val="000000"/>
                <w:sz w:val="18"/>
                <w:szCs w:val="18"/>
              </w:rPr>
              <w:t>Haverstock &amp; Forgays, 2012</w:t>
            </w:r>
          </w:p>
        </w:tc>
        <w:tc>
          <w:tcPr>
            <w:tcW w:w="1156" w:type="dxa"/>
            <w:tcBorders>
              <w:top w:val="nil"/>
              <w:left w:val="nil"/>
              <w:bottom w:val="nil"/>
              <w:right w:val="nil"/>
            </w:tcBorders>
            <w:shd w:val="clear" w:color="auto" w:fill="auto"/>
            <w:noWrap/>
            <w:vAlign w:val="bottom"/>
            <w:hideMark/>
          </w:tcPr>
          <w:p w14:paraId="5A12B758" w14:textId="15BFC9A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33FF366" w14:textId="77777777" w:rsidTr="00D65F93">
        <w:trPr>
          <w:trHeight w:val="320"/>
        </w:trPr>
        <w:tc>
          <w:tcPr>
            <w:tcW w:w="3545" w:type="dxa"/>
            <w:tcBorders>
              <w:top w:val="nil"/>
              <w:left w:val="nil"/>
              <w:bottom w:val="nil"/>
              <w:right w:val="nil"/>
            </w:tcBorders>
            <w:shd w:val="clear" w:color="auto" w:fill="auto"/>
            <w:noWrap/>
            <w:vAlign w:val="bottom"/>
            <w:hideMark/>
          </w:tcPr>
          <w:p w14:paraId="686F9512" w14:textId="623AE44E"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1BB6B8EB" w14:textId="518B8DAB"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4BE0DFFE" w14:textId="7183F9BD"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CFDFE33" w14:textId="71C4BB8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70DA5B9" w14:textId="15E4D3F2" w:rsidR="00F826D0" w:rsidRPr="003328EE" w:rsidRDefault="00F826D0" w:rsidP="00D65F93">
            <w:pPr>
              <w:rPr>
                <w:rFonts w:eastAsia="Times New Roman"/>
                <w:color w:val="000000"/>
                <w:sz w:val="18"/>
                <w:szCs w:val="18"/>
              </w:rPr>
            </w:pPr>
            <w:r w:rsidRPr="003328EE">
              <w:rPr>
                <w:rFonts w:eastAsia="Times New Roman"/>
                <w:color w:val="000000"/>
                <w:sz w:val="18"/>
                <w:szCs w:val="18"/>
              </w:rPr>
              <w:t>de Backer &amp; Hudders, 2014</w:t>
            </w:r>
          </w:p>
        </w:tc>
        <w:tc>
          <w:tcPr>
            <w:tcW w:w="1156" w:type="dxa"/>
            <w:tcBorders>
              <w:top w:val="nil"/>
              <w:left w:val="nil"/>
              <w:bottom w:val="nil"/>
              <w:right w:val="nil"/>
            </w:tcBorders>
            <w:shd w:val="clear" w:color="auto" w:fill="auto"/>
            <w:noWrap/>
            <w:vAlign w:val="bottom"/>
            <w:hideMark/>
          </w:tcPr>
          <w:p w14:paraId="319B70B7" w14:textId="4E7BCE7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6CF5848" w14:textId="77777777" w:rsidTr="00D65F93">
        <w:trPr>
          <w:trHeight w:val="320"/>
        </w:trPr>
        <w:tc>
          <w:tcPr>
            <w:tcW w:w="3545" w:type="dxa"/>
            <w:tcBorders>
              <w:top w:val="nil"/>
              <w:left w:val="nil"/>
              <w:bottom w:val="nil"/>
              <w:right w:val="nil"/>
            </w:tcBorders>
            <w:shd w:val="clear" w:color="auto" w:fill="auto"/>
            <w:noWrap/>
            <w:vAlign w:val="bottom"/>
            <w:hideMark/>
          </w:tcPr>
          <w:p w14:paraId="37695E81" w14:textId="155AEC46"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605B5B85" w14:textId="604F246E"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2BD2E34C" w14:textId="382B6382"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4669640" w14:textId="3DABA6D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E9F0590" w14:textId="3DD0B91C" w:rsidR="00F826D0" w:rsidRPr="003328EE" w:rsidRDefault="00F826D0" w:rsidP="00D65F93">
            <w:pPr>
              <w:rPr>
                <w:rFonts w:eastAsia="Times New Roman"/>
                <w:color w:val="000000"/>
                <w:sz w:val="18"/>
                <w:szCs w:val="18"/>
              </w:rPr>
            </w:pPr>
            <w:r w:rsidRPr="003328EE">
              <w:rPr>
                <w:rFonts w:eastAsia="Times New Roman"/>
                <w:color w:val="000000"/>
                <w:sz w:val="18"/>
                <w:szCs w:val="18"/>
              </w:rPr>
              <w:t>Erinosho et al., 2015</w:t>
            </w:r>
          </w:p>
        </w:tc>
        <w:tc>
          <w:tcPr>
            <w:tcW w:w="1156" w:type="dxa"/>
            <w:tcBorders>
              <w:top w:val="nil"/>
              <w:left w:val="nil"/>
              <w:bottom w:val="nil"/>
              <w:right w:val="nil"/>
            </w:tcBorders>
            <w:shd w:val="clear" w:color="auto" w:fill="auto"/>
            <w:noWrap/>
            <w:vAlign w:val="bottom"/>
            <w:hideMark/>
          </w:tcPr>
          <w:p w14:paraId="35A5703B" w14:textId="2299497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83F9922" w14:textId="77777777" w:rsidTr="00D65F93">
        <w:trPr>
          <w:trHeight w:val="320"/>
        </w:trPr>
        <w:tc>
          <w:tcPr>
            <w:tcW w:w="3545" w:type="dxa"/>
            <w:tcBorders>
              <w:top w:val="nil"/>
              <w:left w:val="nil"/>
              <w:bottom w:val="nil"/>
              <w:right w:val="nil"/>
            </w:tcBorders>
            <w:shd w:val="clear" w:color="auto" w:fill="auto"/>
            <w:noWrap/>
            <w:vAlign w:val="bottom"/>
            <w:hideMark/>
          </w:tcPr>
          <w:p w14:paraId="7B7A9B9E" w14:textId="373EBEC8"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29B0F7F5" w14:textId="45CB7B31"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052539B7" w14:textId="3E702CF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023CE71" w14:textId="642DA4E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8B377ED" w14:textId="5BE27F3E" w:rsidR="00F826D0" w:rsidRPr="003328EE" w:rsidRDefault="00F826D0" w:rsidP="00D65F93">
            <w:pPr>
              <w:rPr>
                <w:rFonts w:eastAsia="Times New Roman"/>
                <w:color w:val="000000"/>
                <w:sz w:val="18"/>
                <w:szCs w:val="18"/>
              </w:rPr>
            </w:pPr>
            <w:r w:rsidRPr="003328EE">
              <w:rPr>
                <w:rFonts w:eastAsia="Times New Roman"/>
                <w:color w:val="000000"/>
                <w:sz w:val="18"/>
                <w:szCs w:val="18"/>
              </w:rPr>
              <w:t>Gobert &amp; Duncan, 2009</w:t>
            </w:r>
          </w:p>
        </w:tc>
        <w:tc>
          <w:tcPr>
            <w:tcW w:w="1156" w:type="dxa"/>
            <w:tcBorders>
              <w:top w:val="nil"/>
              <w:left w:val="nil"/>
              <w:bottom w:val="nil"/>
              <w:right w:val="nil"/>
            </w:tcBorders>
            <w:shd w:val="clear" w:color="auto" w:fill="auto"/>
            <w:noWrap/>
            <w:vAlign w:val="bottom"/>
            <w:hideMark/>
          </w:tcPr>
          <w:p w14:paraId="180CA5C1" w14:textId="5B2D346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2E17B66" w14:textId="77777777" w:rsidTr="00D65F93">
        <w:trPr>
          <w:trHeight w:val="320"/>
        </w:trPr>
        <w:tc>
          <w:tcPr>
            <w:tcW w:w="3545" w:type="dxa"/>
            <w:tcBorders>
              <w:top w:val="nil"/>
              <w:left w:val="nil"/>
              <w:bottom w:val="nil"/>
              <w:right w:val="nil"/>
            </w:tcBorders>
            <w:shd w:val="clear" w:color="auto" w:fill="auto"/>
            <w:noWrap/>
            <w:vAlign w:val="bottom"/>
            <w:hideMark/>
          </w:tcPr>
          <w:p w14:paraId="7AE273C8" w14:textId="69208E21"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5C80B5F7" w14:textId="1D66AE72"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0D1BDBD" w14:textId="170FFF2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968E2EA" w14:textId="4D367B5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7D5EA05" w14:textId="533829A6" w:rsidR="00F826D0" w:rsidRPr="003328EE" w:rsidRDefault="00F826D0" w:rsidP="00D65F93">
            <w:pPr>
              <w:rPr>
                <w:rFonts w:eastAsia="Times New Roman"/>
                <w:color w:val="000000"/>
                <w:sz w:val="18"/>
                <w:szCs w:val="18"/>
              </w:rPr>
            </w:pPr>
            <w:r w:rsidRPr="003328EE">
              <w:rPr>
                <w:rFonts w:eastAsia="Times New Roman"/>
                <w:color w:val="000000"/>
                <w:sz w:val="18"/>
                <w:szCs w:val="18"/>
              </w:rPr>
              <w:t>Haverstock &amp; Forgays, 2012</w:t>
            </w:r>
          </w:p>
        </w:tc>
        <w:tc>
          <w:tcPr>
            <w:tcW w:w="1156" w:type="dxa"/>
            <w:tcBorders>
              <w:top w:val="nil"/>
              <w:left w:val="nil"/>
              <w:bottom w:val="nil"/>
              <w:right w:val="nil"/>
            </w:tcBorders>
            <w:shd w:val="clear" w:color="auto" w:fill="auto"/>
            <w:noWrap/>
            <w:vAlign w:val="bottom"/>
            <w:hideMark/>
          </w:tcPr>
          <w:p w14:paraId="147FB8CE" w14:textId="785B021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B14DEB7" w14:textId="77777777" w:rsidTr="00D65F93">
        <w:trPr>
          <w:trHeight w:val="320"/>
        </w:trPr>
        <w:tc>
          <w:tcPr>
            <w:tcW w:w="3545" w:type="dxa"/>
            <w:tcBorders>
              <w:top w:val="nil"/>
              <w:left w:val="nil"/>
              <w:bottom w:val="nil"/>
              <w:right w:val="nil"/>
            </w:tcBorders>
            <w:shd w:val="clear" w:color="auto" w:fill="auto"/>
            <w:noWrap/>
            <w:vAlign w:val="bottom"/>
            <w:hideMark/>
          </w:tcPr>
          <w:p w14:paraId="1F47B340" w14:textId="2656EE71"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1CB464C3" w14:textId="37E18272"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4F8A5465" w14:textId="3EBC13D7"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8D49271" w14:textId="74ED606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E02B42B" w14:textId="4A221D15" w:rsidR="00F826D0" w:rsidRPr="003328EE" w:rsidRDefault="00F826D0" w:rsidP="00D65F93">
            <w:pPr>
              <w:rPr>
                <w:rFonts w:eastAsia="Times New Roman"/>
                <w:color w:val="000000"/>
                <w:sz w:val="18"/>
                <w:szCs w:val="18"/>
              </w:rPr>
            </w:pPr>
            <w:r w:rsidRPr="003328EE">
              <w:rPr>
                <w:rFonts w:eastAsia="Times New Roman"/>
                <w:color w:val="000000"/>
                <w:sz w:val="18"/>
                <w:szCs w:val="18"/>
              </w:rPr>
              <w:t>Hoek et al., 2011</w:t>
            </w:r>
          </w:p>
        </w:tc>
        <w:tc>
          <w:tcPr>
            <w:tcW w:w="1156" w:type="dxa"/>
            <w:tcBorders>
              <w:top w:val="nil"/>
              <w:left w:val="nil"/>
              <w:bottom w:val="nil"/>
              <w:right w:val="nil"/>
            </w:tcBorders>
            <w:shd w:val="clear" w:color="auto" w:fill="auto"/>
            <w:noWrap/>
            <w:vAlign w:val="bottom"/>
            <w:hideMark/>
          </w:tcPr>
          <w:p w14:paraId="28C6BB86" w14:textId="5992376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449B8E6" w14:textId="77777777" w:rsidTr="00D65F93">
        <w:trPr>
          <w:trHeight w:val="320"/>
        </w:trPr>
        <w:tc>
          <w:tcPr>
            <w:tcW w:w="3545" w:type="dxa"/>
            <w:tcBorders>
              <w:top w:val="nil"/>
              <w:left w:val="nil"/>
              <w:bottom w:val="nil"/>
              <w:right w:val="nil"/>
            </w:tcBorders>
            <w:shd w:val="clear" w:color="auto" w:fill="auto"/>
            <w:noWrap/>
            <w:vAlign w:val="bottom"/>
            <w:hideMark/>
          </w:tcPr>
          <w:p w14:paraId="1AB106EC" w14:textId="665C04C8"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146349B4" w14:textId="2082CB7D"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400F3A2F" w14:textId="2E2A505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337F4F8" w14:textId="10EC094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4BD840B" w14:textId="47F657E4" w:rsidR="00F826D0" w:rsidRPr="003328EE" w:rsidRDefault="00F826D0" w:rsidP="00D65F93">
            <w:pPr>
              <w:rPr>
                <w:rFonts w:eastAsia="Times New Roman"/>
                <w:color w:val="000000"/>
                <w:sz w:val="18"/>
                <w:szCs w:val="18"/>
              </w:rPr>
            </w:pPr>
            <w:r w:rsidRPr="003328EE">
              <w:rPr>
                <w:rFonts w:eastAsia="Times New Roman"/>
                <w:color w:val="000000"/>
                <w:sz w:val="18"/>
                <w:szCs w:val="18"/>
              </w:rPr>
              <w:t>Makiniemi &amp; Vinio, 2014</w:t>
            </w:r>
          </w:p>
        </w:tc>
        <w:tc>
          <w:tcPr>
            <w:tcW w:w="1156" w:type="dxa"/>
            <w:tcBorders>
              <w:top w:val="nil"/>
              <w:left w:val="nil"/>
              <w:bottom w:val="nil"/>
              <w:right w:val="nil"/>
            </w:tcBorders>
            <w:shd w:val="clear" w:color="auto" w:fill="auto"/>
            <w:noWrap/>
            <w:vAlign w:val="bottom"/>
            <w:hideMark/>
          </w:tcPr>
          <w:p w14:paraId="657F6B71" w14:textId="3C58C1B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6FCF4DB" w14:textId="77777777" w:rsidTr="00D65F93">
        <w:trPr>
          <w:trHeight w:val="320"/>
        </w:trPr>
        <w:tc>
          <w:tcPr>
            <w:tcW w:w="3545" w:type="dxa"/>
            <w:tcBorders>
              <w:top w:val="nil"/>
              <w:left w:val="nil"/>
              <w:bottom w:val="nil"/>
              <w:right w:val="nil"/>
            </w:tcBorders>
            <w:shd w:val="clear" w:color="auto" w:fill="auto"/>
            <w:noWrap/>
            <w:vAlign w:val="bottom"/>
            <w:hideMark/>
          </w:tcPr>
          <w:p w14:paraId="7B472A24" w14:textId="69FD9DA9"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74289811" w14:textId="3F5737AB"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45EC115" w14:textId="57F17F1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22214AD" w14:textId="2434F3A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08006B8" w14:textId="49782457" w:rsidR="00F826D0" w:rsidRPr="003328EE" w:rsidRDefault="00F826D0" w:rsidP="00D65F93">
            <w:pPr>
              <w:rPr>
                <w:rFonts w:eastAsia="Times New Roman"/>
                <w:color w:val="000000"/>
                <w:sz w:val="18"/>
                <w:szCs w:val="18"/>
              </w:rPr>
            </w:pPr>
            <w:r w:rsidRPr="003328EE">
              <w:rPr>
                <w:rFonts w:eastAsia="Times New Roman"/>
                <w:color w:val="000000"/>
                <w:sz w:val="18"/>
                <w:szCs w:val="18"/>
              </w:rPr>
              <w:t>Barr &amp; Chapman, 2002</w:t>
            </w:r>
          </w:p>
        </w:tc>
        <w:tc>
          <w:tcPr>
            <w:tcW w:w="1156" w:type="dxa"/>
            <w:tcBorders>
              <w:top w:val="nil"/>
              <w:left w:val="nil"/>
              <w:bottom w:val="nil"/>
              <w:right w:val="nil"/>
            </w:tcBorders>
            <w:shd w:val="clear" w:color="auto" w:fill="auto"/>
            <w:noWrap/>
            <w:vAlign w:val="bottom"/>
            <w:hideMark/>
          </w:tcPr>
          <w:p w14:paraId="4A8E7A77" w14:textId="076AB5B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F718F0D" w14:textId="77777777" w:rsidTr="00D65F93">
        <w:trPr>
          <w:trHeight w:val="320"/>
        </w:trPr>
        <w:tc>
          <w:tcPr>
            <w:tcW w:w="3545" w:type="dxa"/>
            <w:tcBorders>
              <w:top w:val="nil"/>
              <w:left w:val="nil"/>
              <w:bottom w:val="nil"/>
              <w:right w:val="nil"/>
            </w:tcBorders>
            <w:shd w:val="clear" w:color="auto" w:fill="auto"/>
            <w:noWrap/>
            <w:vAlign w:val="bottom"/>
            <w:hideMark/>
          </w:tcPr>
          <w:p w14:paraId="414A61C1" w14:textId="42978202"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5D950E0A" w14:textId="021B07C5"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3A48892C" w14:textId="10DFFB7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BC33A46" w14:textId="4B97E76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B9F4860" w14:textId="56EFB2B9" w:rsidR="00F826D0" w:rsidRPr="003328EE" w:rsidRDefault="00F826D0" w:rsidP="00D65F93">
            <w:pPr>
              <w:rPr>
                <w:rFonts w:eastAsia="Times New Roman"/>
                <w:color w:val="000000"/>
                <w:sz w:val="18"/>
                <w:szCs w:val="18"/>
              </w:rPr>
            </w:pPr>
            <w:r w:rsidRPr="003328EE">
              <w:rPr>
                <w:rFonts w:eastAsia="Times New Roman"/>
                <w:color w:val="000000"/>
                <w:sz w:val="18"/>
                <w:szCs w:val="18"/>
              </w:rPr>
              <w:t>Ruby, 2012</w:t>
            </w:r>
          </w:p>
        </w:tc>
        <w:tc>
          <w:tcPr>
            <w:tcW w:w="1156" w:type="dxa"/>
            <w:tcBorders>
              <w:top w:val="nil"/>
              <w:left w:val="nil"/>
              <w:bottom w:val="nil"/>
              <w:right w:val="nil"/>
            </w:tcBorders>
            <w:shd w:val="clear" w:color="auto" w:fill="auto"/>
            <w:noWrap/>
            <w:vAlign w:val="bottom"/>
            <w:hideMark/>
          </w:tcPr>
          <w:p w14:paraId="08A86684" w14:textId="04DECB2C"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EC53CE9" w14:textId="77777777" w:rsidTr="00D65F93">
        <w:trPr>
          <w:trHeight w:val="320"/>
        </w:trPr>
        <w:tc>
          <w:tcPr>
            <w:tcW w:w="3545" w:type="dxa"/>
            <w:tcBorders>
              <w:top w:val="nil"/>
              <w:left w:val="nil"/>
              <w:bottom w:val="nil"/>
              <w:right w:val="nil"/>
            </w:tcBorders>
            <w:shd w:val="clear" w:color="auto" w:fill="auto"/>
            <w:noWrap/>
            <w:vAlign w:val="bottom"/>
            <w:hideMark/>
          </w:tcPr>
          <w:p w14:paraId="0289A8F0" w14:textId="1481C659"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7622B00A" w14:textId="7750EC1B"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2BC859F6" w14:textId="769E45E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02FF32E" w14:textId="1FD6FE2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A910A20" w14:textId="7B5C3164" w:rsidR="00F826D0" w:rsidRPr="003328EE" w:rsidRDefault="00F826D0" w:rsidP="00D65F93">
            <w:pPr>
              <w:rPr>
                <w:rFonts w:eastAsia="Times New Roman"/>
                <w:color w:val="000000"/>
                <w:sz w:val="18"/>
                <w:szCs w:val="18"/>
              </w:rPr>
            </w:pPr>
            <w:r w:rsidRPr="003328EE">
              <w:rPr>
                <w:rFonts w:eastAsia="Times New Roman"/>
                <w:color w:val="000000"/>
                <w:sz w:val="18"/>
                <w:szCs w:val="18"/>
              </w:rPr>
              <w:t>Neumark-Sztainer et al., 1999</w:t>
            </w:r>
          </w:p>
        </w:tc>
        <w:tc>
          <w:tcPr>
            <w:tcW w:w="1156" w:type="dxa"/>
            <w:tcBorders>
              <w:top w:val="nil"/>
              <w:left w:val="nil"/>
              <w:bottom w:val="nil"/>
              <w:right w:val="nil"/>
            </w:tcBorders>
            <w:shd w:val="clear" w:color="auto" w:fill="auto"/>
            <w:noWrap/>
            <w:vAlign w:val="bottom"/>
            <w:hideMark/>
          </w:tcPr>
          <w:p w14:paraId="793E1C01" w14:textId="16CA522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F91FBD5" w14:textId="77777777" w:rsidTr="00D65F93">
        <w:trPr>
          <w:trHeight w:val="320"/>
        </w:trPr>
        <w:tc>
          <w:tcPr>
            <w:tcW w:w="3545" w:type="dxa"/>
            <w:tcBorders>
              <w:top w:val="nil"/>
              <w:left w:val="nil"/>
              <w:bottom w:val="nil"/>
              <w:right w:val="nil"/>
            </w:tcBorders>
            <w:shd w:val="clear" w:color="auto" w:fill="auto"/>
            <w:noWrap/>
            <w:vAlign w:val="bottom"/>
            <w:hideMark/>
          </w:tcPr>
          <w:p w14:paraId="4FBE9BDF" w14:textId="24A5F892"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5E6EA30F" w14:textId="71015F40"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572699D" w14:textId="6786ED68"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14A8CD8" w14:textId="6685A5C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40A0805" w14:textId="3A159AAB" w:rsidR="00F826D0" w:rsidRPr="003328EE" w:rsidRDefault="00F826D0" w:rsidP="00D65F93">
            <w:pPr>
              <w:rPr>
                <w:rFonts w:eastAsia="Times New Roman"/>
                <w:color w:val="000000"/>
                <w:sz w:val="18"/>
                <w:szCs w:val="18"/>
              </w:rPr>
            </w:pPr>
            <w:r w:rsidRPr="003328EE">
              <w:rPr>
                <w:rFonts w:eastAsia="Times New Roman"/>
                <w:color w:val="000000"/>
                <w:sz w:val="18"/>
                <w:szCs w:val="18"/>
              </w:rPr>
              <w:t>Pohjolainen et al., 2014</w:t>
            </w:r>
          </w:p>
        </w:tc>
        <w:tc>
          <w:tcPr>
            <w:tcW w:w="1156" w:type="dxa"/>
            <w:tcBorders>
              <w:top w:val="nil"/>
              <w:left w:val="nil"/>
              <w:bottom w:val="nil"/>
              <w:right w:val="nil"/>
            </w:tcBorders>
            <w:shd w:val="clear" w:color="auto" w:fill="auto"/>
            <w:noWrap/>
            <w:vAlign w:val="bottom"/>
            <w:hideMark/>
          </w:tcPr>
          <w:p w14:paraId="4FE28194" w14:textId="23089FB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BEF2949" w14:textId="77777777" w:rsidTr="00D65F93">
        <w:trPr>
          <w:trHeight w:val="320"/>
        </w:trPr>
        <w:tc>
          <w:tcPr>
            <w:tcW w:w="3545" w:type="dxa"/>
            <w:tcBorders>
              <w:top w:val="nil"/>
              <w:left w:val="nil"/>
              <w:bottom w:val="nil"/>
              <w:right w:val="nil"/>
            </w:tcBorders>
            <w:shd w:val="clear" w:color="auto" w:fill="auto"/>
            <w:noWrap/>
            <w:vAlign w:val="bottom"/>
            <w:hideMark/>
          </w:tcPr>
          <w:p w14:paraId="5E76F7E3" w14:textId="45A74DE9"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1510B3AE" w14:textId="3C52925D"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3CC9E97C" w14:textId="2C0CED0D"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90F1AA2" w14:textId="14BBC49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37D717F" w14:textId="3793521F" w:rsidR="00F826D0" w:rsidRPr="003328EE" w:rsidRDefault="00F826D0" w:rsidP="00D65F93">
            <w:pPr>
              <w:rPr>
                <w:rFonts w:eastAsia="Times New Roman"/>
                <w:color w:val="000000"/>
                <w:sz w:val="18"/>
                <w:szCs w:val="18"/>
              </w:rPr>
            </w:pPr>
            <w:r w:rsidRPr="003328EE">
              <w:rPr>
                <w:rFonts w:eastAsia="Times New Roman"/>
                <w:color w:val="000000"/>
                <w:sz w:val="18"/>
                <w:szCs w:val="18"/>
              </w:rPr>
              <w:t>Schyver &amp; Smith, 2005</w:t>
            </w:r>
          </w:p>
        </w:tc>
        <w:tc>
          <w:tcPr>
            <w:tcW w:w="1156" w:type="dxa"/>
            <w:tcBorders>
              <w:top w:val="nil"/>
              <w:left w:val="nil"/>
              <w:bottom w:val="nil"/>
              <w:right w:val="nil"/>
            </w:tcBorders>
            <w:shd w:val="clear" w:color="auto" w:fill="auto"/>
            <w:noWrap/>
            <w:vAlign w:val="bottom"/>
            <w:hideMark/>
          </w:tcPr>
          <w:p w14:paraId="3E77FB44" w14:textId="1F0AE12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C150A6D" w14:textId="77777777" w:rsidTr="00D65F93">
        <w:trPr>
          <w:trHeight w:val="320"/>
        </w:trPr>
        <w:tc>
          <w:tcPr>
            <w:tcW w:w="3545" w:type="dxa"/>
            <w:tcBorders>
              <w:top w:val="nil"/>
              <w:left w:val="nil"/>
              <w:bottom w:val="nil"/>
              <w:right w:val="nil"/>
            </w:tcBorders>
            <w:shd w:val="clear" w:color="auto" w:fill="auto"/>
            <w:noWrap/>
            <w:vAlign w:val="bottom"/>
            <w:hideMark/>
          </w:tcPr>
          <w:p w14:paraId="410F973B" w14:textId="716381B9"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0E2997BD" w14:textId="4003142B"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CAEF750" w14:textId="42B3909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F52A71C" w14:textId="762E6D9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0E19823" w14:textId="7F975009" w:rsidR="00F826D0" w:rsidRPr="003328EE" w:rsidRDefault="00F826D0" w:rsidP="00D65F93">
            <w:pPr>
              <w:rPr>
                <w:rFonts w:eastAsia="Times New Roman"/>
                <w:color w:val="000000"/>
                <w:sz w:val="18"/>
                <w:szCs w:val="18"/>
              </w:rPr>
            </w:pPr>
            <w:r w:rsidRPr="003328EE">
              <w:rPr>
                <w:rFonts w:eastAsia="Times New Roman"/>
                <w:color w:val="000000"/>
                <w:sz w:val="18"/>
                <w:szCs w:val="18"/>
              </w:rPr>
              <w:t>Wnsink et al., 2014</w:t>
            </w:r>
          </w:p>
        </w:tc>
        <w:tc>
          <w:tcPr>
            <w:tcW w:w="1156" w:type="dxa"/>
            <w:tcBorders>
              <w:top w:val="nil"/>
              <w:left w:val="nil"/>
              <w:bottom w:val="nil"/>
              <w:right w:val="nil"/>
            </w:tcBorders>
            <w:shd w:val="clear" w:color="auto" w:fill="auto"/>
            <w:noWrap/>
            <w:vAlign w:val="bottom"/>
            <w:hideMark/>
          </w:tcPr>
          <w:p w14:paraId="1996750C" w14:textId="269C7F5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BC1BF1D" w14:textId="77777777" w:rsidTr="00D65F93">
        <w:trPr>
          <w:trHeight w:val="320"/>
        </w:trPr>
        <w:tc>
          <w:tcPr>
            <w:tcW w:w="3545" w:type="dxa"/>
            <w:tcBorders>
              <w:top w:val="nil"/>
              <w:left w:val="nil"/>
              <w:bottom w:val="nil"/>
              <w:right w:val="nil"/>
            </w:tcBorders>
            <w:shd w:val="clear" w:color="auto" w:fill="auto"/>
            <w:noWrap/>
            <w:vAlign w:val="bottom"/>
            <w:hideMark/>
          </w:tcPr>
          <w:p w14:paraId="0E3DD2DD" w14:textId="7E858477"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74CF24E6" w14:textId="6B96D755"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49C789BC" w14:textId="00A4FD37"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6FBC6A5" w14:textId="2188A40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4005726" w14:textId="13A570E0"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1C1C10EB" w14:textId="7C0A8572"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5E13BCD" w14:textId="77777777" w:rsidTr="00D65F93">
        <w:trPr>
          <w:trHeight w:val="320"/>
        </w:trPr>
        <w:tc>
          <w:tcPr>
            <w:tcW w:w="3545" w:type="dxa"/>
            <w:tcBorders>
              <w:top w:val="nil"/>
              <w:left w:val="nil"/>
              <w:bottom w:val="nil"/>
              <w:right w:val="nil"/>
            </w:tcBorders>
            <w:shd w:val="clear" w:color="auto" w:fill="auto"/>
            <w:noWrap/>
            <w:vAlign w:val="bottom"/>
            <w:hideMark/>
          </w:tcPr>
          <w:p w14:paraId="52CDC122" w14:textId="50DFBEEB"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3A770A19" w14:textId="110B8CE2"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03CB2545" w14:textId="4422945B"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36186C9" w14:textId="54BA7F11"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F7C81C4" w14:textId="2EC3BE18" w:rsidR="00F826D0" w:rsidRPr="003328EE" w:rsidRDefault="00F826D0" w:rsidP="00D65F93">
            <w:pPr>
              <w:rPr>
                <w:rFonts w:eastAsia="Times New Roman"/>
                <w:color w:val="000000"/>
                <w:sz w:val="18"/>
                <w:szCs w:val="18"/>
              </w:rPr>
            </w:pPr>
            <w:r w:rsidRPr="003328EE">
              <w:rPr>
                <w:rFonts w:eastAsia="Times New Roman"/>
                <w:color w:val="000000"/>
                <w:sz w:val="18"/>
                <w:szCs w:val="18"/>
              </w:rPr>
              <w:t>Leroy &amp; Praet, 2015</w:t>
            </w:r>
          </w:p>
        </w:tc>
        <w:tc>
          <w:tcPr>
            <w:tcW w:w="1156" w:type="dxa"/>
            <w:tcBorders>
              <w:top w:val="nil"/>
              <w:left w:val="nil"/>
              <w:bottom w:val="nil"/>
              <w:right w:val="nil"/>
            </w:tcBorders>
            <w:shd w:val="clear" w:color="auto" w:fill="auto"/>
            <w:noWrap/>
            <w:vAlign w:val="bottom"/>
            <w:hideMark/>
          </w:tcPr>
          <w:p w14:paraId="168B379D" w14:textId="5BA232C7"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35E4181" w14:textId="77777777" w:rsidTr="00D65F93">
        <w:trPr>
          <w:trHeight w:val="320"/>
        </w:trPr>
        <w:tc>
          <w:tcPr>
            <w:tcW w:w="3545" w:type="dxa"/>
            <w:tcBorders>
              <w:top w:val="nil"/>
              <w:left w:val="nil"/>
              <w:bottom w:val="nil"/>
              <w:right w:val="nil"/>
            </w:tcBorders>
            <w:shd w:val="clear" w:color="auto" w:fill="auto"/>
            <w:noWrap/>
            <w:vAlign w:val="bottom"/>
            <w:hideMark/>
          </w:tcPr>
          <w:p w14:paraId="5CC02966" w14:textId="518283D0"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530106B2" w14:textId="198972C8"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96AAFEE" w14:textId="674AF8B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CEC326D" w14:textId="49B1E47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C5747D4" w14:textId="62A2123D" w:rsidR="00F826D0" w:rsidRPr="003328EE" w:rsidRDefault="00F826D0" w:rsidP="00D65F93">
            <w:pPr>
              <w:rPr>
                <w:rFonts w:eastAsia="Times New Roman"/>
                <w:color w:val="000000"/>
                <w:sz w:val="18"/>
                <w:szCs w:val="18"/>
              </w:rPr>
            </w:pPr>
            <w:r w:rsidRPr="003328EE">
              <w:rPr>
                <w:rFonts w:eastAsia="Times New Roman"/>
                <w:color w:val="000000"/>
                <w:sz w:val="18"/>
                <w:szCs w:val="18"/>
              </w:rPr>
              <w:t>Ruby et al., 2016</w:t>
            </w:r>
          </w:p>
        </w:tc>
        <w:tc>
          <w:tcPr>
            <w:tcW w:w="1156" w:type="dxa"/>
            <w:tcBorders>
              <w:top w:val="nil"/>
              <w:left w:val="nil"/>
              <w:bottom w:val="nil"/>
              <w:right w:val="nil"/>
            </w:tcBorders>
            <w:shd w:val="clear" w:color="auto" w:fill="auto"/>
            <w:noWrap/>
            <w:vAlign w:val="bottom"/>
            <w:hideMark/>
          </w:tcPr>
          <w:p w14:paraId="4B6B6DC0" w14:textId="3C98B60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C621194" w14:textId="77777777" w:rsidTr="00D65F93">
        <w:trPr>
          <w:trHeight w:val="320"/>
        </w:trPr>
        <w:tc>
          <w:tcPr>
            <w:tcW w:w="3545" w:type="dxa"/>
            <w:tcBorders>
              <w:top w:val="nil"/>
              <w:left w:val="nil"/>
              <w:bottom w:val="nil"/>
              <w:right w:val="nil"/>
            </w:tcBorders>
            <w:shd w:val="clear" w:color="auto" w:fill="auto"/>
            <w:noWrap/>
            <w:vAlign w:val="bottom"/>
            <w:hideMark/>
          </w:tcPr>
          <w:p w14:paraId="0203DB24" w14:textId="3DF86905"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68FAAF7E" w14:textId="577BCECA"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742B768C" w14:textId="2BC0C51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26FE0C8" w14:textId="5E6473D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90F1F50" w14:textId="3483F930" w:rsidR="00F826D0" w:rsidRPr="003328EE" w:rsidRDefault="00F826D0" w:rsidP="00D65F93">
            <w:pPr>
              <w:rPr>
                <w:rFonts w:eastAsia="Times New Roman"/>
                <w:color w:val="000000"/>
                <w:sz w:val="18"/>
                <w:szCs w:val="18"/>
              </w:rPr>
            </w:pPr>
            <w:r w:rsidRPr="003328EE">
              <w:rPr>
                <w:rFonts w:eastAsia="Times New Roman"/>
                <w:color w:val="000000"/>
                <w:sz w:val="18"/>
                <w:szCs w:val="18"/>
              </w:rPr>
              <w:t>de Boer et al., 2016</w:t>
            </w:r>
          </w:p>
        </w:tc>
        <w:tc>
          <w:tcPr>
            <w:tcW w:w="1156" w:type="dxa"/>
            <w:tcBorders>
              <w:top w:val="nil"/>
              <w:left w:val="nil"/>
              <w:bottom w:val="nil"/>
              <w:right w:val="nil"/>
            </w:tcBorders>
            <w:shd w:val="clear" w:color="auto" w:fill="auto"/>
            <w:noWrap/>
            <w:vAlign w:val="bottom"/>
            <w:hideMark/>
          </w:tcPr>
          <w:p w14:paraId="343124EB" w14:textId="58CBDFA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66DEAFC" w14:textId="77777777" w:rsidTr="00D65F93">
        <w:trPr>
          <w:trHeight w:val="320"/>
        </w:trPr>
        <w:tc>
          <w:tcPr>
            <w:tcW w:w="3545" w:type="dxa"/>
            <w:tcBorders>
              <w:top w:val="nil"/>
              <w:left w:val="nil"/>
              <w:bottom w:val="nil"/>
              <w:right w:val="nil"/>
            </w:tcBorders>
            <w:shd w:val="clear" w:color="auto" w:fill="auto"/>
            <w:noWrap/>
            <w:vAlign w:val="bottom"/>
            <w:hideMark/>
          </w:tcPr>
          <w:p w14:paraId="39493C2C" w14:textId="0BA512E3"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499642EB" w14:textId="5E6EA73C"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24921088" w14:textId="20B1674D"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290FF1C" w14:textId="0B7CBC5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F979682" w14:textId="488C252F" w:rsidR="00F826D0" w:rsidRPr="003328EE" w:rsidRDefault="00F826D0" w:rsidP="00D65F93">
            <w:pPr>
              <w:rPr>
                <w:rFonts w:eastAsia="Times New Roman"/>
                <w:color w:val="000000"/>
                <w:sz w:val="18"/>
                <w:szCs w:val="18"/>
              </w:rPr>
            </w:pPr>
            <w:r w:rsidRPr="003328EE">
              <w:rPr>
                <w:rFonts w:eastAsia="Times New Roman"/>
                <w:color w:val="000000"/>
                <w:sz w:val="18"/>
                <w:szCs w:val="18"/>
              </w:rPr>
              <w:t>Caracciolo et al., 2016</w:t>
            </w:r>
          </w:p>
        </w:tc>
        <w:tc>
          <w:tcPr>
            <w:tcW w:w="1156" w:type="dxa"/>
            <w:tcBorders>
              <w:top w:val="nil"/>
              <w:left w:val="nil"/>
              <w:bottom w:val="nil"/>
              <w:right w:val="nil"/>
            </w:tcBorders>
            <w:shd w:val="clear" w:color="auto" w:fill="auto"/>
            <w:noWrap/>
            <w:vAlign w:val="bottom"/>
            <w:hideMark/>
          </w:tcPr>
          <w:p w14:paraId="5575E20D" w14:textId="6C990F5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C443576" w14:textId="77777777" w:rsidTr="00D65F93">
        <w:trPr>
          <w:trHeight w:val="320"/>
        </w:trPr>
        <w:tc>
          <w:tcPr>
            <w:tcW w:w="3545" w:type="dxa"/>
            <w:tcBorders>
              <w:top w:val="nil"/>
              <w:left w:val="nil"/>
              <w:bottom w:val="nil"/>
              <w:right w:val="nil"/>
            </w:tcBorders>
            <w:shd w:val="clear" w:color="auto" w:fill="auto"/>
            <w:noWrap/>
            <w:vAlign w:val="bottom"/>
            <w:hideMark/>
          </w:tcPr>
          <w:p w14:paraId="61DC8C5A" w14:textId="21BE8700"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65014B7C" w14:textId="33013AF3"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7DB9B85F" w14:textId="04AF7BE5"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8E31D08" w14:textId="76B7154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BDD93F3" w14:textId="1D7BCB6B" w:rsidR="00F826D0" w:rsidRPr="003328EE" w:rsidRDefault="00F826D0" w:rsidP="00D65F93">
            <w:pPr>
              <w:rPr>
                <w:rFonts w:eastAsia="Times New Roman"/>
                <w:color w:val="000000"/>
                <w:sz w:val="18"/>
                <w:szCs w:val="18"/>
              </w:rPr>
            </w:pPr>
            <w:r w:rsidRPr="003328EE">
              <w:rPr>
                <w:rFonts w:eastAsia="Times New Roman"/>
                <w:color w:val="000000"/>
                <w:sz w:val="18"/>
                <w:szCs w:val="18"/>
              </w:rPr>
              <w:t>Kouvari et al., 2016</w:t>
            </w:r>
          </w:p>
        </w:tc>
        <w:tc>
          <w:tcPr>
            <w:tcW w:w="1156" w:type="dxa"/>
            <w:tcBorders>
              <w:top w:val="nil"/>
              <w:left w:val="nil"/>
              <w:bottom w:val="nil"/>
              <w:right w:val="nil"/>
            </w:tcBorders>
            <w:shd w:val="clear" w:color="auto" w:fill="auto"/>
            <w:noWrap/>
            <w:vAlign w:val="bottom"/>
            <w:hideMark/>
          </w:tcPr>
          <w:p w14:paraId="1E81952A" w14:textId="3966ECC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313AF9A" w14:textId="77777777" w:rsidTr="00D65F93">
        <w:trPr>
          <w:trHeight w:val="320"/>
        </w:trPr>
        <w:tc>
          <w:tcPr>
            <w:tcW w:w="3545" w:type="dxa"/>
            <w:tcBorders>
              <w:top w:val="nil"/>
              <w:left w:val="nil"/>
              <w:bottom w:val="nil"/>
              <w:right w:val="nil"/>
            </w:tcBorders>
            <w:shd w:val="clear" w:color="auto" w:fill="auto"/>
            <w:noWrap/>
            <w:vAlign w:val="bottom"/>
            <w:hideMark/>
          </w:tcPr>
          <w:p w14:paraId="0FC3DB78" w14:textId="7F87EC5A"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67C737C6" w14:textId="735B2828"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0B39513" w14:textId="7670F38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46AD430" w14:textId="42A8035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15B30EB" w14:textId="052B8D1C" w:rsidR="00F826D0" w:rsidRPr="003328EE" w:rsidRDefault="00F826D0" w:rsidP="00D65F93">
            <w:pPr>
              <w:rPr>
                <w:rFonts w:eastAsia="Times New Roman"/>
                <w:color w:val="000000"/>
                <w:sz w:val="18"/>
                <w:szCs w:val="18"/>
              </w:rPr>
            </w:pPr>
            <w:r w:rsidRPr="003328EE">
              <w:rPr>
                <w:rFonts w:eastAsia="Times New Roman"/>
                <w:color w:val="000000"/>
                <w:sz w:val="18"/>
                <w:szCs w:val="18"/>
              </w:rPr>
              <w:t>Tan et al., 2016</w:t>
            </w:r>
          </w:p>
        </w:tc>
        <w:tc>
          <w:tcPr>
            <w:tcW w:w="1156" w:type="dxa"/>
            <w:tcBorders>
              <w:top w:val="nil"/>
              <w:left w:val="nil"/>
              <w:bottom w:val="nil"/>
              <w:right w:val="nil"/>
            </w:tcBorders>
            <w:shd w:val="clear" w:color="auto" w:fill="auto"/>
            <w:noWrap/>
            <w:vAlign w:val="bottom"/>
            <w:hideMark/>
          </w:tcPr>
          <w:p w14:paraId="52708E66" w14:textId="5CED685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48540BA" w14:textId="77777777" w:rsidTr="00D65F93">
        <w:trPr>
          <w:trHeight w:val="320"/>
        </w:trPr>
        <w:tc>
          <w:tcPr>
            <w:tcW w:w="3545" w:type="dxa"/>
            <w:tcBorders>
              <w:top w:val="nil"/>
              <w:left w:val="nil"/>
              <w:bottom w:val="nil"/>
              <w:right w:val="nil"/>
            </w:tcBorders>
            <w:shd w:val="clear" w:color="auto" w:fill="auto"/>
            <w:noWrap/>
            <w:vAlign w:val="bottom"/>
            <w:hideMark/>
          </w:tcPr>
          <w:p w14:paraId="65448AE6" w14:textId="0E1B4D40"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11917F3C" w14:textId="71ED2C90"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5CAE6EF" w14:textId="795BE9B2"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40A12E7" w14:textId="58489838"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183E49C" w14:textId="6A3F5A5B" w:rsidR="00F826D0" w:rsidRPr="003328EE" w:rsidRDefault="00F826D0" w:rsidP="00D65F93">
            <w:pPr>
              <w:rPr>
                <w:rFonts w:eastAsia="Times New Roman"/>
                <w:color w:val="000000"/>
                <w:sz w:val="18"/>
                <w:szCs w:val="18"/>
              </w:rPr>
            </w:pPr>
            <w:r w:rsidRPr="003328EE">
              <w:rPr>
                <w:rFonts w:eastAsia="Times New Roman"/>
                <w:color w:val="000000"/>
                <w:sz w:val="18"/>
                <w:szCs w:val="18"/>
              </w:rPr>
              <w:t>Thompson et al., 1999</w:t>
            </w:r>
          </w:p>
        </w:tc>
        <w:tc>
          <w:tcPr>
            <w:tcW w:w="1156" w:type="dxa"/>
            <w:tcBorders>
              <w:top w:val="nil"/>
              <w:left w:val="nil"/>
              <w:bottom w:val="nil"/>
              <w:right w:val="nil"/>
            </w:tcBorders>
            <w:shd w:val="clear" w:color="auto" w:fill="auto"/>
            <w:noWrap/>
            <w:vAlign w:val="bottom"/>
            <w:hideMark/>
          </w:tcPr>
          <w:p w14:paraId="2BE61375" w14:textId="3D3D12F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3B85A34" w14:textId="77777777" w:rsidTr="00D65F93">
        <w:trPr>
          <w:trHeight w:val="320"/>
        </w:trPr>
        <w:tc>
          <w:tcPr>
            <w:tcW w:w="3545" w:type="dxa"/>
            <w:tcBorders>
              <w:top w:val="nil"/>
              <w:left w:val="nil"/>
              <w:bottom w:val="nil"/>
              <w:right w:val="nil"/>
            </w:tcBorders>
            <w:shd w:val="clear" w:color="auto" w:fill="auto"/>
            <w:noWrap/>
            <w:vAlign w:val="bottom"/>
            <w:hideMark/>
          </w:tcPr>
          <w:p w14:paraId="7710F583" w14:textId="2BB8FB71"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60A7898A" w14:textId="06E169AF"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6546327" w14:textId="65FE641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E6C97D9" w14:textId="0A0A1BC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70A4103" w14:textId="5D884EC2"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0F6D007C" w14:textId="75DA306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1E2E440" w14:textId="77777777" w:rsidTr="00D65F93">
        <w:trPr>
          <w:trHeight w:val="320"/>
        </w:trPr>
        <w:tc>
          <w:tcPr>
            <w:tcW w:w="3545" w:type="dxa"/>
            <w:tcBorders>
              <w:top w:val="nil"/>
              <w:left w:val="nil"/>
              <w:bottom w:val="nil"/>
              <w:right w:val="nil"/>
            </w:tcBorders>
            <w:shd w:val="clear" w:color="auto" w:fill="auto"/>
            <w:noWrap/>
            <w:vAlign w:val="bottom"/>
            <w:hideMark/>
          </w:tcPr>
          <w:p w14:paraId="32696FD5" w14:textId="040FAD3C"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11F40A49" w14:textId="7EBCA2D1"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A3B4612" w14:textId="305AB33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EFBF92E" w14:textId="669291A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3932EFB" w14:textId="5EDC94AE" w:rsidR="00F826D0" w:rsidRPr="003328EE" w:rsidRDefault="00F826D0" w:rsidP="00D65F93">
            <w:pPr>
              <w:rPr>
                <w:rFonts w:eastAsia="Times New Roman"/>
                <w:color w:val="000000"/>
                <w:sz w:val="18"/>
                <w:szCs w:val="18"/>
              </w:rPr>
            </w:pPr>
            <w:r w:rsidRPr="003328EE">
              <w:rPr>
                <w:rFonts w:eastAsia="Times New Roman"/>
                <w:color w:val="000000"/>
                <w:sz w:val="18"/>
                <w:szCs w:val="18"/>
              </w:rPr>
              <w:t>Jeong &amp; Jang, 2016</w:t>
            </w:r>
          </w:p>
        </w:tc>
        <w:tc>
          <w:tcPr>
            <w:tcW w:w="1156" w:type="dxa"/>
            <w:tcBorders>
              <w:top w:val="nil"/>
              <w:left w:val="nil"/>
              <w:bottom w:val="nil"/>
              <w:right w:val="nil"/>
            </w:tcBorders>
            <w:shd w:val="clear" w:color="auto" w:fill="auto"/>
            <w:noWrap/>
            <w:vAlign w:val="bottom"/>
            <w:hideMark/>
          </w:tcPr>
          <w:p w14:paraId="107E21C9" w14:textId="047DFBB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E0C5F65" w14:textId="77777777" w:rsidTr="00D65F93">
        <w:trPr>
          <w:trHeight w:val="320"/>
        </w:trPr>
        <w:tc>
          <w:tcPr>
            <w:tcW w:w="3545" w:type="dxa"/>
            <w:tcBorders>
              <w:top w:val="nil"/>
              <w:left w:val="nil"/>
              <w:bottom w:val="nil"/>
              <w:right w:val="nil"/>
            </w:tcBorders>
            <w:shd w:val="clear" w:color="auto" w:fill="auto"/>
            <w:noWrap/>
            <w:vAlign w:val="bottom"/>
            <w:hideMark/>
          </w:tcPr>
          <w:p w14:paraId="085B48FD" w14:textId="4F2FDD00"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310BCE4E" w14:textId="3FE4C015"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2CF64940" w14:textId="1E1D1982"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F64D797" w14:textId="0472DCA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AAFB6A9" w14:textId="65FC56A1" w:rsidR="00F826D0" w:rsidRPr="003328EE" w:rsidRDefault="00F826D0" w:rsidP="00D65F93">
            <w:pPr>
              <w:rPr>
                <w:rFonts w:eastAsia="Times New Roman"/>
                <w:color w:val="000000"/>
                <w:sz w:val="18"/>
                <w:szCs w:val="18"/>
              </w:rPr>
            </w:pPr>
            <w:r w:rsidRPr="003328EE">
              <w:rPr>
                <w:rFonts w:eastAsia="Times New Roman"/>
                <w:color w:val="000000"/>
                <w:sz w:val="18"/>
                <w:szCs w:val="18"/>
              </w:rPr>
              <w:t>Vanhonacker et al., 2013</w:t>
            </w:r>
          </w:p>
        </w:tc>
        <w:tc>
          <w:tcPr>
            <w:tcW w:w="1156" w:type="dxa"/>
            <w:tcBorders>
              <w:top w:val="nil"/>
              <w:left w:val="nil"/>
              <w:bottom w:val="nil"/>
              <w:right w:val="nil"/>
            </w:tcBorders>
            <w:shd w:val="clear" w:color="auto" w:fill="auto"/>
            <w:noWrap/>
            <w:vAlign w:val="bottom"/>
            <w:hideMark/>
          </w:tcPr>
          <w:p w14:paraId="21FF6682" w14:textId="01B9CCB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A52C3C5" w14:textId="77777777" w:rsidTr="00D65F93">
        <w:trPr>
          <w:trHeight w:val="320"/>
        </w:trPr>
        <w:tc>
          <w:tcPr>
            <w:tcW w:w="3545" w:type="dxa"/>
            <w:tcBorders>
              <w:top w:val="nil"/>
              <w:left w:val="nil"/>
              <w:bottom w:val="nil"/>
              <w:right w:val="nil"/>
            </w:tcBorders>
            <w:shd w:val="clear" w:color="auto" w:fill="auto"/>
            <w:noWrap/>
            <w:vAlign w:val="bottom"/>
            <w:hideMark/>
          </w:tcPr>
          <w:p w14:paraId="1BB47B30" w14:textId="2EF4A5F2"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75E69D93" w14:textId="5B7847D4"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2B381900" w14:textId="34609DD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223CD93" w14:textId="1832276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2923932" w14:textId="2CA28211" w:rsidR="00F826D0" w:rsidRPr="003328EE" w:rsidRDefault="00F826D0" w:rsidP="00D65F93">
            <w:pPr>
              <w:rPr>
                <w:rFonts w:eastAsia="Times New Roman"/>
                <w:color w:val="000000"/>
                <w:sz w:val="18"/>
                <w:szCs w:val="18"/>
              </w:rPr>
            </w:pPr>
            <w:r w:rsidRPr="003328EE">
              <w:rPr>
                <w:rFonts w:eastAsia="Times New Roman"/>
                <w:color w:val="000000"/>
                <w:sz w:val="18"/>
                <w:szCs w:val="18"/>
              </w:rPr>
              <w:t>Carlsson-Kanyama, 1998</w:t>
            </w:r>
          </w:p>
        </w:tc>
        <w:tc>
          <w:tcPr>
            <w:tcW w:w="1156" w:type="dxa"/>
            <w:tcBorders>
              <w:top w:val="nil"/>
              <w:left w:val="nil"/>
              <w:bottom w:val="nil"/>
              <w:right w:val="nil"/>
            </w:tcBorders>
            <w:shd w:val="clear" w:color="auto" w:fill="auto"/>
            <w:noWrap/>
            <w:vAlign w:val="bottom"/>
            <w:hideMark/>
          </w:tcPr>
          <w:p w14:paraId="4EA9273A" w14:textId="37C10026"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Primary </w:t>
            </w:r>
          </w:p>
        </w:tc>
      </w:tr>
      <w:tr w:rsidR="00F826D0" w:rsidRPr="003328EE" w14:paraId="7CAFF74A" w14:textId="77777777" w:rsidTr="00D65F93">
        <w:trPr>
          <w:trHeight w:val="320"/>
        </w:trPr>
        <w:tc>
          <w:tcPr>
            <w:tcW w:w="3545" w:type="dxa"/>
            <w:tcBorders>
              <w:top w:val="nil"/>
              <w:left w:val="nil"/>
              <w:bottom w:val="nil"/>
              <w:right w:val="nil"/>
            </w:tcBorders>
            <w:shd w:val="clear" w:color="auto" w:fill="auto"/>
            <w:noWrap/>
            <w:vAlign w:val="bottom"/>
            <w:hideMark/>
          </w:tcPr>
          <w:p w14:paraId="642D4564" w14:textId="753B088B" w:rsidR="00F826D0" w:rsidRPr="003328EE" w:rsidRDefault="00F826D0" w:rsidP="00D65F93">
            <w:pPr>
              <w:rPr>
                <w:rFonts w:eastAsia="Times New Roman"/>
                <w:color w:val="000000"/>
                <w:sz w:val="18"/>
                <w:szCs w:val="18"/>
              </w:rPr>
            </w:pPr>
            <w:r w:rsidRPr="003328EE">
              <w:rPr>
                <w:rFonts w:eastAsia="Times New Roman"/>
                <w:color w:val="000000"/>
                <w:sz w:val="18"/>
                <w:szCs w:val="18"/>
              </w:rPr>
              <w:t>Taste Preferences</w:t>
            </w:r>
          </w:p>
        </w:tc>
        <w:tc>
          <w:tcPr>
            <w:tcW w:w="3183" w:type="dxa"/>
            <w:tcBorders>
              <w:top w:val="nil"/>
              <w:left w:val="nil"/>
              <w:bottom w:val="nil"/>
              <w:right w:val="nil"/>
            </w:tcBorders>
            <w:shd w:val="clear" w:color="auto" w:fill="auto"/>
            <w:noWrap/>
            <w:vAlign w:val="bottom"/>
            <w:hideMark/>
          </w:tcPr>
          <w:p w14:paraId="37CBEB97" w14:textId="0FF7F813"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2519C6AA" w14:textId="61EB739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8E7342F" w14:textId="1A97F23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8C9D368" w14:textId="131BF62D" w:rsidR="00F826D0" w:rsidRPr="003328EE" w:rsidRDefault="00F826D0" w:rsidP="00D65F93">
            <w:pPr>
              <w:rPr>
                <w:rFonts w:eastAsia="Times New Roman"/>
                <w:color w:val="000000"/>
                <w:sz w:val="18"/>
                <w:szCs w:val="18"/>
              </w:rPr>
            </w:pPr>
            <w:r w:rsidRPr="003328EE">
              <w:rPr>
                <w:rFonts w:eastAsia="Times New Roman"/>
                <w:color w:val="000000"/>
                <w:sz w:val="18"/>
                <w:szCs w:val="18"/>
              </w:rPr>
              <w:t>Reisch et al., 2013</w:t>
            </w:r>
          </w:p>
        </w:tc>
        <w:tc>
          <w:tcPr>
            <w:tcW w:w="1156" w:type="dxa"/>
            <w:tcBorders>
              <w:top w:val="nil"/>
              <w:left w:val="nil"/>
              <w:bottom w:val="nil"/>
              <w:right w:val="nil"/>
            </w:tcBorders>
            <w:shd w:val="clear" w:color="auto" w:fill="auto"/>
            <w:noWrap/>
            <w:vAlign w:val="bottom"/>
            <w:hideMark/>
          </w:tcPr>
          <w:p w14:paraId="41BFF893" w14:textId="06074723"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FB2317E" w14:textId="77777777" w:rsidTr="00D65F93">
        <w:trPr>
          <w:trHeight w:val="320"/>
        </w:trPr>
        <w:tc>
          <w:tcPr>
            <w:tcW w:w="3545" w:type="dxa"/>
            <w:tcBorders>
              <w:top w:val="nil"/>
              <w:left w:val="nil"/>
              <w:bottom w:val="nil"/>
              <w:right w:val="nil"/>
            </w:tcBorders>
            <w:shd w:val="clear" w:color="auto" w:fill="auto"/>
            <w:noWrap/>
            <w:vAlign w:val="bottom"/>
            <w:hideMark/>
          </w:tcPr>
          <w:p w14:paraId="05AED490" w14:textId="2C2E6EED" w:rsidR="00F826D0" w:rsidRPr="003328EE" w:rsidRDefault="00F826D0" w:rsidP="00D65F93">
            <w:pPr>
              <w:rPr>
                <w:rFonts w:eastAsia="Times New Roman"/>
                <w:color w:val="000000"/>
                <w:sz w:val="18"/>
                <w:szCs w:val="18"/>
              </w:rPr>
            </w:pPr>
            <w:r w:rsidRPr="003328EE">
              <w:rPr>
                <w:rFonts w:eastAsia="Times New Roman"/>
                <w:color w:val="000000"/>
                <w:sz w:val="18"/>
                <w:szCs w:val="18"/>
              </w:rPr>
              <w:t>Texture/Appearance</w:t>
            </w:r>
          </w:p>
        </w:tc>
        <w:tc>
          <w:tcPr>
            <w:tcW w:w="3183" w:type="dxa"/>
            <w:tcBorders>
              <w:top w:val="nil"/>
              <w:left w:val="nil"/>
              <w:bottom w:val="nil"/>
              <w:right w:val="nil"/>
            </w:tcBorders>
            <w:shd w:val="clear" w:color="auto" w:fill="auto"/>
            <w:noWrap/>
            <w:vAlign w:val="bottom"/>
            <w:hideMark/>
          </w:tcPr>
          <w:p w14:paraId="1F1D4366" w14:textId="310D48F3"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40AF648A" w14:textId="54A797F3"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3B0DCB9" w14:textId="29A9365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3106FD6" w14:textId="3C071503" w:rsidR="00F826D0" w:rsidRPr="003328EE" w:rsidRDefault="00F826D0" w:rsidP="00D65F93">
            <w:pPr>
              <w:rPr>
                <w:rFonts w:eastAsia="Times New Roman"/>
                <w:color w:val="000000"/>
                <w:sz w:val="18"/>
                <w:szCs w:val="18"/>
              </w:rPr>
            </w:pPr>
            <w:r w:rsidRPr="003328EE">
              <w:rPr>
                <w:rFonts w:eastAsia="Times New Roman"/>
                <w:color w:val="000000"/>
                <w:sz w:val="18"/>
                <w:szCs w:val="18"/>
              </w:rPr>
              <w:t>Gobert &amp; Duncan, 2009</w:t>
            </w:r>
          </w:p>
        </w:tc>
        <w:tc>
          <w:tcPr>
            <w:tcW w:w="1156" w:type="dxa"/>
            <w:tcBorders>
              <w:top w:val="nil"/>
              <w:left w:val="nil"/>
              <w:bottom w:val="nil"/>
              <w:right w:val="nil"/>
            </w:tcBorders>
            <w:shd w:val="clear" w:color="auto" w:fill="auto"/>
            <w:noWrap/>
            <w:vAlign w:val="bottom"/>
            <w:hideMark/>
          </w:tcPr>
          <w:p w14:paraId="389F3B49" w14:textId="6EB6DCA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8588746" w14:textId="77777777" w:rsidTr="00D65F93">
        <w:trPr>
          <w:trHeight w:val="320"/>
        </w:trPr>
        <w:tc>
          <w:tcPr>
            <w:tcW w:w="3545" w:type="dxa"/>
            <w:tcBorders>
              <w:top w:val="nil"/>
              <w:left w:val="nil"/>
              <w:bottom w:val="nil"/>
              <w:right w:val="nil"/>
            </w:tcBorders>
            <w:shd w:val="clear" w:color="auto" w:fill="auto"/>
            <w:noWrap/>
            <w:vAlign w:val="bottom"/>
            <w:hideMark/>
          </w:tcPr>
          <w:p w14:paraId="02217DAD" w14:textId="0DA4A591" w:rsidR="00F826D0" w:rsidRPr="003328EE" w:rsidRDefault="00F826D0" w:rsidP="00D65F93">
            <w:pPr>
              <w:rPr>
                <w:rFonts w:eastAsia="Times New Roman"/>
                <w:color w:val="000000"/>
                <w:sz w:val="18"/>
                <w:szCs w:val="18"/>
              </w:rPr>
            </w:pPr>
            <w:r w:rsidRPr="003328EE">
              <w:rPr>
                <w:rFonts w:eastAsia="Times New Roman"/>
                <w:color w:val="000000"/>
                <w:sz w:val="18"/>
                <w:szCs w:val="18"/>
              </w:rPr>
              <w:t>Texture/Appearance</w:t>
            </w:r>
          </w:p>
        </w:tc>
        <w:tc>
          <w:tcPr>
            <w:tcW w:w="3183" w:type="dxa"/>
            <w:tcBorders>
              <w:top w:val="nil"/>
              <w:left w:val="nil"/>
              <w:bottom w:val="nil"/>
              <w:right w:val="nil"/>
            </w:tcBorders>
            <w:shd w:val="clear" w:color="auto" w:fill="auto"/>
            <w:noWrap/>
            <w:vAlign w:val="bottom"/>
            <w:hideMark/>
          </w:tcPr>
          <w:p w14:paraId="59DF1396" w14:textId="72CE2387"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DFF551B" w14:textId="51512993"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770E811" w14:textId="002B9E6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183A64C" w14:textId="02D00D45" w:rsidR="00F826D0" w:rsidRPr="003328EE" w:rsidRDefault="00F826D0" w:rsidP="00D65F93">
            <w:pPr>
              <w:rPr>
                <w:rFonts w:eastAsia="Times New Roman"/>
                <w:color w:val="000000"/>
                <w:sz w:val="18"/>
                <w:szCs w:val="18"/>
              </w:rPr>
            </w:pPr>
            <w:r w:rsidRPr="003328EE">
              <w:rPr>
                <w:rFonts w:eastAsia="Times New Roman"/>
                <w:color w:val="000000"/>
                <w:sz w:val="18"/>
                <w:szCs w:val="18"/>
              </w:rPr>
              <w:t>Hoek et al., 2011</w:t>
            </w:r>
          </w:p>
        </w:tc>
        <w:tc>
          <w:tcPr>
            <w:tcW w:w="1156" w:type="dxa"/>
            <w:tcBorders>
              <w:top w:val="nil"/>
              <w:left w:val="nil"/>
              <w:bottom w:val="nil"/>
              <w:right w:val="nil"/>
            </w:tcBorders>
            <w:shd w:val="clear" w:color="auto" w:fill="auto"/>
            <w:noWrap/>
            <w:vAlign w:val="bottom"/>
            <w:hideMark/>
          </w:tcPr>
          <w:p w14:paraId="228F8E73" w14:textId="5DF2B40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0CCDFDA" w14:textId="77777777" w:rsidTr="00D65F93">
        <w:trPr>
          <w:trHeight w:val="320"/>
        </w:trPr>
        <w:tc>
          <w:tcPr>
            <w:tcW w:w="3545" w:type="dxa"/>
            <w:tcBorders>
              <w:top w:val="nil"/>
              <w:left w:val="nil"/>
              <w:bottom w:val="nil"/>
              <w:right w:val="nil"/>
            </w:tcBorders>
            <w:shd w:val="clear" w:color="auto" w:fill="auto"/>
            <w:noWrap/>
            <w:vAlign w:val="bottom"/>
            <w:hideMark/>
          </w:tcPr>
          <w:p w14:paraId="774A7CCA" w14:textId="6F327BB7" w:rsidR="00F826D0" w:rsidRPr="003328EE" w:rsidRDefault="00F826D0" w:rsidP="00D65F93">
            <w:pPr>
              <w:rPr>
                <w:rFonts w:eastAsia="Times New Roman"/>
                <w:color w:val="000000"/>
                <w:sz w:val="18"/>
                <w:szCs w:val="18"/>
              </w:rPr>
            </w:pPr>
            <w:r w:rsidRPr="003328EE">
              <w:rPr>
                <w:rFonts w:eastAsia="Times New Roman"/>
                <w:color w:val="000000"/>
                <w:sz w:val="18"/>
                <w:szCs w:val="18"/>
              </w:rPr>
              <w:t>Time</w:t>
            </w:r>
          </w:p>
        </w:tc>
        <w:tc>
          <w:tcPr>
            <w:tcW w:w="3183" w:type="dxa"/>
            <w:tcBorders>
              <w:top w:val="nil"/>
              <w:left w:val="nil"/>
              <w:bottom w:val="nil"/>
              <w:right w:val="nil"/>
            </w:tcBorders>
            <w:shd w:val="clear" w:color="auto" w:fill="auto"/>
            <w:noWrap/>
            <w:vAlign w:val="bottom"/>
            <w:hideMark/>
          </w:tcPr>
          <w:p w14:paraId="7FA25507" w14:textId="4DB803B4"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1A4F34B" w14:textId="01B586E6"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0164091" w14:textId="50829F8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0B7B69E" w14:textId="2927C7BA" w:rsidR="00F826D0" w:rsidRPr="003328EE" w:rsidRDefault="00F826D0" w:rsidP="00D65F93">
            <w:pPr>
              <w:rPr>
                <w:rFonts w:eastAsia="Times New Roman"/>
                <w:color w:val="000000"/>
                <w:sz w:val="18"/>
                <w:szCs w:val="18"/>
              </w:rPr>
            </w:pPr>
            <w:r w:rsidRPr="003328EE">
              <w:rPr>
                <w:rFonts w:eastAsia="Times New Roman"/>
                <w:color w:val="000000"/>
                <w:sz w:val="18"/>
                <w:szCs w:val="18"/>
              </w:rPr>
              <w:t>Erinosho et al., 2015</w:t>
            </w:r>
          </w:p>
        </w:tc>
        <w:tc>
          <w:tcPr>
            <w:tcW w:w="1156" w:type="dxa"/>
            <w:tcBorders>
              <w:top w:val="nil"/>
              <w:left w:val="nil"/>
              <w:bottom w:val="nil"/>
              <w:right w:val="nil"/>
            </w:tcBorders>
            <w:shd w:val="clear" w:color="auto" w:fill="auto"/>
            <w:noWrap/>
            <w:vAlign w:val="bottom"/>
            <w:hideMark/>
          </w:tcPr>
          <w:p w14:paraId="52E5B13A" w14:textId="2ACEE9F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B5C6472" w14:textId="77777777" w:rsidTr="00D65F93">
        <w:trPr>
          <w:trHeight w:val="320"/>
        </w:trPr>
        <w:tc>
          <w:tcPr>
            <w:tcW w:w="3545" w:type="dxa"/>
            <w:tcBorders>
              <w:top w:val="nil"/>
              <w:left w:val="nil"/>
              <w:bottom w:val="nil"/>
              <w:right w:val="nil"/>
            </w:tcBorders>
            <w:shd w:val="clear" w:color="auto" w:fill="auto"/>
            <w:noWrap/>
            <w:vAlign w:val="bottom"/>
            <w:hideMark/>
          </w:tcPr>
          <w:p w14:paraId="5EB4899B" w14:textId="17237CC0" w:rsidR="00F826D0" w:rsidRPr="003328EE" w:rsidRDefault="00F826D0" w:rsidP="00D65F93">
            <w:pPr>
              <w:rPr>
                <w:rFonts w:eastAsia="Times New Roman"/>
                <w:color w:val="000000"/>
                <w:sz w:val="18"/>
                <w:szCs w:val="18"/>
              </w:rPr>
            </w:pPr>
            <w:r w:rsidRPr="003328EE">
              <w:rPr>
                <w:rFonts w:eastAsia="Times New Roman"/>
                <w:color w:val="000000"/>
                <w:sz w:val="18"/>
                <w:szCs w:val="18"/>
              </w:rPr>
              <w:t>Time</w:t>
            </w:r>
          </w:p>
        </w:tc>
        <w:tc>
          <w:tcPr>
            <w:tcW w:w="3183" w:type="dxa"/>
            <w:tcBorders>
              <w:top w:val="nil"/>
              <w:left w:val="nil"/>
              <w:bottom w:val="nil"/>
              <w:right w:val="nil"/>
            </w:tcBorders>
            <w:shd w:val="clear" w:color="auto" w:fill="auto"/>
            <w:noWrap/>
            <w:vAlign w:val="bottom"/>
            <w:hideMark/>
          </w:tcPr>
          <w:p w14:paraId="4F0FF03A" w14:textId="044AFF50"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317FB0A5" w14:textId="1B75A5C6"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AA8800A" w14:textId="49882EE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D44A7CA" w14:textId="355DBB04" w:rsidR="00F826D0" w:rsidRPr="003328EE" w:rsidRDefault="00F826D0" w:rsidP="00D65F93">
            <w:pPr>
              <w:rPr>
                <w:rFonts w:eastAsia="Times New Roman"/>
                <w:color w:val="000000"/>
                <w:sz w:val="18"/>
                <w:szCs w:val="18"/>
              </w:rPr>
            </w:pPr>
            <w:r w:rsidRPr="003328EE">
              <w:rPr>
                <w:rFonts w:eastAsia="Times New Roman"/>
                <w:color w:val="000000"/>
                <w:sz w:val="18"/>
                <w:szCs w:val="18"/>
              </w:rPr>
              <w:t>Haverstock &amp; Forgays, 2012</w:t>
            </w:r>
          </w:p>
        </w:tc>
        <w:tc>
          <w:tcPr>
            <w:tcW w:w="1156" w:type="dxa"/>
            <w:tcBorders>
              <w:top w:val="nil"/>
              <w:left w:val="nil"/>
              <w:bottom w:val="nil"/>
              <w:right w:val="nil"/>
            </w:tcBorders>
            <w:shd w:val="clear" w:color="auto" w:fill="auto"/>
            <w:noWrap/>
            <w:vAlign w:val="bottom"/>
            <w:hideMark/>
          </w:tcPr>
          <w:p w14:paraId="4DE5FE5F" w14:textId="0A41051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14151DB" w14:textId="77777777" w:rsidTr="00D65F93">
        <w:trPr>
          <w:trHeight w:val="320"/>
        </w:trPr>
        <w:tc>
          <w:tcPr>
            <w:tcW w:w="3545" w:type="dxa"/>
            <w:tcBorders>
              <w:top w:val="nil"/>
              <w:left w:val="nil"/>
              <w:bottom w:val="nil"/>
              <w:right w:val="nil"/>
            </w:tcBorders>
            <w:shd w:val="clear" w:color="auto" w:fill="auto"/>
            <w:noWrap/>
            <w:vAlign w:val="bottom"/>
            <w:hideMark/>
          </w:tcPr>
          <w:p w14:paraId="72862C66" w14:textId="431A72DD" w:rsidR="00F826D0" w:rsidRPr="003328EE" w:rsidRDefault="00F826D0" w:rsidP="00D65F93">
            <w:pPr>
              <w:rPr>
                <w:rFonts w:eastAsia="Times New Roman"/>
                <w:color w:val="000000"/>
                <w:sz w:val="18"/>
                <w:szCs w:val="18"/>
              </w:rPr>
            </w:pPr>
            <w:r w:rsidRPr="003328EE">
              <w:rPr>
                <w:rFonts w:eastAsia="Times New Roman"/>
                <w:color w:val="000000"/>
                <w:sz w:val="18"/>
                <w:szCs w:val="18"/>
              </w:rPr>
              <w:t>Time</w:t>
            </w:r>
          </w:p>
        </w:tc>
        <w:tc>
          <w:tcPr>
            <w:tcW w:w="3183" w:type="dxa"/>
            <w:tcBorders>
              <w:top w:val="nil"/>
              <w:left w:val="nil"/>
              <w:bottom w:val="nil"/>
              <w:right w:val="nil"/>
            </w:tcBorders>
            <w:shd w:val="clear" w:color="auto" w:fill="auto"/>
            <w:noWrap/>
            <w:vAlign w:val="bottom"/>
            <w:hideMark/>
          </w:tcPr>
          <w:p w14:paraId="20622DBB" w14:textId="0F7CCE94"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71812F54" w14:textId="2518C1BB"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401A5E7" w14:textId="6B30417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E46301C" w14:textId="531383F2" w:rsidR="00F826D0" w:rsidRPr="003328EE" w:rsidRDefault="00F826D0" w:rsidP="00D65F93">
            <w:pPr>
              <w:rPr>
                <w:rFonts w:eastAsia="Times New Roman"/>
                <w:color w:val="000000"/>
                <w:sz w:val="18"/>
                <w:szCs w:val="18"/>
              </w:rPr>
            </w:pPr>
            <w:r w:rsidRPr="003328EE">
              <w:rPr>
                <w:rFonts w:eastAsia="Times New Roman"/>
                <w:color w:val="000000"/>
                <w:sz w:val="18"/>
                <w:szCs w:val="18"/>
              </w:rPr>
              <w:t>Ruby, 2012</w:t>
            </w:r>
          </w:p>
        </w:tc>
        <w:tc>
          <w:tcPr>
            <w:tcW w:w="1156" w:type="dxa"/>
            <w:tcBorders>
              <w:top w:val="nil"/>
              <w:left w:val="nil"/>
              <w:bottom w:val="nil"/>
              <w:right w:val="nil"/>
            </w:tcBorders>
            <w:shd w:val="clear" w:color="auto" w:fill="auto"/>
            <w:noWrap/>
            <w:vAlign w:val="bottom"/>
            <w:hideMark/>
          </w:tcPr>
          <w:p w14:paraId="75B08DEA" w14:textId="280CE29F"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1D1E45A" w14:textId="77777777" w:rsidTr="00D65F93">
        <w:trPr>
          <w:trHeight w:val="320"/>
        </w:trPr>
        <w:tc>
          <w:tcPr>
            <w:tcW w:w="3545" w:type="dxa"/>
            <w:tcBorders>
              <w:top w:val="nil"/>
              <w:left w:val="nil"/>
              <w:bottom w:val="nil"/>
              <w:right w:val="nil"/>
            </w:tcBorders>
            <w:shd w:val="clear" w:color="auto" w:fill="auto"/>
            <w:noWrap/>
            <w:vAlign w:val="bottom"/>
            <w:hideMark/>
          </w:tcPr>
          <w:p w14:paraId="11EDFE2D" w14:textId="76EF0C3C" w:rsidR="00F826D0" w:rsidRPr="003328EE" w:rsidRDefault="00F826D0" w:rsidP="00D65F93">
            <w:pPr>
              <w:rPr>
                <w:rFonts w:eastAsia="Times New Roman"/>
                <w:color w:val="000000"/>
                <w:sz w:val="18"/>
                <w:szCs w:val="18"/>
              </w:rPr>
            </w:pPr>
            <w:r w:rsidRPr="003328EE">
              <w:rPr>
                <w:rFonts w:eastAsia="Times New Roman"/>
                <w:color w:val="000000"/>
                <w:sz w:val="18"/>
                <w:szCs w:val="18"/>
              </w:rPr>
              <w:t>Time</w:t>
            </w:r>
          </w:p>
        </w:tc>
        <w:tc>
          <w:tcPr>
            <w:tcW w:w="3183" w:type="dxa"/>
            <w:tcBorders>
              <w:top w:val="nil"/>
              <w:left w:val="nil"/>
              <w:bottom w:val="nil"/>
              <w:right w:val="nil"/>
            </w:tcBorders>
            <w:shd w:val="clear" w:color="auto" w:fill="auto"/>
            <w:noWrap/>
            <w:vAlign w:val="bottom"/>
            <w:hideMark/>
          </w:tcPr>
          <w:p w14:paraId="723CBFFD" w14:textId="04790423"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F9E3D3B" w14:textId="71355AB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49FBEB4" w14:textId="5214AD7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F63B0B1" w14:textId="6E3803B4" w:rsidR="00F826D0" w:rsidRPr="003328EE" w:rsidRDefault="00F826D0" w:rsidP="00D65F93">
            <w:pPr>
              <w:rPr>
                <w:rFonts w:eastAsia="Times New Roman"/>
                <w:color w:val="000000"/>
                <w:sz w:val="18"/>
                <w:szCs w:val="18"/>
              </w:rPr>
            </w:pPr>
            <w:r w:rsidRPr="003328EE">
              <w:rPr>
                <w:rFonts w:eastAsia="Times New Roman"/>
                <w:color w:val="000000"/>
                <w:sz w:val="18"/>
                <w:szCs w:val="18"/>
              </w:rPr>
              <w:t>Neumark-Sztainer et al., 1999</w:t>
            </w:r>
          </w:p>
        </w:tc>
        <w:tc>
          <w:tcPr>
            <w:tcW w:w="1156" w:type="dxa"/>
            <w:tcBorders>
              <w:top w:val="nil"/>
              <w:left w:val="nil"/>
              <w:bottom w:val="nil"/>
              <w:right w:val="nil"/>
            </w:tcBorders>
            <w:shd w:val="clear" w:color="auto" w:fill="auto"/>
            <w:noWrap/>
            <w:vAlign w:val="bottom"/>
            <w:hideMark/>
          </w:tcPr>
          <w:p w14:paraId="3E7E6412" w14:textId="089CAB4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8245149" w14:textId="77777777" w:rsidTr="00D65F93">
        <w:trPr>
          <w:trHeight w:val="320"/>
        </w:trPr>
        <w:tc>
          <w:tcPr>
            <w:tcW w:w="3545" w:type="dxa"/>
            <w:tcBorders>
              <w:top w:val="nil"/>
              <w:left w:val="nil"/>
              <w:bottom w:val="nil"/>
              <w:right w:val="nil"/>
            </w:tcBorders>
            <w:shd w:val="clear" w:color="auto" w:fill="auto"/>
            <w:noWrap/>
            <w:vAlign w:val="bottom"/>
            <w:hideMark/>
          </w:tcPr>
          <w:p w14:paraId="3C32140E" w14:textId="0916F4AF" w:rsidR="00F826D0" w:rsidRPr="003328EE" w:rsidRDefault="00F826D0" w:rsidP="00D65F93">
            <w:pPr>
              <w:rPr>
                <w:rFonts w:eastAsia="Times New Roman"/>
                <w:color w:val="000000"/>
                <w:sz w:val="18"/>
                <w:szCs w:val="18"/>
              </w:rPr>
            </w:pPr>
            <w:r w:rsidRPr="003328EE">
              <w:rPr>
                <w:rFonts w:eastAsia="Times New Roman"/>
                <w:color w:val="000000"/>
                <w:sz w:val="18"/>
                <w:szCs w:val="18"/>
              </w:rPr>
              <w:t>Time</w:t>
            </w:r>
          </w:p>
        </w:tc>
        <w:tc>
          <w:tcPr>
            <w:tcW w:w="3183" w:type="dxa"/>
            <w:tcBorders>
              <w:top w:val="nil"/>
              <w:left w:val="nil"/>
              <w:bottom w:val="nil"/>
              <w:right w:val="nil"/>
            </w:tcBorders>
            <w:shd w:val="clear" w:color="auto" w:fill="auto"/>
            <w:noWrap/>
            <w:vAlign w:val="bottom"/>
            <w:hideMark/>
          </w:tcPr>
          <w:p w14:paraId="6838423D" w14:textId="619E64FA"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152003E" w14:textId="29604C52"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1E01B72" w14:textId="7627E10E"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D89C4D9" w14:textId="41FEAEE8" w:rsidR="00F826D0" w:rsidRPr="003328EE" w:rsidRDefault="00F826D0" w:rsidP="00D65F93">
            <w:pPr>
              <w:rPr>
                <w:rFonts w:eastAsia="Times New Roman"/>
                <w:color w:val="000000"/>
                <w:sz w:val="18"/>
                <w:szCs w:val="18"/>
              </w:rPr>
            </w:pPr>
            <w:r w:rsidRPr="003328EE">
              <w:rPr>
                <w:rFonts w:eastAsia="Times New Roman"/>
                <w:color w:val="000000"/>
                <w:sz w:val="18"/>
                <w:szCs w:val="18"/>
              </w:rPr>
              <w:t>Worsley, 2007</w:t>
            </w:r>
          </w:p>
        </w:tc>
        <w:tc>
          <w:tcPr>
            <w:tcW w:w="1156" w:type="dxa"/>
            <w:tcBorders>
              <w:top w:val="nil"/>
              <w:left w:val="nil"/>
              <w:bottom w:val="nil"/>
              <w:right w:val="nil"/>
            </w:tcBorders>
            <w:shd w:val="clear" w:color="auto" w:fill="auto"/>
            <w:noWrap/>
            <w:vAlign w:val="bottom"/>
            <w:hideMark/>
          </w:tcPr>
          <w:p w14:paraId="495189E7" w14:textId="368377D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40E7C66" w14:textId="77777777" w:rsidTr="00D65F93">
        <w:trPr>
          <w:trHeight w:val="320"/>
        </w:trPr>
        <w:tc>
          <w:tcPr>
            <w:tcW w:w="3545" w:type="dxa"/>
            <w:tcBorders>
              <w:top w:val="nil"/>
              <w:left w:val="nil"/>
              <w:bottom w:val="nil"/>
              <w:right w:val="nil"/>
            </w:tcBorders>
            <w:shd w:val="clear" w:color="auto" w:fill="auto"/>
            <w:noWrap/>
            <w:vAlign w:val="bottom"/>
            <w:hideMark/>
          </w:tcPr>
          <w:p w14:paraId="044F4CB8" w14:textId="41461D12" w:rsidR="00F826D0" w:rsidRPr="003328EE" w:rsidRDefault="00F826D0" w:rsidP="00D65F93">
            <w:pPr>
              <w:rPr>
                <w:rFonts w:eastAsia="Times New Roman"/>
                <w:color w:val="000000"/>
                <w:sz w:val="18"/>
                <w:szCs w:val="18"/>
              </w:rPr>
            </w:pPr>
            <w:r w:rsidRPr="003328EE">
              <w:rPr>
                <w:rFonts w:eastAsia="Times New Roman"/>
                <w:color w:val="000000"/>
                <w:sz w:val="18"/>
                <w:szCs w:val="18"/>
              </w:rPr>
              <w:t>Time</w:t>
            </w:r>
          </w:p>
        </w:tc>
        <w:tc>
          <w:tcPr>
            <w:tcW w:w="3183" w:type="dxa"/>
            <w:tcBorders>
              <w:top w:val="nil"/>
              <w:left w:val="nil"/>
              <w:bottom w:val="nil"/>
              <w:right w:val="nil"/>
            </w:tcBorders>
            <w:shd w:val="clear" w:color="auto" w:fill="auto"/>
            <w:noWrap/>
            <w:vAlign w:val="bottom"/>
            <w:hideMark/>
          </w:tcPr>
          <w:p w14:paraId="713ED13C" w14:textId="67775F75"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1EDD2F3" w14:textId="38975B1B"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BC27A55" w14:textId="01107B3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EDC08B7" w14:textId="64117872" w:rsidR="00F826D0" w:rsidRPr="003328EE" w:rsidRDefault="00F826D0" w:rsidP="00D65F93">
            <w:pPr>
              <w:rPr>
                <w:rFonts w:eastAsia="Times New Roman"/>
                <w:color w:val="000000"/>
                <w:sz w:val="18"/>
                <w:szCs w:val="18"/>
              </w:rPr>
            </w:pPr>
            <w:r w:rsidRPr="003328EE">
              <w:rPr>
                <w:rFonts w:eastAsia="Times New Roman"/>
                <w:color w:val="000000"/>
                <w:sz w:val="18"/>
                <w:szCs w:val="18"/>
              </w:rPr>
              <w:t>Curran &amp; Sherbinin, 2004</w:t>
            </w:r>
          </w:p>
        </w:tc>
        <w:tc>
          <w:tcPr>
            <w:tcW w:w="1156" w:type="dxa"/>
            <w:tcBorders>
              <w:top w:val="nil"/>
              <w:left w:val="nil"/>
              <w:bottom w:val="nil"/>
              <w:right w:val="nil"/>
            </w:tcBorders>
            <w:shd w:val="clear" w:color="auto" w:fill="auto"/>
            <w:noWrap/>
            <w:vAlign w:val="bottom"/>
            <w:hideMark/>
          </w:tcPr>
          <w:p w14:paraId="7A471571" w14:textId="67E1C1B6"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A15916D" w14:textId="77777777" w:rsidTr="00D65F93">
        <w:trPr>
          <w:trHeight w:val="320"/>
        </w:trPr>
        <w:tc>
          <w:tcPr>
            <w:tcW w:w="3545" w:type="dxa"/>
            <w:tcBorders>
              <w:top w:val="nil"/>
              <w:left w:val="nil"/>
              <w:bottom w:val="nil"/>
              <w:right w:val="nil"/>
            </w:tcBorders>
            <w:shd w:val="clear" w:color="auto" w:fill="auto"/>
            <w:noWrap/>
            <w:vAlign w:val="bottom"/>
            <w:hideMark/>
          </w:tcPr>
          <w:p w14:paraId="0AC721B6" w14:textId="2B6F2E66" w:rsidR="00F826D0" w:rsidRPr="003328EE" w:rsidRDefault="00F826D0" w:rsidP="00D65F93">
            <w:pPr>
              <w:rPr>
                <w:rFonts w:eastAsia="Times New Roman"/>
                <w:color w:val="000000"/>
                <w:sz w:val="18"/>
                <w:szCs w:val="18"/>
              </w:rPr>
            </w:pPr>
            <w:r w:rsidRPr="003328EE">
              <w:rPr>
                <w:rFonts w:eastAsia="Times New Roman"/>
                <w:color w:val="000000"/>
                <w:sz w:val="18"/>
                <w:szCs w:val="18"/>
              </w:rPr>
              <w:t>Time</w:t>
            </w:r>
          </w:p>
        </w:tc>
        <w:tc>
          <w:tcPr>
            <w:tcW w:w="3183" w:type="dxa"/>
            <w:tcBorders>
              <w:top w:val="nil"/>
              <w:left w:val="nil"/>
              <w:bottom w:val="nil"/>
              <w:right w:val="nil"/>
            </w:tcBorders>
            <w:shd w:val="clear" w:color="auto" w:fill="auto"/>
            <w:noWrap/>
            <w:vAlign w:val="bottom"/>
            <w:hideMark/>
          </w:tcPr>
          <w:p w14:paraId="1464EFA1" w14:textId="1E0E9068"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7F49A2EA" w14:textId="7398AC2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6FBEA63" w14:textId="6089B9D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95BA9B6" w14:textId="0A2C66EC" w:rsidR="00F826D0" w:rsidRPr="003328EE" w:rsidRDefault="00F826D0" w:rsidP="00D65F93">
            <w:pPr>
              <w:rPr>
                <w:rFonts w:eastAsia="Times New Roman"/>
                <w:color w:val="000000"/>
                <w:sz w:val="18"/>
                <w:szCs w:val="18"/>
              </w:rPr>
            </w:pPr>
            <w:r w:rsidRPr="003328EE">
              <w:rPr>
                <w:rFonts w:eastAsia="Times New Roman"/>
                <w:color w:val="000000"/>
                <w:sz w:val="18"/>
                <w:szCs w:val="18"/>
              </w:rPr>
              <w:t>Reisch et al., 2013</w:t>
            </w:r>
          </w:p>
        </w:tc>
        <w:tc>
          <w:tcPr>
            <w:tcW w:w="1156" w:type="dxa"/>
            <w:tcBorders>
              <w:top w:val="nil"/>
              <w:left w:val="nil"/>
              <w:bottom w:val="nil"/>
              <w:right w:val="nil"/>
            </w:tcBorders>
            <w:shd w:val="clear" w:color="auto" w:fill="auto"/>
            <w:noWrap/>
            <w:vAlign w:val="bottom"/>
            <w:hideMark/>
          </w:tcPr>
          <w:p w14:paraId="5C8A8B79" w14:textId="7A9A5F0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D1632EB" w14:textId="77777777" w:rsidTr="00D65F93">
        <w:trPr>
          <w:trHeight w:val="320"/>
        </w:trPr>
        <w:tc>
          <w:tcPr>
            <w:tcW w:w="3545" w:type="dxa"/>
            <w:tcBorders>
              <w:top w:val="nil"/>
              <w:left w:val="nil"/>
              <w:bottom w:val="nil"/>
              <w:right w:val="nil"/>
            </w:tcBorders>
            <w:shd w:val="clear" w:color="auto" w:fill="auto"/>
            <w:noWrap/>
            <w:vAlign w:val="bottom"/>
            <w:hideMark/>
          </w:tcPr>
          <w:p w14:paraId="3878CEBA" w14:textId="30219A41" w:rsidR="00F826D0" w:rsidRPr="003328EE" w:rsidRDefault="00F826D0" w:rsidP="00D65F93">
            <w:pPr>
              <w:rPr>
                <w:rFonts w:eastAsia="Times New Roman"/>
                <w:color w:val="000000"/>
                <w:sz w:val="18"/>
                <w:szCs w:val="18"/>
              </w:rPr>
            </w:pPr>
            <w:r w:rsidRPr="003328EE">
              <w:rPr>
                <w:rFonts w:eastAsia="Times New Roman"/>
                <w:color w:val="000000"/>
                <w:sz w:val="18"/>
                <w:szCs w:val="18"/>
              </w:rPr>
              <w:t>Traditional Views</w:t>
            </w:r>
          </w:p>
        </w:tc>
        <w:tc>
          <w:tcPr>
            <w:tcW w:w="3183" w:type="dxa"/>
            <w:tcBorders>
              <w:top w:val="nil"/>
              <w:left w:val="nil"/>
              <w:bottom w:val="nil"/>
              <w:right w:val="nil"/>
            </w:tcBorders>
            <w:shd w:val="clear" w:color="auto" w:fill="auto"/>
            <w:noWrap/>
            <w:vAlign w:val="bottom"/>
            <w:hideMark/>
          </w:tcPr>
          <w:p w14:paraId="0D9F7E08" w14:textId="4B7D9C90"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3AB29ED2" w14:textId="794C74FB"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183B4AE" w14:textId="3C29D14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4B7619B" w14:textId="5E5F7CEE" w:rsidR="00F826D0" w:rsidRPr="003328EE" w:rsidRDefault="00F826D0" w:rsidP="00D65F93">
            <w:pPr>
              <w:rPr>
                <w:rFonts w:eastAsia="Times New Roman"/>
                <w:color w:val="000000"/>
                <w:sz w:val="18"/>
                <w:szCs w:val="18"/>
              </w:rPr>
            </w:pPr>
            <w:r w:rsidRPr="003328EE">
              <w:rPr>
                <w:rFonts w:eastAsia="Times New Roman"/>
                <w:color w:val="000000"/>
                <w:sz w:val="18"/>
                <w:szCs w:val="18"/>
              </w:rPr>
              <w:t>Worsley &amp; Skrzypiec, 1998</w:t>
            </w:r>
          </w:p>
        </w:tc>
        <w:tc>
          <w:tcPr>
            <w:tcW w:w="1156" w:type="dxa"/>
            <w:tcBorders>
              <w:top w:val="nil"/>
              <w:left w:val="nil"/>
              <w:bottom w:val="nil"/>
              <w:right w:val="nil"/>
            </w:tcBorders>
            <w:shd w:val="clear" w:color="auto" w:fill="auto"/>
            <w:noWrap/>
            <w:vAlign w:val="bottom"/>
            <w:hideMark/>
          </w:tcPr>
          <w:p w14:paraId="6A2874D0" w14:textId="4F60D74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2CF2517" w14:textId="77777777" w:rsidTr="00D65F93">
        <w:trPr>
          <w:trHeight w:val="320"/>
        </w:trPr>
        <w:tc>
          <w:tcPr>
            <w:tcW w:w="3545" w:type="dxa"/>
            <w:tcBorders>
              <w:top w:val="nil"/>
              <w:left w:val="nil"/>
              <w:bottom w:val="nil"/>
              <w:right w:val="nil"/>
            </w:tcBorders>
            <w:shd w:val="clear" w:color="auto" w:fill="auto"/>
            <w:noWrap/>
            <w:vAlign w:val="bottom"/>
            <w:hideMark/>
          </w:tcPr>
          <w:p w14:paraId="47AC35AA" w14:textId="1B86173A" w:rsidR="00F826D0" w:rsidRPr="003328EE" w:rsidRDefault="00F826D0" w:rsidP="00D65F93">
            <w:pPr>
              <w:rPr>
                <w:rFonts w:eastAsia="Times New Roman"/>
                <w:color w:val="000000"/>
                <w:sz w:val="18"/>
                <w:szCs w:val="18"/>
              </w:rPr>
            </w:pPr>
            <w:r w:rsidRPr="003328EE">
              <w:rPr>
                <w:rFonts w:eastAsia="Times New Roman"/>
                <w:color w:val="000000"/>
                <w:sz w:val="18"/>
                <w:szCs w:val="18"/>
              </w:rPr>
              <w:t>Traditional Views</w:t>
            </w:r>
          </w:p>
        </w:tc>
        <w:tc>
          <w:tcPr>
            <w:tcW w:w="3183" w:type="dxa"/>
            <w:tcBorders>
              <w:top w:val="nil"/>
              <w:left w:val="nil"/>
              <w:bottom w:val="nil"/>
              <w:right w:val="nil"/>
            </w:tcBorders>
            <w:shd w:val="clear" w:color="auto" w:fill="auto"/>
            <w:noWrap/>
            <w:vAlign w:val="bottom"/>
            <w:hideMark/>
          </w:tcPr>
          <w:p w14:paraId="3493A1DC" w14:textId="659FF165"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EB54C5E" w14:textId="4FB86F95"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C3F64A7" w14:textId="4274FB4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7051E7B" w14:textId="14A18100" w:rsidR="00F826D0" w:rsidRPr="003328EE" w:rsidRDefault="00F826D0" w:rsidP="00D65F93">
            <w:pPr>
              <w:rPr>
                <w:rFonts w:eastAsia="Times New Roman"/>
                <w:color w:val="000000"/>
                <w:sz w:val="18"/>
                <w:szCs w:val="18"/>
              </w:rPr>
            </w:pPr>
            <w:r w:rsidRPr="003328EE">
              <w:rPr>
                <w:rFonts w:eastAsia="Times New Roman"/>
                <w:color w:val="000000"/>
                <w:sz w:val="18"/>
                <w:szCs w:val="18"/>
              </w:rPr>
              <w:t>Leroy &amp; Praet, 2015</w:t>
            </w:r>
          </w:p>
        </w:tc>
        <w:tc>
          <w:tcPr>
            <w:tcW w:w="1156" w:type="dxa"/>
            <w:tcBorders>
              <w:top w:val="nil"/>
              <w:left w:val="nil"/>
              <w:bottom w:val="nil"/>
              <w:right w:val="nil"/>
            </w:tcBorders>
            <w:shd w:val="clear" w:color="auto" w:fill="auto"/>
            <w:noWrap/>
            <w:vAlign w:val="bottom"/>
            <w:hideMark/>
          </w:tcPr>
          <w:p w14:paraId="3A6F16EC" w14:textId="7FA426A0"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0202BC0" w14:textId="77777777" w:rsidTr="00D65F93">
        <w:trPr>
          <w:trHeight w:val="320"/>
        </w:trPr>
        <w:tc>
          <w:tcPr>
            <w:tcW w:w="3545" w:type="dxa"/>
            <w:tcBorders>
              <w:top w:val="nil"/>
              <w:left w:val="nil"/>
              <w:bottom w:val="nil"/>
              <w:right w:val="nil"/>
            </w:tcBorders>
            <w:shd w:val="clear" w:color="auto" w:fill="auto"/>
            <w:noWrap/>
            <w:vAlign w:val="bottom"/>
            <w:hideMark/>
          </w:tcPr>
          <w:p w14:paraId="6FCEB686" w14:textId="37B38355" w:rsidR="00F826D0" w:rsidRPr="003328EE" w:rsidRDefault="00F826D0" w:rsidP="00D65F93">
            <w:pPr>
              <w:rPr>
                <w:rFonts w:eastAsia="Times New Roman"/>
                <w:color w:val="000000"/>
                <w:sz w:val="18"/>
                <w:szCs w:val="18"/>
              </w:rPr>
            </w:pPr>
            <w:r w:rsidRPr="003328EE">
              <w:rPr>
                <w:rFonts w:eastAsia="Times New Roman"/>
                <w:color w:val="000000"/>
                <w:sz w:val="18"/>
                <w:szCs w:val="18"/>
              </w:rPr>
              <w:t>Traditional Views</w:t>
            </w:r>
          </w:p>
        </w:tc>
        <w:tc>
          <w:tcPr>
            <w:tcW w:w="3183" w:type="dxa"/>
            <w:tcBorders>
              <w:top w:val="nil"/>
              <w:left w:val="nil"/>
              <w:bottom w:val="nil"/>
              <w:right w:val="nil"/>
            </w:tcBorders>
            <w:shd w:val="clear" w:color="auto" w:fill="auto"/>
            <w:noWrap/>
            <w:vAlign w:val="bottom"/>
            <w:hideMark/>
          </w:tcPr>
          <w:p w14:paraId="683D2458" w14:textId="3D168369"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0CA832F1" w14:textId="0202F4A8"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BB6FB67" w14:textId="680524F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5D76C92" w14:textId="38E1863C" w:rsidR="00F826D0" w:rsidRPr="003328EE" w:rsidRDefault="00F826D0" w:rsidP="00D65F93">
            <w:pPr>
              <w:rPr>
                <w:rFonts w:eastAsia="Times New Roman"/>
                <w:color w:val="000000"/>
                <w:sz w:val="18"/>
                <w:szCs w:val="18"/>
              </w:rPr>
            </w:pPr>
            <w:r w:rsidRPr="003328EE">
              <w:rPr>
                <w:rFonts w:eastAsia="Times New Roman"/>
                <w:color w:val="000000"/>
                <w:sz w:val="18"/>
                <w:szCs w:val="18"/>
              </w:rPr>
              <w:t>Vinnari &amp; Vinnari, 2013</w:t>
            </w:r>
          </w:p>
        </w:tc>
        <w:tc>
          <w:tcPr>
            <w:tcW w:w="1156" w:type="dxa"/>
            <w:tcBorders>
              <w:top w:val="nil"/>
              <w:left w:val="nil"/>
              <w:bottom w:val="nil"/>
              <w:right w:val="nil"/>
            </w:tcBorders>
            <w:shd w:val="clear" w:color="auto" w:fill="auto"/>
            <w:noWrap/>
            <w:vAlign w:val="bottom"/>
            <w:hideMark/>
          </w:tcPr>
          <w:p w14:paraId="546CE1D3" w14:textId="51FEBB6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F92E191" w14:textId="77777777" w:rsidTr="00D65F93">
        <w:trPr>
          <w:trHeight w:val="320"/>
        </w:trPr>
        <w:tc>
          <w:tcPr>
            <w:tcW w:w="3545" w:type="dxa"/>
            <w:tcBorders>
              <w:top w:val="nil"/>
              <w:left w:val="nil"/>
              <w:bottom w:val="nil"/>
              <w:right w:val="nil"/>
            </w:tcBorders>
            <w:shd w:val="clear" w:color="auto" w:fill="auto"/>
            <w:noWrap/>
            <w:vAlign w:val="bottom"/>
            <w:hideMark/>
          </w:tcPr>
          <w:p w14:paraId="1D3B4543" w14:textId="14EB4DBE" w:rsidR="00F826D0" w:rsidRPr="003328EE" w:rsidRDefault="00F826D0" w:rsidP="00D65F93">
            <w:pPr>
              <w:rPr>
                <w:rFonts w:eastAsia="Times New Roman"/>
                <w:color w:val="000000"/>
                <w:sz w:val="18"/>
                <w:szCs w:val="18"/>
              </w:rPr>
            </w:pPr>
            <w:r w:rsidRPr="003328EE">
              <w:rPr>
                <w:rFonts w:eastAsia="Times New Roman"/>
                <w:color w:val="000000"/>
                <w:sz w:val="18"/>
                <w:szCs w:val="18"/>
              </w:rPr>
              <w:t>Traditional Views</w:t>
            </w:r>
          </w:p>
        </w:tc>
        <w:tc>
          <w:tcPr>
            <w:tcW w:w="3183" w:type="dxa"/>
            <w:tcBorders>
              <w:top w:val="nil"/>
              <w:left w:val="nil"/>
              <w:bottom w:val="nil"/>
              <w:right w:val="nil"/>
            </w:tcBorders>
            <w:shd w:val="clear" w:color="auto" w:fill="auto"/>
            <w:noWrap/>
            <w:vAlign w:val="bottom"/>
            <w:hideMark/>
          </w:tcPr>
          <w:p w14:paraId="05DCCD05" w14:textId="2C131E3C"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02B1FCB5" w14:textId="4938529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1384E9A" w14:textId="285D26D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82C08D1" w14:textId="651CD7E0" w:rsidR="00F826D0" w:rsidRPr="003328EE" w:rsidRDefault="00F826D0" w:rsidP="00D65F93">
            <w:pPr>
              <w:rPr>
                <w:rFonts w:eastAsia="Times New Roman"/>
                <w:color w:val="000000"/>
                <w:sz w:val="18"/>
                <w:szCs w:val="18"/>
              </w:rPr>
            </w:pPr>
            <w:r w:rsidRPr="003328EE">
              <w:rPr>
                <w:rFonts w:eastAsia="Times New Roman"/>
                <w:color w:val="000000"/>
                <w:sz w:val="18"/>
                <w:szCs w:val="18"/>
              </w:rPr>
              <w:t>Caracciolo et al., 2016</w:t>
            </w:r>
          </w:p>
        </w:tc>
        <w:tc>
          <w:tcPr>
            <w:tcW w:w="1156" w:type="dxa"/>
            <w:tcBorders>
              <w:top w:val="nil"/>
              <w:left w:val="nil"/>
              <w:bottom w:val="nil"/>
              <w:right w:val="nil"/>
            </w:tcBorders>
            <w:shd w:val="clear" w:color="auto" w:fill="auto"/>
            <w:noWrap/>
            <w:vAlign w:val="bottom"/>
            <w:hideMark/>
          </w:tcPr>
          <w:p w14:paraId="7C5B2477" w14:textId="766D3B1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24227E5" w14:textId="77777777" w:rsidTr="00D65F93">
        <w:trPr>
          <w:trHeight w:val="320"/>
        </w:trPr>
        <w:tc>
          <w:tcPr>
            <w:tcW w:w="3545" w:type="dxa"/>
            <w:tcBorders>
              <w:top w:val="nil"/>
              <w:left w:val="nil"/>
              <w:bottom w:val="nil"/>
              <w:right w:val="nil"/>
            </w:tcBorders>
            <w:shd w:val="clear" w:color="auto" w:fill="auto"/>
            <w:noWrap/>
            <w:vAlign w:val="bottom"/>
            <w:hideMark/>
          </w:tcPr>
          <w:p w14:paraId="50E446B9" w14:textId="5D3016CE" w:rsidR="00F826D0" w:rsidRPr="003328EE" w:rsidRDefault="00F826D0" w:rsidP="00D65F93">
            <w:pPr>
              <w:rPr>
                <w:rFonts w:eastAsia="Times New Roman"/>
                <w:color w:val="000000"/>
                <w:sz w:val="18"/>
                <w:szCs w:val="18"/>
              </w:rPr>
            </w:pPr>
            <w:r w:rsidRPr="003328EE">
              <w:rPr>
                <w:rFonts w:eastAsia="Times New Roman"/>
                <w:color w:val="000000"/>
                <w:sz w:val="18"/>
                <w:szCs w:val="18"/>
              </w:rPr>
              <w:t>Traditional Views</w:t>
            </w:r>
          </w:p>
        </w:tc>
        <w:tc>
          <w:tcPr>
            <w:tcW w:w="3183" w:type="dxa"/>
            <w:tcBorders>
              <w:top w:val="nil"/>
              <w:left w:val="nil"/>
              <w:bottom w:val="nil"/>
              <w:right w:val="nil"/>
            </w:tcBorders>
            <w:shd w:val="clear" w:color="auto" w:fill="auto"/>
            <w:noWrap/>
            <w:vAlign w:val="bottom"/>
            <w:hideMark/>
          </w:tcPr>
          <w:p w14:paraId="607A193F" w14:textId="0C383DF2"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47277142" w14:textId="61BA82B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F30D5FB" w14:textId="10383F3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F8DD255" w14:textId="38251E72" w:rsidR="00F826D0" w:rsidRPr="003328EE" w:rsidRDefault="00F826D0" w:rsidP="00D65F93">
            <w:pPr>
              <w:rPr>
                <w:rFonts w:eastAsia="Times New Roman"/>
                <w:color w:val="000000"/>
                <w:sz w:val="18"/>
                <w:szCs w:val="18"/>
              </w:rPr>
            </w:pPr>
            <w:r w:rsidRPr="003328EE">
              <w:rPr>
                <w:rFonts w:eastAsia="Times New Roman"/>
                <w:color w:val="000000"/>
                <w:sz w:val="18"/>
                <w:szCs w:val="18"/>
              </w:rPr>
              <w:t>Reisch et al., 2013</w:t>
            </w:r>
          </w:p>
        </w:tc>
        <w:tc>
          <w:tcPr>
            <w:tcW w:w="1156" w:type="dxa"/>
            <w:tcBorders>
              <w:top w:val="nil"/>
              <w:left w:val="nil"/>
              <w:bottom w:val="nil"/>
              <w:right w:val="nil"/>
            </w:tcBorders>
            <w:shd w:val="clear" w:color="auto" w:fill="auto"/>
            <w:noWrap/>
            <w:vAlign w:val="bottom"/>
            <w:hideMark/>
          </w:tcPr>
          <w:p w14:paraId="1ECAB9AF" w14:textId="417675EB"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C25AB79" w14:textId="77777777" w:rsidTr="00D65F93">
        <w:trPr>
          <w:trHeight w:val="320"/>
        </w:trPr>
        <w:tc>
          <w:tcPr>
            <w:tcW w:w="3545" w:type="dxa"/>
            <w:tcBorders>
              <w:top w:val="nil"/>
              <w:left w:val="nil"/>
              <w:bottom w:val="nil"/>
              <w:right w:val="nil"/>
            </w:tcBorders>
            <w:shd w:val="clear" w:color="auto" w:fill="auto"/>
            <w:noWrap/>
            <w:vAlign w:val="bottom"/>
            <w:hideMark/>
          </w:tcPr>
          <w:p w14:paraId="1F01544F" w14:textId="44E119DE" w:rsidR="00F826D0" w:rsidRPr="003328EE" w:rsidRDefault="00F826D0" w:rsidP="00D65F93">
            <w:pPr>
              <w:rPr>
                <w:rFonts w:eastAsia="Times New Roman"/>
                <w:color w:val="000000"/>
                <w:sz w:val="18"/>
                <w:szCs w:val="18"/>
              </w:rPr>
            </w:pPr>
            <w:r w:rsidRPr="003328EE">
              <w:rPr>
                <w:rFonts w:eastAsia="Times New Roman"/>
                <w:color w:val="000000"/>
                <w:sz w:val="18"/>
                <w:szCs w:val="18"/>
              </w:rPr>
              <w:t>Unfamiliar</w:t>
            </w:r>
          </w:p>
        </w:tc>
        <w:tc>
          <w:tcPr>
            <w:tcW w:w="3183" w:type="dxa"/>
            <w:tcBorders>
              <w:top w:val="nil"/>
              <w:left w:val="nil"/>
              <w:bottom w:val="nil"/>
              <w:right w:val="nil"/>
            </w:tcBorders>
            <w:shd w:val="clear" w:color="auto" w:fill="auto"/>
            <w:noWrap/>
            <w:vAlign w:val="bottom"/>
            <w:hideMark/>
          </w:tcPr>
          <w:p w14:paraId="110C258E" w14:textId="3F270CD7"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1A097DAC" w14:textId="08727066"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926F517" w14:textId="4D120E7D"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69569BD" w14:textId="6EB7CD5A" w:rsidR="00F826D0" w:rsidRPr="003328EE" w:rsidRDefault="00F826D0" w:rsidP="00D65F93">
            <w:pPr>
              <w:rPr>
                <w:rFonts w:eastAsia="Times New Roman"/>
                <w:color w:val="000000"/>
                <w:sz w:val="18"/>
                <w:szCs w:val="18"/>
              </w:rPr>
            </w:pPr>
            <w:r w:rsidRPr="003328EE">
              <w:rPr>
                <w:rFonts w:eastAsia="Times New Roman"/>
                <w:color w:val="000000"/>
                <w:sz w:val="18"/>
                <w:szCs w:val="18"/>
              </w:rPr>
              <w:t>Forestell et al., 2012</w:t>
            </w:r>
          </w:p>
        </w:tc>
        <w:tc>
          <w:tcPr>
            <w:tcW w:w="1156" w:type="dxa"/>
            <w:tcBorders>
              <w:top w:val="nil"/>
              <w:left w:val="nil"/>
              <w:bottom w:val="nil"/>
              <w:right w:val="nil"/>
            </w:tcBorders>
            <w:shd w:val="clear" w:color="auto" w:fill="auto"/>
            <w:noWrap/>
            <w:vAlign w:val="bottom"/>
            <w:hideMark/>
          </w:tcPr>
          <w:p w14:paraId="0D067791" w14:textId="72FF6B6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1A00739" w14:textId="77777777" w:rsidTr="00D65F93">
        <w:trPr>
          <w:trHeight w:val="320"/>
        </w:trPr>
        <w:tc>
          <w:tcPr>
            <w:tcW w:w="3545" w:type="dxa"/>
            <w:tcBorders>
              <w:top w:val="nil"/>
              <w:left w:val="nil"/>
              <w:bottom w:val="nil"/>
              <w:right w:val="nil"/>
            </w:tcBorders>
            <w:shd w:val="clear" w:color="auto" w:fill="auto"/>
            <w:noWrap/>
            <w:vAlign w:val="bottom"/>
            <w:hideMark/>
          </w:tcPr>
          <w:p w14:paraId="5C302AD4" w14:textId="6256EF39" w:rsidR="00F826D0" w:rsidRPr="003328EE" w:rsidRDefault="00F826D0" w:rsidP="00D65F93">
            <w:pPr>
              <w:rPr>
                <w:rFonts w:eastAsia="Times New Roman"/>
                <w:color w:val="000000"/>
                <w:sz w:val="18"/>
                <w:szCs w:val="18"/>
              </w:rPr>
            </w:pPr>
            <w:r w:rsidRPr="003328EE">
              <w:rPr>
                <w:rFonts w:eastAsia="Times New Roman"/>
                <w:color w:val="000000"/>
                <w:sz w:val="18"/>
                <w:szCs w:val="18"/>
              </w:rPr>
              <w:t>Unfamiliar</w:t>
            </w:r>
          </w:p>
        </w:tc>
        <w:tc>
          <w:tcPr>
            <w:tcW w:w="3183" w:type="dxa"/>
            <w:tcBorders>
              <w:top w:val="nil"/>
              <w:left w:val="nil"/>
              <w:bottom w:val="nil"/>
              <w:right w:val="nil"/>
            </w:tcBorders>
            <w:shd w:val="clear" w:color="auto" w:fill="auto"/>
            <w:noWrap/>
            <w:vAlign w:val="bottom"/>
            <w:hideMark/>
          </w:tcPr>
          <w:p w14:paraId="3EE7FA1B" w14:textId="575C4609"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472B7A5" w14:textId="7CE0D5D9"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FFC2CFB" w14:textId="304BE289"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8564C36" w14:textId="7575B6C1" w:rsidR="00F826D0" w:rsidRPr="003328EE" w:rsidRDefault="00F826D0" w:rsidP="00D65F93">
            <w:pPr>
              <w:rPr>
                <w:rFonts w:eastAsia="Times New Roman"/>
                <w:color w:val="000000"/>
                <w:sz w:val="18"/>
                <w:szCs w:val="18"/>
              </w:rPr>
            </w:pPr>
            <w:r w:rsidRPr="003328EE">
              <w:rPr>
                <w:rFonts w:eastAsia="Times New Roman"/>
                <w:color w:val="000000"/>
                <w:sz w:val="18"/>
                <w:szCs w:val="18"/>
              </w:rPr>
              <w:t>Tan et al., 2016</w:t>
            </w:r>
          </w:p>
        </w:tc>
        <w:tc>
          <w:tcPr>
            <w:tcW w:w="1156" w:type="dxa"/>
            <w:tcBorders>
              <w:top w:val="nil"/>
              <w:left w:val="nil"/>
              <w:bottom w:val="nil"/>
              <w:right w:val="nil"/>
            </w:tcBorders>
            <w:shd w:val="clear" w:color="auto" w:fill="auto"/>
            <w:noWrap/>
            <w:vAlign w:val="bottom"/>
            <w:hideMark/>
          </w:tcPr>
          <w:p w14:paraId="11B681D8" w14:textId="196E21E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1A2506B" w14:textId="77777777" w:rsidTr="00D65F93">
        <w:trPr>
          <w:trHeight w:val="320"/>
        </w:trPr>
        <w:tc>
          <w:tcPr>
            <w:tcW w:w="3545" w:type="dxa"/>
            <w:tcBorders>
              <w:top w:val="nil"/>
              <w:left w:val="nil"/>
              <w:bottom w:val="nil"/>
              <w:right w:val="nil"/>
            </w:tcBorders>
            <w:shd w:val="clear" w:color="auto" w:fill="auto"/>
            <w:noWrap/>
            <w:vAlign w:val="bottom"/>
            <w:hideMark/>
          </w:tcPr>
          <w:p w14:paraId="1341E1B0" w14:textId="6F090410" w:rsidR="00F826D0" w:rsidRPr="003328EE" w:rsidRDefault="00F826D0" w:rsidP="00D65F93">
            <w:pPr>
              <w:rPr>
                <w:rFonts w:eastAsia="Times New Roman"/>
                <w:color w:val="000000"/>
                <w:sz w:val="18"/>
                <w:szCs w:val="18"/>
              </w:rPr>
            </w:pPr>
            <w:r w:rsidRPr="003328EE">
              <w:rPr>
                <w:rFonts w:eastAsia="Times New Roman"/>
                <w:color w:val="000000"/>
                <w:sz w:val="18"/>
                <w:szCs w:val="18"/>
              </w:rPr>
              <w:t>Unfamiliar</w:t>
            </w:r>
          </w:p>
        </w:tc>
        <w:tc>
          <w:tcPr>
            <w:tcW w:w="3183" w:type="dxa"/>
            <w:tcBorders>
              <w:top w:val="nil"/>
              <w:left w:val="nil"/>
              <w:bottom w:val="nil"/>
              <w:right w:val="nil"/>
            </w:tcBorders>
            <w:shd w:val="clear" w:color="auto" w:fill="auto"/>
            <w:noWrap/>
            <w:vAlign w:val="bottom"/>
            <w:hideMark/>
          </w:tcPr>
          <w:p w14:paraId="617BD774" w14:textId="0AEB7BF7"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7057805" w14:textId="0F206F82"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7DA53D2" w14:textId="5EFA14DD"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DCE90BA" w14:textId="7047600A" w:rsidR="00F826D0" w:rsidRPr="003328EE" w:rsidRDefault="00F826D0" w:rsidP="00D65F93">
            <w:pPr>
              <w:rPr>
                <w:rFonts w:eastAsia="Times New Roman"/>
                <w:color w:val="000000"/>
                <w:sz w:val="18"/>
                <w:szCs w:val="18"/>
              </w:rPr>
            </w:pPr>
            <w:r w:rsidRPr="003328EE">
              <w:rPr>
                <w:rFonts w:eastAsia="Times New Roman"/>
                <w:color w:val="000000"/>
                <w:sz w:val="18"/>
                <w:szCs w:val="18"/>
              </w:rPr>
              <w:t>Haverstock &amp; Forgays, 2012</w:t>
            </w:r>
          </w:p>
        </w:tc>
        <w:tc>
          <w:tcPr>
            <w:tcW w:w="1156" w:type="dxa"/>
            <w:tcBorders>
              <w:top w:val="nil"/>
              <w:left w:val="nil"/>
              <w:bottom w:val="nil"/>
              <w:right w:val="nil"/>
            </w:tcBorders>
            <w:shd w:val="clear" w:color="auto" w:fill="auto"/>
            <w:noWrap/>
            <w:vAlign w:val="bottom"/>
            <w:hideMark/>
          </w:tcPr>
          <w:p w14:paraId="28932FED" w14:textId="0E9A58E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2D0C25C" w14:textId="77777777" w:rsidTr="00D65F93">
        <w:trPr>
          <w:trHeight w:val="320"/>
        </w:trPr>
        <w:tc>
          <w:tcPr>
            <w:tcW w:w="3545" w:type="dxa"/>
            <w:tcBorders>
              <w:top w:val="nil"/>
              <w:left w:val="nil"/>
              <w:bottom w:val="nil"/>
              <w:right w:val="nil"/>
            </w:tcBorders>
            <w:shd w:val="clear" w:color="auto" w:fill="auto"/>
            <w:noWrap/>
            <w:vAlign w:val="bottom"/>
            <w:hideMark/>
          </w:tcPr>
          <w:p w14:paraId="3AF3F0FD" w14:textId="20FE5DA8" w:rsidR="00F826D0" w:rsidRPr="003328EE" w:rsidRDefault="00F826D0" w:rsidP="00D65F93">
            <w:pPr>
              <w:rPr>
                <w:rFonts w:eastAsia="Times New Roman"/>
                <w:color w:val="000000"/>
                <w:sz w:val="18"/>
                <w:szCs w:val="18"/>
              </w:rPr>
            </w:pPr>
            <w:r w:rsidRPr="003328EE">
              <w:rPr>
                <w:rFonts w:eastAsia="Times New Roman"/>
                <w:color w:val="000000"/>
                <w:sz w:val="18"/>
                <w:szCs w:val="18"/>
              </w:rPr>
              <w:t>Unfamiliar</w:t>
            </w:r>
          </w:p>
        </w:tc>
        <w:tc>
          <w:tcPr>
            <w:tcW w:w="3183" w:type="dxa"/>
            <w:tcBorders>
              <w:top w:val="nil"/>
              <w:left w:val="nil"/>
              <w:bottom w:val="nil"/>
              <w:right w:val="nil"/>
            </w:tcBorders>
            <w:shd w:val="clear" w:color="auto" w:fill="auto"/>
            <w:noWrap/>
            <w:vAlign w:val="bottom"/>
            <w:hideMark/>
          </w:tcPr>
          <w:p w14:paraId="3B70E4C4" w14:textId="3042C6B4"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7504F849" w14:textId="4D1BBEDD"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AB5F47D" w14:textId="157AA51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17155E0" w14:textId="7937CF62" w:rsidR="00F826D0" w:rsidRPr="003328EE" w:rsidRDefault="00F826D0" w:rsidP="00D65F93">
            <w:pPr>
              <w:rPr>
                <w:rFonts w:eastAsia="Times New Roman"/>
                <w:color w:val="000000"/>
                <w:sz w:val="18"/>
                <w:szCs w:val="18"/>
              </w:rPr>
            </w:pPr>
            <w:r w:rsidRPr="003328EE">
              <w:rPr>
                <w:rFonts w:eastAsia="Times New Roman"/>
                <w:color w:val="000000"/>
                <w:sz w:val="18"/>
                <w:szCs w:val="18"/>
              </w:rPr>
              <w:t>Hoek et al., 2011</w:t>
            </w:r>
          </w:p>
        </w:tc>
        <w:tc>
          <w:tcPr>
            <w:tcW w:w="1156" w:type="dxa"/>
            <w:tcBorders>
              <w:top w:val="nil"/>
              <w:left w:val="nil"/>
              <w:bottom w:val="nil"/>
              <w:right w:val="nil"/>
            </w:tcBorders>
            <w:shd w:val="clear" w:color="auto" w:fill="auto"/>
            <w:noWrap/>
            <w:vAlign w:val="bottom"/>
            <w:hideMark/>
          </w:tcPr>
          <w:p w14:paraId="43F82C85" w14:textId="6160100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4206689" w14:textId="77777777" w:rsidTr="00D65F93">
        <w:trPr>
          <w:trHeight w:val="320"/>
        </w:trPr>
        <w:tc>
          <w:tcPr>
            <w:tcW w:w="3545" w:type="dxa"/>
            <w:tcBorders>
              <w:top w:val="nil"/>
              <w:left w:val="nil"/>
              <w:bottom w:val="nil"/>
              <w:right w:val="nil"/>
            </w:tcBorders>
            <w:shd w:val="clear" w:color="auto" w:fill="auto"/>
            <w:noWrap/>
            <w:vAlign w:val="bottom"/>
            <w:hideMark/>
          </w:tcPr>
          <w:p w14:paraId="3DBD074F" w14:textId="3C77BADF" w:rsidR="00F826D0" w:rsidRPr="003328EE" w:rsidRDefault="00F826D0" w:rsidP="00D65F93">
            <w:pPr>
              <w:rPr>
                <w:rFonts w:eastAsia="Times New Roman"/>
                <w:color w:val="000000"/>
                <w:sz w:val="18"/>
                <w:szCs w:val="18"/>
              </w:rPr>
            </w:pPr>
            <w:r w:rsidRPr="003328EE">
              <w:rPr>
                <w:rFonts w:eastAsia="Times New Roman"/>
                <w:color w:val="000000"/>
                <w:sz w:val="18"/>
                <w:szCs w:val="18"/>
              </w:rPr>
              <w:t>Unfamiliar</w:t>
            </w:r>
          </w:p>
        </w:tc>
        <w:tc>
          <w:tcPr>
            <w:tcW w:w="3183" w:type="dxa"/>
            <w:tcBorders>
              <w:top w:val="nil"/>
              <w:left w:val="nil"/>
              <w:bottom w:val="nil"/>
              <w:right w:val="nil"/>
            </w:tcBorders>
            <w:shd w:val="clear" w:color="auto" w:fill="auto"/>
            <w:noWrap/>
            <w:vAlign w:val="bottom"/>
            <w:hideMark/>
          </w:tcPr>
          <w:p w14:paraId="17CE2AE8" w14:textId="79E66337"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B50CB83" w14:textId="401FFEA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59C5A80" w14:textId="2A63D3E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A48A849" w14:textId="74BD2AA6" w:rsidR="00F826D0" w:rsidRPr="003328EE" w:rsidRDefault="00F826D0" w:rsidP="00D65F93">
            <w:pPr>
              <w:rPr>
                <w:rFonts w:eastAsia="Times New Roman"/>
                <w:color w:val="000000"/>
                <w:sz w:val="18"/>
                <w:szCs w:val="18"/>
              </w:rPr>
            </w:pPr>
            <w:r w:rsidRPr="003328EE">
              <w:rPr>
                <w:rFonts w:eastAsia="Times New Roman"/>
                <w:color w:val="000000"/>
                <w:sz w:val="18"/>
                <w:szCs w:val="18"/>
              </w:rPr>
              <w:t>Makiniemi &amp; Vinio, 2014</w:t>
            </w:r>
          </w:p>
        </w:tc>
        <w:tc>
          <w:tcPr>
            <w:tcW w:w="1156" w:type="dxa"/>
            <w:tcBorders>
              <w:top w:val="nil"/>
              <w:left w:val="nil"/>
              <w:bottom w:val="nil"/>
              <w:right w:val="nil"/>
            </w:tcBorders>
            <w:shd w:val="clear" w:color="auto" w:fill="auto"/>
            <w:noWrap/>
            <w:vAlign w:val="bottom"/>
            <w:hideMark/>
          </w:tcPr>
          <w:p w14:paraId="706CAC71" w14:textId="395238F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2567A96" w14:textId="77777777" w:rsidTr="00D65F93">
        <w:trPr>
          <w:trHeight w:val="320"/>
        </w:trPr>
        <w:tc>
          <w:tcPr>
            <w:tcW w:w="3545" w:type="dxa"/>
            <w:tcBorders>
              <w:top w:val="nil"/>
              <w:left w:val="nil"/>
              <w:bottom w:val="nil"/>
              <w:right w:val="nil"/>
            </w:tcBorders>
            <w:shd w:val="clear" w:color="auto" w:fill="auto"/>
            <w:noWrap/>
            <w:vAlign w:val="bottom"/>
            <w:hideMark/>
          </w:tcPr>
          <w:p w14:paraId="3A0A566F" w14:textId="466E39AB" w:rsidR="00F826D0" w:rsidRPr="003328EE" w:rsidRDefault="00F826D0" w:rsidP="00D65F93">
            <w:pPr>
              <w:rPr>
                <w:rFonts w:eastAsia="Times New Roman"/>
                <w:color w:val="000000"/>
                <w:sz w:val="18"/>
                <w:szCs w:val="18"/>
              </w:rPr>
            </w:pPr>
            <w:r w:rsidRPr="003328EE">
              <w:rPr>
                <w:rFonts w:eastAsia="Times New Roman"/>
                <w:color w:val="000000"/>
                <w:sz w:val="18"/>
                <w:szCs w:val="18"/>
              </w:rPr>
              <w:t>Unfamiliar</w:t>
            </w:r>
          </w:p>
        </w:tc>
        <w:tc>
          <w:tcPr>
            <w:tcW w:w="3183" w:type="dxa"/>
            <w:tcBorders>
              <w:top w:val="nil"/>
              <w:left w:val="nil"/>
              <w:bottom w:val="nil"/>
              <w:right w:val="nil"/>
            </w:tcBorders>
            <w:shd w:val="clear" w:color="auto" w:fill="auto"/>
            <w:noWrap/>
            <w:vAlign w:val="bottom"/>
            <w:hideMark/>
          </w:tcPr>
          <w:p w14:paraId="39A2B0CC" w14:textId="62AA3A90"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31655F19" w14:textId="7F08B6D3"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8FE0585" w14:textId="112E422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4268513" w14:textId="311AA85C" w:rsidR="00F826D0" w:rsidRPr="003328EE" w:rsidRDefault="00F826D0" w:rsidP="00D65F93">
            <w:pPr>
              <w:rPr>
                <w:rFonts w:eastAsia="Times New Roman"/>
                <w:color w:val="000000"/>
                <w:sz w:val="18"/>
                <w:szCs w:val="18"/>
              </w:rPr>
            </w:pPr>
            <w:r w:rsidRPr="003328EE">
              <w:rPr>
                <w:rFonts w:eastAsia="Times New Roman"/>
                <w:color w:val="000000"/>
                <w:sz w:val="18"/>
                <w:szCs w:val="18"/>
              </w:rPr>
              <w:t>Neumark-Sztainer et al., 1999</w:t>
            </w:r>
          </w:p>
        </w:tc>
        <w:tc>
          <w:tcPr>
            <w:tcW w:w="1156" w:type="dxa"/>
            <w:tcBorders>
              <w:top w:val="nil"/>
              <w:left w:val="nil"/>
              <w:bottom w:val="nil"/>
              <w:right w:val="nil"/>
            </w:tcBorders>
            <w:shd w:val="clear" w:color="auto" w:fill="auto"/>
            <w:noWrap/>
            <w:vAlign w:val="bottom"/>
            <w:hideMark/>
          </w:tcPr>
          <w:p w14:paraId="34CC07DD" w14:textId="7840054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71D6E34" w14:textId="77777777" w:rsidTr="00D65F93">
        <w:trPr>
          <w:trHeight w:val="320"/>
        </w:trPr>
        <w:tc>
          <w:tcPr>
            <w:tcW w:w="3545" w:type="dxa"/>
            <w:tcBorders>
              <w:top w:val="nil"/>
              <w:left w:val="nil"/>
              <w:bottom w:val="nil"/>
              <w:right w:val="nil"/>
            </w:tcBorders>
            <w:shd w:val="clear" w:color="auto" w:fill="auto"/>
            <w:noWrap/>
            <w:vAlign w:val="bottom"/>
            <w:hideMark/>
          </w:tcPr>
          <w:p w14:paraId="1AA9830B" w14:textId="7B5879C0" w:rsidR="00F826D0" w:rsidRPr="003328EE" w:rsidRDefault="00F826D0" w:rsidP="00D65F93">
            <w:pPr>
              <w:rPr>
                <w:rFonts w:eastAsia="Times New Roman"/>
                <w:color w:val="000000"/>
                <w:sz w:val="18"/>
                <w:szCs w:val="18"/>
              </w:rPr>
            </w:pPr>
            <w:r w:rsidRPr="003328EE">
              <w:rPr>
                <w:rFonts w:eastAsia="Times New Roman"/>
                <w:color w:val="000000"/>
                <w:sz w:val="18"/>
                <w:szCs w:val="18"/>
              </w:rPr>
              <w:t>Unfamiliar</w:t>
            </w:r>
          </w:p>
        </w:tc>
        <w:tc>
          <w:tcPr>
            <w:tcW w:w="3183" w:type="dxa"/>
            <w:tcBorders>
              <w:top w:val="nil"/>
              <w:left w:val="nil"/>
              <w:bottom w:val="nil"/>
              <w:right w:val="nil"/>
            </w:tcBorders>
            <w:shd w:val="clear" w:color="auto" w:fill="auto"/>
            <w:noWrap/>
            <w:vAlign w:val="bottom"/>
            <w:hideMark/>
          </w:tcPr>
          <w:p w14:paraId="7414F976" w14:textId="1D7C138F"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63B3141C" w14:textId="784D879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81753E8" w14:textId="0340BBF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1FACE09" w14:textId="53C70A32"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6DBF188B" w14:textId="24DC590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C5C0963" w14:textId="77777777" w:rsidTr="00D65F93">
        <w:trPr>
          <w:trHeight w:val="320"/>
        </w:trPr>
        <w:tc>
          <w:tcPr>
            <w:tcW w:w="3545" w:type="dxa"/>
            <w:tcBorders>
              <w:top w:val="nil"/>
              <w:left w:val="nil"/>
              <w:bottom w:val="nil"/>
              <w:right w:val="nil"/>
            </w:tcBorders>
            <w:shd w:val="clear" w:color="auto" w:fill="auto"/>
            <w:noWrap/>
            <w:vAlign w:val="bottom"/>
            <w:hideMark/>
          </w:tcPr>
          <w:p w14:paraId="1F199556" w14:textId="13178E1A" w:rsidR="00F826D0" w:rsidRPr="003328EE" w:rsidRDefault="00F826D0" w:rsidP="00D65F93">
            <w:pPr>
              <w:rPr>
                <w:rFonts w:eastAsia="Times New Roman"/>
                <w:color w:val="000000"/>
                <w:sz w:val="18"/>
                <w:szCs w:val="18"/>
              </w:rPr>
            </w:pPr>
            <w:r w:rsidRPr="003328EE">
              <w:rPr>
                <w:rFonts w:eastAsia="Times New Roman"/>
                <w:color w:val="000000"/>
                <w:sz w:val="18"/>
                <w:szCs w:val="18"/>
              </w:rPr>
              <w:t>Unfamiliar</w:t>
            </w:r>
          </w:p>
        </w:tc>
        <w:tc>
          <w:tcPr>
            <w:tcW w:w="3183" w:type="dxa"/>
            <w:tcBorders>
              <w:top w:val="nil"/>
              <w:left w:val="nil"/>
              <w:bottom w:val="nil"/>
              <w:right w:val="nil"/>
            </w:tcBorders>
            <w:shd w:val="clear" w:color="auto" w:fill="auto"/>
            <w:noWrap/>
            <w:vAlign w:val="bottom"/>
            <w:hideMark/>
          </w:tcPr>
          <w:p w14:paraId="3382D2EB" w14:textId="3BB9D2C9"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3CE25092" w14:textId="1AC6A369"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139CAA7" w14:textId="78A1580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1204BCD" w14:textId="6BEF1FC4" w:rsidR="00F826D0" w:rsidRPr="003328EE" w:rsidRDefault="00F826D0" w:rsidP="00D65F93">
            <w:pPr>
              <w:rPr>
                <w:rFonts w:eastAsia="Times New Roman"/>
                <w:color w:val="000000"/>
                <w:sz w:val="18"/>
                <w:szCs w:val="18"/>
              </w:rPr>
            </w:pPr>
            <w:r w:rsidRPr="003328EE">
              <w:rPr>
                <w:rFonts w:eastAsia="Times New Roman"/>
                <w:color w:val="000000"/>
                <w:sz w:val="18"/>
                <w:szCs w:val="18"/>
              </w:rPr>
              <w:t>Vanhonacker et al., 2013</w:t>
            </w:r>
          </w:p>
        </w:tc>
        <w:tc>
          <w:tcPr>
            <w:tcW w:w="1156" w:type="dxa"/>
            <w:tcBorders>
              <w:top w:val="nil"/>
              <w:left w:val="nil"/>
              <w:bottom w:val="nil"/>
              <w:right w:val="nil"/>
            </w:tcBorders>
            <w:shd w:val="clear" w:color="auto" w:fill="auto"/>
            <w:noWrap/>
            <w:vAlign w:val="bottom"/>
            <w:hideMark/>
          </w:tcPr>
          <w:p w14:paraId="3F08B6DD" w14:textId="2985CC4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4701739" w14:textId="77777777" w:rsidTr="00D65F93">
        <w:trPr>
          <w:trHeight w:val="320"/>
        </w:trPr>
        <w:tc>
          <w:tcPr>
            <w:tcW w:w="3545" w:type="dxa"/>
            <w:tcBorders>
              <w:top w:val="nil"/>
              <w:left w:val="nil"/>
              <w:bottom w:val="nil"/>
              <w:right w:val="nil"/>
            </w:tcBorders>
            <w:shd w:val="clear" w:color="auto" w:fill="auto"/>
            <w:noWrap/>
            <w:vAlign w:val="bottom"/>
            <w:hideMark/>
          </w:tcPr>
          <w:p w14:paraId="01E0F149" w14:textId="6B47F483" w:rsidR="00F826D0" w:rsidRPr="003328EE" w:rsidRDefault="00F826D0" w:rsidP="00D65F93">
            <w:pPr>
              <w:rPr>
                <w:rFonts w:eastAsia="Times New Roman"/>
                <w:color w:val="000000"/>
                <w:sz w:val="18"/>
                <w:szCs w:val="18"/>
              </w:rPr>
            </w:pPr>
            <w:r w:rsidRPr="003328EE">
              <w:rPr>
                <w:rFonts w:eastAsia="Times New Roman"/>
                <w:color w:val="000000"/>
                <w:sz w:val="18"/>
                <w:szCs w:val="18"/>
              </w:rPr>
              <w:t>Work Schedule</w:t>
            </w:r>
          </w:p>
        </w:tc>
        <w:tc>
          <w:tcPr>
            <w:tcW w:w="3183" w:type="dxa"/>
            <w:tcBorders>
              <w:top w:val="nil"/>
              <w:left w:val="nil"/>
              <w:bottom w:val="nil"/>
              <w:right w:val="nil"/>
            </w:tcBorders>
            <w:shd w:val="clear" w:color="auto" w:fill="auto"/>
            <w:noWrap/>
            <w:vAlign w:val="bottom"/>
            <w:hideMark/>
          </w:tcPr>
          <w:p w14:paraId="2D953A96" w14:textId="34A82D41" w:rsidR="00F826D0" w:rsidRPr="003328EE" w:rsidRDefault="00F826D0" w:rsidP="00D65F93">
            <w:pPr>
              <w:rPr>
                <w:rFonts w:eastAsia="Times New Roman"/>
                <w:color w:val="000000"/>
                <w:sz w:val="18"/>
                <w:szCs w:val="18"/>
              </w:rPr>
            </w:pPr>
            <w:r w:rsidRPr="003328EE">
              <w:rPr>
                <w:rFonts w:eastAsia="Times New Roman"/>
                <w:color w:val="000000"/>
                <w:sz w:val="18"/>
                <w:szCs w:val="18"/>
              </w:rPr>
              <w:t>Judgmental Heuristics</w:t>
            </w:r>
          </w:p>
        </w:tc>
        <w:tc>
          <w:tcPr>
            <w:tcW w:w="2061" w:type="dxa"/>
            <w:tcBorders>
              <w:top w:val="nil"/>
              <w:left w:val="nil"/>
              <w:bottom w:val="nil"/>
              <w:right w:val="nil"/>
            </w:tcBorders>
            <w:shd w:val="clear" w:color="auto" w:fill="auto"/>
            <w:noWrap/>
            <w:vAlign w:val="bottom"/>
            <w:hideMark/>
          </w:tcPr>
          <w:p w14:paraId="50F567C2" w14:textId="61210263"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19A5118" w14:textId="343C001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825FAD5" w14:textId="33B8A05E" w:rsidR="00F826D0" w:rsidRPr="003328EE" w:rsidRDefault="00F826D0" w:rsidP="00D65F93">
            <w:pPr>
              <w:rPr>
                <w:rFonts w:eastAsia="Times New Roman"/>
                <w:color w:val="000000"/>
                <w:sz w:val="18"/>
                <w:szCs w:val="18"/>
              </w:rPr>
            </w:pPr>
            <w:r w:rsidRPr="003328EE">
              <w:rPr>
                <w:rFonts w:eastAsia="Times New Roman"/>
                <w:color w:val="000000"/>
                <w:sz w:val="18"/>
                <w:szCs w:val="18"/>
              </w:rPr>
              <w:t>Reisch et al., 2013</w:t>
            </w:r>
          </w:p>
        </w:tc>
        <w:tc>
          <w:tcPr>
            <w:tcW w:w="1156" w:type="dxa"/>
            <w:tcBorders>
              <w:top w:val="nil"/>
              <w:left w:val="nil"/>
              <w:bottom w:val="nil"/>
              <w:right w:val="nil"/>
            </w:tcBorders>
            <w:shd w:val="clear" w:color="auto" w:fill="auto"/>
            <w:noWrap/>
            <w:vAlign w:val="bottom"/>
            <w:hideMark/>
          </w:tcPr>
          <w:p w14:paraId="7414939E" w14:textId="3BF300F2"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B0D3766" w14:textId="77777777" w:rsidTr="00D65F93">
        <w:trPr>
          <w:trHeight w:val="320"/>
        </w:trPr>
        <w:tc>
          <w:tcPr>
            <w:tcW w:w="3545" w:type="dxa"/>
            <w:tcBorders>
              <w:top w:val="nil"/>
              <w:left w:val="nil"/>
              <w:bottom w:val="nil"/>
              <w:right w:val="nil"/>
            </w:tcBorders>
            <w:shd w:val="clear" w:color="auto" w:fill="auto"/>
            <w:noWrap/>
            <w:vAlign w:val="bottom"/>
            <w:hideMark/>
          </w:tcPr>
          <w:p w14:paraId="6B37C53D" w14:textId="407EB6C0" w:rsidR="00F826D0" w:rsidRPr="003328EE" w:rsidRDefault="00F826D0" w:rsidP="00D65F93">
            <w:pPr>
              <w:rPr>
                <w:rFonts w:eastAsia="Times New Roman"/>
                <w:color w:val="000000"/>
                <w:sz w:val="18"/>
                <w:szCs w:val="18"/>
              </w:rPr>
            </w:pPr>
            <w:r w:rsidRPr="003328EE">
              <w:rPr>
                <w:rFonts w:eastAsia="Times New Roman"/>
                <w:color w:val="000000"/>
                <w:sz w:val="18"/>
                <w:szCs w:val="18"/>
              </w:rPr>
              <w:t>Climate Change Deniers</w:t>
            </w:r>
          </w:p>
        </w:tc>
        <w:tc>
          <w:tcPr>
            <w:tcW w:w="3183" w:type="dxa"/>
            <w:tcBorders>
              <w:top w:val="nil"/>
              <w:left w:val="nil"/>
              <w:bottom w:val="nil"/>
              <w:right w:val="nil"/>
            </w:tcBorders>
            <w:shd w:val="clear" w:color="auto" w:fill="auto"/>
            <w:noWrap/>
            <w:vAlign w:val="bottom"/>
            <w:hideMark/>
          </w:tcPr>
          <w:p w14:paraId="5596A5B4" w14:textId="1ED43142"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0F5FBDA4" w14:textId="38B8457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6FAE87C" w14:textId="2EDD758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2B5C7D2" w14:textId="6410D8B6"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2014</w:t>
            </w:r>
          </w:p>
        </w:tc>
        <w:tc>
          <w:tcPr>
            <w:tcW w:w="1156" w:type="dxa"/>
            <w:tcBorders>
              <w:top w:val="nil"/>
              <w:left w:val="nil"/>
              <w:bottom w:val="nil"/>
              <w:right w:val="nil"/>
            </w:tcBorders>
            <w:shd w:val="clear" w:color="auto" w:fill="auto"/>
            <w:noWrap/>
            <w:vAlign w:val="bottom"/>
            <w:hideMark/>
          </w:tcPr>
          <w:p w14:paraId="52BF96E9" w14:textId="166C6B01"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CC15700" w14:textId="77777777" w:rsidTr="00D65F93">
        <w:trPr>
          <w:trHeight w:val="320"/>
        </w:trPr>
        <w:tc>
          <w:tcPr>
            <w:tcW w:w="3545" w:type="dxa"/>
            <w:tcBorders>
              <w:top w:val="nil"/>
              <w:left w:val="nil"/>
              <w:bottom w:val="nil"/>
              <w:right w:val="nil"/>
            </w:tcBorders>
            <w:shd w:val="clear" w:color="auto" w:fill="auto"/>
            <w:noWrap/>
            <w:vAlign w:val="bottom"/>
            <w:hideMark/>
          </w:tcPr>
          <w:p w14:paraId="6512F3DB" w14:textId="5426CB04" w:rsidR="00F826D0" w:rsidRPr="003328EE" w:rsidRDefault="00F826D0" w:rsidP="00D65F93">
            <w:pPr>
              <w:rPr>
                <w:rFonts w:eastAsia="Times New Roman"/>
                <w:color w:val="000000"/>
                <w:sz w:val="18"/>
                <w:szCs w:val="18"/>
              </w:rPr>
            </w:pPr>
            <w:r w:rsidRPr="003328EE">
              <w:rPr>
                <w:rFonts w:eastAsia="Times New Roman"/>
                <w:color w:val="000000"/>
                <w:sz w:val="18"/>
                <w:szCs w:val="18"/>
              </w:rPr>
              <w:t>Controversial Topic</w:t>
            </w:r>
          </w:p>
        </w:tc>
        <w:tc>
          <w:tcPr>
            <w:tcW w:w="3183" w:type="dxa"/>
            <w:tcBorders>
              <w:top w:val="nil"/>
              <w:left w:val="nil"/>
              <w:bottom w:val="nil"/>
              <w:right w:val="nil"/>
            </w:tcBorders>
            <w:shd w:val="clear" w:color="auto" w:fill="auto"/>
            <w:noWrap/>
            <w:vAlign w:val="bottom"/>
            <w:hideMark/>
          </w:tcPr>
          <w:p w14:paraId="2322146B" w14:textId="19D9F37D"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6D760A03" w14:textId="2431F795"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46AF752" w14:textId="45F5928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69EE3B8" w14:textId="6C5ED153"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2014</w:t>
            </w:r>
          </w:p>
        </w:tc>
        <w:tc>
          <w:tcPr>
            <w:tcW w:w="1156" w:type="dxa"/>
            <w:tcBorders>
              <w:top w:val="nil"/>
              <w:left w:val="nil"/>
              <w:bottom w:val="nil"/>
              <w:right w:val="nil"/>
            </w:tcBorders>
            <w:shd w:val="clear" w:color="auto" w:fill="auto"/>
            <w:noWrap/>
            <w:vAlign w:val="bottom"/>
            <w:hideMark/>
          </w:tcPr>
          <w:p w14:paraId="48930F5E" w14:textId="404CB715"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D0D4B76" w14:textId="77777777" w:rsidTr="00D65F93">
        <w:trPr>
          <w:trHeight w:val="320"/>
        </w:trPr>
        <w:tc>
          <w:tcPr>
            <w:tcW w:w="3545" w:type="dxa"/>
            <w:tcBorders>
              <w:top w:val="nil"/>
              <w:left w:val="nil"/>
              <w:bottom w:val="nil"/>
              <w:right w:val="nil"/>
            </w:tcBorders>
            <w:shd w:val="clear" w:color="auto" w:fill="auto"/>
            <w:noWrap/>
            <w:vAlign w:val="bottom"/>
            <w:hideMark/>
          </w:tcPr>
          <w:p w14:paraId="30336A47" w14:textId="75BADACF" w:rsidR="00F826D0" w:rsidRPr="003328EE" w:rsidRDefault="00F826D0" w:rsidP="00D65F93">
            <w:pPr>
              <w:rPr>
                <w:rFonts w:eastAsia="Times New Roman"/>
                <w:color w:val="000000"/>
                <w:sz w:val="18"/>
                <w:szCs w:val="18"/>
              </w:rPr>
            </w:pPr>
            <w:r w:rsidRPr="003328EE">
              <w:rPr>
                <w:rFonts w:eastAsia="Times New Roman"/>
                <w:color w:val="000000"/>
                <w:sz w:val="18"/>
                <w:szCs w:val="18"/>
              </w:rPr>
              <w:t>Food Preparation</w:t>
            </w:r>
          </w:p>
        </w:tc>
        <w:tc>
          <w:tcPr>
            <w:tcW w:w="3183" w:type="dxa"/>
            <w:tcBorders>
              <w:top w:val="nil"/>
              <w:left w:val="nil"/>
              <w:bottom w:val="nil"/>
              <w:right w:val="nil"/>
            </w:tcBorders>
            <w:shd w:val="clear" w:color="auto" w:fill="auto"/>
            <w:noWrap/>
            <w:vAlign w:val="bottom"/>
            <w:hideMark/>
          </w:tcPr>
          <w:p w14:paraId="3F80E003" w14:textId="0ABEA4C2"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4E1EB219" w14:textId="386FCB07"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AA34F36" w14:textId="4BB260A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6229433" w14:textId="34104002" w:rsidR="00F826D0" w:rsidRPr="003328EE" w:rsidRDefault="00F826D0" w:rsidP="00D65F93">
            <w:pPr>
              <w:rPr>
                <w:rFonts w:eastAsia="Times New Roman"/>
                <w:color w:val="000000"/>
                <w:sz w:val="18"/>
                <w:szCs w:val="18"/>
              </w:rPr>
            </w:pPr>
            <w:r w:rsidRPr="003328EE">
              <w:rPr>
                <w:rFonts w:eastAsia="Times New Roman"/>
                <w:color w:val="000000"/>
                <w:sz w:val="18"/>
                <w:szCs w:val="18"/>
              </w:rPr>
              <w:t>Gobert &amp; Duncan, 2009</w:t>
            </w:r>
          </w:p>
        </w:tc>
        <w:tc>
          <w:tcPr>
            <w:tcW w:w="1156" w:type="dxa"/>
            <w:tcBorders>
              <w:top w:val="nil"/>
              <w:left w:val="nil"/>
              <w:bottom w:val="nil"/>
              <w:right w:val="nil"/>
            </w:tcBorders>
            <w:shd w:val="clear" w:color="auto" w:fill="auto"/>
            <w:noWrap/>
            <w:vAlign w:val="bottom"/>
            <w:hideMark/>
          </w:tcPr>
          <w:p w14:paraId="679C2A3D" w14:textId="018A061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78B098D" w14:textId="77777777" w:rsidTr="00D65F93">
        <w:trPr>
          <w:trHeight w:val="320"/>
        </w:trPr>
        <w:tc>
          <w:tcPr>
            <w:tcW w:w="3545" w:type="dxa"/>
            <w:tcBorders>
              <w:top w:val="nil"/>
              <w:left w:val="nil"/>
              <w:bottom w:val="nil"/>
              <w:right w:val="nil"/>
            </w:tcBorders>
            <w:shd w:val="clear" w:color="auto" w:fill="auto"/>
            <w:noWrap/>
            <w:vAlign w:val="bottom"/>
            <w:hideMark/>
          </w:tcPr>
          <w:p w14:paraId="3214DDE3" w14:textId="17F9E1DB" w:rsidR="00F826D0" w:rsidRPr="003328EE" w:rsidRDefault="00F826D0" w:rsidP="00D65F93">
            <w:pPr>
              <w:rPr>
                <w:rFonts w:eastAsia="Times New Roman"/>
                <w:color w:val="000000"/>
                <w:sz w:val="18"/>
                <w:szCs w:val="18"/>
              </w:rPr>
            </w:pPr>
            <w:r w:rsidRPr="003328EE">
              <w:rPr>
                <w:rFonts w:eastAsia="Times New Roman"/>
                <w:color w:val="000000"/>
                <w:sz w:val="18"/>
                <w:szCs w:val="18"/>
              </w:rPr>
              <w:t>Food Preparation</w:t>
            </w:r>
          </w:p>
        </w:tc>
        <w:tc>
          <w:tcPr>
            <w:tcW w:w="3183" w:type="dxa"/>
            <w:tcBorders>
              <w:top w:val="nil"/>
              <w:left w:val="nil"/>
              <w:bottom w:val="nil"/>
              <w:right w:val="nil"/>
            </w:tcBorders>
            <w:shd w:val="clear" w:color="auto" w:fill="auto"/>
            <w:noWrap/>
            <w:vAlign w:val="bottom"/>
            <w:hideMark/>
          </w:tcPr>
          <w:p w14:paraId="65911638" w14:textId="6AAB291B"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0A0E4A7F" w14:textId="2AB7C865"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14CB00B" w14:textId="0B6E752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60A81E4" w14:textId="291F8C28" w:rsidR="00F826D0" w:rsidRPr="003328EE" w:rsidRDefault="00F826D0" w:rsidP="00D65F93">
            <w:pPr>
              <w:rPr>
                <w:rFonts w:eastAsia="Times New Roman"/>
                <w:color w:val="000000"/>
                <w:sz w:val="18"/>
                <w:szCs w:val="18"/>
              </w:rPr>
            </w:pPr>
            <w:r w:rsidRPr="003328EE">
              <w:rPr>
                <w:rFonts w:eastAsia="Times New Roman"/>
                <w:color w:val="000000"/>
                <w:sz w:val="18"/>
                <w:szCs w:val="18"/>
              </w:rPr>
              <w:t>Haverstock &amp; Forgays, 2012</w:t>
            </w:r>
          </w:p>
        </w:tc>
        <w:tc>
          <w:tcPr>
            <w:tcW w:w="1156" w:type="dxa"/>
            <w:tcBorders>
              <w:top w:val="nil"/>
              <w:left w:val="nil"/>
              <w:bottom w:val="nil"/>
              <w:right w:val="nil"/>
            </w:tcBorders>
            <w:shd w:val="clear" w:color="auto" w:fill="auto"/>
            <w:noWrap/>
            <w:vAlign w:val="bottom"/>
            <w:hideMark/>
          </w:tcPr>
          <w:p w14:paraId="6C25F73E" w14:textId="4310AA1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DA6ADC9" w14:textId="77777777" w:rsidTr="00D65F93">
        <w:trPr>
          <w:trHeight w:val="320"/>
        </w:trPr>
        <w:tc>
          <w:tcPr>
            <w:tcW w:w="3545" w:type="dxa"/>
            <w:tcBorders>
              <w:top w:val="nil"/>
              <w:left w:val="nil"/>
              <w:bottom w:val="nil"/>
              <w:right w:val="nil"/>
            </w:tcBorders>
            <w:shd w:val="clear" w:color="auto" w:fill="auto"/>
            <w:noWrap/>
            <w:vAlign w:val="bottom"/>
            <w:hideMark/>
          </w:tcPr>
          <w:p w14:paraId="7BFA1BCB" w14:textId="42D203F2" w:rsidR="00F826D0" w:rsidRPr="003328EE" w:rsidRDefault="00F826D0" w:rsidP="00D65F93">
            <w:pPr>
              <w:rPr>
                <w:rFonts w:eastAsia="Times New Roman"/>
                <w:color w:val="000000"/>
                <w:sz w:val="18"/>
                <w:szCs w:val="18"/>
              </w:rPr>
            </w:pPr>
            <w:r w:rsidRPr="003328EE">
              <w:rPr>
                <w:rFonts w:eastAsia="Times New Roman"/>
                <w:color w:val="000000"/>
                <w:sz w:val="18"/>
                <w:szCs w:val="18"/>
              </w:rPr>
              <w:t>Food Preparation</w:t>
            </w:r>
          </w:p>
        </w:tc>
        <w:tc>
          <w:tcPr>
            <w:tcW w:w="3183" w:type="dxa"/>
            <w:tcBorders>
              <w:top w:val="nil"/>
              <w:left w:val="nil"/>
              <w:bottom w:val="nil"/>
              <w:right w:val="nil"/>
            </w:tcBorders>
            <w:shd w:val="clear" w:color="auto" w:fill="auto"/>
            <w:noWrap/>
            <w:vAlign w:val="bottom"/>
            <w:hideMark/>
          </w:tcPr>
          <w:p w14:paraId="45093614" w14:textId="04373B23"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0D6C7682" w14:textId="35B0A3A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50B1985" w14:textId="1F834E0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5DEB0F2" w14:textId="5241AB4F" w:rsidR="00F826D0" w:rsidRPr="003328EE" w:rsidRDefault="00F826D0" w:rsidP="00D65F93">
            <w:pPr>
              <w:rPr>
                <w:rFonts w:eastAsia="Times New Roman"/>
                <w:color w:val="000000"/>
                <w:sz w:val="18"/>
                <w:szCs w:val="18"/>
              </w:rPr>
            </w:pPr>
            <w:r w:rsidRPr="003328EE">
              <w:rPr>
                <w:rFonts w:eastAsia="Times New Roman"/>
                <w:color w:val="000000"/>
                <w:sz w:val="18"/>
                <w:szCs w:val="18"/>
              </w:rPr>
              <w:t>Pohjolainen et al., 2014</w:t>
            </w:r>
          </w:p>
        </w:tc>
        <w:tc>
          <w:tcPr>
            <w:tcW w:w="1156" w:type="dxa"/>
            <w:tcBorders>
              <w:top w:val="nil"/>
              <w:left w:val="nil"/>
              <w:bottom w:val="nil"/>
              <w:right w:val="nil"/>
            </w:tcBorders>
            <w:shd w:val="clear" w:color="auto" w:fill="auto"/>
            <w:noWrap/>
            <w:vAlign w:val="bottom"/>
            <w:hideMark/>
          </w:tcPr>
          <w:p w14:paraId="2B372582" w14:textId="448321B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56101D4" w14:textId="77777777" w:rsidTr="00D65F93">
        <w:trPr>
          <w:trHeight w:val="320"/>
        </w:trPr>
        <w:tc>
          <w:tcPr>
            <w:tcW w:w="3545" w:type="dxa"/>
            <w:tcBorders>
              <w:top w:val="nil"/>
              <w:left w:val="nil"/>
              <w:bottom w:val="nil"/>
              <w:right w:val="nil"/>
            </w:tcBorders>
            <w:shd w:val="clear" w:color="auto" w:fill="auto"/>
            <w:noWrap/>
            <w:vAlign w:val="bottom"/>
            <w:hideMark/>
          </w:tcPr>
          <w:p w14:paraId="7E65F5BF" w14:textId="4815740F" w:rsidR="00F826D0" w:rsidRPr="003328EE" w:rsidRDefault="00F826D0" w:rsidP="00D65F93">
            <w:pPr>
              <w:rPr>
                <w:rFonts w:eastAsia="Times New Roman"/>
                <w:color w:val="000000"/>
                <w:sz w:val="18"/>
                <w:szCs w:val="18"/>
              </w:rPr>
            </w:pPr>
            <w:r w:rsidRPr="003328EE">
              <w:rPr>
                <w:rFonts w:eastAsia="Times New Roman"/>
                <w:color w:val="000000"/>
                <w:sz w:val="18"/>
                <w:szCs w:val="18"/>
              </w:rPr>
              <w:t>Food Preparation</w:t>
            </w:r>
          </w:p>
        </w:tc>
        <w:tc>
          <w:tcPr>
            <w:tcW w:w="3183" w:type="dxa"/>
            <w:tcBorders>
              <w:top w:val="nil"/>
              <w:left w:val="nil"/>
              <w:bottom w:val="nil"/>
              <w:right w:val="nil"/>
            </w:tcBorders>
            <w:shd w:val="clear" w:color="auto" w:fill="auto"/>
            <w:noWrap/>
            <w:vAlign w:val="bottom"/>
            <w:hideMark/>
          </w:tcPr>
          <w:p w14:paraId="289198CC" w14:textId="2BBCEF6A"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749FA00D" w14:textId="5B20B35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ACBF9AD" w14:textId="679AAA3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E362B80" w14:textId="764FE3FC" w:rsidR="00F826D0" w:rsidRPr="003328EE" w:rsidRDefault="00F826D0" w:rsidP="00D65F93">
            <w:pPr>
              <w:rPr>
                <w:rFonts w:eastAsia="Times New Roman"/>
                <w:color w:val="000000"/>
                <w:sz w:val="18"/>
                <w:szCs w:val="18"/>
              </w:rPr>
            </w:pPr>
            <w:r w:rsidRPr="003328EE">
              <w:rPr>
                <w:rFonts w:eastAsia="Times New Roman"/>
                <w:color w:val="000000"/>
                <w:sz w:val="18"/>
                <w:szCs w:val="18"/>
              </w:rPr>
              <w:t>Schyver &amp; Smith, 2005</w:t>
            </w:r>
          </w:p>
        </w:tc>
        <w:tc>
          <w:tcPr>
            <w:tcW w:w="1156" w:type="dxa"/>
            <w:tcBorders>
              <w:top w:val="nil"/>
              <w:left w:val="nil"/>
              <w:bottom w:val="nil"/>
              <w:right w:val="nil"/>
            </w:tcBorders>
            <w:shd w:val="clear" w:color="auto" w:fill="auto"/>
            <w:noWrap/>
            <w:vAlign w:val="bottom"/>
            <w:hideMark/>
          </w:tcPr>
          <w:p w14:paraId="2F2FBC8C" w14:textId="41E2693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98E1687" w14:textId="77777777" w:rsidTr="00D65F93">
        <w:trPr>
          <w:trHeight w:val="320"/>
        </w:trPr>
        <w:tc>
          <w:tcPr>
            <w:tcW w:w="3545" w:type="dxa"/>
            <w:tcBorders>
              <w:top w:val="nil"/>
              <w:left w:val="nil"/>
              <w:bottom w:val="nil"/>
              <w:right w:val="nil"/>
            </w:tcBorders>
            <w:shd w:val="clear" w:color="auto" w:fill="auto"/>
            <w:noWrap/>
            <w:vAlign w:val="bottom"/>
            <w:hideMark/>
          </w:tcPr>
          <w:p w14:paraId="058FF9FC" w14:textId="6EC84B84" w:rsidR="00F826D0" w:rsidRPr="003328EE" w:rsidRDefault="00F826D0" w:rsidP="00D65F93">
            <w:pPr>
              <w:rPr>
                <w:rFonts w:eastAsia="Times New Roman"/>
                <w:color w:val="000000"/>
                <w:sz w:val="18"/>
                <w:szCs w:val="18"/>
              </w:rPr>
            </w:pPr>
            <w:r w:rsidRPr="003328EE">
              <w:rPr>
                <w:rFonts w:eastAsia="Times New Roman"/>
                <w:color w:val="000000"/>
                <w:sz w:val="18"/>
                <w:szCs w:val="18"/>
              </w:rPr>
              <w:t>Food Preparation</w:t>
            </w:r>
          </w:p>
        </w:tc>
        <w:tc>
          <w:tcPr>
            <w:tcW w:w="3183" w:type="dxa"/>
            <w:tcBorders>
              <w:top w:val="nil"/>
              <w:left w:val="nil"/>
              <w:bottom w:val="nil"/>
              <w:right w:val="nil"/>
            </w:tcBorders>
            <w:shd w:val="clear" w:color="auto" w:fill="auto"/>
            <w:noWrap/>
            <w:vAlign w:val="bottom"/>
            <w:hideMark/>
          </w:tcPr>
          <w:p w14:paraId="7F75F576" w14:textId="1F930637"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6B56A38E" w14:textId="622905F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5CD69CE" w14:textId="6864077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4610157" w14:textId="0E649960" w:rsidR="00F826D0" w:rsidRPr="003328EE" w:rsidRDefault="00F826D0" w:rsidP="00D65F93">
            <w:pPr>
              <w:rPr>
                <w:rFonts w:eastAsia="Times New Roman"/>
                <w:color w:val="000000"/>
                <w:sz w:val="18"/>
                <w:szCs w:val="18"/>
              </w:rPr>
            </w:pPr>
            <w:r w:rsidRPr="003328EE">
              <w:rPr>
                <w:rFonts w:eastAsia="Times New Roman"/>
                <w:color w:val="000000"/>
                <w:sz w:val="18"/>
                <w:szCs w:val="18"/>
              </w:rPr>
              <w:t>Wnsink et al., 2014</w:t>
            </w:r>
          </w:p>
        </w:tc>
        <w:tc>
          <w:tcPr>
            <w:tcW w:w="1156" w:type="dxa"/>
            <w:tcBorders>
              <w:top w:val="nil"/>
              <w:left w:val="nil"/>
              <w:bottom w:val="nil"/>
              <w:right w:val="nil"/>
            </w:tcBorders>
            <w:shd w:val="clear" w:color="auto" w:fill="auto"/>
            <w:noWrap/>
            <w:vAlign w:val="bottom"/>
            <w:hideMark/>
          </w:tcPr>
          <w:p w14:paraId="787D4A08" w14:textId="32574B2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5D52576" w14:textId="77777777" w:rsidTr="00D65F93">
        <w:trPr>
          <w:trHeight w:val="320"/>
        </w:trPr>
        <w:tc>
          <w:tcPr>
            <w:tcW w:w="3545" w:type="dxa"/>
            <w:tcBorders>
              <w:top w:val="nil"/>
              <w:left w:val="nil"/>
              <w:bottom w:val="nil"/>
              <w:right w:val="nil"/>
            </w:tcBorders>
            <w:shd w:val="clear" w:color="auto" w:fill="auto"/>
            <w:noWrap/>
            <w:vAlign w:val="bottom"/>
            <w:hideMark/>
          </w:tcPr>
          <w:p w14:paraId="5B034289" w14:textId="3D1A37CE" w:rsidR="00F826D0" w:rsidRPr="003328EE" w:rsidRDefault="00F826D0" w:rsidP="00D65F93">
            <w:pPr>
              <w:rPr>
                <w:rFonts w:eastAsia="Times New Roman"/>
                <w:color w:val="000000"/>
                <w:sz w:val="18"/>
                <w:szCs w:val="18"/>
              </w:rPr>
            </w:pPr>
            <w:r w:rsidRPr="003328EE">
              <w:rPr>
                <w:rFonts w:eastAsia="Times New Roman"/>
                <w:color w:val="000000"/>
                <w:sz w:val="18"/>
                <w:szCs w:val="18"/>
              </w:rPr>
              <w:t>Food Preparation</w:t>
            </w:r>
          </w:p>
        </w:tc>
        <w:tc>
          <w:tcPr>
            <w:tcW w:w="3183" w:type="dxa"/>
            <w:tcBorders>
              <w:top w:val="nil"/>
              <w:left w:val="nil"/>
              <w:bottom w:val="nil"/>
              <w:right w:val="nil"/>
            </w:tcBorders>
            <w:shd w:val="clear" w:color="auto" w:fill="auto"/>
            <w:noWrap/>
            <w:vAlign w:val="bottom"/>
            <w:hideMark/>
          </w:tcPr>
          <w:p w14:paraId="271C6799" w14:textId="54F320BC"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07BF2CA8" w14:textId="21757D7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C20D4DD" w14:textId="611203B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2930617" w14:textId="222C4BC1" w:rsidR="00F826D0" w:rsidRPr="003328EE" w:rsidRDefault="00F826D0" w:rsidP="00D65F93">
            <w:pPr>
              <w:rPr>
                <w:rFonts w:eastAsia="Times New Roman"/>
                <w:color w:val="000000"/>
                <w:sz w:val="18"/>
                <w:szCs w:val="18"/>
              </w:rPr>
            </w:pPr>
            <w:r w:rsidRPr="003328EE">
              <w:rPr>
                <w:rFonts w:eastAsia="Times New Roman"/>
                <w:color w:val="000000"/>
                <w:sz w:val="18"/>
                <w:szCs w:val="18"/>
              </w:rPr>
              <w:t>Palaniswamy, 2003</w:t>
            </w:r>
          </w:p>
        </w:tc>
        <w:tc>
          <w:tcPr>
            <w:tcW w:w="1156" w:type="dxa"/>
            <w:tcBorders>
              <w:top w:val="nil"/>
              <w:left w:val="nil"/>
              <w:bottom w:val="nil"/>
              <w:right w:val="nil"/>
            </w:tcBorders>
            <w:shd w:val="clear" w:color="auto" w:fill="auto"/>
            <w:noWrap/>
            <w:vAlign w:val="bottom"/>
            <w:hideMark/>
          </w:tcPr>
          <w:p w14:paraId="7D5D7818" w14:textId="270755BE"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A540BB5" w14:textId="77777777" w:rsidTr="00D65F93">
        <w:trPr>
          <w:trHeight w:val="320"/>
        </w:trPr>
        <w:tc>
          <w:tcPr>
            <w:tcW w:w="3545" w:type="dxa"/>
            <w:tcBorders>
              <w:top w:val="nil"/>
              <w:left w:val="nil"/>
              <w:bottom w:val="nil"/>
              <w:right w:val="nil"/>
            </w:tcBorders>
            <w:shd w:val="clear" w:color="auto" w:fill="auto"/>
            <w:noWrap/>
            <w:vAlign w:val="bottom"/>
            <w:hideMark/>
          </w:tcPr>
          <w:p w14:paraId="5D0AD357" w14:textId="0FA6D319" w:rsidR="00F826D0" w:rsidRPr="003328EE" w:rsidRDefault="00F826D0" w:rsidP="00D65F93">
            <w:pPr>
              <w:rPr>
                <w:rFonts w:eastAsia="Times New Roman"/>
                <w:color w:val="000000"/>
                <w:sz w:val="18"/>
                <w:szCs w:val="18"/>
              </w:rPr>
            </w:pPr>
            <w:r w:rsidRPr="003328EE">
              <w:rPr>
                <w:rFonts w:eastAsia="Times New Roman"/>
                <w:color w:val="000000"/>
                <w:sz w:val="18"/>
                <w:szCs w:val="18"/>
              </w:rPr>
              <w:t>Food Preparation</w:t>
            </w:r>
          </w:p>
        </w:tc>
        <w:tc>
          <w:tcPr>
            <w:tcW w:w="3183" w:type="dxa"/>
            <w:tcBorders>
              <w:top w:val="nil"/>
              <w:left w:val="nil"/>
              <w:bottom w:val="nil"/>
              <w:right w:val="nil"/>
            </w:tcBorders>
            <w:shd w:val="clear" w:color="auto" w:fill="auto"/>
            <w:noWrap/>
            <w:vAlign w:val="bottom"/>
            <w:hideMark/>
          </w:tcPr>
          <w:p w14:paraId="035AA8A5" w14:textId="417138A1"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480474F8" w14:textId="36B5BD1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E081C51" w14:textId="1941884B"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833418B" w14:textId="32335664" w:rsidR="00F826D0" w:rsidRPr="003328EE" w:rsidRDefault="00F826D0" w:rsidP="00D65F93">
            <w:pPr>
              <w:rPr>
                <w:rFonts w:eastAsia="Times New Roman"/>
                <w:color w:val="000000"/>
                <w:sz w:val="18"/>
                <w:szCs w:val="18"/>
              </w:rPr>
            </w:pPr>
            <w:r w:rsidRPr="003328EE">
              <w:rPr>
                <w:rFonts w:eastAsia="Times New Roman"/>
                <w:color w:val="000000"/>
                <w:sz w:val="18"/>
                <w:szCs w:val="18"/>
              </w:rPr>
              <w:t>Worsley, 2007</w:t>
            </w:r>
          </w:p>
        </w:tc>
        <w:tc>
          <w:tcPr>
            <w:tcW w:w="1156" w:type="dxa"/>
            <w:tcBorders>
              <w:top w:val="nil"/>
              <w:left w:val="nil"/>
              <w:bottom w:val="nil"/>
              <w:right w:val="nil"/>
            </w:tcBorders>
            <w:shd w:val="clear" w:color="auto" w:fill="auto"/>
            <w:noWrap/>
            <w:vAlign w:val="bottom"/>
            <w:hideMark/>
          </w:tcPr>
          <w:p w14:paraId="71663D8C" w14:textId="10F45BF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5A14DEC" w14:textId="77777777" w:rsidTr="00D65F93">
        <w:trPr>
          <w:trHeight w:val="320"/>
        </w:trPr>
        <w:tc>
          <w:tcPr>
            <w:tcW w:w="3545" w:type="dxa"/>
            <w:tcBorders>
              <w:top w:val="nil"/>
              <w:left w:val="nil"/>
              <w:bottom w:val="nil"/>
              <w:right w:val="nil"/>
            </w:tcBorders>
            <w:shd w:val="clear" w:color="auto" w:fill="auto"/>
            <w:noWrap/>
            <w:vAlign w:val="bottom"/>
            <w:hideMark/>
          </w:tcPr>
          <w:p w14:paraId="055215AB" w14:textId="03CFB866" w:rsidR="00F826D0" w:rsidRPr="003328EE" w:rsidRDefault="00F826D0" w:rsidP="00D65F93">
            <w:pPr>
              <w:rPr>
                <w:rFonts w:eastAsia="Times New Roman"/>
                <w:color w:val="000000"/>
                <w:sz w:val="18"/>
                <w:szCs w:val="18"/>
              </w:rPr>
            </w:pPr>
            <w:r w:rsidRPr="003328EE">
              <w:rPr>
                <w:rFonts w:eastAsia="Times New Roman"/>
                <w:color w:val="000000"/>
                <w:sz w:val="18"/>
                <w:szCs w:val="18"/>
              </w:rPr>
              <w:t>Food Preparation</w:t>
            </w:r>
          </w:p>
        </w:tc>
        <w:tc>
          <w:tcPr>
            <w:tcW w:w="3183" w:type="dxa"/>
            <w:tcBorders>
              <w:top w:val="nil"/>
              <w:left w:val="nil"/>
              <w:bottom w:val="nil"/>
              <w:right w:val="nil"/>
            </w:tcBorders>
            <w:shd w:val="clear" w:color="auto" w:fill="auto"/>
            <w:noWrap/>
            <w:vAlign w:val="bottom"/>
            <w:hideMark/>
          </w:tcPr>
          <w:p w14:paraId="3915FECA" w14:textId="3BE57F9D"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1BDC51AB" w14:textId="150BF4E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E35CF21" w14:textId="429A16D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158262B" w14:textId="0F9AA00C" w:rsidR="00F826D0" w:rsidRPr="003328EE" w:rsidRDefault="00F826D0" w:rsidP="00D65F93">
            <w:pPr>
              <w:rPr>
                <w:rFonts w:eastAsia="Times New Roman"/>
                <w:color w:val="000000"/>
                <w:sz w:val="18"/>
                <w:szCs w:val="18"/>
              </w:rPr>
            </w:pPr>
            <w:r w:rsidRPr="003328EE">
              <w:rPr>
                <w:rFonts w:eastAsia="Times New Roman"/>
                <w:color w:val="000000"/>
                <w:sz w:val="18"/>
                <w:szCs w:val="18"/>
              </w:rPr>
              <w:t>Vanhonacker et al., 2013</w:t>
            </w:r>
          </w:p>
        </w:tc>
        <w:tc>
          <w:tcPr>
            <w:tcW w:w="1156" w:type="dxa"/>
            <w:tcBorders>
              <w:top w:val="nil"/>
              <w:left w:val="nil"/>
              <w:bottom w:val="nil"/>
              <w:right w:val="nil"/>
            </w:tcBorders>
            <w:shd w:val="clear" w:color="auto" w:fill="auto"/>
            <w:noWrap/>
            <w:vAlign w:val="bottom"/>
            <w:hideMark/>
          </w:tcPr>
          <w:p w14:paraId="4DBCF8CA" w14:textId="5E8DA98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88E47FD" w14:textId="77777777" w:rsidTr="00D65F93">
        <w:trPr>
          <w:trHeight w:val="320"/>
        </w:trPr>
        <w:tc>
          <w:tcPr>
            <w:tcW w:w="3545" w:type="dxa"/>
            <w:tcBorders>
              <w:top w:val="nil"/>
              <w:left w:val="nil"/>
              <w:bottom w:val="nil"/>
              <w:right w:val="nil"/>
            </w:tcBorders>
            <w:shd w:val="clear" w:color="auto" w:fill="auto"/>
            <w:noWrap/>
            <w:vAlign w:val="bottom"/>
            <w:hideMark/>
          </w:tcPr>
          <w:p w14:paraId="78375031" w14:textId="3B2C05EA" w:rsidR="00F826D0" w:rsidRPr="003328EE" w:rsidRDefault="00F826D0" w:rsidP="00D65F93">
            <w:pPr>
              <w:rPr>
                <w:rFonts w:eastAsia="Times New Roman"/>
                <w:color w:val="000000"/>
                <w:sz w:val="18"/>
                <w:szCs w:val="18"/>
              </w:rPr>
            </w:pPr>
            <w:r w:rsidRPr="003328EE">
              <w:rPr>
                <w:rFonts w:eastAsia="Times New Roman"/>
                <w:color w:val="000000"/>
                <w:sz w:val="18"/>
                <w:szCs w:val="18"/>
              </w:rPr>
              <w:t>Hidden Nature of Food Production</w:t>
            </w:r>
          </w:p>
        </w:tc>
        <w:tc>
          <w:tcPr>
            <w:tcW w:w="3183" w:type="dxa"/>
            <w:tcBorders>
              <w:top w:val="nil"/>
              <w:left w:val="nil"/>
              <w:bottom w:val="nil"/>
              <w:right w:val="nil"/>
            </w:tcBorders>
            <w:shd w:val="clear" w:color="auto" w:fill="auto"/>
            <w:noWrap/>
            <w:vAlign w:val="bottom"/>
            <w:hideMark/>
          </w:tcPr>
          <w:p w14:paraId="7D0C527F" w14:textId="47A0D05E"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5CC5C526" w14:textId="1A5A1DC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A293C1E" w14:textId="547C44C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AF4014D" w14:textId="0299CFAC" w:rsidR="00F826D0" w:rsidRPr="003328EE" w:rsidRDefault="00F826D0" w:rsidP="00D65F93">
            <w:pPr>
              <w:rPr>
                <w:rFonts w:eastAsia="Times New Roman"/>
                <w:color w:val="000000"/>
                <w:sz w:val="18"/>
                <w:szCs w:val="18"/>
              </w:rPr>
            </w:pPr>
            <w:r w:rsidRPr="003328EE">
              <w:rPr>
                <w:rFonts w:eastAsia="Times New Roman"/>
                <w:color w:val="000000"/>
                <w:sz w:val="18"/>
                <w:szCs w:val="18"/>
              </w:rPr>
              <w:t>Hirschler, 2011</w:t>
            </w:r>
          </w:p>
        </w:tc>
        <w:tc>
          <w:tcPr>
            <w:tcW w:w="1156" w:type="dxa"/>
            <w:tcBorders>
              <w:top w:val="nil"/>
              <w:left w:val="nil"/>
              <w:bottom w:val="nil"/>
              <w:right w:val="nil"/>
            </w:tcBorders>
            <w:shd w:val="clear" w:color="auto" w:fill="auto"/>
            <w:noWrap/>
            <w:vAlign w:val="bottom"/>
            <w:hideMark/>
          </w:tcPr>
          <w:p w14:paraId="4DE29581" w14:textId="34B5CDB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2E6B017" w14:textId="77777777" w:rsidTr="00D65F93">
        <w:trPr>
          <w:trHeight w:val="320"/>
        </w:trPr>
        <w:tc>
          <w:tcPr>
            <w:tcW w:w="3545" w:type="dxa"/>
            <w:tcBorders>
              <w:top w:val="nil"/>
              <w:left w:val="nil"/>
              <w:bottom w:val="nil"/>
              <w:right w:val="nil"/>
            </w:tcBorders>
            <w:shd w:val="clear" w:color="auto" w:fill="auto"/>
            <w:noWrap/>
            <w:vAlign w:val="bottom"/>
            <w:hideMark/>
          </w:tcPr>
          <w:p w14:paraId="556C6B62" w14:textId="6C614E5C" w:rsidR="00F826D0" w:rsidRPr="003328EE" w:rsidRDefault="00F826D0" w:rsidP="00D65F93">
            <w:pPr>
              <w:rPr>
                <w:rFonts w:eastAsia="Times New Roman"/>
                <w:color w:val="000000"/>
                <w:sz w:val="18"/>
                <w:szCs w:val="18"/>
              </w:rPr>
            </w:pPr>
            <w:r w:rsidRPr="003328EE">
              <w:rPr>
                <w:rFonts w:eastAsia="Times New Roman"/>
                <w:color w:val="000000"/>
                <w:sz w:val="18"/>
                <w:szCs w:val="18"/>
              </w:rPr>
              <w:t>Labelling</w:t>
            </w:r>
          </w:p>
        </w:tc>
        <w:tc>
          <w:tcPr>
            <w:tcW w:w="3183" w:type="dxa"/>
            <w:tcBorders>
              <w:top w:val="nil"/>
              <w:left w:val="nil"/>
              <w:bottom w:val="nil"/>
              <w:right w:val="nil"/>
            </w:tcBorders>
            <w:shd w:val="clear" w:color="auto" w:fill="auto"/>
            <w:noWrap/>
            <w:vAlign w:val="bottom"/>
            <w:hideMark/>
          </w:tcPr>
          <w:p w14:paraId="3B606A77" w14:textId="0A6AE039"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7CE1253A" w14:textId="4FE7301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45E25A4" w14:textId="473727B7"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AD70349" w14:textId="30988D0C" w:rsidR="00F826D0" w:rsidRPr="003328EE" w:rsidRDefault="00F826D0" w:rsidP="00D65F93">
            <w:pPr>
              <w:rPr>
                <w:rFonts w:eastAsia="Times New Roman"/>
                <w:color w:val="000000"/>
                <w:sz w:val="18"/>
                <w:szCs w:val="18"/>
              </w:rPr>
            </w:pPr>
            <w:r w:rsidRPr="003328EE">
              <w:rPr>
                <w:rFonts w:eastAsia="Times New Roman"/>
                <w:color w:val="000000"/>
                <w:sz w:val="18"/>
                <w:szCs w:val="18"/>
              </w:rPr>
              <w:t>Caracciolo et al., 2016</w:t>
            </w:r>
          </w:p>
        </w:tc>
        <w:tc>
          <w:tcPr>
            <w:tcW w:w="1156" w:type="dxa"/>
            <w:tcBorders>
              <w:top w:val="nil"/>
              <w:left w:val="nil"/>
              <w:bottom w:val="nil"/>
              <w:right w:val="nil"/>
            </w:tcBorders>
            <w:shd w:val="clear" w:color="auto" w:fill="auto"/>
            <w:noWrap/>
            <w:vAlign w:val="bottom"/>
            <w:hideMark/>
          </w:tcPr>
          <w:p w14:paraId="75A5C0E9" w14:textId="1266ED3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CD973E2" w14:textId="77777777" w:rsidTr="00D65F93">
        <w:trPr>
          <w:trHeight w:val="320"/>
        </w:trPr>
        <w:tc>
          <w:tcPr>
            <w:tcW w:w="3545" w:type="dxa"/>
            <w:tcBorders>
              <w:top w:val="nil"/>
              <w:left w:val="nil"/>
              <w:bottom w:val="nil"/>
              <w:right w:val="nil"/>
            </w:tcBorders>
            <w:shd w:val="clear" w:color="auto" w:fill="auto"/>
            <w:noWrap/>
            <w:vAlign w:val="bottom"/>
            <w:hideMark/>
          </w:tcPr>
          <w:p w14:paraId="16FE4F87" w14:textId="2EC77E16" w:rsidR="00F826D0" w:rsidRPr="003328EE" w:rsidRDefault="00F826D0" w:rsidP="00D65F93">
            <w:pPr>
              <w:rPr>
                <w:rFonts w:eastAsia="Times New Roman"/>
                <w:color w:val="000000"/>
                <w:sz w:val="18"/>
                <w:szCs w:val="18"/>
              </w:rPr>
            </w:pPr>
            <w:r w:rsidRPr="003328EE">
              <w:rPr>
                <w:rFonts w:eastAsia="Times New Roman"/>
                <w:color w:val="000000"/>
                <w:sz w:val="18"/>
                <w:szCs w:val="18"/>
              </w:rPr>
              <w:t>Labelling</w:t>
            </w:r>
          </w:p>
        </w:tc>
        <w:tc>
          <w:tcPr>
            <w:tcW w:w="3183" w:type="dxa"/>
            <w:tcBorders>
              <w:top w:val="nil"/>
              <w:left w:val="nil"/>
              <w:bottom w:val="nil"/>
              <w:right w:val="nil"/>
            </w:tcBorders>
            <w:shd w:val="clear" w:color="auto" w:fill="auto"/>
            <w:noWrap/>
            <w:vAlign w:val="bottom"/>
            <w:hideMark/>
          </w:tcPr>
          <w:p w14:paraId="353DBA8C" w14:textId="5783FAD4"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1C2A51CC" w14:textId="4938AE8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E90B6C9" w14:textId="61AC413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0C0EEEC" w14:textId="5F3C1D95" w:rsidR="00F826D0" w:rsidRPr="003328EE" w:rsidRDefault="00F826D0" w:rsidP="00D65F93">
            <w:pPr>
              <w:rPr>
                <w:rFonts w:eastAsia="Times New Roman"/>
                <w:color w:val="000000"/>
                <w:sz w:val="18"/>
                <w:szCs w:val="18"/>
              </w:rPr>
            </w:pPr>
            <w:r w:rsidRPr="003328EE">
              <w:rPr>
                <w:rFonts w:eastAsia="Times New Roman"/>
                <w:color w:val="000000"/>
                <w:sz w:val="18"/>
                <w:szCs w:val="18"/>
              </w:rPr>
              <w:t>Lerner et al., 2013</w:t>
            </w:r>
          </w:p>
        </w:tc>
        <w:tc>
          <w:tcPr>
            <w:tcW w:w="1156" w:type="dxa"/>
            <w:tcBorders>
              <w:top w:val="nil"/>
              <w:left w:val="nil"/>
              <w:bottom w:val="nil"/>
              <w:right w:val="nil"/>
            </w:tcBorders>
            <w:shd w:val="clear" w:color="auto" w:fill="auto"/>
            <w:noWrap/>
            <w:vAlign w:val="bottom"/>
            <w:hideMark/>
          </w:tcPr>
          <w:p w14:paraId="749AAC86" w14:textId="7F3F605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16052C3" w14:textId="77777777" w:rsidTr="00D65F93">
        <w:trPr>
          <w:trHeight w:val="320"/>
        </w:trPr>
        <w:tc>
          <w:tcPr>
            <w:tcW w:w="3545" w:type="dxa"/>
            <w:tcBorders>
              <w:top w:val="nil"/>
              <w:left w:val="nil"/>
              <w:bottom w:val="nil"/>
              <w:right w:val="nil"/>
            </w:tcBorders>
            <w:shd w:val="clear" w:color="auto" w:fill="auto"/>
            <w:noWrap/>
            <w:vAlign w:val="bottom"/>
            <w:hideMark/>
          </w:tcPr>
          <w:p w14:paraId="6D3F91D2" w14:textId="2548A88D"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Options</w:t>
            </w:r>
          </w:p>
        </w:tc>
        <w:tc>
          <w:tcPr>
            <w:tcW w:w="3183" w:type="dxa"/>
            <w:tcBorders>
              <w:top w:val="nil"/>
              <w:left w:val="nil"/>
              <w:bottom w:val="nil"/>
              <w:right w:val="nil"/>
            </w:tcBorders>
            <w:shd w:val="clear" w:color="auto" w:fill="auto"/>
            <w:noWrap/>
            <w:vAlign w:val="bottom"/>
            <w:hideMark/>
          </w:tcPr>
          <w:p w14:paraId="3ACA14B5" w14:textId="3E50ECF3"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7589417C" w14:textId="0B1C58DA"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DA23B2B" w14:textId="04059F3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3C4A3AF" w14:textId="7A785EC3" w:rsidR="00F826D0" w:rsidRPr="003328EE" w:rsidRDefault="00F826D0" w:rsidP="00D65F93">
            <w:pPr>
              <w:rPr>
                <w:rFonts w:eastAsia="Times New Roman"/>
                <w:color w:val="000000"/>
                <w:sz w:val="18"/>
                <w:szCs w:val="18"/>
              </w:rPr>
            </w:pPr>
            <w:r w:rsidRPr="003328EE">
              <w:rPr>
                <w:rFonts w:eastAsia="Times New Roman"/>
                <w:color w:val="000000"/>
                <w:sz w:val="18"/>
                <w:szCs w:val="18"/>
              </w:rPr>
              <w:t>Haverstock &amp; Forgays, 2012</w:t>
            </w:r>
          </w:p>
        </w:tc>
        <w:tc>
          <w:tcPr>
            <w:tcW w:w="1156" w:type="dxa"/>
            <w:tcBorders>
              <w:top w:val="nil"/>
              <w:left w:val="nil"/>
              <w:bottom w:val="nil"/>
              <w:right w:val="nil"/>
            </w:tcBorders>
            <w:shd w:val="clear" w:color="auto" w:fill="auto"/>
            <w:noWrap/>
            <w:vAlign w:val="bottom"/>
            <w:hideMark/>
          </w:tcPr>
          <w:p w14:paraId="69C839DA" w14:textId="661936D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0729FC5" w14:textId="77777777" w:rsidTr="00D65F93">
        <w:trPr>
          <w:trHeight w:val="320"/>
        </w:trPr>
        <w:tc>
          <w:tcPr>
            <w:tcW w:w="3545" w:type="dxa"/>
            <w:tcBorders>
              <w:top w:val="nil"/>
              <w:left w:val="nil"/>
              <w:bottom w:val="nil"/>
              <w:right w:val="nil"/>
            </w:tcBorders>
            <w:shd w:val="clear" w:color="auto" w:fill="auto"/>
            <w:noWrap/>
            <w:vAlign w:val="bottom"/>
            <w:hideMark/>
          </w:tcPr>
          <w:p w14:paraId="2753D244" w14:textId="5DF35EA8" w:rsidR="00F826D0" w:rsidRPr="003328EE" w:rsidRDefault="00F826D0" w:rsidP="00D65F93">
            <w:pPr>
              <w:rPr>
                <w:rFonts w:eastAsia="Times New Roman"/>
                <w:color w:val="000000"/>
                <w:sz w:val="18"/>
                <w:szCs w:val="18"/>
              </w:rPr>
            </w:pPr>
            <w:r w:rsidRPr="003328EE">
              <w:rPr>
                <w:rFonts w:eastAsia="Times New Roman"/>
                <w:color w:val="000000"/>
                <w:sz w:val="18"/>
                <w:szCs w:val="18"/>
              </w:rPr>
              <w:t>Learning/Sharing Cooking Skills</w:t>
            </w:r>
          </w:p>
        </w:tc>
        <w:tc>
          <w:tcPr>
            <w:tcW w:w="3183" w:type="dxa"/>
            <w:tcBorders>
              <w:top w:val="nil"/>
              <w:left w:val="nil"/>
              <w:bottom w:val="nil"/>
              <w:right w:val="nil"/>
            </w:tcBorders>
            <w:shd w:val="clear" w:color="auto" w:fill="auto"/>
            <w:noWrap/>
            <w:vAlign w:val="bottom"/>
            <w:hideMark/>
          </w:tcPr>
          <w:p w14:paraId="55B642DC" w14:textId="33DB04F4"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4C2FC8B0" w14:textId="36D5A51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032EED0" w14:textId="161ACE08"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D008A77" w14:textId="5A89DDF0" w:rsidR="00F826D0" w:rsidRPr="003328EE" w:rsidRDefault="00F826D0" w:rsidP="00D65F93">
            <w:pPr>
              <w:rPr>
                <w:rFonts w:eastAsia="Times New Roman"/>
                <w:color w:val="000000"/>
                <w:sz w:val="18"/>
                <w:szCs w:val="18"/>
              </w:rPr>
            </w:pPr>
            <w:r w:rsidRPr="003328EE">
              <w:rPr>
                <w:rFonts w:eastAsia="Times New Roman"/>
                <w:color w:val="000000"/>
                <w:sz w:val="18"/>
                <w:szCs w:val="18"/>
              </w:rPr>
              <w:t>Cherry, 2015</w:t>
            </w:r>
          </w:p>
        </w:tc>
        <w:tc>
          <w:tcPr>
            <w:tcW w:w="1156" w:type="dxa"/>
            <w:tcBorders>
              <w:top w:val="nil"/>
              <w:left w:val="nil"/>
              <w:bottom w:val="nil"/>
              <w:right w:val="nil"/>
            </w:tcBorders>
            <w:shd w:val="clear" w:color="auto" w:fill="auto"/>
            <w:noWrap/>
            <w:vAlign w:val="bottom"/>
            <w:hideMark/>
          </w:tcPr>
          <w:p w14:paraId="38CCB619" w14:textId="001423B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37303A0" w14:textId="77777777" w:rsidTr="00D65F93">
        <w:trPr>
          <w:trHeight w:val="320"/>
        </w:trPr>
        <w:tc>
          <w:tcPr>
            <w:tcW w:w="3545" w:type="dxa"/>
            <w:tcBorders>
              <w:top w:val="nil"/>
              <w:left w:val="nil"/>
              <w:bottom w:val="nil"/>
              <w:right w:val="nil"/>
            </w:tcBorders>
            <w:shd w:val="clear" w:color="auto" w:fill="auto"/>
            <w:noWrap/>
            <w:vAlign w:val="bottom"/>
            <w:hideMark/>
          </w:tcPr>
          <w:p w14:paraId="6868155E" w14:textId="0F3DBB3C" w:rsidR="00F826D0" w:rsidRPr="003328EE" w:rsidRDefault="00F826D0" w:rsidP="00D65F93">
            <w:pPr>
              <w:rPr>
                <w:rFonts w:eastAsia="Times New Roman"/>
                <w:color w:val="000000"/>
                <w:sz w:val="18"/>
                <w:szCs w:val="18"/>
              </w:rPr>
            </w:pPr>
            <w:r w:rsidRPr="003328EE">
              <w:rPr>
                <w:rFonts w:eastAsia="Times New Roman"/>
                <w:color w:val="000000"/>
                <w:sz w:val="18"/>
                <w:szCs w:val="18"/>
              </w:rPr>
              <w:t>Misconceptions</w:t>
            </w:r>
          </w:p>
        </w:tc>
        <w:tc>
          <w:tcPr>
            <w:tcW w:w="3183" w:type="dxa"/>
            <w:tcBorders>
              <w:top w:val="nil"/>
              <w:left w:val="nil"/>
              <w:bottom w:val="nil"/>
              <w:right w:val="nil"/>
            </w:tcBorders>
            <w:shd w:val="clear" w:color="auto" w:fill="auto"/>
            <w:noWrap/>
            <w:vAlign w:val="bottom"/>
            <w:hideMark/>
          </w:tcPr>
          <w:p w14:paraId="7C0897F4" w14:textId="3AE4E22B"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70BA5F8D" w14:textId="263C613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8F0A46D" w14:textId="361DE074"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2E0BB59" w14:textId="1E2C3934" w:rsidR="00F826D0" w:rsidRPr="003328EE" w:rsidRDefault="00F826D0" w:rsidP="00D65F93">
            <w:pPr>
              <w:rPr>
                <w:rFonts w:eastAsia="Times New Roman"/>
                <w:color w:val="000000"/>
                <w:sz w:val="18"/>
                <w:szCs w:val="18"/>
              </w:rPr>
            </w:pPr>
            <w:r w:rsidRPr="003328EE">
              <w:rPr>
                <w:rFonts w:eastAsia="Times New Roman"/>
                <w:color w:val="000000"/>
                <w:sz w:val="18"/>
                <w:szCs w:val="18"/>
              </w:rPr>
              <w:t>Tan et al., 2016</w:t>
            </w:r>
          </w:p>
        </w:tc>
        <w:tc>
          <w:tcPr>
            <w:tcW w:w="1156" w:type="dxa"/>
            <w:tcBorders>
              <w:top w:val="nil"/>
              <w:left w:val="nil"/>
              <w:bottom w:val="nil"/>
              <w:right w:val="nil"/>
            </w:tcBorders>
            <w:shd w:val="clear" w:color="auto" w:fill="auto"/>
            <w:noWrap/>
            <w:vAlign w:val="bottom"/>
            <w:hideMark/>
          </w:tcPr>
          <w:p w14:paraId="027FFF55" w14:textId="5AC0A6C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8EC7B84" w14:textId="77777777" w:rsidTr="00D65F93">
        <w:trPr>
          <w:trHeight w:val="320"/>
        </w:trPr>
        <w:tc>
          <w:tcPr>
            <w:tcW w:w="3545" w:type="dxa"/>
            <w:tcBorders>
              <w:top w:val="nil"/>
              <w:left w:val="nil"/>
              <w:bottom w:val="nil"/>
              <w:right w:val="nil"/>
            </w:tcBorders>
            <w:shd w:val="clear" w:color="auto" w:fill="auto"/>
            <w:noWrap/>
            <w:vAlign w:val="bottom"/>
            <w:hideMark/>
          </w:tcPr>
          <w:p w14:paraId="6E5ECDE2" w14:textId="494C1902" w:rsidR="00F826D0" w:rsidRPr="003328EE" w:rsidRDefault="00F826D0" w:rsidP="00D65F93">
            <w:pPr>
              <w:rPr>
                <w:rFonts w:eastAsia="Times New Roman"/>
                <w:color w:val="000000"/>
                <w:sz w:val="18"/>
                <w:szCs w:val="18"/>
              </w:rPr>
            </w:pPr>
            <w:r w:rsidRPr="003328EE">
              <w:rPr>
                <w:rFonts w:eastAsia="Times New Roman"/>
                <w:color w:val="000000"/>
                <w:sz w:val="18"/>
                <w:szCs w:val="18"/>
              </w:rPr>
              <w:t>No Definition of Optimal Diet</w:t>
            </w:r>
          </w:p>
        </w:tc>
        <w:tc>
          <w:tcPr>
            <w:tcW w:w="3183" w:type="dxa"/>
            <w:tcBorders>
              <w:top w:val="nil"/>
              <w:left w:val="nil"/>
              <w:bottom w:val="nil"/>
              <w:right w:val="nil"/>
            </w:tcBorders>
            <w:shd w:val="clear" w:color="auto" w:fill="auto"/>
            <w:noWrap/>
            <w:vAlign w:val="bottom"/>
            <w:hideMark/>
          </w:tcPr>
          <w:p w14:paraId="460D5B97" w14:textId="446BBF3A"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097F7FA8" w14:textId="6B514759"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B5114AA" w14:textId="16317ED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092A648" w14:textId="4A6795E7" w:rsidR="00F826D0" w:rsidRPr="003328EE" w:rsidRDefault="00F826D0" w:rsidP="00D65F93">
            <w:pPr>
              <w:rPr>
                <w:rFonts w:eastAsia="Times New Roman"/>
                <w:color w:val="000000"/>
                <w:sz w:val="18"/>
                <w:szCs w:val="18"/>
              </w:rPr>
            </w:pPr>
            <w:r w:rsidRPr="003328EE">
              <w:rPr>
                <w:rFonts w:eastAsia="Times New Roman"/>
                <w:color w:val="000000"/>
                <w:sz w:val="18"/>
                <w:szCs w:val="18"/>
              </w:rPr>
              <w:t>Reisch et al., 2013</w:t>
            </w:r>
          </w:p>
        </w:tc>
        <w:tc>
          <w:tcPr>
            <w:tcW w:w="1156" w:type="dxa"/>
            <w:tcBorders>
              <w:top w:val="nil"/>
              <w:left w:val="nil"/>
              <w:bottom w:val="nil"/>
              <w:right w:val="nil"/>
            </w:tcBorders>
            <w:shd w:val="clear" w:color="auto" w:fill="auto"/>
            <w:noWrap/>
            <w:vAlign w:val="bottom"/>
            <w:hideMark/>
          </w:tcPr>
          <w:p w14:paraId="450200FB" w14:textId="1807E966"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F89D818" w14:textId="77777777" w:rsidTr="00D65F93">
        <w:trPr>
          <w:trHeight w:val="320"/>
        </w:trPr>
        <w:tc>
          <w:tcPr>
            <w:tcW w:w="3545" w:type="dxa"/>
            <w:tcBorders>
              <w:top w:val="nil"/>
              <w:left w:val="nil"/>
              <w:bottom w:val="nil"/>
              <w:right w:val="nil"/>
            </w:tcBorders>
            <w:shd w:val="clear" w:color="auto" w:fill="auto"/>
            <w:noWrap/>
            <w:vAlign w:val="bottom"/>
            <w:hideMark/>
          </w:tcPr>
          <w:p w14:paraId="234B6B18" w14:textId="2A4D4BCC" w:rsidR="00F826D0" w:rsidRPr="003328EE" w:rsidRDefault="00F826D0" w:rsidP="00D65F93">
            <w:pPr>
              <w:rPr>
                <w:rFonts w:eastAsia="Times New Roman"/>
                <w:color w:val="000000"/>
                <w:sz w:val="18"/>
                <w:szCs w:val="18"/>
              </w:rPr>
            </w:pPr>
            <w:r w:rsidRPr="003328EE">
              <w:rPr>
                <w:rFonts w:eastAsia="Times New Roman"/>
                <w:color w:val="000000"/>
                <w:sz w:val="18"/>
                <w:szCs w:val="18"/>
              </w:rPr>
              <w:t>Poor Education/Promotion</w:t>
            </w:r>
          </w:p>
        </w:tc>
        <w:tc>
          <w:tcPr>
            <w:tcW w:w="3183" w:type="dxa"/>
            <w:tcBorders>
              <w:top w:val="nil"/>
              <w:left w:val="nil"/>
              <w:bottom w:val="nil"/>
              <w:right w:val="nil"/>
            </w:tcBorders>
            <w:shd w:val="clear" w:color="auto" w:fill="auto"/>
            <w:noWrap/>
            <w:vAlign w:val="bottom"/>
            <w:hideMark/>
          </w:tcPr>
          <w:p w14:paraId="1F58402D" w14:textId="22A6D17B"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17A2CAA1" w14:textId="60DDA7C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B443284" w14:textId="7AB7F23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252DC59" w14:textId="6DD4C2B9" w:rsidR="00F826D0" w:rsidRPr="003328EE" w:rsidRDefault="00F826D0" w:rsidP="00D65F93">
            <w:pPr>
              <w:rPr>
                <w:rFonts w:eastAsia="Times New Roman"/>
                <w:color w:val="000000"/>
                <w:sz w:val="18"/>
                <w:szCs w:val="18"/>
              </w:rPr>
            </w:pPr>
            <w:r w:rsidRPr="003328EE">
              <w:rPr>
                <w:rFonts w:eastAsia="Times New Roman"/>
                <w:color w:val="000000"/>
                <w:sz w:val="18"/>
                <w:szCs w:val="18"/>
              </w:rPr>
              <w:t>Palaniswamy, 2003</w:t>
            </w:r>
          </w:p>
        </w:tc>
        <w:tc>
          <w:tcPr>
            <w:tcW w:w="1156" w:type="dxa"/>
            <w:tcBorders>
              <w:top w:val="nil"/>
              <w:left w:val="nil"/>
              <w:bottom w:val="nil"/>
              <w:right w:val="nil"/>
            </w:tcBorders>
            <w:shd w:val="clear" w:color="auto" w:fill="auto"/>
            <w:noWrap/>
            <w:vAlign w:val="bottom"/>
            <w:hideMark/>
          </w:tcPr>
          <w:p w14:paraId="1FDC3FD7" w14:textId="11EED188"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B47C3BC" w14:textId="77777777" w:rsidTr="00D65F93">
        <w:trPr>
          <w:trHeight w:val="320"/>
        </w:trPr>
        <w:tc>
          <w:tcPr>
            <w:tcW w:w="3545" w:type="dxa"/>
            <w:tcBorders>
              <w:top w:val="nil"/>
              <w:left w:val="nil"/>
              <w:bottom w:val="nil"/>
              <w:right w:val="nil"/>
            </w:tcBorders>
            <w:shd w:val="clear" w:color="auto" w:fill="auto"/>
            <w:noWrap/>
            <w:vAlign w:val="bottom"/>
            <w:hideMark/>
          </w:tcPr>
          <w:p w14:paraId="46340B60" w14:textId="3524D3D1" w:rsidR="00F826D0" w:rsidRPr="003328EE" w:rsidRDefault="00F826D0" w:rsidP="00D65F93">
            <w:pPr>
              <w:rPr>
                <w:rFonts w:eastAsia="Times New Roman"/>
                <w:color w:val="000000"/>
                <w:sz w:val="18"/>
                <w:szCs w:val="18"/>
              </w:rPr>
            </w:pPr>
            <w:r w:rsidRPr="003328EE">
              <w:rPr>
                <w:rFonts w:eastAsia="Times New Roman"/>
                <w:color w:val="000000"/>
                <w:sz w:val="18"/>
                <w:szCs w:val="18"/>
              </w:rPr>
              <w:t>Poor Engagement</w:t>
            </w:r>
          </w:p>
        </w:tc>
        <w:tc>
          <w:tcPr>
            <w:tcW w:w="3183" w:type="dxa"/>
            <w:tcBorders>
              <w:top w:val="nil"/>
              <w:left w:val="nil"/>
              <w:bottom w:val="nil"/>
              <w:right w:val="nil"/>
            </w:tcBorders>
            <w:shd w:val="clear" w:color="auto" w:fill="auto"/>
            <w:noWrap/>
            <w:vAlign w:val="bottom"/>
            <w:hideMark/>
          </w:tcPr>
          <w:p w14:paraId="55A548FA" w14:textId="5B014C26"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40ED7643" w14:textId="4E291C2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0DEC134" w14:textId="7373711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CA6D211" w14:textId="1EED97C9" w:rsidR="00F826D0" w:rsidRPr="003328EE" w:rsidRDefault="00F826D0" w:rsidP="00D65F93">
            <w:pPr>
              <w:rPr>
                <w:rFonts w:eastAsia="Times New Roman"/>
                <w:color w:val="000000"/>
                <w:sz w:val="18"/>
                <w:szCs w:val="18"/>
              </w:rPr>
            </w:pPr>
            <w:r w:rsidRPr="003328EE">
              <w:rPr>
                <w:rFonts w:eastAsia="Times New Roman"/>
                <w:color w:val="000000"/>
                <w:sz w:val="18"/>
                <w:szCs w:val="18"/>
              </w:rPr>
              <w:t>Lorenzoni et al., 2007</w:t>
            </w:r>
          </w:p>
        </w:tc>
        <w:tc>
          <w:tcPr>
            <w:tcW w:w="1156" w:type="dxa"/>
            <w:tcBorders>
              <w:top w:val="nil"/>
              <w:left w:val="nil"/>
              <w:bottom w:val="nil"/>
              <w:right w:val="nil"/>
            </w:tcBorders>
            <w:shd w:val="clear" w:color="auto" w:fill="auto"/>
            <w:noWrap/>
            <w:vAlign w:val="bottom"/>
            <w:hideMark/>
          </w:tcPr>
          <w:p w14:paraId="16D5987D" w14:textId="2F5C4D4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3F6B484" w14:textId="77777777" w:rsidTr="00D65F93">
        <w:trPr>
          <w:trHeight w:val="320"/>
        </w:trPr>
        <w:tc>
          <w:tcPr>
            <w:tcW w:w="3545" w:type="dxa"/>
            <w:tcBorders>
              <w:top w:val="nil"/>
              <w:left w:val="nil"/>
              <w:bottom w:val="nil"/>
              <w:right w:val="nil"/>
            </w:tcBorders>
            <w:shd w:val="clear" w:color="auto" w:fill="auto"/>
            <w:noWrap/>
            <w:vAlign w:val="bottom"/>
            <w:hideMark/>
          </w:tcPr>
          <w:p w14:paraId="2B2CD259" w14:textId="0AAE4FCE" w:rsidR="00F826D0" w:rsidRPr="003328EE" w:rsidRDefault="00F826D0" w:rsidP="00D65F93">
            <w:pPr>
              <w:rPr>
                <w:rFonts w:eastAsia="Times New Roman"/>
                <w:color w:val="000000"/>
                <w:sz w:val="18"/>
                <w:szCs w:val="18"/>
              </w:rPr>
            </w:pPr>
            <w:r w:rsidRPr="003328EE">
              <w:rPr>
                <w:rFonts w:eastAsia="Times New Roman"/>
                <w:color w:val="000000"/>
                <w:sz w:val="18"/>
                <w:szCs w:val="18"/>
              </w:rPr>
              <w:t>Relatively New Topic</w:t>
            </w:r>
          </w:p>
        </w:tc>
        <w:tc>
          <w:tcPr>
            <w:tcW w:w="3183" w:type="dxa"/>
            <w:tcBorders>
              <w:top w:val="nil"/>
              <w:left w:val="nil"/>
              <w:bottom w:val="nil"/>
              <w:right w:val="nil"/>
            </w:tcBorders>
            <w:shd w:val="clear" w:color="auto" w:fill="auto"/>
            <w:noWrap/>
            <w:vAlign w:val="bottom"/>
            <w:hideMark/>
          </w:tcPr>
          <w:p w14:paraId="718E6C02" w14:textId="73F92B8C"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7FD27418" w14:textId="1805C0D7"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7BCC829" w14:textId="0382C34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057A815" w14:textId="61102206"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2014</w:t>
            </w:r>
          </w:p>
        </w:tc>
        <w:tc>
          <w:tcPr>
            <w:tcW w:w="1156" w:type="dxa"/>
            <w:tcBorders>
              <w:top w:val="nil"/>
              <w:left w:val="nil"/>
              <w:bottom w:val="nil"/>
              <w:right w:val="nil"/>
            </w:tcBorders>
            <w:shd w:val="clear" w:color="auto" w:fill="auto"/>
            <w:noWrap/>
            <w:vAlign w:val="bottom"/>
            <w:hideMark/>
          </w:tcPr>
          <w:p w14:paraId="2DD809A4" w14:textId="7B3EEAB6"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C72BF07" w14:textId="77777777" w:rsidTr="00D65F93">
        <w:trPr>
          <w:trHeight w:val="320"/>
        </w:trPr>
        <w:tc>
          <w:tcPr>
            <w:tcW w:w="3545" w:type="dxa"/>
            <w:tcBorders>
              <w:top w:val="nil"/>
              <w:left w:val="nil"/>
              <w:bottom w:val="nil"/>
              <w:right w:val="nil"/>
            </w:tcBorders>
            <w:shd w:val="clear" w:color="auto" w:fill="auto"/>
            <w:noWrap/>
            <w:vAlign w:val="bottom"/>
            <w:hideMark/>
          </w:tcPr>
          <w:p w14:paraId="3A7800EC" w14:textId="3F4C2EB6" w:rsidR="00F826D0" w:rsidRPr="003328EE" w:rsidRDefault="00F826D0" w:rsidP="00D65F93">
            <w:pPr>
              <w:rPr>
                <w:rFonts w:eastAsia="Times New Roman"/>
                <w:color w:val="000000"/>
                <w:sz w:val="18"/>
                <w:szCs w:val="18"/>
              </w:rPr>
            </w:pPr>
            <w:r w:rsidRPr="003328EE">
              <w:rPr>
                <w:rFonts w:eastAsia="Times New Roman"/>
                <w:color w:val="000000"/>
                <w:sz w:val="18"/>
                <w:szCs w:val="18"/>
              </w:rPr>
              <w:t>Romantic Images</w:t>
            </w:r>
          </w:p>
        </w:tc>
        <w:tc>
          <w:tcPr>
            <w:tcW w:w="3183" w:type="dxa"/>
            <w:tcBorders>
              <w:top w:val="nil"/>
              <w:left w:val="nil"/>
              <w:bottom w:val="nil"/>
              <w:right w:val="nil"/>
            </w:tcBorders>
            <w:shd w:val="clear" w:color="auto" w:fill="auto"/>
            <w:noWrap/>
            <w:vAlign w:val="bottom"/>
            <w:hideMark/>
          </w:tcPr>
          <w:p w14:paraId="28C836D3" w14:textId="32107390"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23EC155F" w14:textId="5189640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2FC9363" w14:textId="3C9EA5D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EAF0772" w14:textId="64C8D75A"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3BBD6905" w14:textId="31B0DA9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3E44CB6" w14:textId="77777777" w:rsidTr="00D65F93">
        <w:trPr>
          <w:trHeight w:val="320"/>
        </w:trPr>
        <w:tc>
          <w:tcPr>
            <w:tcW w:w="3545" w:type="dxa"/>
            <w:tcBorders>
              <w:top w:val="nil"/>
              <w:left w:val="nil"/>
              <w:bottom w:val="nil"/>
              <w:right w:val="nil"/>
            </w:tcBorders>
            <w:shd w:val="clear" w:color="auto" w:fill="auto"/>
            <w:noWrap/>
            <w:vAlign w:val="bottom"/>
            <w:hideMark/>
          </w:tcPr>
          <w:p w14:paraId="0917640F" w14:textId="04BDB005"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6166584E" w14:textId="7F20461E"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2E56A5C4" w14:textId="65C9A185"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4D222C97" w14:textId="3D169BD4"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3157546" w14:textId="65B276FB" w:rsidR="00F826D0" w:rsidRPr="003328EE" w:rsidRDefault="00F826D0" w:rsidP="00D65F93">
            <w:pPr>
              <w:rPr>
                <w:rFonts w:eastAsia="Times New Roman"/>
                <w:color w:val="000000"/>
                <w:sz w:val="18"/>
                <w:szCs w:val="18"/>
              </w:rPr>
            </w:pPr>
            <w:r w:rsidRPr="003328EE">
              <w:rPr>
                <w:rFonts w:eastAsia="Times New Roman"/>
                <w:color w:val="000000"/>
                <w:sz w:val="18"/>
                <w:szCs w:val="18"/>
              </w:rPr>
              <w:t>Cherry, 2015</w:t>
            </w:r>
          </w:p>
        </w:tc>
        <w:tc>
          <w:tcPr>
            <w:tcW w:w="1156" w:type="dxa"/>
            <w:tcBorders>
              <w:top w:val="nil"/>
              <w:left w:val="nil"/>
              <w:bottom w:val="nil"/>
              <w:right w:val="nil"/>
            </w:tcBorders>
            <w:shd w:val="clear" w:color="auto" w:fill="auto"/>
            <w:noWrap/>
            <w:vAlign w:val="bottom"/>
            <w:hideMark/>
          </w:tcPr>
          <w:p w14:paraId="5940BECB" w14:textId="2345DF6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2788048" w14:textId="77777777" w:rsidTr="00D65F93">
        <w:trPr>
          <w:trHeight w:val="320"/>
        </w:trPr>
        <w:tc>
          <w:tcPr>
            <w:tcW w:w="3545" w:type="dxa"/>
            <w:tcBorders>
              <w:top w:val="nil"/>
              <w:left w:val="nil"/>
              <w:bottom w:val="nil"/>
              <w:right w:val="nil"/>
            </w:tcBorders>
            <w:shd w:val="clear" w:color="auto" w:fill="auto"/>
            <w:noWrap/>
            <w:vAlign w:val="bottom"/>
            <w:hideMark/>
          </w:tcPr>
          <w:p w14:paraId="085FA93A" w14:textId="799FAEBE"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58EBD802" w14:textId="543A1E18"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6ACA9892" w14:textId="4D14348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94BFCB1" w14:textId="0B883343"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32A029E" w14:textId="7D8C3B24" w:rsidR="00F826D0" w:rsidRPr="003328EE" w:rsidRDefault="00F826D0" w:rsidP="00D65F93">
            <w:pPr>
              <w:rPr>
                <w:rFonts w:eastAsia="Times New Roman"/>
                <w:color w:val="000000"/>
                <w:sz w:val="18"/>
                <w:szCs w:val="18"/>
              </w:rPr>
            </w:pPr>
            <w:r w:rsidRPr="003328EE">
              <w:rPr>
                <w:rFonts w:eastAsia="Times New Roman"/>
                <w:color w:val="000000"/>
                <w:sz w:val="18"/>
                <w:szCs w:val="18"/>
              </w:rPr>
              <w:t>Beardsworth &amp; Keil</w:t>
            </w:r>
            <w:r>
              <w:rPr>
                <w:rFonts w:eastAsia="Times New Roman"/>
                <w:color w:val="000000"/>
                <w:sz w:val="18"/>
                <w:szCs w:val="18"/>
              </w:rPr>
              <w:t>, 1993</w:t>
            </w:r>
          </w:p>
        </w:tc>
        <w:tc>
          <w:tcPr>
            <w:tcW w:w="1156" w:type="dxa"/>
            <w:tcBorders>
              <w:top w:val="nil"/>
              <w:left w:val="nil"/>
              <w:bottom w:val="nil"/>
              <w:right w:val="nil"/>
            </w:tcBorders>
            <w:shd w:val="clear" w:color="auto" w:fill="auto"/>
            <w:noWrap/>
            <w:vAlign w:val="bottom"/>
            <w:hideMark/>
          </w:tcPr>
          <w:p w14:paraId="2DB34C07" w14:textId="4D78DF4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1F90AF9" w14:textId="77777777" w:rsidTr="00D65F93">
        <w:trPr>
          <w:trHeight w:val="320"/>
        </w:trPr>
        <w:tc>
          <w:tcPr>
            <w:tcW w:w="3545" w:type="dxa"/>
            <w:tcBorders>
              <w:top w:val="nil"/>
              <w:left w:val="nil"/>
              <w:bottom w:val="nil"/>
              <w:right w:val="nil"/>
            </w:tcBorders>
            <w:shd w:val="clear" w:color="auto" w:fill="auto"/>
            <w:noWrap/>
            <w:vAlign w:val="bottom"/>
            <w:hideMark/>
          </w:tcPr>
          <w:p w14:paraId="73DE3EE4" w14:textId="78ECA257"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301FB0E2" w14:textId="53EC32EA"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4AD191E9" w14:textId="2CB42EBD"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4D7803E" w14:textId="0284AE4B"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A5FBA3E" w14:textId="42B86663" w:rsidR="00F826D0" w:rsidRPr="003328EE" w:rsidRDefault="00F826D0" w:rsidP="00D65F93">
            <w:pPr>
              <w:rPr>
                <w:rFonts w:eastAsia="Times New Roman"/>
                <w:color w:val="000000"/>
                <w:sz w:val="18"/>
                <w:szCs w:val="18"/>
              </w:rPr>
            </w:pPr>
            <w:r w:rsidRPr="003328EE">
              <w:rPr>
                <w:rFonts w:eastAsia="Times New Roman"/>
                <w:color w:val="000000"/>
                <w:sz w:val="18"/>
                <w:szCs w:val="18"/>
              </w:rPr>
              <w:t>Erinosho et al., 2015</w:t>
            </w:r>
          </w:p>
        </w:tc>
        <w:tc>
          <w:tcPr>
            <w:tcW w:w="1156" w:type="dxa"/>
            <w:tcBorders>
              <w:top w:val="nil"/>
              <w:left w:val="nil"/>
              <w:bottom w:val="nil"/>
              <w:right w:val="nil"/>
            </w:tcBorders>
            <w:shd w:val="clear" w:color="auto" w:fill="auto"/>
            <w:noWrap/>
            <w:vAlign w:val="bottom"/>
            <w:hideMark/>
          </w:tcPr>
          <w:p w14:paraId="0578AFB3" w14:textId="3197CA8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CC22F0F" w14:textId="77777777" w:rsidTr="00D65F93">
        <w:trPr>
          <w:trHeight w:val="320"/>
        </w:trPr>
        <w:tc>
          <w:tcPr>
            <w:tcW w:w="3545" w:type="dxa"/>
            <w:tcBorders>
              <w:top w:val="nil"/>
              <w:left w:val="nil"/>
              <w:bottom w:val="nil"/>
              <w:right w:val="nil"/>
            </w:tcBorders>
            <w:shd w:val="clear" w:color="auto" w:fill="auto"/>
            <w:noWrap/>
            <w:vAlign w:val="bottom"/>
            <w:hideMark/>
          </w:tcPr>
          <w:p w14:paraId="4A2694A0" w14:textId="76043824"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4520915F" w14:textId="3A5545F0"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0D75D2CA" w14:textId="76DF1646"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C244AB9" w14:textId="5E0FB0B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7539604" w14:textId="3FC4FF2D" w:rsidR="00F826D0" w:rsidRPr="003328EE" w:rsidRDefault="00F826D0" w:rsidP="00D65F93">
            <w:pPr>
              <w:rPr>
                <w:rFonts w:eastAsia="Times New Roman"/>
                <w:color w:val="000000"/>
                <w:sz w:val="18"/>
                <w:szCs w:val="18"/>
              </w:rPr>
            </w:pPr>
            <w:r w:rsidRPr="003328EE">
              <w:rPr>
                <w:rFonts w:eastAsia="Times New Roman"/>
                <w:color w:val="000000"/>
                <w:sz w:val="18"/>
                <w:szCs w:val="18"/>
              </w:rPr>
              <w:t>Gobert &amp; Duncan, 2009</w:t>
            </w:r>
          </w:p>
        </w:tc>
        <w:tc>
          <w:tcPr>
            <w:tcW w:w="1156" w:type="dxa"/>
            <w:tcBorders>
              <w:top w:val="nil"/>
              <w:left w:val="nil"/>
              <w:bottom w:val="nil"/>
              <w:right w:val="nil"/>
            </w:tcBorders>
            <w:shd w:val="clear" w:color="auto" w:fill="auto"/>
            <w:noWrap/>
            <w:vAlign w:val="bottom"/>
            <w:hideMark/>
          </w:tcPr>
          <w:p w14:paraId="7CAEE633" w14:textId="1BBD1D1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F7BC307" w14:textId="77777777" w:rsidTr="00D65F93">
        <w:trPr>
          <w:trHeight w:val="320"/>
        </w:trPr>
        <w:tc>
          <w:tcPr>
            <w:tcW w:w="3545" w:type="dxa"/>
            <w:tcBorders>
              <w:top w:val="nil"/>
              <w:left w:val="nil"/>
              <w:bottom w:val="nil"/>
              <w:right w:val="nil"/>
            </w:tcBorders>
            <w:shd w:val="clear" w:color="auto" w:fill="auto"/>
            <w:noWrap/>
            <w:vAlign w:val="bottom"/>
            <w:hideMark/>
          </w:tcPr>
          <w:p w14:paraId="20942818" w14:textId="761B424D"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6ED2EBCB" w14:textId="2D5BC98C"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2CACCB1A" w14:textId="4FE741A9"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BF85DC3" w14:textId="1A3C857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2320053" w14:textId="63661180" w:rsidR="00F826D0" w:rsidRPr="003328EE" w:rsidRDefault="00F826D0" w:rsidP="00D65F93">
            <w:pPr>
              <w:rPr>
                <w:rFonts w:eastAsia="Times New Roman"/>
                <w:color w:val="000000"/>
                <w:sz w:val="18"/>
                <w:szCs w:val="18"/>
              </w:rPr>
            </w:pPr>
            <w:r w:rsidRPr="003328EE">
              <w:rPr>
                <w:rFonts w:eastAsia="Times New Roman"/>
                <w:color w:val="000000"/>
                <w:sz w:val="18"/>
                <w:szCs w:val="18"/>
              </w:rPr>
              <w:t>Hirschler, 2011</w:t>
            </w:r>
          </w:p>
        </w:tc>
        <w:tc>
          <w:tcPr>
            <w:tcW w:w="1156" w:type="dxa"/>
            <w:tcBorders>
              <w:top w:val="nil"/>
              <w:left w:val="nil"/>
              <w:bottom w:val="nil"/>
              <w:right w:val="nil"/>
            </w:tcBorders>
            <w:shd w:val="clear" w:color="auto" w:fill="auto"/>
            <w:noWrap/>
            <w:vAlign w:val="bottom"/>
            <w:hideMark/>
          </w:tcPr>
          <w:p w14:paraId="534314A4" w14:textId="4B8BDD0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49BEC9B" w14:textId="77777777" w:rsidTr="00D65F93">
        <w:trPr>
          <w:trHeight w:val="320"/>
        </w:trPr>
        <w:tc>
          <w:tcPr>
            <w:tcW w:w="3545" w:type="dxa"/>
            <w:tcBorders>
              <w:top w:val="nil"/>
              <w:left w:val="nil"/>
              <w:bottom w:val="nil"/>
              <w:right w:val="nil"/>
            </w:tcBorders>
            <w:shd w:val="clear" w:color="auto" w:fill="auto"/>
            <w:noWrap/>
            <w:vAlign w:val="bottom"/>
            <w:hideMark/>
          </w:tcPr>
          <w:p w14:paraId="59F5C027" w14:textId="1B675D16"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43D9857D" w14:textId="07A7A91D"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0AE2E6C7" w14:textId="58CE590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DBC1604" w14:textId="558C3D4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3A57A5B" w14:textId="4D512605" w:rsidR="00F826D0" w:rsidRPr="003328EE" w:rsidRDefault="00F826D0" w:rsidP="00D65F93">
            <w:pPr>
              <w:rPr>
                <w:rFonts w:eastAsia="Times New Roman"/>
                <w:color w:val="000000"/>
                <w:sz w:val="18"/>
                <w:szCs w:val="18"/>
              </w:rPr>
            </w:pPr>
            <w:r w:rsidRPr="003328EE">
              <w:rPr>
                <w:rFonts w:eastAsia="Times New Roman"/>
                <w:color w:val="000000"/>
                <w:sz w:val="18"/>
                <w:szCs w:val="18"/>
              </w:rPr>
              <w:t>Makiniemi &amp; Vinio, 2014</w:t>
            </w:r>
          </w:p>
        </w:tc>
        <w:tc>
          <w:tcPr>
            <w:tcW w:w="1156" w:type="dxa"/>
            <w:tcBorders>
              <w:top w:val="nil"/>
              <w:left w:val="nil"/>
              <w:bottom w:val="nil"/>
              <w:right w:val="nil"/>
            </w:tcBorders>
            <w:shd w:val="clear" w:color="auto" w:fill="auto"/>
            <w:noWrap/>
            <w:vAlign w:val="bottom"/>
            <w:hideMark/>
          </w:tcPr>
          <w:p w14:paraId="2E53EC45" w14:textId="6E26999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7087D2D" w14:textId="77777777" w:rsidTr="00D65F93">
        <w:trPr>
          <w:trHeight w:val="320"/>
        </w:trPr>
        <w:tc>
          <w:tcPr>
            <w:tcW w:w="3545" w:type="dxa"/>
            <w:tcBorders>
              <w:top w:val="nil"/>
              <w:left w:val="nil"/>
              <w:bottom w:val="nil"/>
              <w:right w:val="nil"/>
            </w:tcBorders>
            <w:shd w:val="clear" w:color="auto" w:fill="auto"/>
            <w:noWrap/>
            <w:vAlign w:val="bottom"/>
            <w:hideMark/>
          </w:tcPr>
          <w:p w14:paraId="4CD0D278" w14:textId="651DD8B1"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02272F79" w14:textId="6846EF10"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3454DB52" w14:textId="460855FB"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66EB2A2" w14:textId="092A866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FC7B32A" w14:textId="44DB8285" w:rsidR="00F826D0" w:rsidRPr="003328EE" w:rsidRDefault="00F826D0" w:rsidP="00D65F93">
            <w:pPr>
              <w:rPr>
                <w:rFonts w:eastAsia="Times New Roman"/>
                <w:color w:val="000000"/>
                <w:sz w:val="18"/>
                <w:szCs w:val="18"/>
              </w:rPr>
            </w:pPr>
            <w:r w:rsidRPr="003328EE">
              <w:rPr>
                <w:rFonts w:eastAsia="Times New Roman"/>
                <w:color w:val="000000"/>
                <w:sz w:val="18"/>
                <w:szCs w:val="18"/>
              </w:rPr>
              <w:t>Lorenzoni et al., 2007</w:t>
            </w:r>
          </w:p>
        </w:tc>
        <w:tc>
          <w:tcPr>
            <w:tcW w:w="1156" w:type="dxa"/>
            <w:tcBorders>
              <w:top w:val="nil"/>
              <w:left w:val="nil"/>
              <w:bottom w:val="nil"/>
              <w:right w:val="nil"/>
            </w:tcBorders>
            <w:shd w:val="clear" w:color="auto" w:fill="auto"/>
            <w:noWrap/>
            <w:vAlign w:val="bottom"/>
            <w:hideMark/>
          </w:tcPr>
          <w:p w14:paraId="3B312295" w14:textId="7099EEB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AC797D2" w14:textId="77777777" w:rsidTr="00D65F93">
        <w:trPr>
          <w:trHeight w:val="320"/>
        </w:trPr>
        <w:tc>
          <w:tcPr>
            <w:tcW w:w="3545" w:type="dxa"/>
            <w:tcBorders>
              <w:top w:val="nil"/>
              <w:left w:val="nil"/>
              <w:bottom w:val="nil"/>
              <w:right w:val="nil"/>
            </w:tcBorders>
            <w:shd w:val="clear" w:color="auto" w:fill="auto"/>
            <w:noWrap/>
            <w:vAlign w:val="bottom"/>
            <w:hideMark/>
          </w:tcPr>
          <w:p w14:paraId="4BB71963" w14:textId="283C8F70"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4A55D656" w14:textId="54840217"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5A0C863F" w14:textId="2D3EBD1E"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D86F308" w14:textId="5D3AADE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D265313" w14:textId="78F7889F" w:rsidR="00F826D0" w:rsidRPr="003328EE" w:rsidRDefault="00F826D0" w:rsidP="00D65F93">
            <w:pPr>
              <w:rPr>
                <w:rFonts w:eastAsia="Times New Roman"/>
                <w:color w:val="000000"/>
                <w:sz w:val="18"/>
                <w:szCs w:val="18"/>
              </w:rPr>
            </w:pPr>
            <w:r w:rsidRPr="003328EE">
              <w:rPr>
                <w:rFonts w:eastAsia="Times New Roman"/>
                <w:color w:val="000000"/>
                <w:sz w:val="18"/>
                <w:szCs w:val="18"/>
              </w:rPr>
              <w:t>Barr &amp; Chapman, 2002</w:t>
            </w:r>
          </w:p>
        </w:tc>
        <w:tc>
          <w:tcPr>
            <w:tcW w:w="1156" w:type="dxa"/>
            <w:tcBorders>
              <w:top w:val="nil"/>
              <w:left w:val="nil"/>
              <w:bottom w:val="nil"/>
              <w:right w:val="nil"/>
            </w:tcBorders>
            <w:shd w:val="clear" w:color="auto" w:fill="auto"/>
            <w:noWrap/>
            <w:vAlign w:val="bottom"/>
            <w:hideMark/>
          </w:tcPr>
          <w:p w14:paraId="324DB939" w14:textId="1DFD033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74853F8" w14:textId="77777777" w:rsidTr="00D65F93">
        <w:trPr>
          <w:trHeight w:val="320"/>
        </w:trPr>
        <w:tc>
          <w:tcPr>
            <w:tcW w:w="3545" w:type="dxa"/>
            <w:tcBorders>
              <w:top w:val="nil"/>
              <w:left w:val="nil"/>
              <w:bottom w:val="nil"/>
              <w:right w:val="nil"/>
            </w:tcBorders>
            <w:shd w:val="clear" w:color="auto" w:fill="auto"/>
            <w:noWrap/>
            <w:vAlign w:val="bottom"/>
            <w:hideMark/>
          </w:tcPr>
          <w:p w14:paraId="06184482" w14:textId="14C7F327"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6C08F462" w14:textId="70419A95"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2E94468B" w14:textId="2AF1BB5A"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9630E8D" w14:textId="0F3A96F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831F8B6" w14:textId="21E33B9C" w:rsidR="00F826D0" w:rsidRPr="003328EE" w:rsidRDefault="00F826D0" w:rsidP="00D65F93">
            <w:pPr>
              <w:rPr>
                <w:rFonts w:eastAsia="Times New Roman"/>
                <w:color w:val="000000"/>
                <w:sz w:val="18"/>
                <w:szCs w:val="18"/>
              </w:rPr>
            </w:pPr>
            <w:r w:rsidRPr="003328EE">
              <w:rPr>
                <w:rFonts w:eastAsia="Times New Roman"/>
                <w:color w:val="000000"/>
                <w:sz w:val="18"/>
                <w:szCs w:val="18"/>
              </w:rPr>
              <w:t>Lea &amp; Worsley, 2003</w:t>
            </w:r>
          </w:p>
        </w:tc>
        <w:tc>
          <w:tcPr>
            <w:tcW w:w="1156" w:type="dxa"/>
            <w:tcBorders>
              <w:top w:val="nil"/>
              <w:left w:val="nil"/>
              <w:bottom w:val="nil"/>
              <w:right w:val="nil"/>
            </w:tcBorders>
            <w:shd w:val="clear" w:color="auto" w:fill="auto"/>
            <w:noWrap/>
            <w:vAlign w:val="bottom"/>
            <w:hideMark/>
          </w:tcPr>
          <w:p w14:paraId="701F2E83" w14:textId="383496E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2BDD5E3" w14:textId="77777777" w:rsidTr="00D65F93">
        <w:trPr>
          <w:trHeight w:val="320"/>
        </w:trPr>
        <w:tc>
          <w:tcPr>
            <w:tcW w:w="3545" w:type="dxa"/>
            <w:tcBorders>
              <w:top w:val="nil"/>
              <w:left w:val="nil"/>
              <w:bottom w:val="nil"/>
              <w:right w:val="nil"/>
            </w:tcBorders>
            <w:shd w:val="clear" w:color="auto" w:fill="auto"/>
            <w:noWrap/>
            <w:vAlign w:val="bottom"/>
            <w:hideMark/>
          </w:tcPr>
          <w:p w14:paraId="2CCA3F04" w14:textId="732BA31A"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65E041E9" w14:textId="305D269B"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674D7018" w14:textId="6A341F07"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0D22A81" w14:textId="7FB39F5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9B54BEA" w14:textId="7DA84085" w:rsidR="00F826D0" w:rsidRPr="003328EE" w:rsidRDefault="00F826D0" w:rsidP="00D65F93">
            <w:pPr>
              <w:rPr>
                <w:rFonts w:eastAsia="Times New Roman"/>
                <w:color w:val="000000"/>
                <w:sz w:val="18"/>
                <w:szCs w:val="18"/>
              </w:rPr>
            </w:pPr>
            <w:r w:rsidRPr="003328EE">
              <w:rPr>
                <w:rFonts w:eastAsia="Times New Roman"/>
                <w:color w:val="000000"/>
                <w:sz w:val="18"/>
                <w:szCs w:val="18"/>
              </w:rPr>
              <w:t>Lea et al., 2006</w:t>
            </w:r>
          </w:p>
        </w:tc>
        <w:tc>
          <w:tcPr>
            <w:tcW w:w="1156" w:type="dxa"/>
            <w:tcBorders>
              <w:top w:val="nil"/>
              <w:left w:val="nil"/>
              <w:bottom w:val="nil"/>
              <w:right w:val="nil"/>
            </w:tcBorders>
            <w:shd w:val="clear" w:color="auto" w:fill="auto"/>
            <w:noWrap/>
            <w:vAlign w:val="bottom"/>
            <w:hideMark/>
          </w:tcPr>
          <w:p w14:paraId="7B2E1A8F" w14:textId="7AB9CAF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8F58F73" w14:textId="77777777" w:rsidTr="00D65F93">
        <w:trPr>
          <w:trHeight w:val="320"/>
        </w:trPr>
        <w:tc>
          <w:tcPr>
            <w:tcW w:w="3545" w:type="dxa"/>
            <w:tcBorders>
              <w:top w:val="nil"/>
              <w:left w:val="nil"/>
              <w:bottom w:val="nil"/>
              <w:right w:val="nil"/>
            </w:tcBorders>
            <w:shd w:val="clear" w:color="auto" w:fill="auto"/>
            <w:noWrap/>
            <w:vAlign w:val="bottom"/>
            <w:hideMark/>
          </w:tcPr>
          <w:p w14:paraId="37C33BB5" w14:textId="4C3BAD95"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57D66B37" w14:textId="2D57BCF7"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57DBFC5D" w14:textId="03052286"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D6D5E64" w14:textId="582F685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7CAFDAA" w14:textId="1E049F70" w:rsidR="00F826D0" w:rsidRPr="003328EE" w:rsidRDefault="00F826D0" w:rsidP="00D65F93">
            <w:pPr>
              <w:rPr>
                <w:rFonts w:eastAsia="Times New Roman"/>
                <w:color w:val="000000"/>
                <w:sz w:val="18"/>
                <w:szCs w:val="18"/>
              </w:rPr>
            </w:pPr>
            <w:r w:rsidRPr="003328EE">
              <w:rPr>
                <w:rFonts w:eastAsia="Times New Roman"/>
                <w:color w:val="000000"/>
                <w:sz w:val="18"/>
                <w:szCs w:val="18"/>
              </w:rPr>
              <w:t>Pohjolainen et al., 2014</w:t>
            </w:r>
          </w:p>
        </w:tc>
        <w:tc>
          <w:tcPr>
            <w:tcW w:w="1156" w:type="dxa"/>
            <w:tcBorders>
              <w:top w:val="nil"/>
              <w:left w:val="nil"/>
              <w:bottom w:val="nil"/>
              <w:right w:val="nil"/>
            </w:tcBorders>
            <w:shd w:val="clear" w:color="auto" w:fill="auto"/>
            <w:noWrap/>
            <w:vAlign w:val="bottom"/>
            <w:hideMark/>
          </w:tcPr>
          <w:p w14:paraId="21724CB5" w14:textId="71743D1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839F72E" w14:textId="77777777" w:rsidTr="00D65F93">
        <w:trPr>
          <w:trHeight w:val="320"/>
        </w:trPr>
        <w:tc>
          <w:tcPr>
            <w:tcW w:w="3545" w:type="dxa"/>
            <w:tcBorders>
              <w:top w:val="nil"/>
              <w:left w:val="nil"/>
              <w:bottom w:val="nil"/>
              <w:right w:val="nil"/>
            </w:tcBorders>
            <w:shd w:val="clear" w:color="auto" w:fill="auto"/>
            <w:noWrap/>
            <w:vAlign w:val="bottom"/>
            <w:hideMark/>
          </w:tcPr>
          <w:p w14:paraId="3F8D047F" w14:textId="3BAD2BF5"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1FF24E2F" w14:textId="1F1670B9"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2DAE36F2" w14:textId="03B8E567"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F7E9B8A" w14:textId="6AA1BEF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721A466" w14:textId="7ADC181A"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30AC976D" w14:textId="4E5AC039"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D31DF3B" w14:textId="77777777" w:rsidTr="00D65F93">
        <w:trPr>
          <w:trHeight w:val="320"/>
        </w:trPr>
        <w:tc>
          <w:tcPr>
            <w:tcW w:w="3545" w:type="dxa"/>
            <w:tcBorders>
              <w:top w:val="nil"/>
              <w:left w:val="nil"/>
              <w:bottom w:val="nil"/>
              <w:right w:val="nil"/>
            </w:tcBorders>
            <w:shd w:val="clear" w:color="auto" w:fill="auto"/>
            <w:noWrap/>
            <w:vAlign w:val="bottom"/>
            <w:hideMark/>
          </w:tcPr>
          <w:p w14:paraId="12CC7D99" w14:textId="666EE19F"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49FB20E9" w14:textId="131F32CC"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422A6BAD" w14:textId="437E114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071AE4D" w14:textId="0B6DD18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438B3BC" w14:textId="43F432A9" w:rsidR="00F826D0" w:rsidRPr="003328EE" w:rsidRDefault="00F826D0" w:rsidP="00D65F93">
            <w:pPr>
              <w:rPr>
                <w:rFonts w:eastAsia="Times New Roman"/>
                <w:color w:val="000000"/>
                <w:sz w:val="18"/>
                <w:szCs w:val="18"/>
              </w:rPr>
            </w:pPr>
            <w:r w:rsidRPr="003328EE">
              <w:rPr>
                <w:rFonts w:eastAsia="Times New Roman"/>
                <w:color w:val="000000"/>
                <w:sz w:val="18"/>
                <w:szCs w:val="18"/>
              </w:rPr>
              <w:t>de Boer et al., 2016</w:t>
            </w:r>
          </w:p>
        </w:tc>
        <w:tc>
          <w:tcPr>
            <w:tcW w:w="1156" w:type="dxa"/>
            <w:tcBorders>
              <w:top w:val="nil"/>
              <w:left w:val="nil"/>
              <w:bottom w:val="nil"/>
              <w:right w:val="nil"/>
            </w:tcBorders>
            <w:shd w:val="clear" w:color="auto" w:fill="auto"/>
            <w:noWrap/>
            <w:vAlign w:val="bottom"/>
            <w:hideMark/>
          </w:tcPr>
          <w:p w14:paraId="1E542591" w14:textId="11816A6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0743187" w14:textId="77777777" w:rsidTr="00D65F93">
        <w:trPr>
          <w:trHeight w:val="320"/>
        </w:trPr>
        <w:tc>
          <w:tcPr>
            <w:tcW w:w="3545" w:type="dxa"/>
            <w:tcBorders>
              <w:top w:val="nil"/>
              <w:left w:val="nil"/>
              <w:bottom w:val="nil"/>
              <w:right w:val="nil"/>
            </w:tcBorders>
            <w:shd w:val="clear" w:color="auto" w:fill="auto"/>
            <w:noWrap/>
            <w:vAlign w:val="bottom"/>
            <w:hideMark/>
          </w:tcPr>
          <w:p w14:paraId="1D4D8CB7" w14:textId="15906DB1"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431BF763" w14:textId="2E8239A9"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22EE5F91" w14:textId="52AB0152"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DD505E8" w14:textId="16BE438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0507304" w14:textId="4AE5EDA8" w:rsidR="00F826D0" w:rsidRPr="003328EE" w:rsidRDefault="00F826D0" w:rsidP="00D65F93">
            <w:pPr>
              <w:rPr>
                <w:rFonts w:eastAsia="Times New Roman"/>
                <w:color w:val="000000"/>
                <w:sz w:val="18"/>
                <w:szCs w:val="18"/>
              </w:rPr>
            </w:pPr>
            <w:r w:rsidRPr="003328EE">
              <w:rPr>
                <w:rFonts w:eastAsia="Times New Roman"/>
                <w:color w:val="000000"/>
                <w:sz w:val="18"/>
                <w:szCs w:val="18"/>
              </w:rPr>
              <w:t>Friel et al., 2013</w:t>
            </w:r>
          </w:p>
        </w:tc>
        <w:tc>
          <w:tcPr>
            <w:tcW w:w="1156" w:type="dxa"/>
            <w:tcBorders>
              <w:top w:val="nil"/>
              <w:left w:val="nil"/>
              <w:bottom w:val="nil"/>
              <w:right w:val="nil"/>
            </w:tcBorders>
            <w:shd w:val="clear" w:color="auto" w:fill="auto"/>
            <w:noWrap/>
            <w:vAlign w:val="bottom"/>
            <w:hideMark/>
          </w:tcPr>
          <w:p w14:paraId="09594336" w14:textId="7FE0CE7B"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4998789" w14:textId="77777777" w:rsidTr="00D65F93">
        <w:trPr>
          <w:trHeight w:val="320"/>
        </w:trPr>
        <w:tc>
          <w:tcPr>
            <w:tcW w:w="3545" w:type="dxa"/>
            <w:tcBorders>
              <w:top w:val="nil"/>
              <w:left w:val="nil"/>
              <w:bottom w:val="nil"/>
              <w:right w:val="nil"/>
            </w:tcBorders>
            <w:shd w:val="clear" w:color="auto" w:fill="auto"/>
            <w:noWrap/>
            <w:vAlign w:val="bottom"/>
            <w:hideMark/>
          </w:tcPr>
          <w:p w14:paraId="449CE9C0" w14:textId="2FD09DDF"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52C03F32" w14:textId="07E896FA"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34452FD7" w14:textId="47BD9CB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5D491A4E" w14:textId="0432E3A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882FBF3" w14:textId="47DAB90F" w:rsidR="00F826D0" w:rsidRPr="003328EE" w:rsidRDefault="00F826D0" w:rsidP="00D65F93">
            <w:pPr>
              <w:rPr>
                <w:rFonts w:eastAsia="Times New Roman"/>
                <w:color w:val="000000"/>
                <w:sz w:val="18"/>
                <w:szCs w:val="18"/>
              </w:rPr>
            </w:pPr>
            <w:r w:rsidRPr="003328EE">
              <w:rPr>
                <w:rFonts w:eastAsia="Times New Roman"/>
                <w:color w:val="000000"/>
                <w:sz w:val="18"/>
                <w:szCs w:val="18"/>
              </w:rPr>
              <w:t>Lerner et al., 2013</w:t>
            </w:r>
          </w:p>
        </w:tc>
        <w:tc>
          <w:tcPr>
            <w:tcW w:w="1156" w:type="dxa"/>
            <w:tcBorders>
              <w:top w:val="nil"/>
              <w:left w:val="nil"/>
              <w:bottom w:val="nil"/>
              <w:right w:val="nil"/>
            </w:tcBorders>
            <w:shd w:val="clear" w:color="auto" w:fill="auto"/>
            <w:noWrap/>
            <w:vAlign w:val="bottom"/>
            <w:hideMark/>
          </w:tcPr>
          <w:p w14:paraId="34087C69" w14:textId="19805FB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9769D28" w14:textId="77777777" w:rsidTr="00D65F93">
        <w:trPr>
          <w:trHeight w:val="320"/>
        </w:trPr>
        <w:tc>
          <w:tcPr>
            <w:tcW w:w="3545" w:type="dxa"/>
            <w:tcBorders>
              <w:top w:val="nil"/>
              <w:left w:val="nil"/>
              <w:bottom w:val="nil"/>
              <w:right w:val="nil"/>
            </w:tcBorders>
            <w:shd w:val="clear" w:color="auto" w:fill="auto"/>
            <w:noWrap/>
            <w:vAlign w:val="bottom"/>
            <w:hideMark/>
          </w:tcPr>
          <w:p w14:paraId="50F15FDF" w14:textId="2589C139"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56F7C454" w14:textId="474B4D3A"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7A33ADF1" w14:textId="2760AB5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BA4F82E" w14:textId="572C916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2D1B97A" w14:textId="614C931D" w:rsidR="00F826D0" w:rsidRPr="003328EE" w:rsidRDefault="00F826D0" w:rsidP="00D65F93">
            <w:pPr>
              <w:rPr>
                <w:rFonts w:eastAsia="Times New Roman"/>
                <w:color w:val="000000"/>
                <w:sz w:val="18"/>
                <w:szCs w:val="18"/>
              </w:rPr>
            </w:pPr>
            <w:r w:rsidRPr="003328EE">
              <w:rPr>
                <w:rFonts w:eastAsia="Times New Roman"/>
                <w:color w:val="000000"/>
                <w:sz w:val="18"/>
                <w:szCs w:val="18"/>
              </w:rPr>
              <w:t>Vanhonacker et al., 2013</w:t>
            </w:r>
          </w:p>
        </w:tc>
        <w:tc>
          <w:tcPr>
            <w:tcW w:w="1156" w:type="dxa"/>
            <w:tcBorders>
              <w:top w:val="nil"/>
              <w:left w:val="nil"/>
              <w:bottom w:val="nil"/>
              <w:right w:val="nil"/>
            </w:tcBorders>
            <w:shd w:val="clear" w:color="auto" w:fill="auto"/>
            <w:noWrap/>
            <w:vAlign w:val="bottom"/>
            <w:hideMark/>
          </w:tcPr>
          <w:p w14:paraId="72C56312" w14:textId="190242D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5670002" w14:textId="77777777" w:rsidTr="00D65F93">
        <w:trPr>
          <w:trHeight w:val="320"/>
        </w:trPr>
        <w:tc>
          <w:tcPr>
            <w:tcW w:w="3545" w:type="dxa"/>
            <w:tcBorders>
              <w:top w:val="nil"/>
              <w:left w:val="nil"/>
              <w:bottom w:val="nil"/>
              <w:right w:val="nil"/>
            </w:tcBorders>
            <w:shd w:val="clear" w:color="auto" w:fill="auto"/>
            <w:noWrap/>
            <w:vAlign w:val="bottom"/>
            <w:hideMark/>
          </w:tcPr>
          <w:p w14:paraId="7677C57E" w14:textId="1C278506" w:rsidR="00F826D0" w:rsidRPr="003328EE" w:rsidRDefault="00F826D0" w:rsidP="00D65F93">
            <w:pPr>
              <w:rPr>
                <w:rFonts w:eastAsia="Times New Roman"/>
                <w:color w:val="000000"/>
                <w:sz w:val="18"/>
                <w:szCs w:val="18"/>
              </w:rPr>
            </w:pPr>
            <w:r w:rsidRPr="003328EE">
              <w:rPr>
                <w:rFonts w:eastAsia="Times New Roman"/>
                <w:color w:val="000000"/>
                <w:sz w:val="18"/>
                <w:szCs w:val="18"/>
              </w:rPr>
              <w:t>Unaware</w:t>
            </w:r>
          </w:p>
        </w:tc>
        <w:tc>
          <w:tcPr>
            <w:tcW w:w="3183" w:type="dxa"/>
            <w:tcBorders>
              <w:top w:val="nil"/>
              <w:left w:val="nil"/>
              <w:bottom w:val="nil"/>
              <w:right w:val="nil"/>
            </w:tcBorders>
            <w:shd w:val="clear" w:color="auto" w:fill="auto"/>
            <w:noWrap/>
            <w:vAlign w:val="bottom"/>
            <w:hideMark/>
          </w:tcPr>
          <w:p w14:paraId="6BE07B4A" w14:textId="76360A03"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Education/Learning/Info</w:t>
            </w:r>
          </w:p>
        </w:tc>
        <w:tc>
          <w:tcPr>
            <w:tcW w:w="2061" w:type="dxa"/>
            <w:tcBorders>
              <w:top w:val="nil"/>
              <w:left w:val="nil"/>
              <w:bottom w:val="nil"/>
              <w:right w:val="nil"/>
            </w:tcBorders>
            <w:shd w:val="clear" w:color="auto" w:fill="auto"/>
            <w:noWrap/>
            <w:vAlign w:val="bottom"/>
            <w:hideMark/>
          </w:tcPr>
          <w:p w14:paraId="1DE6C44A" w14:textId="1844825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9050ED8" w14:textId="046A2B2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21744A5" w14:textId="34C37A18"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21B12F0E" w14:textId="23F0C68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525FE89" w14:textId="77777777" w:rsidTr="00D65F93">
        <w:trPr>
          <w:trHeight w:val="320"/>
        </w:trPr>
        <w:tc>
          <w:tcPr>
            <w:tcW w:w="3545" w:type="dxa"/>
            <w:tcBorders>
              <w:top w:val="nil"/>
              <w:left w:val="nil"/>
              <w:bottom w:val="nil"/>
              <w:right w:val="nil"/>
            </w:tcBorders>
            <w:shd w:val="clear" w:color="auto" w:fill="auto"/>
            <w:noWrap/>
            <w:vAlign w:val="bottom"/>
            <w:hideMark/>
          </w:tcPr>
          <w:p w14:paraId="7B7810FC" w14:textId="6F030CC9" w:rsidR="00F826D0" w:rsidRPr="003328EE" w:rsidRDefault="00F826D0" w:rsidP="00D65F93">
            <w:pPr>
              <w:rPr>
                <w:rFonts w:eastAsia="Times New Roman"/>
                <w:color w:val="000000"/>
                <w:sz w:val="18"/>
                <w:szCs w:val="18"/>
              </w:rPr>
            </w:pPr>
            <w:r w:rsidRPr="003328EE">
              <w:rPr>
                <w:rFonts w:eastAsia="Times New Roman"/>
                <w:color w:val="000000"/>
                <w:sz w:val="18"/>
                <w:szCs w:val="18"/>
              </w:rPr>
              <w:t>Cost Myth</w:t>
            </w:r>
          </w:p>
        </w:tc>
        <w:tc>
          <w:tcPr>
            <w:tcW w:w="3183" w:type="dxa"/>
            <w:tcBorders>
              <w:top w:val="nil"/>
              <w:left w:val="nil"/>
              <w:bottom w:val="nil"/>
              <w:right w:val="nil"/>
            </w:tcBorders>
            <w:shd w:val="clear" w:color="auto" w:fill="auto"/>
            <w:noWrap/>
            <w:vAlign w:val="bottom"/>
            <w:hideMark/>
          </w:tcPr>
          <w:p w14:paraId="48307F98" w14:textId="3DCDC920" w:rsidR="00F826D0" w:rsidRPr="003328EE" w:rsidRDefault="00F826D0" w:rsidP="00D65F93">
            <w:pPr>
              <w:rPr>
                <w:rFonts w:eastAsia="Times New Roman"/>
                <w:color w:val="000000"/>
                <w:sz w:val="18"/>
                <w:szCs w:val="18"/>
              </w:rPr>
            </w:pPr>
            <w:r w:rsidRPr="003328EE">
              <w:rPr>
                <w:rFonts w:eastAsia="Times New Roman"/>
                <w:color w:val="000000"/>
                <w:sz w:val="18"/>
                <w:szCs w:val="18"/>
              </w:rPr>
              <w:t>Perception</w:t>
            </w:r>
          </w:p>
        </w:tc>
        <w:tc>
          <w:tcPr>
            <w:tcW w:w="2061" w:type="dxa"/>
            <w:tcBorders>
              <w:top w:val="nil"/>
              <w:left w:val="nil"/>
              <w:bottom w:val="nil"/>
              <w:right w:val="nil"/>
            </w:tcBorders>
            <w:shd w:val="clear" w:color="auto" w:fill="auto"/>
            <w:noWrap/>
            <w:vAlign w:val="bottom"/>
            <w:hideMark/>
          </w:tcPr>
          <w:p w14:paraId="079BC15D" w14:textId="7B59394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D55C9C6" w14:textId="0BD1709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F2AAB96" w14:textId="4E629CA2" w:rsidR="00F826D0" w:rsidRPr="003328EE" w:rsidRDefault="00F826D0" w:rsidP="00D65F93">
            <w:pPr>
              <w:rPr>
                <w:rFonts w:eastAsia="Times New Roman"/>
                <w:color w:val="000000"/>
                <w:sz w:val="18"/>
                <w:szCs w:val="18"/>
              </w:rPr>
            </w:pPr>
            <w:r w:rsidRPr="003328EE">
              <w:rPr>
                <w:rFonts w:eastAsia="Times New Roman"/>
                <w:color w:val="000000"/>
                <w:sz w:val="18"/>
                <w:szCs w:val="18"/>
              </w:rPr>
              <w:t>Erinosho et al., 2015</w:t>
            </w:r>
          </w:p>
        </w:tc>
        <w:tc>
          <w:tcPr>
            <w:tcW w:w="1156" w:type="dxa"/>
            <w:tcBorders>
              <w:top w:val="nil"/>
              <w:left w:val="nil"/>
              <w:bottom w:val="nil"/>
              <w:right w:val="nil"/>
            </w:tcBorders>
            <w:shd w:val="clear" w:color="auto" w:fill="auto"/>
            <w:noWrap/>
            <w:vAlign w:val="bottom"/>
            <w:hideMark/>
          </w:tcPr>
          <w:p w14:paraId="030580AC" w14:textId="37A32C7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F8F3DEC" w14:textId="77777777" w:rsidTr="00D65F93">
        <w:trPr>
          <w:trHeight w:val="320"/>
        </w:trPr>
        <w:tc>
          <w:tcPr>
            <w:tcW w:w="3545" w:type="dxa"/>
            <w:tcBorders>
              <w:top w:val="nil"/>
              <w:left w:val="nil"/>
              <w:bottom w:val="nil"/>
              <w:right w:val="nil"/>
            </w:tcBorders>
            <w:shd w:val="clear" w:color="auto" w:fill="auto"/>
            <w:noWrap/>
            <w:vAlign w:val="bottom"/>
            <w:hideMark/>
          </w:tcPr>
          <w:p w14:paraId="1DA27C28" w14:textId="07E3AED2" w:rsidR="00F826D0" w:rsidRPr="003328EE" w:rsidRDefault="00F826D0" w:rsidP="00D65F93">
            <w:pPr>
              <w:rPr>
                <w:rFonts w:eastAsia="Times New Roman"/>
                <w:color w:val="000000"/>
                <w:sz w:val="18"/>
                <w:szCs w:val="18"/>
              </w:rPr>
            </w:pPr>
            <w:r w:rsidRPr="003328EE">
              <w:rPr>
                <w:rFonts w:eastAsia="Times New Roman"/>
                <w:color w:val="000000"/>
                <w:sz w:val="18"/>
                <w:szCs w:val="18"/>
              </w:rPr>
              <w:t>Cost Myth</w:t>
            </w:r>
          </w:p>
        </w:tc>
        <w:tc>
          <w:tcPr>
            <w:tcW w:w="3183" w:type="dxa"/>
            <w:tcBorders>
              <w:top w:val="nil"/>
              <w:left w:val="nil"/>
              <w:bottom w:val="nil"/>
              <w:right w:val="nil"/>
            </w:tcBorders>
            <w:shd w:val="clear" w:color="auto" w:fill="auto"/>
            <w:noWrap/>
            <w:vAlign w:val="bottom"/>
            <w:hideMark/>
          </w:tcPr>
          <w:p w14:paraId="7D81BF58" w14:textId="25979972" w:rsidR="00F826D0" w:rsidRPr="003328EE" w:rsidRDefault="00F826D0" w:rsidP="00D65F93">
            <w:pPr>
              <w:rPr>
                <w:rFonts w:eastAsia="Times New Roman"/>
                <w:color w:val="000000"/>
                <w:sz w:val="18"/>
                <w:szCs w:val="18"/>
              </w:rPr>
            </w:pPr>
            <w:r w:rsidRPr="003328EE">
              <w:rPr>
                <w:rFonts w:eastAsia="Times New Roman"/>
                <w:color w:val="000000"/>
                <w:sz w:val="18"/>
                <w:szCs w:val="18"/>
              </w:rPr>
              <w:t>Perception</w:t>
            </w:r>
          </w:p>
        </w:tc>
        <w:tc>
          <w:tcPr>
            <w:tcW w:w="2061" w:type="dxa"/>
            <w:tcBorders>
              <w:top w:val="nil"/>
              <w:left w:val="nil"/>
              <w:bottom w:val="nil"/>
              <w:right w:val="nil"/>
            </w:tcBorders>
            <w:shd w:val="clear" w:color="auto" w:fill="auto"/>
            <w:noWrap/>
            <w:vAlign w:val="bottom"/>
            <w:hideMark/>
          </w:tcPr>
          <w:p w14:paraId="75968618" w14:textId="77C3C476"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AA33756" w14:textId="5055B2C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28EB861" w14:textId="4D04D239" w:rsidR="00F826D0" w:rsidRPr="003328EE" w:rsidRDefault="00F826D0" w:rsidP="00D65F93">
            <w:pPr>
              <w:rPr>
                <w:rFonts w:eastAsia="Times New Roman"/>
                <w:color w:val="000000"/>
                <w:sz w:val="18"/>
                <w:szCs w:val="18"/>
              </w:rPr>
            </w:pPr>
            <w:r w:rsidRPr="003328EE">
              <w:rPr>
                <w:rFonts w:eastAsia="Times New Roman"/>
                <w:color w:val="000000"/>
                <w:sz w:val="18"/>
                <w:szCs w:val="18"/>
              </w:rPr>
              <w:t>Gobert &amp; Duncan, 2009</w:t>
            </w:r>
          </w:p>
        </w:tc>
        <w:tc>
          <w:tcPr>
            <w:tcW w:w="1156" w:type="dxa"/>
            <w:tcBorders>
              <w:top w:val="nil"/>
              <w:left w:val="nil"/>
              <w:bottom w:val="nil"/>
              <w:right w:val="nil"/>
            </w:tcBorders>
            <w:shd w:val="clear" w:color="auto" w:fill="auto"/>
            <w:noWrap/>
            <w:vAlign w:val="bottom"/>
            <w:hideMark/>
          </w:tcPr>
          <w:p w14:paraId="48444EC9" w14:textId="57ED92D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030E0D4" w14:textId="77777777" w:rsidTr="00D65F93">
        <w:trPr>
          <w:trHeight w:val="320"/>
        </w:trPr>
        <w:tc>
          <w:tcPr>
            <w:tcW w:w="3545" w:type="dxa"/>
            <w:tcBorders>
              <w:top w:val="nil"/>
              <w:left w:val="nil"/>
              <w:bottom w:val="nil"/>
              <w:right w:val="nil"/>
            </w:tcBorders>
            <w:shd w:val="clear" w:color="auto" w:fill="auto"/>
            <w:noWrap/>
            <w:vAlign w:val="bottom"/>
            <w:hideMark/>
          </w:tcPr>
          <w:p w14:paraId="35477CD3" w14:textId="2D89AD66" w:rsidR="00F826D0" w:rsidRPr="003328EE" w:rsidRDefault="00F826D0" w:rsidP="00D65F93">
            <w:pPr>
              <w:rPr>
                <w:rFonts w:eastAsia="Times New Roman"/>
                <w:color w:val="000000"/>
                <w:sz w:val="18"/>
                <w:szCs w:val="18"/>
              </w:rPr>
            </w:pPr>
            <w:r w:rsidRPr="003328EE">
              <w:rPr>
                <w:rFonts w:eastAsia="Times New Roman"/>
                <w:color w:val="000000"/>
                <w:sz w:val="18"/>
                <w:szCs w:val="18"/>
              </w:rPr>
              <w:t>Cost Myth</w:t>
            </w:r>
          </w:p>
        </w:tc>
        <w:tc>
          <w:tcPr>
            <w:tcW w:w="3183" w:type="dxa"/>
            <w:tcBorders>
              <w:top w:val="nil"/>
              <w:left w:val="nil"/>
              <w:bottom w:val="nil"/>
              <w:right w:val="nil"/>
            </w:tcBorders>
            <w:shd w:val="clear" w:color="auto" w:fill="auto"/>
            <w:noWrap/>
            <w:vAlign w:val="bottom"/>
            <w:hideMark/>
          </w:tcPr>
          <w:p w14:paraId="128C6852" w14:textId="1593C7ED" w:rsidR="00F826D0" w:rsidRPr="003328EE" w:rsidRDefault="00F826D0" w:rsidP="00D65F93">
            <w:pPr>
              <w:rPr>
                <w:rFonts w:eastAsia="Times New Roman"/>
                <w:color w:val="000000"/>
                <w:sz w:val="18"/>
                <w:szCs w:val="18"/>
              </w:rPr>
            </w:pPr>
            <w:r w:rsidRPr="003328EE">
              <w:rPr>
                <w:rFonts w:eastAsia="Times New Roman"/>
                <w:color w:val="000000"/>
                <w:sz w:val="18"/>
                <w:szCs w:val="18"/>
              </w:rPr>
              <w:t>Perception</w:t>
            </w:r>
          </w:p>
        </w:tc>
        <w:tc>
          <w:tcPr>
            <w:tcW w:w="2061" w:type="dxa"/>
            <w:tcBorders>
              <w:top w:val="nil"/>
              <w:left w:val="nil"/>
              <w:bottom w:val="nil"/>
              <w:right w:val="nil"/>
            </w:tcBorders>
            <w:shd w:val="clear" w:color="auto" w:fill="auto"/>
            <w:noWrap/>
            <w:vAlign w:val="bottom"/>
            <w:hideMark/>
          </w:tcPr>
          <w:p w14:paraId="2F8AD813" w14:textId="27221A51"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C9012E9" w14:textId="75B7151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E3275D2" w14:textId="44792869" w:rsidR="00F826D0" w:rsidRPr="003328EE" w:rsidRDefault="00F826D0" w:rsidP="00D65F93">
            <w:pPr>
              <w:rPr>
                <w:rFonts w:eastAsia="Times New Roman"/>
                <w:color w:val="000000"/>
                <w:sz w:val="18"/>
                <w:szCs w:val="18"/>
              </w:rPr>
            </w:pPr>
            <w:r w:rsidRPr="003328EE">
              <w:rPr>
                <w:rFonts w:eastAsia="Times New Roman"/>
                <w:color w:val="000000"/>
                <w:sz w:val="18"/>
                <w:szCs w:val="18"/>
              </w:rPr>
              <w:t>Makiniemi &amp; Vinio, 2014</w:t>
            </w:r>
          </w:p>
        </w:tc>
        <w:tc>
          <w:tcPr>
            <w:tcW w:w="1156" w:type="dxa"/>
            <w:tcBorders>
              <w:top w:val="nil"/>
              <w:left w:val="nil"/>
              <w:bottom w:val="nil"/>
              <w:right w:val="nil"/>
            </w:tcBorders>
            <w:shd w:val="clear" w:color="auto" w:fill="auto"/>
            <w:noWrap/>
            <w:vAlign w:val="bottom"/>
            <w:hideMark/>
          </w:tcPr>
          <w:p w14:paraId="30DED8D3" w14:textId="3E3BD6A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5C4DFB9" w14:textId="77777777" w:rsidTr="00D65F93">
        <w:trPr>
          <w:trHeight w:val="320"/>
        </w:trPr>
        <w:tc>
          <w:tcPr>
            <w:tcW w:w="3545" w:type="dxa"/>
            <w:tcBorders>
              <w:top w:val="nil"/>
              <w:left w:val="nil"/>
              <w:bottom w:val="nil"/>
              <w:right w:val="nil"/>
            </w:tcBorders>
            <w:shd w:val="clear" w:color="auto" w:fill="auto"/>
            <w:noWrap/>
            <w:vAlign w:val="bottom"/>
            <w:hideMark/>
          </w:tcPr>
          <w:p w14:paraId="1E2E1E7A" w14:textId="584A5B12" w:rsidR="00F826D0" w:rsidRPr="003328EE" w:rsidRDefault="00F826D0" w:rsidP="00D65F93">
            <w:pPr>
              <w:rPr>
                <w:rFonts w:eastAsia="Times New Roman"/>
                <w:color w:val="000000"/>
                <w:sz w:val="18"/>
                <w:szCs w:val="18"/>
              </w:rPr>
            </w:pPr>
            <w:r w:rsidRPr="003328EE">
              <w:rPr>
                <w:rFonts w:eastAsia="Times New Roman"/>
                <w:color w:val="000000"/>
                <w:sz w:val="18"/>
                <w:szCs w:val="18"/>
              </w:rPr>
              <w:t>Cost Myth</w:t>
            </w:r>
          </w:p>
        </w:tc>
        <w:tc>
          <w:tcPr>
            <w:tcW w:w="3183" w:type="dxa"/>
            <w:tcBorders>
              <w:top w:val="nil"/>
              <w:left w:val="nil"/>
              <w:bottom w:val="nil"/>
              <w:right w:val="nil"/>
            </w:tcBorders>
            <w:shd w:val="clear" w:color="auto" w:fill="auto"/>
            <w:noWrap/>
            <w:vAlign w:val="bottom"/>
            <w:hideMark/>
          </w:tcPr>
          <w:p w14:paraId="6A53F2BA" w14:textId="5A61B230" w:rsidR="00F826D0" w:rsidRPr="003328EE" w:rsidRDefault="00F826D0" w:rsidP="00D65F93">
            <w:pPr>
              <w:rPr>
                <w:rFonts w:eastAsia="Times New Roman"/>
                <w:color w:val="000000"/>
                <w:sz w:val="18"/>
                <w:szCs w:val="18"/>
              </w:rPr>
            </w:pPr>
            <w:r w:rsidRPr="003328EE">
              <w:rPr>
                <w:rFonts w:eastAsia="Times New Roman"/>
                <w:color w:val="000000"/>
                <w:sz w:val="18"/>
                <w:szCs w:val="18"/>
              </w:rPr>
              <w:t>Perception</w:t>
            </w:r>
          </w:p>
        </w:tc>
        <w:tc>
          <w:tcPr>
            <w:tcW w:w="2061" w:type="dxa"/>
            <w:tcBorders>
              <w:top w:val="nil"/>
              <w:left w:val="nil"/>
              <w:bottom w:val="nil"/>
              <w:right w:val="nil"/>
            </w:tcBorders>
            <w:shd w:val="clear" w:color="auto" w:fill="auto"/>
            <w:noWrap/>
            <w:vAlign w:val="bottom"/>
            <w:hideMark/>
          </w:tcPr>
          <w:p w14:paraId="3193C38E" w14:textId="4F56FF8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CC1ED57" w14:textId="17684FC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6BAD26A" w14:textId="3AA8A049" w:rsidR="00F826D0" w:rsidRPr="003328EE" w:rsidRDefault="00F826D0" w:rsidP="00D65F93">
            <w:pPr>
              <w:rPr>
                <w:rFonts w:eastAsia="Times New Roman"/>
                <w:color w:val="000000"/>
                <w:sz w:val="18"/>
                <w:szCs w:val="18"/>
              </w:rPr>
            </w:pPr>
            <w:r w:rsidRPr="003328EE">
              <w:rPr>
                <w:rFonts w:eastAsia="Times New Roman"/>
                <w:color w:val="000000"/>
                <w:sz w:val="18"/>
                <w:szCs w:val="18"/>
              </w:rPr>
              <w:t>Neumark-Sztainer et al., 1999</w:t>
            </w:r>
          </w:p>
        </w:tc>
        <w:tc>
          <w:tcPr>
            <w:tcW w:w="1156" w:type="dxa"/>
            <w:tcBorders>
              <w:top w:val="nil"/>
              <w:left w:val="nil"/>
              <w:bottom w:val="nil"/>
              <w:right w:val="nil"/>
            </w:tcBorders>
            <w:shd w:val="clear" w:color="auto" w:fill="auto"/>
            <w:noWrap/>
            <w:vAlign w:val="bottom"/>
            <w:hideMark/>
          </w:tcPr>
          <w:p w14:paraId="4826DBA3" w14:textId="65E7AC9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90A31A2" w14:textId="77777777" w:rsidTr="00D65F93">
        <w:trPr>
          <w:trHeight w:val="320"/>
        </w:trPr>
        <w:tc>
          <w:tcPr>
            <w:tcW w:w="3545" w:type="dxa"/>
            <w:tcBorders>
              <w:top w:val="nil"/>
              <w:left w:val="nil"/>
              <w:bottom w:val="nil"/>
              <w:right w:val="nil"/>
            </w:tcBorders>
            <w:shd w:val="clear" w:color="auto" w:fill="auto"/>
            <w:noWrap/>
            <w:vAlign w:val="bottom"/>
            <w:hideMark/>
          </w:tcPr>
          <w:p w14:paraId="3CC77813" w14:textId="3DDAD6CF" w:rsidR="00F826D0" w:rsidRPr="003328EE" w:rsidRDefault="00F826D0" w:rsidP="00D65F93">
            <w:pPr>
              <w:rPr>
                <w:rFonts w:eastAsia="Times New Roman"/>
                <w:color w:val="000000"/>
                <w:sz w:val="18"/>
                <w:szCs w:val="18"/>
              </w:rPr>
            </w:pPr>
            <w:r w:rsidRPr="003328EE">
              <w:rPr>
                <w:rFonts w:eastAsia="Times New Roman"/>
                <w:color w:val="000000"/>
                <w:sz w:val="18"/>
                <w:szCs w:val="18"/>
              </w:rPr>
              <w:t>Cost Myth</w:t>
            </w:r>
          </w:p>
        </w:tc>
        <w:tc>
          <w:tcPr>
            <w:tcW w:w="3183" w:type="dxa"/>
            <w:tcBorders>
              <w:top w:val="nil"/>
              <w:left w:val="nil"/>
              <w:bottom w:val="nil"/>
              <w:right w:val="nil"/>
            </w:tcBorders>
            <w:shd w:val="clear" w:color="auto" w:fill="auto"/>
            <w:noWrap/>
            <w:vAlign w:val="bottom"/>
            <w:hideMark/>
          </w:tcPr>
          <w:p w14:paraId="4B564FC3" w14:textId="44A6BFCF" w:rsidR="00F826D0" w:rsidRPr="003328EE" w:rsidRDefault="00F826D0" w:rsidP="00D65F93">
            <w:pPr>
              <w:rPr>
                <w:rFonts w:eastAsia="Times New Roman"/>
                <w:color w:val="000000"/>
                <w:sz w:val="18"/>
                <w:szCs w:val="18"/>
              </w:rPr>
            </w:pPr>
            <w:r w:rsidRPr="003328EE">
              <w:rPr>
                <w:rFonts w:eastAsia="Times New Roman"/>
                <w:color w:val="000000"/>
                <w:sz w:val="18"/>
                <w:szCs w:val="18"/>
              </w:rPr>
              <w:t>Perception</w:t>
            </w:r>
          </w:p>
        </w:tc>
        <w:tc>
          <w:tcPr>
            <w:tcW w:w="2061" w:type="dxa"/>
            <w:tcBorders>
              <w:top w:val="nil"/>
              <w:left w:val="nil"/>
              <w:bottom w:val="nil"/>
              <w:right w:val="nil"/>
            </w:tcBorders>
            <w:shd w:val="clear" w:color="auto" w:fill="auto"/>
            <w:noWrap/>
            <w:vAlign w:val="bottom"/>
            <w:hideMark/>
          </w:tcPr>
          <w:p w14:paraId="493EC408" w14:textId="00D641F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7F338BB" w14:textId="61F7E46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8D41EE6" w14:textId="28840DBE" w:rsidR="00F826D0" w:rsidRPr="003328EE" w:rsidRDefault="00F826D0" w:rsidP="00D65F93">
            <w:pPr>
              <w:rPr>
                <w:rFonts w:eastAsia="Times New Roman"/>
                <w:color w:val="000000"/>
                <w:sz w:val="18"/>
                <w:szCs w:val="18"/>
              </w:rPr>
            </w:pPr>
            <w:r w:rsidRPr="003328EE">
              <w:rPr>
                <w:rFonts w:eastAsia="Times New Roman"/>
                <w:color w:val="000000"/>
                <w:sz w:val="18"/>
                <w:szCs w:val="18"/>
              </w:rPr>
              <w:t>Wnsink et al., 2014</w:t>
            </w:r>
          </w:p>
        </w:tc>
        <w:tc>
          <w:tcPr>
            <w:tcW w:w="1156" w:type="dxa"/>
            <w:tcBorders>
              <w:top w:val="nil"/>
              <w:left w:val="nil"/>
              <w:bottom w:val="nil"/>
              <w:right w:val="nil"/>
            </w:tcBorders>
            <w:shd w:val="clear" w:color="auto" w:fill="auto"/>
            <w:noWrap/>
            <w:vAlign w:val="bottom"/>
            <w:hideMark/>
          </w:tcPr>
          <w:p w14:paraId="1CB2238A" w14:textId="176B1F9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C165C6A" w14:textId="77777777" w:rsidTr="00D65F93">
        <w:trPr>
          <w:trHeight w:val="320"/>
        </w:trPr>
        <w:tc>
          <w:tcPr>
            <w:tcW w:w="3545" w:type="dxa"/>
            <w:tcBorders>
              <w:top w:val="nil"/>
              <w:left w:val="nil"/>
              <w:bottom w:val="nil"/>
              <w:right w:val="nil"/>
            </w:tcBorders>
            <w:shd w:val="clear" w:color="auto" w:fill="auto"/>
            <w:noWrap/>
            <w:vAlign w:val="bottom"/>
            <w:hideMark/>
          </w:tcPr>
          <w:p w14:paraId="171EFF27" w14:textId="4BD9126B" w:rsidR="00F826D0" w:rsidRPr="003328EE" w:rsidRDefault="00F826D0" w:rsidP="00D65F93">
            <w:pPr>
              <w:rPr>
                <w:rFonts w:eastAsia="Times New Roman"/>
                <w:color w:val="000000"/>
                <w:sz w:val="18"/>
                <w:szCs w:val="18"/>
              </w:rPr>
            </w:pPr>
            <w:r w:rsidRPr="003328EE">
              <w:rPr>
                <w:rFonts w:eastAsia="Times New Roman"/>
                <w:color w:val="000000"/>
                <w:sz w:val="18"/>
                <w:szCs w:val="18"/>
              </w:rPr>
              <w:t>Cost Myth</w:t>
            </w:r>
          </w:p>
        </w:tc>
        <w:tc>
          <w:tcPr>
            <w:tcW w:w="3183" w:type="dxa"/>
            <w:tcBorders>
              <w:top w:val="nil"/>
              <w:left w:val="nil"/>
              <w:bottom w:val="nil"/>
              <w:right w:val="nil"/>
            </w:tcBorders>
            <w:shd w:val="clear" w:color="auto" w:fill="auto"/>
            <w:noWrap/>
            <w:vAlign w:val="bottom"/>
            <w:hideMark/>
          </w:tcPr>
          <w:p w14:paraId="1B2F32D8" w14:textId="7B89982F" w:rsidR="00F826D0" w:rsidRPr="003328EE" w:rsidRDefault="00F826D0" w:rsidP="00D65F93">
            <w:pPr>
              <w:rPr>
                <w:rFonts w:eastAsia="Times New Roman"/>
                <w:color w:val="000000"/>
                <w:sz w:val="18"/>
                <w:szCs w:val="18"/>
              </w:rPr>
            </w:pPr>
            <w:r w:rsidRPr="003328EE">
              <w:rPr>
                <w:rFonts w:eastAsia="Times New Roman"/>
                <w:color w:val="000000"/>
                <w:sz w:val="18"/>
                <w:szCs w:val="18"/>
              </w:rPr>
              <w:t>Perception</w:t>
            </w:r>
          </w:p>
        </w:tc>
        <w:tc>
          <w:tcPr>
            <w:tcW w:w="2061" w:type="dxa"/>
            <w:tcBorders>
              <w:top w:val="nil"/>
              <w:left w:val="nil"/>
              <w:bottom w:val="nil"/>
              <w:right w:val="nil"/>
            </w:tcBorders>
            <w:shd w:val="clear" w:color="auto" w:fill="auto"/>
            <w:noWrap/>
            <w:vAlign w:val="bottom"/>
            <w:hideMark/>
          </w:tcPr>
          <w:p w14:paraId="7CBE3A5E" w14:textId="6530E455"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8D2274E" w14:textId="6CCFC89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13A9841" w14:textId="29852252"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5FEFC2F0" w14:textId="6E2BF167"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1A03423" w14:textId="77777777" w:rsidTr="00D65F93">
        <w:trPr>
          <w:trHeight w:val="320"/>
        </w:trPr>
        <w:tc>
          <w:tcPr>
            <w:tcW w:w="3545" w:type="dxa"/>
            <w:tcBorders>
              <w:top w:val="nil"/>
              <w:left w:val="nil"/>
              <w:bottom w:val="nil"/>
              <w:right w:val="nil"/>
            </w:tcBorders>
            <w:shd w:val="clear" w:color="auto" w:fill="auto"/>
            <w:noWrap/>
            <w:vAlign w:val="bottom"/>
            <w:hideMark/>
          </w:tcPr>
          <w:p w14:paraId="50E3FF36" w14:textId="6A5254AF" w:rsidR="00F826D0" w:rsidRPr="003328EE" w:rsidRDefault="00F826D0" w:rsidP="00D65F93">
            <w:pPr>
              <w:rPr>
                <w:rFonts w:eastAsia="Times New Roman"/>
                <w:color w:val="000000"/>
                <w:sz w:val="18"/>
                <w:szCs w:val="18"/>
              </w:rPr>
            </w:pPr>
            <w:r w:rsidRPr="003328EE">
              <w:rPr>
                <w:rFonts w:eastAsia="Times New Roman"/>
                <w:color w:val="000000"/>
                <w:sz w:val="18"/>
                <w:szCs w:val="18"/>
              </w:rPr>
              <w:t>Cost Myth</w:t>
            </w:r>
          </w:p>
        </w:tc>
        <w:tc>
          <w:tcPr>
            <w:tcW w:w="3183" w:type="dxa"/>
            <w:tcBorders>
              <w:top w:val="nil"/>
              <w:left w:val="nil"/>
              <w:bottom w:val="nil"/>
              <w:right w:val="nil"/>
            </w:tcBorders>
            <w:shd w:val="clear" w:color="auto" w:fill="auto"/>
            <w:noWrap/>
            <w:vAlign w:val="bottom"/>
            <w:hideMark/>
          </w:tcPr>
          <w:p w14:paraId="55C29701" w14:textId="36049572" w:rsidR="00F826D0" w:rsidRPr="003328EE" w:rsidRDefault="00F826D0" w:rsidP="00D65F93">
            <w:pPr>
              <w:rPr>
                <w:rFonts w:eastAsia="Times New Roman"/>
                <w:color w:val="000000"/>
                <w:sz w:val="18"/>
                <w:szCs w:val="18"/>
              </w:rPr>
            </w:pPr>
            <w:r w:rsidRPr="003328EE">
              <w:rPr>
                <w:rFonts w:eastAsia="Times New Roman"/>
                <w:color w:val="000000"/>
                <w:sz w:val="18"/>
                <w:szCs w:val="18"/>
              </w:rPr>
              <w:t>Perception</w:t>
            </w:r>
          </w:p>
        </w:tc>
        <w:tc>
          <w:tcPr>
            <w:tcW w:w="2061" w:type="dxa"/>
            <w:tcBorders>
              <w:top w:val="nil"/>
              <w:left w:val="nil"/>
              <w:bottom w:val="nil"/>
              <w:right w:val="nil"/>
            </w:tcBorders>
            <w:shd w:val="clear" w:color="auto" w:fill="auto"/>
            <w:noWrap/>
            <w:vAlign w:val="bottom"/>
            <w:hideMark/>
          </w:tcPr>
          <w:p w14:paraId="2527D9C8" w14:textId="5AD138E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4DA8E06" w14:textId="03EB4CB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F8730C7" w14:textId="7C5EFDB4" w:rsidR="00F826D0" w:rsidRPr="003328EE" w:rsidRDefault="00F826D0" w:rsidP="00D65F93">
            <w:pPr>
              <w:rPr>
                <w:rFonts w:eastAsia="Times New Roman"/>
                <w:color w:val="000000"/>
                <w:sz w:val="18"/>
                <w:szCs w:val="18"/>
              </w:rPr>
            </w:pPr>
            <w:r w:rsidRPr="003328EE">
              <w:rPr>
                <w:rFonts w:eastAsia="Times New Roman"/>
                <w:color w:val="000000"/>
                <w:sz w:val="18"/>
                <w:szCs w:val="18"/>
              </w:rPr>
              <w:t>Grabs, 2014</w:t>
            </w:r>
          </w:p>
        </w:tc>
        <w:tc>
          <w:tcPr>
            <w:tcW w:w="1156" w:type="dxa"/>
            <w:tcBorders>
              <w:top w:val="nil"/>
              <w:left w:val="nil"/>
              <w:bottom w:val="nil"/>
              <w:right w:val="nil"/>
            </w:tcBorders>
            <w:shd w:val="clear" w:color="auto" w:fill="auto"/>
            <w:noWrap/>
            <w:vAlign w:val="bottom"/>
            <w:hideMark/>
          </w:tcPr>
          <w:p w14:paraId="10672FC4" w14:textId="6F33D30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38554D7" w14:textId="77777777" w:rsidTr="00D65F93">
        <w:trPr>
          <w:trHeight w:val="320"/>
        </w:trPr>
        <w:tc>
          <w:tcPr>
            <w:tcW w:w="3545" w:type="dxa"/>
            <w:tcBorders>
              <w:top w:val="nil"/>
              <w:left w:val="nil"/>
              <w:bottom w:val="nil"/>
              <w:right w:val="nil"/>
            </w:tcBorders>
            <w:shd w:val="clear" w:color="auto" w:fill="auto"/>
            <w:noWrap/>
            <w:vAlign w:val="bottom"/>
            <w:hideMark/>
          </w:tcPr>
          <w:p w14:paraId="59FD1CEC" w14:textId="0EEC2054" w:rsidR="00F826D0" w:rsidRPr="003328EE" w:rsidRDefault="00F826D0" w:rsidP="00D65F93">
            <w:pPr>
              <w:rPr>
                <w:rFonts w:eastAsia="Times New Roman"/>
                <w:color w:val="000000"/>
                <w:sz w:val="18"/>
                <w:szCs w:val="18"/>
              </w:rPr>
            </w:pPr>
            <w:r w:rsidRPr="003328EE">
              <w:rPr>
                <w:rFonts w:eastAsia="Times New Roman"/>
                <w:color w:val="000000"/>
                <w:sz w:val="18"/>
                <w:szCs w:val="18"/>
              </w:rPr>
              <w:t>Cost Myth</w:t>
            </w:r>
          </w:p>
        </w:tc>
        <w:tc>
          <w:tcPr>
            <w:tcW w:w="3183" w:type="dxa"/>
            <w:tcBorders>
              <w:top w:val="nil"/>
              <w:left w:val="nil"/>
              <w:bottom w:val="nil"/>
              <w:right w:val="nil"/>
            </w:tcBorders>
            <w:shd w:val="clear" w:color="auto" w:fill="auto"/>
            <w:noWrap/>
            <w:vAlign w:val="bottom"/>
            <w:hideMark/>
          </w:tcPr>
          <w:p w14:paraId="5E4B6D63" w14:textId="1DED3614" w:rsidR="00F826D0" w:rsidRPr="003328EE" w:rsidRDefault="00F826D0" w:rsidP="00D65F93">
            <w:pPr>
              <w:rPr>
                <w:rFonts w:eastAsia="Times New Roman"/>
                <w:color w:val="000000"/>
                <w:sz w:val="18"/>
                <w:szCs w:val="18"/>
              </w:rPr>
            </w:pPr>
            <w:r w:rsidRPr="003328EE">
              <w:rPr>
                <w:rFonts w:eastAsia="Times New Roman"/>
                <w:color w:val="000000"/>
                <w:sz w:val="18"/>
                <w:szCs w:val="18"/>
              </w:rPr>
              <w:t>Perception</w:t>
            </w:r>
          </w:p>
        </w:tc>
        <w:tc>
          <w:tcPr>
            <w:tcW w:w="2061" w:type="dxa"/>
            <w:tcBorders>
              <w:top w:val="nil"/>
              <w:left w:val="nil"/>
              <w:bottom w:val="nil"/>
              <w:right w:val="nil"/>
            </w:tcBorders>
            <w:shd w:val="clear" w:color="auto" w:fill="auto"/>
            <w:noWrap/>
            <w:vAlign w:val="bottom"/>
            <w:hideMark/>
          </w:tcPr>
          <w:p w14:paraId="0EB05F23" w14:textId="319995D7"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1F3E71F9" w14:textId="2712891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9A71009" w14:textId="7D31991B" w:rsidR="00F826D0" w:rsidRPr="003328EE" w:rsidRDefault="00F826D0" w:rsidP="00D65F93">
            <w:pPr>
              <w:rPr>
                <w:rFonts w:eastAsia="Times New Roman"/>
                <w:color w:val="000000"/>
                <w:sz w:val="18"/>
                <w:szCs w:val="18"/>
              </w:rPr>
            </w:pPr>
            <w:r w:rsidRPr="003328EE">
              <w:rPr>
                <w:rFonts w:eastAsia="Times New Roman"/>
                <w:color w:val="000000"/>
                <w:sz w:val="18"/>
                <w:szCs w:val="18"/>
              </w:rPr>
              <w:t>Rose, 2010</w:t>
            </w:r>
          </w:p>
        </w:tc>
        <w:tc>
          <w:tcPr>
            <w:tcW w:w="1156" w:type="dxa"/>
            <w:tcBorders>
              <w:top w:val="nil"/>
              <w:left w:val="nil"/>
              <w:bottom w:val="nil"/>
              <w:right w:val="nil"/>
            </w:tcBorders>
            <w:shd w:val="clear" w:color="auto" w:fill="auto"/>
            <w:noWrap/>
            <w:vAlign w:val="bottom"/>
            <w:hideMark/>
          </w:tcPr>
          <w:p w14:paraId="591EF40C" w14:textId="08E1425C" w:rsidR="00F826D0" w:rsidRPr="003328EE" w:rsidRDefault="00F826D0" w:rsidP="00D65F93">
            <w:pPr>
              <w:rPr>
                <w:rFonts w:eastAsia="Times New Roman"/>
                <w:color w:val="000000"/>
                <w:sz w:val="18"/>
                <w:szCs w:val="18"/>
              </w:rPr>
            </w:pPr>
            <w:r w:rsidRPr="003328EE">
              <w:rPr>
                <w:rFonts w:eastAsia="Times New Roman"/>
                <w:color w:val="000000"/>
                <w:sz w:val="18"/>
                <w:szCs w:val="18"/>
              </w:rPr>
              <w:t>Symposium</w:t>
            </w:r>
          </w:p>
        </w:tc>
      </w:tr>
      <w:tr w:rsidR="00F826D0" w:rsidRPr="003328EE" w14:paraId="0397C30B" w14:textId="77777777" w:rsidTr="00D65F93">
        <w:trPr>
          <w:trHeight w:val="320"/>
        </w:trPr>
        <w:tc>
          <w:tcPr>
            <w:tcW w:w="3545" w:type="dxa"/>
            <w:tcBorders>
              <w:top w:val="nil"/>
              <w:left w:val="nil"/>
              <w:bottom w:val="nil"/>
              <w:right w:val="nil"/>
            </w:tcBorders>
            <w:shd w:val="clear" w:color="auto" w:fill="auto"/>
            <w:noWrap/>
            <w:vAlign w:val="bottom"/>
            <w:hideMark/>
          </w:tcPr>
          <w:p w14:paraId="7D1485D5" w14:textId="6482C19B" w:rsidR="00F826D0" w:rsidRPr="003328EE" w:rsidRDefault="00F826D0" w:rsidP="00D65F93">
            <w:pPr>
              <w:rPr>
                <w:rFonts w:eastAsia="Times New Roman"/>
                <w:color w:val="000000"/>
                <w:sz w:val="18"/>
                <w:szCs w:val="18"/>
              </w:rPr>
            </w:pPr>
            <w:r w:rsidRPr="003328EE">
              <w:rPr>
                <w:rFonts w:eastAsia="Times New Roman"/>
                <w:color w:val="000000"/>
                <w:sz w:val="18"/>
                <w:szCs w:val="18"/>
              </w:rPr>
              <w:t>Cost Myth</w:t>
            </w:r>
          </w:p>
        </w:tc>
        <w:tc>
          <w:tcPr>
            <w:tcW w:w="3183" w:type="dxa"/>
            <w:tcBorders>
              <w:top w:val="nil"/>
              <w:left w:val="nil"/>
              <w:bottom w:val="nil"/>
              <w:right w:val="nil"/>
            </w:tcBorders>
            <w:shd w:val="clear" w:color="auto" w:fill="auto"/>
            <w:noWrap/>
            <w:vAlign w:val="bottom"/>
            <w:hideMark/>
          </w:tcPr>
          <w:p w14:paraId="175F3265" w14:textId="497C54BA" w:rsidR="00F826D0" w:rsidRPr="003328EE" w:rsidRDefault="00F826D0" w:rsidP="00D65F93">
            <w:pPr>
              <w:rPr>
                <w:rFonts w:eastAsia="Times New Roman"/>
                <w:color w:val="000000"/>
                <w:sz w:val="18"/>
                <w:szCs w:val="18"/>
              </w:rPr>
            </w:pPr>
            <w:r w:rsidRPr="003328EE">
              <w:rPr>
                <w:rFonts w:eastAsia="Times New Roman"/>
                <w:color w:val="000000"/>
                <w:sz w:val="18"/>
                <w:szCs w:val="18"/>
              </w:rPr>
              <w:t>Perception</w:t>
            </w:r>
          </w:p>
        </w:tc>
        <w:tc>
          <w:tcPr>
            <w:tcW w:w="2061" w:type="dxa"/>
            <w:tcBorders>
              <w:top w:val="nil"/>
              <w:left w:val="nil"/>
              <w:bottom w:val="nil"/>
              <w:right w:val="nil"/>
            </w:tcBorders>
            <w:shd w:val="clear" w:color="auto" w:fill="auto"/>
            <w:noWrap/>
            <w:vAlign w:val="bottom"/>
            <w:hideMark/>
          </w:tcPr>
          <w:p w14:paraId="3A1D0377" w14:textId="2F109F06"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61ABD9B" w14:textId="4F841BF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AE8A0D3" w14:textId="777B01FE" w:rsidR="00F826D0" w:rsidRPr="003328EE" w:rsidRDefault="00F826D0" w:rsidP="00D65F93">
            <w:pPr>
              <w:rPr>
                <w:rFonts w:eastAsia="Times New Roman"/>
                <w:color w:val="000000"/>
                <w:sz w:val="18"/>
                <w:szCs w:val="18"/>
              </w:rPr>
            </w:pPr>
            <w:r w:rsidRPr="003328EE">
              <w:rPr>
                <w:rFonts w:eastAsia="Times New Roman"/>
                <w:color w:val="000000"/>
                <w:sz w:val="18"/>
                <w:szCs w:val="18"/>
              </w:rPr>
              <w:t>de Boer et al., 2016</w:t>
            </w:r>
          </w:p>
        </w:tc>
        <w:tc>
          <w:tcPr>
            <w:tcW w:w="1156" w:type="dxa"/>
            <w:tcBorders>
              <w:top w:val="nil"/>
              <w:left w:val="nil"/>
              <w:bottom w:val="nil"/>
              <w:right w:val="nil"/>
            </w:tcBorders>
            <w:shd w:val="clear" w:color="auto" w:fill="auto"/>
            <w:noWrap/>
            <w:vAlign w:val="bottom"/>
            <w:hideMark/>
          </w:tcPr>
          <w:p w14:paraId="596E9D5C" w14:textId="7053E7F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9482BE4" w14:textId="77777777" w:rsidTr="00D65F93">
        <w:trPr>
          <w:trHeight w:val="320"/>
        </w:trPr>
        <w:tc>
          <w:tcPr>
            <w:tcW w:w="3545" w:type="dxa"/>
            <w:tcBorders>
              <w:top w:val="nil"/>
              <w:left w:val="nil"/>
              <w:bottom w:val="nil"/>
              <w:right w:val="nil"/>
            </w:tcBorders>
            <w:shd w:val="clear" w:color="auto" w:fill="auto"/>
            <w:noWrap/>
            <w:vAlign w:val="bottom"/>
            <w:hideMark/>
          </w:tcPr>
          <w:p w14:paraId="702230B2" w14:textId="42560A50" w:rsidR="00F826D0" w:rsidRPr="003328EE" w:rsidRDefault="00F826D0" w:rsidP="00D65F93">
            <w:pPr>
              <w:rPr>
                <w:rFonts w:eastAsia="Times New Roman"/>
                <w:color w:val="000000"/>
                <w:sz w:val="18"/>
                <w:szCs w:val="18"/>
              </w:rPr>
            </w:pPr>
            <w:r w:rsidRPr="003328EE">
              <w:rPr>
                <w:rFonts w:eastAsia="Times New Roman"/>
                <w:color w:val="000000"/>
                <w:sz w:val="18"/>
                <w:szCs w:val="18"/>
              </w:rPr>
              <w:t>Cost Myth</w:t>
            </w:r>
          </w:p>
        </w:tc>
        <w:tc>
          <w:tcPr>
            <w:tcW w:w="3183" w:type="dxa"/>
            <w:tcBorders>
              <w:top w:val="nil"/>
              <w:left w:val="nil"/>
              <w:bottom w:val="nil"/>
              <w:right w:val="nil"/>
            </w:tcBorders>
            <w:shd w:val="clear" w:color="auto" w:fill="auto"/>
            <w:noWrap/>
            <w:vAlign w:val="bottom"/>
            <w:hideMark/>
          </w:tcPr>
          <w:p w14:paraId="6AB3033D" w14:textId="32763846" w:rsidR="00F826D0" w:rsidRPr="003328EE" w:rsidRDefault="00F826D0" w:rsidP="00D65F93">
            <w:pPr>
              <w:rPr>
                <w:rFonts w:eastAsia="Times New Roman"/>
                <w:color w:val="000000"/>
                <w:sz w:val="18"/>
                <w:szCs w:val="18"/>
              </w:rPr>
            </w:pPr>
            <w:r w:rsidRPr="003328EE">
              <w:rPr>
                <w:rFonts w:eastAsia="Times New Roman"/>
                <w:color w:val="000000"/>
                <w:sz w:val="18"/>
                <w:szCs w:val="18"/>
              </w:rPr>
              <w:t>Perception</w:t>
            </w:r>
          </w:p>
        </w:tc>
        <w:tc>
          <w:tcPr>
            <w:tcW w:w="2061" w:type="dxa"/>
            <w:tcBorders>
              <w:top w:val="nil"/>
              <w:left w:val="nil"/>
              <w:bottom w:val="nil"/>
              <w:right w:val="nil"/>
            </w:tcBorders>
            <w:shd w:val="clear" w:color="auto" w:fill="auto"/>
            <w:noWrap/>
            <w:vAlign w:val="bottom"/>
            <w:hideMark/>
          </w:tcPr>
          <w:p w14:paraId="70902E9F" w14:textId="16C585D4"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6598671" w14:textId="057A202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387807C" w14:textId="6FD7812E" w:rsidR="00F826D0" w:rsidRPr="003328EE" w:rsidRDefault="00F826D0" w:rsidP="00D65F93">
            <w:pPr>
              <w:rPr>
                <w:rFonts w:eastAsia="Times New Roman"/>
                <w:color w:val="000000"/>
                <w:sz w:val="18"/>
                <w:szCs w:val="18"/>
              </w:rPr>
            </w:pPr>
            <w:r w:rsidRPr="003328EE">
              <w:rPr>
                <w:rFonts w:eastAsia="Times New Roman"/>
                <w:color w:val="000000"/>
                <w:sz w:val="18"/>
                <w:szCs w:val="18"/>
              </w:rPr>
              <w:t>Caracciolo et al., 2016</w:t>
            </w:r>
          </w:p>
        </w:tc>
        <w:tc>
          <w:tcPr>
            <w:tcW w:w="1156" w:type="dxa"/>
            <w:tcBorders>
              <w:top w:val="nil"/>
              <w:left w:val="nil"/>
              <w:bottom w:val="nil"/>
              <w:right w:val="nil"/>
            </w:tcBorders>
            <w:shd w:val="clear" w:color="auto" w:fill="auto"/>
            <w:noWrap/>
            <w:vAlign w:val="bottom"/>
            <w:hideMark/>
          </w:tcPr>
          <w:p w14:paraId="5058C9F2" w14:textId="0B1B292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E8CFEDC" w14:textId="77777777" w:rsidTr="00D65F93">
        <w:trPr>
          <w:trHeight w:val="320"/>
        </w:trPr>
        <w:tc>
          <w:tcPr>
            <w:tcW w:w="3545" w:type="dxa"/>
            <w:tcBorders>
              <w:top w:val="nil"/>
              <w:left w:val="nil"/>
              <w:bottom w:val="nil"/>
              <w:right w:val="nil"/>
            </w:tcBorders>
            <w:shd w:val="clear" w:color="auto" w:fill="auto"/>
            <w:noWrap/>
            <w:vAlign w:val="bottom"/>
            <w:hideMark/>
          </w:tcPr>
          <w:p w14:paraId="60C8C801" w14:textId="7FFEFE2C"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Discrepancy </w:t>
            </w:r>
            <w:r>
              <w:rPr>
                <w:rFonts w:eastAsia="Times New Roman"/>
                <w:color w:val="000000"/>
                <w:sz w:val="18"/>
                <w:szCs w:val="18"/>
              </w:rPr>
              <w:t>in Views</w:t>
            </w:r>
          </w:p>
        </w:tc>
        <w:tc>
          <w:tcPr>
            <w:tcW w:w="3183" w:type="dxa"/>
            <w:tcBorders>
              <w:top w:val="nil"/>
              <w:left w:val="nil"/>
              <w:bottom w:val="nil"/>
              <w:right w:val="nil"/>
            </w:tcBorders>
            <w:shd w:val="clear" w:color="auto" w:fill="auto"/>
            <w:noWrap/>
            <w:vAlign w:val="bottom"/>
            <w:hideMark/>
          </w:tcPr>
          <w:p w14:paraId="11ADCA13" w14:textId="1C9787F3" w:rsidR="00F826D0" w:rsidRPr="003328EE" w:rsidRDefault="00F826D0" w:rsidP="00D65F93">
            <w:pPr>
              <w:rPr>
                <w:rFonts w:eastAsia="Times New Roman"/>
                <w:color w:val="000000"/>
                <w:sz w:val="18"/>
                <w:szCs w:val="18"/>
              </w:rPr>
            </w:pPr>
            <w:r w:rsidRPr="003328EE">
              <w:rPr>
                <w:rFonts w:eastAsia="Times New Roman"/>
                <w:color w:val="000000"/>
                <w:sz w:val="18"/>
                <w:szCs w:val="18"/>
              </w:rPr>
              <w:t>Perception</w:t>
            </w:r>
          </w:p>
        </w:tc>
        <w:tc>
          <w:tcPr>
            <w:tcW w:w="2061" w:type="dxa"/>
            <w:tcBorders>
              <w:top w:val="nil"/>
              <w:left w:val="nil"/>
              <w:bottom w:val="nil"/>
              <w:right w:val="nil"/>
            </w:tcBorders>
            <w:shd w:val="clear" w:color="auto" w:fill="auto"/>
            <w:noWrap/>
            <w:vAlign w:val="bottom"/>
            <w:hideMark/>
          </w:tcPr>
          <w:p w14:paraId="532DEA1B" w14:textId="5115C43C"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37AF849" w14:textId="2614518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F93C044" w14:textId="4CBC2EF6" w:rsidR="00F826D0" w:rsidRPr="003328EE" w:rsidRDefault="00F826D0" w:rsidP="00D65F93">
            <w:pPr>
              <w:rPr>
                <w:rFonts w:eastAsia="Times New Roman"/>
                <w:color w:val="000000"/>
                <w:sz w:val="18"/>
                <w:szCs w:val="18"/>
              </w:rPr>
            </w:pPr>
            <w:r w:rsidRPr="003328EE">
              <w:rPr>
                <w:rFonts w:eastAsia="Times New Roman"/>
                <w:color w:val="000000"/>
                <w:sz w:val="18"/>
                <w:szCs w:val="18"/>
              </w:rPr>
              <w:t>Worsley, 2007</w:t>
            </w:r>
          </w:p>
        </w:tc>
        <w:tc>
          <w:tcPr>
            <w:tcW w:w="1156" w:type="dxa"/>
            <w:tcBorders>
              <w:top w:val="nil"/>
              <w:left w:val="nil"/>
              <w:bottom w:val="nil"/>
              <w:right w:val="nil"/>
            </w:tcBorders>
            <w:shd w:val="clear" w:color="auto" w:fill="auto"/>
            <w:noWrap/>
            <w:vAlign w:val="bottom"/>
            <w:hideMark/>
          </w:tcPr>
          <w:p w14:paraId="2243CFF0" w14:textId="6062B52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7060F49" w14:textId="77777777" w:rsidTr="00D65F93">
        <w:trPr>
          <w:trHeight w:val="320"/>
        </w:trPr>
        <w:tc>
          <w:tcPr>
            <w:tcW w:w="3545" w:type="dxa"/>
            <w:tcBorders>
              <w:top w:val="nil"/>
              <w:left w:val="nil"/>
              <w:bottom w:val="nil"/>
              <w:right w:val="nil"/>
            </w:tcBorders>
            <w:shd w:val="clear" w:color="auto" w:fill="auto"/>
            <w:noWrap/>
            <w:vAlign w:val="bottom"/>
            <w:hideMark/>
          </w:tcPr>
          <w:p w14:paraId="2219FB24" w14:textId="2B87C277"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Discrepancy </w:t>
            </w:r>
            <w:r>
              <w:rPr>
                <w:rFonts w:eastAsia="Times New Roman"/>
                <w:color w:val="000000"/>
                <w:sz w:val="18"/>
                <w:szCs w:val="18"/>
              </w:rPr>
              <w:t>in Views</w:t>
            </w:r>
          </w:p>
        </w:tc>
        <w:tc>
          <w:tcPr>
            <w:tcW w:w="3183" w:type="dxa"/>
            <w:tcBorders>
              <w:top w:val="nil"/>
              <w:left w:val="nil"/>
              <w:bottom w:val="nil"/>
              <w:right w:val="nil"/>
            </w:tcBorders>
            <w:shd w:val="clear" w:color="auto" w:fill="auto"/>
            <w:noWrap/>
            <w:vAlign w:val="bottom"/>
            <w:hideMark/>
          </w:tcPr>
          <w:p w14:paraId="59C456EA" w14:textId="298A6301" w:rsidR="00F826D0" w:rsidRPr="003328EE" w:rsidRDefault="00F826D0" w:rsidP="00D65F93">
            <w:pPr>
              <w:rPr>
                <w:rFonts w:eastAsia="Times New Roman"/>
                <w:color w:val="000000"/>
                <w:sz w:val="18"/>
                <w:szCs w:val="18"/>
              </w:rPr>
            </w:pPr>
            <w:r w:rsidRPr="003328EE">
              <w:rPr>
                <w:rFonts w:eastAsia="Times New Roman"/>
                <w:color w:val="000000"/>
                <w:sz w:val="18"/>
                <w:szCs w:val="18"/>
              </w:rPr>
              <w:t>Perception</w:t>
            </w:r>
          </w:p>
        </w:tc>
        <w:tc>
          <w:tcPr>
            <w:tcW w:w="2061" w:type="dxa"/>
            <w:tcBorders>
              <w:top w:val="nil"/>
              <w:left w:val="nil"/>
              <w:bottom w:val="nil"/>
              <w:right w:val="nil"/>
            </w:tcBorders>
            <w:shd w:val="clear" w:color="auto" w:fill="auto"/>
            <w:noWrap/>
            <w:vAlign w:val="bottom"/>
            <w:hideMark/>
          </w:tcPr>
          <w:p w14:paraId="5C4729BF" w14:textId="019522B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31195CF4" w14:textId="7C9FBE2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50FCAF1" w14:textId="6934528D"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39E95246" w14:textId="6F862C1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2831585" w14:textId="77777777" w:rsidTr="00D65F93">
        <w:trPr>
          <w:trHeight w:val="320"/>
        </w:trPr>
        <w:tc>
          <w:tcPr>
            <w:tcW w:w="3545" w:type="dxa"/>
            <w:tcBorders>
              <w:top w:val="nil"/>
              <w:left w:val="nil"/>
              <w:bottom w:val="nil"/>
              <w:right w:val="nil"/>
            </w:tcBorders>
            <w:shd w:val="clear" w:color="auto" w:fill="auto"/>
            <w:noWrap/>
            <w:vAlign w:val="bottom"/>
            <w:hideMark/>
          </w:tcPr>
          <w:p w14:paraId="4E8544C7" w14:textId="4D16E39B" w:rsidR="00F826D0" w:rsidRPr="003328EE" w:rsidRDefault="00F826D0" w:rsidP="00D65F93">
            <w:pPr>
              <w:rPr>
                <w:rFonts w:eastAsia="Times New Roman"/>
                <w:color w:val="000000"/>
                <w:sz w:val="18"/>
                <w:szCs w:val="18"/>
              </w:rPr>
            </w:pPr>
            <w:r w:rsidRPr="003328EE">
              <w:rPr>
                <w:rFonts w:eastAsia="Times New Roman"/>
                <w:color w:val="000000"/>
                <w:sz w:val="18"/>
                <w:szCs w:val="18"/>
              </w:rPr>
              <w:t>Reliance on Judgmental Heuristics</w:t>
            </w:r>
          </w:p>
        </w:tc>
        <w:tc>
          <w:tcPr>
            <w:tcW w:w="3183" w:type="dxa"/>
            <w:tcBorders>
              <w:top w:val="nil"/>
              <w:left w:val="nil"/>
              <w:bottom w:val="nil"/>
              <w:right w:val="nil"/>
            </w:tcBorders>
            <w:shd w:val="clear" w:color="auto" w:fill="auto"/>
            <w:noWrap/>
            <w:vAlign w:val="bottom"/>
            <w:hideMark/>
          </w:tcPr>
          <w:p w14:paraId="69AC574A" w14:textId="1A593221" w:rsidR="00F826D0" w:rsidRPr="003328EE" w:rsidRDefault="00F826D0" w:rsidP="00D65F93">
            <w:pPr>
              <w:rPr>
                <w:rFonts w:eastAsia="Times New Roman"/>
                <w:color w:val="000000"/>
                <w:sz w:val="18"/>
                <w:szCs w:val="18"/>
              </w:rPr>
            </w:pPr>
            <w:r w:rsidRPr="003328EE">
              <w:rPr>
                <w:rFonts w:eastAsia="Times New Roman"/>
                <w:color w:val="000000"/>
                <w:sz w:val="18"/>
                <w:szCs w:val="18"/>
              </w:rPr>
              <w:t>Suboptimal Decision Making</w:t>
            </w:r>
          </w:p>
        </w:tc>
        <w:tc>
          <w:tcPr>
            <w:tcW w:w="2061" w:type="dxa"/>
            <w:tcBorders>
              <w:top w:val="nil"/>
              <w:left w:val="nil"/>
              <w:bottom w:val="nil"/>
              <w:right w:val="nil"/>
            </w:tcBorders>
            <w:shd w:val="clear" w:color="auto" w:fill="auto"/>
            <w:noWrap/>
            <w:vAlign w:val="bottom"/>
            <w:hideMark/>
          </w:tcPr>
          <w:p w14:paraId="139D9949" w14:textId="66E3D1CF"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200E5279" w14:textId="692FCBA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07EB456" w14:textId="141C7C85" w:rsidR="00F826D0" w:rsidRPr="003328EE" w:rsidRDefault="00F826D0" w:rsidP="00D65F93">
            <w:pPr>
              <w:rPr>
                <w:rFonts w:eastAsia="Times New Roman"/>
                <w:color w:val="000000"/>
                <w:sz w:val="18"/>
                <w:szCs w:val="18"/>
              </w:rPr>
            </w:pPr>
            <w:r w:rsidRPr="003328EE">
              <w:rPr>
                <w:rFonts w:eastAsia="Times New Roman"/>
                <w:color w:val="000000"/>
                <w:sz w:val="18"/>
                <w:szCs w:val="18"/>
              </w:rPr>
              <w:t>Campbell-Arvai et al., 2014</w:t>
            </w:r>
          </w:p>
        </w:tc>
        <w:tc>
          <w:tcPr>
            <w:tcW w:w="1156" w:type="dxa"/>
            <w:tcBorders>
              <w:top w:val="nil"/>
              <w:left w:val="nil"/>
              <w:bottom w:val="nil"/>
              <w:right w:val="nil"/>
            </w:tcBorders>
            <w:shd w:val="clear" w:color="auto" w:fill="auto"/>
            <w:noWrap/>
            <w:vAlign w:val="bottom"/>
            <w:hideMark/>
          </w:tcPr>
          <w:p w14:paraId="77D932E9" w14:textId="227C25F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32CEE84" w14:textId="77777777" w:rsidTr="00D65F93">
        <w:trPr>
          <w:trHeight w:val="320"/>
        </w:trPr>
        <w:tc>
          <w:tcPr>
            <w:tcW w:w="3545" w:type="dxa"/>
            <w:tcBorders>
              <w:top w:val="nil"/>
              <w:left w:val="nil"/>
              <w:bottom w:val="nil"/>
              <w:right w:val="nil"/>
            </w:tcBorders>
            <w:shd w:val="clear" w:color="auto" w:fill="auto"/>
            <w:noWrap/>
            <w:vAlign w:val="bottom"/>
            <w:hideMark/>
          </w:tcPr>
          <w:p w14:paraId="59DD7957" w14:textId="0FE7A03C" w:rsidR="00F826D0" w:rsidRPr="003328EE" w:rsidRDefault="00F826D0" w:rsidP="00D65F93">
            <w:pPr>
              <w:rPr>
                <w:rFonts w:eastAsia="Times New Roman"/>
                <w:color w:val="000000"/>
                <w:sz w:val="18"/>
                <w:szCs w:val="18"/>
              </w:rPr>
            </w:pPr>
            <w:r w:rsidRPr="003328EE">
              <w:rPr>
                <w:rFonts w:eastAsia="Times New Roman"/>
                <w:color w:val="000000"/>
                <w:sz w:val="18"/>
                <w:szCs w:val="18"/>
              </w:rPr>
              <w:t>Reliance on Judgmental Heuristics</w:t>
            </w:r>
          </w:p>
        </w:tc>
        <w:tc>
          <w:tcPr>
            <w:tcW w:w="3183" w:type="dxa"/>
            <w:tcBorders>
              <w:top w:val="nil"/>
              <w:left w:val="nil"/>
              <w:bottom w:val="nil"/>
              <w:right w:val="nil"/>
            </w:tcBorders>
            <w:shd w:val="clear" w:color="auto" w:fill="auto"/>
            <w:noWrap/>
            <w:vAlign w:val="bottom"/>
            <w:hideMark/>
          </w:tcPr>
          <w:p w14:paraId="2084D945" w14:textId="0BF5912B" w:rsidR="00F826D0" w:rsidRPr="003328EE" w:rsidRDefault="00F826D0" w:rsidP="00D65F93">
            <w:pPr>
              <w:rPr>
                <w:rFonts w:eastAsia="Times New Roman"/>
                <w:color w:val="000000"/>
                <w:sz w:val="18"/>
                <w:szCs w:val="18"/>
              </w:rPr>
            </w:pPr>
            <w:r w:rsidRPr="003328EE">
              <w:rPr>
                <w:rFonts w:eastAsia="Times New Roman"/>
                <w:color w:val="000000"/>
                <w:sz w:val="18"/>
                <w:szCs w:val="18"/>
              </w:rPr>
              <w:t>Suboptimal Decision Making</w:t>
            </w:r>
          </w:p>
        </w:tc>
        <w:tc>
          <w:tcPr>
            <w:tcW w:w="2061" w:type="dxa"/>
            <w:tcBorders>
              <w:top w:val="nil"/>
              <w:left w:val="nil"/>
              <w:bottom w:val="nil"/>
              <w:right w:val="nil"/>
            </w:tcBorders>
            <w:shd w:val="clear" w:color="auto" w:fill="auto"/>
            <w:noWrap/>
            <w:vAlign w:val="bottom"/>
            <w:hideMark/>
          </w:tcPr>
          <w:p w14:paraId="238FFDAA" w14:textId="293C054A"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6603352D" w14:textId="6671DFBF"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41BF80F" w14:textId="0571F45D" w:rsidR="00F826D0" w:rsidRPr="003328EE" w:rsidRDefault="00F826D0" w:rsidP="00D65F93">
            <w:pPr>
              <w:rPr>
                <w:rFonts w:eastAsia="Times New Roman"/>
                <w:color w:val="000000"/>
                <w:sz w:val="18"/>
                <w:szCs w:val="18"/>
              </w:rPr>
            </w:pPr>
            <w:r w:rsidRPr="003328EE">
              <w:rPr>
                <w:rFonts w:eastAsia="Times New Roman"/>
                <w:color w:val="000000"/>
                <w:sz w:val="18"/>
                <w:szCs w:val="18"/>
              </w:rPr>
              <w:t>Dietz, 2014</w:t>
            </w:r>
          </w:p>
        </w:tc>
        <w:tc>
          <w:tcPr>
            <w:tcW w:w="1156" w:type="dxa"/>
            <w:tcBorders>
              <w:top w:val="nil"/>
              <w:left w:val="nil"/>
              <w:bottom w:val="nil"/>
              <w:right w:val="nil"/>
            </w:tcBorders>
            <w:shd w:val="clear" w:color="auto" w:fill="auto"/>
            <w:noWrap/>
            <w:vAlign w:val="bottom"/>
            <w:hideMark/>
          </w:tcPr>
          <w:p w14:paraId="600822D3" w14:textId="5BFFE219" w:rsidR="00F826D0" w:rsidRPr="003328EE" w:rsidRDefault="00F826D0" w:rsidP="00D65F93">
            <w:pPr>
              <w:rPr>
                <w:rFonts w:eastAsia="Times New Roman"/>
                <w:color w:val="000000"/>
                <w:sz w:val="18"/>
                <w:szCs w:val="18"/>
              </w:rPr>
            </w:pPr>
            <w:r w:rsidRPr="003328EE">
              <w:rPr>
                <w:rFonts w:eastAsia="Times New Roman"/>
                <w:color w:val="000000"/>
                <w:sz w:val="18"/>
                <w:szCs w:val="18"/>
              </w:rPr>
              <w:t>Commentary</w:t>
            </w:r>
          </w:p>
        </w:tc>
      </w:tr>
      <w:tr w:rsidR="00F826D0" w:rsidRPr="003328EE" w14:paraId="7778F50E" w14:textId="77777777" w:rsidTr="00D65F93">
        <w:trPr>
          <w:trHeight w:val="320"/>
        </w:trPr>
        <w:tc>
          <w:tcPr>
            <w:tcW w:w="3545" w:type="dxa"/>
            <w:tcBorders>
              <w:top w:val="nil"/>
              <w:left w:val="nil"/>
              <w:bottom w:val="nil"/>
              <w:right w:val="nil"/>
            </w:tcBorders>
            <w:shd w:val="clear" w:color="auto" w:fill="auto"/>
            <w:noWrap/>
            <w:vAlign w:val="bottom"/>
            <w:hideMark/>
          </w:tcPr>
          <w:p w14:paraId="5DC70D13" w14:textId="29FFDF9E" w:rsidR="00F826D0" w:rsidRPr="003328EE" w:rsidRDefault="00F826D0" w:rsidP="00D65F93">
            <w:pPr>
              <w:rPr>
                <w:rFonts w:eastAsia="Times New Roman"/>
                <w:color w:val="000000"/>
                <w:sz w:val="18"/>
                <w:szCs w:val="18"/>
              </w:rPr>
            </w:pPr>
            <w:r w:rsidRPr="003328EE">
              <w:rPr>
                <w:rFonts w:eastAsia="Times New Roman"/>
                <w:color w:val="000000"/>
                <w:sz w:val="18"/>
                <w:szCs w:val="18"/>
              </w:rPr>
              <w:t>Reliance on Judgmental Heuristics</w:t>
            </w:r>
          </w:p>
        </w:tc>
        <w:tc>
          <w:tcPr>
            <w:tcW w:w="3183" w:type="dxa"/>
            <w:tcBorders>
              <w:top w:val="nil"/>
              <w:left w:val="nil"/>
              <w:bottom w:val="nil"/>
              <w:right w:val="nil"/>
            </w:tcBorders>
            <w:shd w:val="clear" w:color="auto" w:fill="auto"/>
            <w:noWrap/>
            <w:vAlign w:val="bottom"/>
            <w:hideMark/>
          </w:tcPr>
          <w:p w14:paraId="384D8AEA" w14:textId="2103277B" w:rsidR="00F826D0" w:rsidRPr="003328EE" w:rsidRDefault="00F826D0" w:rsidP="00D65F93">
            <w:pPr>
              <w:rPr>
                <w:rFonts w:eastAsia="Times New Roman"/>
                <w:color w:val="000000"/>
                <w:sz w:val="18"/>
                <w:szCs w:val="18"/>
              </w:rPr>
            </w:pPr>
            <w:r w:rsidRPr="003328EE">
              <w:rPr>
                <w:rFonts w:eastAsia="Times New Roman"/>
                <w:color w:val="000000"/>
                <w:sz w:val="18"/>
                <w:szCs w:val="18"/>
              </w:rPr>
              <w:t>Suboptimal Decision Making</w:t>
            </w:r>
          </w:p>
        </w:tc>
        <w:tc>
          <w:tcPr>
            <w:tcW w:w="2061" w:type="dxa"/>
            <w:tcBorders>
              <w:top w:val="nil"/>
              <w:left w:val="nil"/>
              <w:bottom w:val="nil"/>
              <w:right w:val="nil"/>
            </w:tcBorders>
            <w:shd w:val="clear" w:color="auto" w:fill="auto"/>
            <w:noWrap/>
            <w:vAlign w:val="bottom"/>
            <w:hideMark/>
          </w:tcPr>
          <w:p w14:paraId="11D6F3E6" w14:textId="71505A69"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7E577D91" w14:textId="280C88B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D791AA9" w14:textId="3F4EEA82"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2A00B052" w14:textId="5196C82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3DF3D2C" w14:textId="77777777" w:rsidTr="00D65F93">
        <w:trPr>
          <w:trHeight w:val="320"/>
        </w:trPr>
        <w:tc>
          <w:tcPr>
            <w:tcW w:w="3545" w:type="dxa"/>
            <w:tcBorders>
              <w:top w:val="nil"/>
              <w:left w:val="nil"/>
              <w:bottom w:val="nil"/>
              <w:right w:val="nil"/>
            </w:tcBorders>
            <w:shd w:val="clear" w:color="auto" w:fill="auto"/>
            <w:noWrap/>
            <w:vAlign w:val="bottom"/>
            <w:hideMark/>
          </w:tcPr>
          <w:p w14:paraId="765E0DEC" w14:textId="624EA116" w:rsidR="00F826D0" w:rsidRPr="003328EE" w:rsidRDefault="00F826D0" w:rsidP="00D65F93">
            <w:pPr>
              <w:rPr>
                <w:rFonts w:eastAsia="Times New Roman"/>
                <w:color w:val="000000"/>
                <w:sz w:val="18"/>
                <w:szCs w:val="18"/>
              </w:rPr>
            </w:pPr>
            <w:r w:rsidRPr="003328EE">
              <w:rPr>
                <w:rFonts w:eastAsia="Times New Roman"/>
                <w:color w:val="000000"/>
                <w:sz w:val="18"/>
                <w:szCs w:val="18"/>
              </w:rPr>
              <w:t>Reliance on Judgmental Heuristics</w:t>
            </w:r>
          </w:p>
        </w:tc>
        <w:tc>
          <w:tcPr>
            <w:tcW w:w="3183" w:type="dxa"/>
            <w:tcBorders>
              <w:top w:val="nil"/>
              <w:left w:val="nil"/>
              <w:bottom w:val="nil"/>
              <w:right w:val="nil"/>
            </w:tcBorders>
            <w:shd w:val="clear" w:color="auto" w:fill="auto"/>
            <w:noWrap/>
            <w:vAlign w:val="bottom"/>
            <w:hideMark/>
          </w:tcPr>
          <w:p w14:paraId="1149100C" w14:textId="35ADC2AD" w:rsidR="00F826D0" w:rsidRPr="003328EE" w:rsidRDefault="00F826D0" w:rsidP="00D65F93">
            <w:pPr>
              <w:rPr>
                <w:rFonts w:eastAsia="Times New Roman"/>
                <w:color w:val="000000"/>
                <w:sz w:val="18"/>
                <w:szCs w:val="18"/>
              </w:rPr>
            </w:pPr>
            <w:r w:rsidRPr="003328EE">
              <w:rPr>
                <w:rFonts w:eastAsia="Times New Roman"/>
                <w:color w:val="000000"/>
                <w:sz w:val="18"/>
                <w:szCs w:val="18"/>
              </w:rPr>
              <w:t>Suboptimal Decision Making</w:t>
            </w:r>
          </w:p>
        </w:tc>
        <w:tc>
          <w:tcPr>
            <w:tcW w:w="2061" w:type="dxa"/>
            <w:tcBorders>
              <w:top w:val="nil"/>
              <w:left w:val="nil"/>
              <w:bottom w:val="nil"/>
              <w:right w:val="nil"/>
            </w:tcBorders>
            <w:shd w:val="clear" w:color="auto" w:fill="auto"/>
            <w:noWrap/>
            <w:vAlign w:val="bottom"/>
            <w:hideMark/>
          </w:tcPr>
          <w:p w14:paraId="3AF952D5" w14:textId="625193C0" w:rsidR="00F826D0" w:rsidRPr="003328EE" w:rsidRDefault="00F826D0" w:rsidP="00D65F93">
            <w:pPr>
              <w:rPr>
                <w:rFonts w:eastAsia="Times New Roman"/>
                <w:color w:val="000000"/>
                <w:sz w:val="18"/>
                <w:szCs w:val="18"/>
              </w:rPr>
            </w:pPr>
            <w:r w:rsidRPr="003328EE">
              <w:rPr>
                <w:rFonts w:eastAsia="Times New Roman"/>
                <w:color w:val="000000"/>
                <w:sz w:val="18"/>
                <w:szCs w:val="18"/>
              </w:rPr>
              <w:t>Information</w:t>
            </w:r>
            <w:r>
              <w:rPr>
                <w:rFonts w:eastAsia="Times New Roman"/>
                <w:color w:val="000000"/>
                <w:sz w:val="18"/>
                <w:szCs w:val="18"/>
              </w:rPr>
              <w:t xml:space="preserve"> Asymmetry</w:t>
            </w:r>
          </w:p>
        </w:tc>
        <w:tc>
          <w:tcPr>
            <w:tcW w:w="993" w:type="dxa"/>
            <w:tcBorders>
              <w:top w:val="nil"/>
              <w:left w:val="nil"/>
              <w:bottom w:val="nil"/>
              <w:right w:val="nil"/>
            </w:tcBorders>
            <w:shd w:val="clear" w:color="auto" w:fill="auto"/>
            <w:noWrap/>
            <w:vAlign w:val="bottom"/>
            <w:hideMark/>
          </w:tcPr>
          <w:p w14:paraId="09EB913F" w14:textId="416F498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D2FC586" w14:textId="41EE18A4" w:rsidR="00F826D0" w:rsidRPr="003328EE" w:rsidRDefault="00F826D0" w:rsidP="00D65F93">
            <w:pPr>
              <w:rPr>
                <w:rFonts w:eastAsia="Times New Roman"/>
                <w:color w:val="000000"/>
                <w:sz w:val="18"/>
                <w:szCs w:val="18"/>
              </w:rPr>
            </w:pPr>
            <w:r w:rsidRPr="003328EE">
              <w:rPr>
                <w:rFonts w:eastAsia="Times New Roman"/>
                <w:color w:val="000000"/>
                <w:sz w:val="18"/>
                <w:szCs w:val="18"/>
              </w:rPr>
              <w:t>Spaargaren, 2003</w:t>
            </w:r>
          </w:p>
        </w:tc>
        <w:tc>
          <w:tcPr>
            <w:tcW w:w="1156" w:type="dxa"/>
            <w:tcBorders>
              <w:top w:val="nil"/>
              <w:left w:val="nil"/>
              <w:bottom w:val="nil"/>
              <w:right w:val="nil"/>
            </w:tcBorders>
            <w:shd w:val="clear" w:color="auto" w:fill="auto"/>
            <w:noWrap/>
            <w:vAlign w:val="bottom"/>
            <w:hideMark/>
          </w:tcPr>
          <w:p w14:paraId="1CB982E5" w14:textId="7B3B7824"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Primary </w:t>
            </w:r>
          </w:p>
        </w:tc>
      </w:tr>
      <w:tr w:rsidR="00F826D0" w:rsidRPr="003328EE" w14:paraId="417E6B7D" w14:textId="77777777" w:rsidTr="00D65F93">
        <w:trPr>
          <w:trHeight w:val="320"/>
        </w:trPr>
        <w:tc>
          <w:tcPr>
            <w:tcW w:w="3545" w:type="dxa"/>
            <w:tcBorders>
              <w:top w:val="nil"/>
              <w:left w:val="nil"/>
              <w:bottom w:val="nil"/>
              <w:right w:val="nil"/>
            </w:tcBorders>
            <w:shd w:val="clear" w:color="auto" w:fill="auto"/>
            <w:noWrap/>
            <w:vAlign w:val="bottom"/>
            <w:hideMark/>
          </w:tcPr>
          <w:p w14:paraId="763A7A60" w14:textId="5C558D2E"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Balance in Government Responsibility </w:t>
            </w:r>
          </w:p>
        </w:tc>
        <w:tc>
          <w:tcPr>
            <w:tcW w:w="3183" w:type="dxa"/>
            <w:tcBorders>
              <w:top w:val="nil"/>
              <w:left w:val="nil"/>
              <w:bottom w:val="nil"/>
              <w:right w:val="nil"/>
            </w:tcBorders>
            <w:shd w:val="clear" w:color="auto" w:fill="auto"/>
            <w:noWrap/>
            <w:vAlign w:val="bottom"/>
            <w:hideMark/>
          </w:tcPr>
          <w:p w14:paraId="3C75BA53" w14:textId="3B08CAEC"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0B79C8F7" w14:textId="2E136E05"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A1F51CB" w14:textId="0883B16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E91BD12" w14:textId="0A0A8835" w:rsidR="00F826D0" w:rsidRPr="003328EE" w:rsidRDefault="00F826D0" w:rsidP="00D65F93">
            <w:pPr>
              <w:rPr>
                <w:rFonts w:eastAsia="Times New Roman"/>
                <w:color w:val="000000"/>
                <w:sz w:val="18"/>
                <w:szCs w:val="18"/>
              </w:rPr>
            </w:pPr>
            <w:r w:rsidRPr="003328EE">
              <w:rPr>
                <w:rFonts w:eastAsia="Times New Roman"/>
                <w:color w:val="000000"/>
                <w:sz w:val="18"/>
                <w:szCs w:val="18"/>
              </w:rPr>
              <w:t>Duchin, 2005</w:t>
            </w:r>
          </w:p>
        </w:tc>
        <w:tc>
          <w:tcPr>
            <w:tcW w:w="1156" w:type="dxa"/>
            <w:tcBorders>
              <w:top w:val="nil"/>
              <w:left w:val="nil"/>
              <w:bottom w:val="nil"/>
              <w:right w:val="nil"/>
            </w:tcBorders>
            <w:shd w:val="clear" w:color="auto" w:fill="auto"/>
            <w:noWrap/>
            <w:vAlign w:val="bottom"/>
            <w:hideMark/>
          </w:tcPr>
          <w:p w14:paraId="380F640F" w14:textId="23624B76"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3290C453" w14:textId="77777777" w:rsidTr="00D65F93">
        <w:trPr>
          <w:trHeight w:val="320"/>
        </w:trPr>
        <w:tc>
          <w:tcPr>
            <w:tcW w:w="3545" w:type="dxa"/>
            <w:tcBorders>
              <w:top w:val="nil"/>
              <w:left w:val="nil"/>
              <w:bottom w:val="nil"/>
              <w:right w:val="nil"/>
            </w:tcBorders>
            <w:shd w:val="clear" w:color="auto" w:fill="auto"/>
            <w:noWrap/>
            <w:vAlign w:val="bottom"/>
            <w:hideMark/>
          </w:tcPr>
          <w:p w14:paraId="29EE84A9" w14:textId="47805007"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 of Food System</w:t>
            </w:r>
          </w:p>
        </w:tc>
        <w:tc>
          <w:tcPr>
            <w:tcW w:w="3183" w:type="dxa"/>
            <w:tcBorders>
              <w:top w:val="nil"/>
              <w:left w:val="nil"/>
              <w:bottom w:val="nil"/>
              <w:right w:val="nil"/>
            </w:tcBorders>
            <w:shd w:val="clear" w:color="auto" w:fill="auto"/>
            <w:noWrap/>
            <w:vAlign w:val="bottom"/>
            <w:hideMark/>
          </w:tcPr>
          <w:p w14:paraId="3E64109A" w14:textId="0D3D893C"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1FDDA92E" w14:textId="36327BE7"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5B01D42" w14:textId="1CCBE5F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05F34C3" w14:textId="36A79E5E" w:rsidR="00F826D0" w:rsidRPr="003328EE" w:rsidRDefault="00F826D0" w:rsidP="00D65F93">
            <w:pPr>
              <w:rPr>
                <w:rFonts w:eastAsia="Times New Roman"/>
                <w:color w:val="000000"/>
                <w:sz w:val="18"/>
                <w:szCs w:val="18"/>
              </w:rPr>
            </w:pPr>
            <w:r w:rsidRPr="003328EE">
              <w:rPr>
                <w:rFonts w:eastAsia="Times New Roman"/>
                <w:color w:val="000000"/>
                <w:sz w:val="18"/>
                <w:szCs w:val="18"/>
              </w:rPr>
              <w:t>Beardsworth &amp; Keil</w:t>
            </w:r>
            <w:r>
              <w:rPr>
                <w:rFonts w:eastAsia="Times New Roman"/>
                <w:color w:val="000000"/>
                <w:sz w:val="18"/>
                <w:szCs w:val="18"/>
              </w:rPr>
              <w:t>, 1993</w:t>
            </w:r>
          </w:p>
        </w:tc>
        <w:tc>
          <w:tcPr>
            <w:tcW w:w="1156" w:type="dxa"/>
            <w:tcBorders>
              <w:top w:val="nil"/>
              <w:left w:val="nil"/>
              <w:bottom w:val="nil"/>
              <w:right w:val="nil"/>
            </w:tcBorders>
            <w:shd w:val="clear" w:color="auto" w:fill="auto"/>
            <w:noWrap/>
            <w:vAlign w:val="bottom"/>
            <w:hideMark/>
          </w:tcPr>
          <w:p w14:paraId="7F77D0C3" w14:textId="7CDC51E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2D67A3C" w14:textId="77777777" w:rsidTr="00D65F93">
        <w:trPr>
          <w:trHeight w:val="320"/>
        </w:trPr>
        <w:tc>
          <w:tcPr>
            <w:tcW w:w="3545" w:type="dxa"/>
            <w:tcBorders>
              <w:top w:val="nil"/>
              <w:left w:val="nil"/>
              <w:bottom w:val="nil"/>
              <w:right w:val="nil"/>
            </w:tcBorders>
            <w:shd w:val="clear" w:color="auto" w:fill="auto"/>
            <w:noWrap/>
            <w:vAlign w:val="bottom"/>
            <w:hideMark/>
          </w:tcPr>
          <w:p w14:paraId="76C864D0" w14:textId="41F2E016"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 of Food System</w:t>
            </w:r>
          </w:p>
        </w:tc>
        <w:tc>
          <w:tcPr>
            <w:tcW w:w="3183" w:type="dxa"/>
            <w:tcBorders>
              <w:top w:val="nil"/>
              <w:left w:val="nil"/>
              <w:bottom w:val="nil"/>
              <w:right w:val="nil"/>
            </w:tcBorders>
            <w:shd w:val="clear" w:color="auto" w:fill="auto"/>
            <w:noWrap/>
            <w:vAlign w:val="bottom"/>
            <w:hideMark/>
          </w:tcPr>
          <w:p w14:paraId="00D07667" w14:textId="0B553CAB"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585B0430" w14:textId="4054D9D9"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6BC9D2D" w14:textId="4471BEC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CE69053" w14:textId="3A438E92" w:rsidR="00F826D0" w:rsidRPr="003328EE" w:rsidRDefault="00F826D0" w:rsidP="00D65F93">
            <w:pPr>
              <w:rPr>
                <w:rFonts w:eastAsia="Times New Roman"/>
                <w:color w:val="000000"/>
                <w:sz w:val="18"/>
                <w:szCs w:val="18"/>
              </w:rPr>
            </w:pPr>
            <w:r w:rsidRPr="003328EE">
              <w:rPr>
                <w:rFonts w:eastAsia="Times New Roman"/>
                <w:color w:val="000000"/>
                <w:sz w:val="18"/>
                <w:szCs w:val="18"/>
              </w:rPr>
              <w:t>Makiniemi &amp; Vinio, 2014</w:t>
            </w:r>
          </w:p>
        </w:tc>
        <w:tc>
          <w:tcPr>
            <w:tcW w:w="1156" w:type="dxa"/>
            <w:tcBorders>
              <w:top w:val="nil"/>
              <w:left w:val="nil"/>
              <w:bottom w:val="nil"/>
              <w:right w:val="nil"/>
            </w:tcBorders>
            <w:shd w:val="clear" w:color="auto" w:fill="auto"/>
            <w:noWrap/>
            <w:vAlign w:val="bottom"/>
            <w:hideMark/>
          </w:tcPr>
          <w:p w14:paraId="343BBD35" w14:textId="2B96E3F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0A6E8F6" w14:textId="77777777" w:rsidTr="00D65F93">
        <w:trPr>
          <w:trHeight w:val="320"/>
        </w:trPr>
        <w:tc>
          <w:tcPr>
            <w:tcW w:w="3545" w:type="dxa"/>
            <w:tcBorders>
              <w:top w:val="nil"/>
              <w:left w:val="nil"/>
              <w:bottom w:val="nil"/>
              <w:right w:val="nil"/>
            </w:tcBorders>
            <w:shd w:val="clear" w:color="auto" w:fill="auto"/>
            <w:noWrap/>
            <w:vAlign w:val="bottom"/>
            <w:hideMark/>
          </w:tcPr>
          <w:p w14:paraId="291C43CA" w14:textId="55838549"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Welfare of Industry</w:t>
            </w:r>
          </w:p>
        </w:tc>
        <w:tc>
          <w:tcPr>
            <w:tcW w:w="3183" w:type="dxa"/>
            <w:tcBorders>
              <w:top w:val="nil"/>
              <w:left w:val="nil"/>
              <w:bottom w:val="nil"/>
              <w:right w:val="nil"/>
            </w:tcBorders>
            <w:shd w:val="clear" w:color="auto" w:fill="auto"/>
            <w:noWrap/>
            <w:vAlign w:val="bottom"/>
            <w:hideMark/>
          </w:tcPr>
          <w:p w14:paraId="3C6156C1" w14:textId="723B1515"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7D49F0B1" w14:textId="501C0329"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8A3BA8D" w14:textId="1679A22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C387DA0" w14:textId="6510657D" w:rsidR="00F826D0" w:rsidRPr="003328EE" w:rsidRDefault="00F826D0" w:rsidP="00D65F93">
            <w:pPr>
              <w:rPr>
                <w:rFonts w:eastAsia="Times New Roman"/>
                <w:color w:val="000000"/>
                <w:sz w:val="18"/>
                <w:szCs w:val="18"/>
              </w:rPr>
            </w:pPr>
            <w:r w:rsidRPr="003328EE">
              <w:rPr>
                <w:rFonts w:eastAsia="Times New Roman"/>
                <w:color w:val="000000"/>
                <w:sz w:val="18"/>
                <w:szCs w:val="18"/>
              </w:rPr>
              <w:t>Vinnari &amp; Vinnari, 2013</w:t>
            </w:r>
          </w:p>
        </w:tc>
        <w:tc>
          <w:tcPr>
            <w:tcW w:w="1156" w:type="dxa"/>
            <w:tcBorders>
              <w:top w:val="nil"/>
              <w:left w:val="nil"/>
              <w:bottom w:val="nil"/>
              <w:right w:val="nil"/>
            </w:tcBorders>
            <w:shd w:val="clear" w:color="auto" w:fill="auto"/>
            <w:noWrap/>
            <w:vAlign w:val="bottom"/>
            <w:hideMark/>
          </w:tcPr>
          <w:p w14:paraId="7E384B1F" w14:textId="760C6C2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8AF3BE9" w14:textId="77777777" w:rsidTr="00D65F93">
        <w:trPr>
          <w:trHeight w:val="320"/>
        </w:trPr>
        <w:tc>
          <w:tcPr>
            <w:tcW w:w="3545" w:type="dxa"/>
            <w:tcBorders>
              <w:top w:val="nil"/>
              <w:left w:val="nil"/>
              <w:bottom w:val="nil"/>
              <w:right w:val="nil"/>
            </w:tcBorders>
            <w:shd w:val="clear" w:color="auto" w:fill="auto"/>
            <w:noWrap/>
            <w:vAlign w:val="bottom"/>
            <w:hideMark/>
          </w:tcPr>
          <w:p w14:paraId="2E43F338" w14:textId="5AE89BAE" w:rsidR="00F826D0" w:rsidRPr="003328EE" w:rsidRDefault="00F826D0" w:rsidP="00D65F93">
            <w:pPr>
              <w:rPr>
                <w:rFonts w:eastAsia="Times New Roman"/>
                <w:color w:val="000000"/>
                <w:sz w:val="18"/>
                <w:szCs w:val="18"/>
              </w:rPr>
            </w:pPr>
            <w:r w:rsidRPr="003328EE">
              <w:rPr>
                <w:rFonts w:eastAsia="Times New Roman"/>
                <w:color w:val="000000"/>
                <w:sz w:val="18"/>
                <w:szCs w:val="18"/>
              </w:rPr>
              <w:t>Funding for Climate Change Mitigation</w:t>
            </w:r>
          </w:p>
        </w:tc>
        <w:tc>
          <w:tcPr>
            <w:tcW w:w="3183" w:type="dxa"/>
            <w:tcBorders>
              <w:top w:val="nil"/>
              <w:left w:val="nil"/>
              <w:bottom w:val="nil"/>
              <w:right w:val="nil"/>
            </w:tcBorders>
            <w:shd w:val="clear" w:color="auto" w:fill="auto"/>
            <w:noWrap/>
            <w:vAlign w:val="bottom"/>
            <w:hideMark/>
          </w:tcPr>
          <w:p w14:paraId="7FD67A9D" w14:textId="7F85AF7C"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622ADFFB" w14:textId="0A32C147"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1DF7F45" w14:textId="62C3ED62"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62240CD" w14:textId="1247D7F0" w:rsidR="00F826D0" w:rsidRPr="003328EE" w:rsidRDefault="00F826D0" w:rsidP="00D65F93">
            <w:pPr>
              <w:rPr>
                <w:rFonts w:eastAsia="Times New Roman"/>
                <w:color w:val="000000"/>
                <w:sz w:val="18"/>
                <w:szCs w:val="18"/>
              </w:rPr>
            </w:pPr>
            <w:r w:rsidRPr="003328EE">
              <w:rPr>
                <w:rFonts w:eastAsia="Times New Roman"/>
                <w:color w:val="000000"/>
                <w:sz w:val="18"/>
                <w:szCs w:val="18"/>
              </w:rPr>
              <w:t>Classen &amp; Schwean, 1998</w:t>
            </w:r>
          </w:p>
        </w:tc>
        <w:tc>
          <w:tcPr>
            <w:tcW w:w="1156" w:type="dxa"/>
            <w:tcBorders>
              <w:top w:val="nil"/>
              <w:left w:val="nil"/>
              <w:bottom w:val="nil"/>
              <w:right w:val="nil"/>
            </w:tcBorders>
            <w:shd w:val="clear" w:color="auto" w:fill="auto"/>
            <w:noWrap/>
            <w:vAlign w:val="bottom"/>
            <w:hideMark/>
          </w:tcPr>
          <w:p w14:paraId="3B1CBDEF" w14:textId="02B9F65B" w:rsidR="00F826D0" w:rsidRPr="003328EE" w:rsidRDefault="00F826D0" w:rsidP="00D65F93">
            <w:pPr>
              <w:rPr>
                <w:rFonts w:eastAsia="Times New Roman"/>
                <w:color w:val="000000"/>
                <w:sz w:val="18"/>
                <w:szCs w:val="18"/>
              </w:rPr>
            </w:pPr>
            <w:r w:rsidRPr="003328EE">
              <w:rPr>
                <w:rFonts w:eastAsia="Times New Roman"/>
                <w:color w:val="000000"/>
                <w:sz w:val="18"/>
                <w:szCs w:val="18"/>
              </w:rPr>
              <w:t>Symposium</w:t>
            </w:r>
          </w:p>
        </w:tc>
      </w:tr>
      <w:tr w:rsidR="00F826D0" w:rsidRPr="003328EE" w14:paraId="57BA5FBA" w14:textId="77777777" w:rsidTr="00D65F93">
        <w:trPr>
          <w:trHeight w:val="320"/>
        </w:trPr>
        <w:tc>
          <w:tcPr>
            <w:tcW w:w="3545" w:type="dxa"/>
            <w:tcBorders>
              <w:top w:val="nil"/>
              <w:left w:val="nil"/>
              <w:bottom w:val="nil"/>
              <w:right w:val="nil"/>
            </w:tcBorders>
            <w:shd w:val="clear" w:color="auto" w:fill="auto"/>
            <w:noWrap/>
            <w:vAlign w:val="bottom"/>
            <w:hideMark/>
          </w:tcPr>
          <w:p w14:paraId="559A3B6D" w14:textId="54BDA174" w:rsidR="00F826D0" w:rsidRPr="003328EE" w:rsidRDefault="00F826D0" w:rsidP="00D65F93">
            <w:pPr>
              <w:rPr>
                <w:rFonts w:eastAsia="Times New Roman"/>
                <w:color w:val="000000"/>
                <w:sz w:val="18"/>
                <w:szCs w:val="18"/>
              </w:rPr>
            </w:pPr>
            <w:r w:rsidRPr="003328EE">
              <w:rPr>
                <w:rFonts w:eastAsia="Times New Roman"/>
                <w:color w:val="000000"/>
                <w:sz w:val="18"/>
                <w:szCs w:val="18"/>
              </w:rPr>
              <w:t>Funding for Community/Sustainability</w:t>
            </w:r>
          </w:p>
        </w:tc>
        <w:tc>
          <w:tcPr>
            <w:tcW w:w="3183" w:type="dxa"/>
            <w:tcBorders>
              <w:top w:val="nil"/>
              <w:left w:val="nil"/>
              <w:bottom w:val="nil"/>
              <w:right w:val="nil"/>
            </w:tcBorders>
            <w:shd w:val="clear" w:color="auto" w:fill="auto"/>
            <w:noWrap/>
            <w:vAlign w:val="bottom"/>
            <w:hideMark/>
          </w:tcPr>
          <w:p w14:paraId="18E6A003" w14:textId="19378C4A"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62955DA4" w14:textId="4093C7FD"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7365285" w14:textId="498DA64F"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A08680C" w14:textId="4A66781F" w:rsidR="00F826D0" w:rsidRPr="003328EE" w:rsidRDefault="00F826D0" w:rsidP="00D65F93">
            <w:pPr>
              <w:rPr>
                <w:rFonts w:eastAsia="Times New Roman"/>
                <w:color w:val="000000"/>
                <w:sz w:val="18"/>
                <w:szCs w:val="18"/>
              </w:rPr>
            </w:pPr>
            <w:r w:rsidRPr="003328EE">
              <w:rPr>
                <w:rFonts w:eastAsia="Times New Roman"/>
                <w:color w:val="000000"/>
                <w:sz w:val="18"/>
                <w:szCs w:val="18"/>
              </w:rPr>
              <w:t>Seyfang &amp; Smith, 2007</w:t>
            </w:r>
          </w:p>
        </w:tc>
        <w:tc>
          <w:tcPr>
            <w:tcW w:w="1156" w:type="dxa"/>
            <w:tcBorders>
              <w:top w:val="nil"/>
              <w:left w:val="nil"/>
              <w:bottom w:val="nil"/>
              <w:right w:val="nil"/>
            </w:tcBorders>
            <w:shd w:val="clear" w:color="auto" w:fill="auto"/>
            <w:noWrap/>
            <w:vAlign w:val="bottom"/>
            <w:hideMark/>
          </w:tcPr>
          <w:p w14:paraId="4F8C62E2" w14:textId="2509B2D2"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0468F08" w14:textId="77777777" w:rsidTr="00D65F93">
        <w:trPr>
          <w:trHeight w:val="320"/>
        </w:trPr>
        <w:tc>
          <w:tcPr>
            <w:tcW w:w="3545" w:type="dxa"/>
            <w:tcBorders>
              <w:top w:val="nil"/>
              <w:left w:val="nil"/>
              <w:bottom w:val="nil"/>
              <w:right w:val="nil"/>
            </w:tcBorders>
            <w:shd w:val="clear" w:color="auto" w:fill="auto"/>
            <w:noWrap/>
            <w:vAlign w:val="bottom"/>
            <w:hideMark/>
          </w:tcPr>
          <w:p w14:paraId="23F7446E" w14:textId="1952D02E" w:rsidR="00F826D0" w:rsidRPr="003328EE" w:rsidRDefault="00F826D0" w:rsidP="00D65F93">
            <w:pPr>
              <w:rPr>
                <w:rFonts w:eastAsia="Times New Roman"/>
                <w:color w:val="000000"/>
                <w:sz w:val="18"/>
                <w:szCs w:val="18"/>
              </w:rPr>
            </w:pPr>
            <w:r w:rsidRPr="003328EE">
              <w:rPr>
                <w:rFonts w:eastAsia="Times New Roman"/>
                <w:color w:val="000000"/>
                <w:sz w:val="18"/>
                <w:szCs w:val="18"/>
              </w:rPr>
              <w:t>Increased Frequency of Eating Out</w:t>
            </w:r>
          </w:p>
        </w:tc>
        <w:tc>
          <w:tcPr>
            <w:tcW w:w="3183" w:type="dxa"/>
            <w:tcBorders>
              <w:top w:val="nil"/>
              <w:left w:val="nil"/>
              <w:bottom w:val="nil"/>
              <w:right w:val="nil"/>
            </w:tcBorders>
            <w:shd w:val="clear" w:color="auto" w:fill="auto"/>
            <w:noWrap/>
            <w:vAlign w:val="bottom"/>
            <w:hideMark/>
          </w:tcPr>
          <w:p w14:paraId="6008EBFA" w14:textId="11BEBDCE"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5151C29E" w14:textId="35596077"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8A3F759" w14:textId="016F6066"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554E3E7" w14:textId="13CFD88F" w:rsidR="00F826D0" w:rsidRPr="003328EE" w:rsidRDefault="00F826D0" w:rsidP="00D65F93">
            <w:pPr>
              <w:rPr>
                <w:rFonts w:eastAsia="Times New Roman"/>
                <w:color w:val="000000"/>
                <w:sz w:val="18"/>
                <w:szCs w:val="18"/>
              </w:rPr>
            </w:pPr>
            <w:r w:rsidRPr="003328EE">
              <w:rPr>
                <w:rFonts w:eastAsia="Times New Roman"/>
                <w:color w:val="000000"/>
                <w:sz w:val="18"/>
                <w:szCs w:val="18"/>
              </w:rPr>
              <w:t>Reisch et al., 2013</w:t>
            </w:r>
          </w:p>
        </w:tc>
        <w:tc>
          <w:tcPr>
            <w:tcW w:w="1156" w:type="dxa"/>
            <w:tcBorders>
              <w:top w:val="nil"/>
              <w:left w:val="nil"/>
              <w:bottom w:val="nil"/>
              <w:right w:val="nil"/>
            </w:tcBorders>
            <w:shd w:val="clear" w:color="auto" w:fill="auto"/>
            <w:noWrap/>
            <w:vAlign w:val="bottom"/>
            <w:hideMark/>
          </w:tcPr>
          <w:p w14:paraId="34B7F534" w14:textId="32A84E76"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3147DCA" w14:textId="77777777" w:rsidTr="00D65F93">
        <w:trPr>
          <w:trHeight w:val="320"/>
        </w:trPr>
        <w:tc>
          <w:tcPr>
            <w:tcW w:w="3545" w:type="dxa"/>
            <w:tcBorders>
              <w:top w:val="nil"/>
              <w:left w:val="nil"/>
              <w:bottom w:val="nil"/>
              <w:right w:val="nil"/>
            </w:tcBorders>
            <w:shd w:val="clear" w:color="auto" w:fill="auto"/>
            <w:noWrap/>
            <w:vAlign w:val="bottom"/>
            <w:hideMark/>
          </w:tcPr>
          <w:p w14:paraId="7DE9CFCA" w14:textId="35999978" w:rsidR="00F826D0" w:rsidRPr="003328EE" w:rsidRDefault="00F826D0" w:rsidP="00D65F93">
            <w:pPr>
              <w:rPr>
                <w:rFonts w:eastAsia="Times New Roman"/>
                <w:color w:val="000000"/>
                <w:sz w:val="18"/>
                <w:szCs w:val="18"/>
              </w:rPr>
            </w:pPr>
            <w:r w:rsidRPr="003328EE">
              <w:rPr>
                <w:rFonts w:eastAsia="Times New Roman"/>
                <w:color w:val="000000"/>
                <w:sz w:val="18"/>
                <w:szCs w:val="18"/>
              </w:rPr>
              <w:t>Lower Price for More Intensive Meat</w:t>
            </w:r>
          </w:p>
        </w:tc>
        <w:tc>
          <w:tcPr>
            <w:tcW w:w="3183" w:type="dxa"/>
            <w:tcBorders>
              <w:top w:val="nil"/>
              <w:left w:val="nil"/>
              <w:bottom w:val="nil"/>
              <w:right w:val="nil"/>
            </w:tcBorders>
            <w:shd w:val="clear" w:color="auto" w:fill="auto"/>
            <w:noWrap/>
            <w:vAlign w:val="bottom"/>
            <w:hideMark/>
          </w:tcPr>
          <w:p w14:paraId="0DD566D5" w14:textId="287A98A8"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4ED6A2F7" w14:textId="4E14116D"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B36B04E" w14:textId="18590DD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C165A42" w14:textId="3F90FE6D" w:rsidR="00F826D0" w:rsidRPr="003328EE" w:rsidRDefault="00F826D0" w:rsidP="00D65F93">
            <w:pPr>
              <w:rPr>
                <w:rFonts w:eastAsia="Times New Roman"/>
                <w:color w:val="000000"/>
                <w:sz w:val="18"/>
                <w:szCs w:val="18"/>
              </w:rPr>
            </w:pPr>
            <w:r w:rsidRPr="003328EE">
              <w:rPr>
                <w:rFonts w:eastAsia="Times New Roman"/>
                <w:color w:val="000000"/>
                <w:sz w:val="18"/>
                <w:szCs w:val="18"/>
              </w:rPr>
              <w:t>Lerner et al., 2013</w:t>
            </w:r>
          </w:p>
        </w:tc>
        <w:tc>
          <w:tcPr>
            <w:tcW w:w="1156" w:type="dxa"/>
            <w:tcBorders>
              <w:top w:val="nil"/>
              <w:left w:val="nil"/>
              <w:bottom w:val="nil"/>
              <w:right w:val="nil"/>
            </w:tcBorders>
            <w:shd w:val="clear" w:color="auto" w:fill="auto"/>
            <w:noWrap/>
            <w:vAlign w:val="bottom"/>
            <w:hideMark/>
          </w:tcPr>
          <w:p w14:paraId="2091591D" w14:textId="3D3ABBF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B71B867" w14:textId="77777777" w:rsidTr="00D65F93">
        <w:trPr>
          <w:trHeight w:val="320"/>
        </w:trPr>
        <w:tc>
          <w:tcPr>
            <w:tcW w:w="3545" w:type="dxa"/>
            <w:tcBorders>
              <w:top w:val="nil"/>
              <w:left w:val="nil"/>
              <w:bottom w:val="nil"/>
              <w:right w:val="nil"/>
            </w:tcBorders>
            <w:shd w:val="clear" w:color="auto" w:fill="auto"/>
            <w:noWrap/>
            <w:vAlign w:val="bottom"/>
            <w:hideMark/>
          </w:tcPr>
          <w:p w14:paraId="442A501A" w14:textId="409113B1" w:rsidR="00F826D0" w:rsidRPr="003328EE" w:rsidRDefault="00F826D0" w:rsidP="00D65F93">
            <w:pPr>
              <w:rPr>
                <w:rFonts w:eastAsia="Times New Roman"/>
                <w:color w:val="000000"/>
                <w:sz w:val="18"/>
                <w:szCs w:val="18"/>
              </w:rPr>
            </w:pPr>
            <w:r w:rsidRPr="003328EE">
              <w:rPr>
                <w:rFonts w:eastAsia="Times New Roman"/>
                <w:color w:val="000000"/>
                <w:sz w:val="18"/>
                <w:szCs w:val="18"/>
              </w:rPr>
              <w:t>Market Liberalization</w:t>
            </w:r>
          </w:p>
        </w:tc>
        <w:tc>
          <w:tcPr>
            <w:tcW w:w="3183" w:type="dxa"/>
            <w:tcBorders>
              <w:top w:val="nil"/>
              <w:left w:val="nil"/>
              <w:bottom w:val="nil"/>
              <w:right w:val="nil"/>
            </w:tcBorders>
            <w:shd w:val="clear" w:color="auto" w:fill="auto"/>
            <w:noWrap/>
            <w:vAlign w:val="bottom"/>
            <w:hideMark/>
          </w:tcPr>
          <w:p w14:paraId="264FC540" w14:textId="49361145"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5D4EDD86" w14:textId="780A26F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5953D24" w14:textId="048DE4A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957514A" w14:textId="6E087A7A" w:rsidR="00F826D0" w:rsidRPr="003328EE" w:rsidRDefault="00F826D0" w:rsidP="00D65F93">
            <w:pPr>
              <w:rPr>
                <w:rFonts w:eastAsia="Times New Roman"/>
                <w:color w:val="000000"/>
                <w:sz w:val="18"/>
                <w:szCs w:val="18"/>
              </w:rPr>
            </w:pPr>
            <w:r w:rsidRPr="003328EE">
              <w:rPr>
                <w:rFonts w:eastAsia="Times New Roman"/>
                <w:color w:val="000000"/>
                <w:sz w:val="18"/>
                <w:szCs w:val="18"/>
              </w:rPr>
              <w:t>Kearney, 2010</w:t>
            </w:r>
          </w:p>
        </w:tc>
        <w:tc>
          <w:tcPr>
            <w:tcW w:w="1156" w:type="dxa"/>
            <w:tcBorders>
              <w:top w:val="nil"/>
              <w:left w:val="nil"/>
              <w:bottom w:val="nil"/>
              <w:right w:val="nil"/>
            </w:tcBorders>
            <w:shd w:val="clear" w:color="auto" w:fill="auto"/>
            <w:noWrap/>
            <w:vAlign w:val="bottom"/>
            <w:hideMark/>
          </w:tcPr>
          <w:p w14:paraId="65D65B19" w14:textId="421C6F93"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159E8AA" w14:textId="77777777" w:rsidTr="00D65F93">
        <w:trPr>
          <w:trHeight w:val="320"/>
        </w:trPr>
        <w:tc>
          <w:tcPr>
            <w:tcW w:w="3545" w:type="dxa"/>
            <w:tcBorders>
              <w:top w:val="nil"/>
              <w:left w:val="nil"/>
              <w:bottom w:val="nil"/>
              <w:right w:val="nil"/>
            </w:tcBorders>
            <w:shd w:val="clear" w:color="auto" w:fill="auto"/>
            <w:noWrap/>
            <w:vAlign w:val="bottom"/>
            <w:hideMark/>
          </w:tcPr>
          <w:p w14:paraId="04BC3DF5" w14:textId="5A9C29A3" w:rsidR="00F826D0" w:rsidRPr="003328EE" w:rsidRDefault="00F826D0" w:rsidP="00D65F93">
            <w:pPr>
              <w:rPr>
                <w:rFonts w:eastAsia="Times New Roman"/>
                <w:color w:val="000000"/>
                <w:sz w:val="18"/>
                <w:szCs w:val="18"/>
              </w:rPr>
            </w:pPr>
            <w:r w:rsidRPr="003328EE">
              <w:rPr>
                <w:rFonts w:eastAsia="Times New Roman"/>
                <w:color w:val="000000"/>
                <w:sz w:val="18"/>
                <w:szCs w:val="18"/>
              </w:rPr>
              <w:t>Pricing &amp; Promotion</w:t>
            </w:r>
          </w:p>
        </w:tc>
        <w:tc>
          <w:tcPr>
            <w:tcW w:w="3183" w:type="dxa"/>
            <w:tcBorders>
              <w:top w:val="nil"/>
              <w:left w:val="nil"/>
              <w:bottom w:val="nil"/>
              <w:right w:val="nil"/>
            </w:tcBorders>
            <w:shd w:val="clear" w:color="auto" w:fill="auto"/>
            <w:noWrap/>
            <w:vAlign w:val="bottom"/>
            <w:hideMark/>
          </w:tcPr>
          <w:p w14:paraId="44A1A144" w14:textId="050AD203"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07B48F90" w14:textId="0501C63D"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4F44355" w14:textId="2560491B"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9C7DA50" w14:textId="5766583E" w:rsidR="00F826D0" w:rsidRPr="003328EE" w:rsidRDefault="00F826D0" w:rsidP="00D65F93">
            <w:pPr>
              <w:rPr>
                <w:rFonts w:eastAsia="Times New Roman"/>
                <w:color w:val="000000"/>
                <w:sz w:val="18"/>
                <w:szCs w:val="18"/>
              </w:rPr>
            </w:pPr>
            <w:r w:rsidRPr="003328EE">
              <w:rPr>
                <w:rFonts w:eastAsia="Times New Roman"/>
                <w:color w:val="000000"/>
                <w:sz w:val="18"/>
                <w:szCs w:val="18"/>
              </w:rPr>
              <w:t>Jahns et al., 2016</w:t>
            </w:r>
          </w:p>
        </w:tc>
        <w:tc>
          <w:tcPr>
            <w:tcW w:w="1156" w:type="dxa"/>
            <w:tcBorders>
              <w:top w:val="nil"/>
              <w:left w:val="nil"/>
              <w:bottom w:val="nil"/>
              <w:right w:val="nil"/>
            </w:tcBorders>
            <w:shd w:val="clear" w:color="auto" w:fill="auto"/>
            <w:noWrap/>
            <w:vAlign w:val="bottom"/>
            <w:hideMark/>
          </w:tcPr>
          <w:p w14:paraId="230EFF03" w14:textId="14E48A0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B6AC864" w14:textId="77777777" w:rsidTr="00D65F93">
        <w:trPr>
          <w:trHeight w:val="320"/>
        </w:trPr>
        <w:tc>
          <w:tcPr>
            <w:tcW w:w="3545" w:type="dxa"/>
            <w:tcBorders>
              <w:top w:val="nil"/>
              <w:left w:val="nil"/>
              <w:bottom w:val="nil"/>
              <w:right w:val="nil"/>
            </w:tcBorders>
            <w:shd w:val="clear" w:color="auto" w:fill="auto"/>
            <w:noWrap/>
            <w:vAlign w:val="bottom"/>
            <w:hideMark/>
          </w:tcPr>
          <w:p w14:paraId="413F7BAD" w14:textId="0E4F48FA" w:rsidR="00F826D0" w:rsidRPr="003328EE" w:rsidRDefault="00F826D0" w:rsidP="00D65F93">
            <w:pPr>
              <w:rPr>
                <w:rFonts w:eastAsia="Times New Roman"/>
                <w:color w:val="000000"/>
                <w:sz w:val="18"/>
                <w:szCs w:val="18"/>
              </w:rPr>
            </w:pPr>
            <w:r w:rsidRPr="003328EE">
              <w:rPr>
                <w:rFonts w:eastAsia="Times New Roman"/>
                <w:color w:val="000000"/>
                <w:sz w:val="18"/>
                <w:szCs w:val="18"/>
              </w:rPr>
              <w:t>Pricing &amp; Promotion</w:t>
            </w:r>
          </w:p>
        </w:tc>
        <w:tc>
          <w:tcPr>
            <w:tcW w:w="3183" w:type="dxa"/>
            <w:tcBorders>
              <w:top w:val="nil"/>
              <w:left w:val="nil"/>
              <w:bottom w:val="nil"/>
              <w:right w:val="nil"/>
            </w:tcBorders>
            <w:shd w:val="clear" w:color="auto" w:fill="auto"/>
            <w:noWrap/>
            <w:vAlign w:val="bottom"/>
            <w:hideMark/>
          </w:tcPr>
          <w:p w14:paraId="3B788559" w14:textId="6DB81F77"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19A07795" w14:textId="3BDE490A"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C185736" w14:textId="264DAA3E"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CD6826B" w14:textId="76686417" w:rsidR="00F826D0" w:rsidRPr="003328EE" w:rsidRDefault="00F826D0" w:rsidP="00D65F93">
            <w:pPr>
              <w:rPr>
                <w:rFonts w:eastAsia="Times New Roman"/>
                <w:color w:val="000000"/>
                <w:sz w:val="18"/>
                <w:szCs w:val="18"/>
              </w:rPr>
            </w:pPr>
            <w:r w:rsidRPr="003328EE">
              <w:rPr>
                <w:rFonts w:eastAsia="Times New Roman"/>
                <w:color w:val="000000"/>
                <w:sz w:val="18"/>
                <w:szCs w:val="18"/>
              </w:rPr>
              <w:t>Jeong &amp; Jang, 2016</w:t>
            </w:r>
          </w:p>
        </w:tc>
        <w:tc>
          <w:tcPr>
            <w:tcW w:w="1156" w:type="dxa"/>
            <w:tcBorders>
              <w:top w:val="nil"/>
              <w:left w:val="nil"/>
              <w:bottom w:val="nil"/>
              <w:right w:val="nil"/>
            </w:tcBorders>
            <w:shd w:val="clear" w:color="auto" w:fill="auto"/>
            <w:noWrap/>
            <w:vAlign w:val="bottom"/>
            <w:hideMark/>
          </w:tcPr>
          <w:p w14:paraId="1C560782" w14:textId="0525E10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F005A19" w14:textId="77777777" w:rsidTr="00D65F93">
        <w:trPr>
          <w:trHeight w:val="320"/>
        </w:trPr>
        <w:tc>
          <w:tcPr>
            <w:tcW w:w="3545" w:type="dxa"/>
            <w:tcBorders>
              <w:top w:val="nil"/>
              <w:left w:val="nil"/>
              <w:bottom w:val="nil"/>
              <w:right w:val="nil"/>
            </w:tcBorders>
            <w:shd w:val="clear" w:color="auto" w:fill="auto"/>
            <w:noWrap/>
            <w:vAlign w:val="bottom"/>
            <w:hideMark/>
          </w:tcPr>
          <w:p w14:paraId="3A9666B7" w14:textId="7373F9F6" w:rsidR="00F826D0" w:rsidRPr="003328EE" w:rsidRDefault="00F826D0" w:rsidP="00D65F93">
            <w:pPr>
              <w:rPr>
                <w:rFonts w:eastAsia="Times New Roman"/>
                <w:color w:val="000000"/>
                <w:sz w:val="18"/>
                <w:szCs w:val="18"/>
              </w:rPr>
            </w:pPr>
            <w:r w:rsidRPr="003328EE">
              <w:rPr>
                <w:rFonts w:eastAsia="Times New Roman"/>
                <w:color w:val="000000"/>
                <w:sz w:val="18"/>
                <w:szCs w:val="18"/>
              </w:rPr>
              <w:t>Subsidies to Industry</w:t>
            </w:r>
          </w:p>
        </w:tc>
        <w:tc>
          <w:tcPr>
            <w:tcW w:w="3183" w:type="dxa"/>
            <w:tcBorders>
              <w:top w:val="nil"/>
              <w:left w:val="nil"/>
              <w:bottom w:val="nil"/>
              <w:right w:val="nil"/>
            </w:tcBorders>
            <w:shd w:val="clear" w:color="auto" w:fill="auto"/>
            <w:noWrap/>
            <w:vAlign w:val="bottom"/>
            <w:hideMark/>
          </w:tcPr>
          <w:p w14:paraId="36EF51C6" w14:textId="6B178911"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1620E3DC" w14:textId="6A34730D"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06D23AFA" w14:textId="0DA5D882"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A2D4A4F" w14:textId="0DCB0883" w:rsidR="00F826D0" w:rsidRPr="003328EE" w:rsidRDefault="00F826D0" w:rsidP="00D65F93">
            <w:pPr>
              <w:rPr>
                <w:rFonts w:eastAsia="Times New Roman"/>
                <w:color w:val="000000"/>
                <w:sz w:val="18"/>
                <w:szCs w:val="18"/>
              </w:rPr>
            </w:pPr>
            <w:r w:rsidRPr="003328EE">
              <w:rPr>
                <w:rFonts w:eastAsia="Times New Roman"/>
                <w:color w:val="000000"/>
                <w:sz w:val="18"/>
                <w:szCs w:val="18"/>
              </w:rPr>
              <w:t>Classen &amp; Schwean, 1998</w:t>
            </w:r>
          </w:p>
        </w:tc>
        <w:tc>
          <w:tcPr>
            <w:tcW w:w="1156" w:type="dxa"/>
            <w:tcBorders>
              <w:top w:val="nil"/>
              <w:left w:val="nil"/>
              <w:bottom w:val="nil"/>
              <w:right w:val="nil"/>
            </w:tcBorders>
            <w:shd w:val="clear" w:color="auto" w:fill="auto"/>
            <w:noWrap/>
            <w:vAlign w:val="bottom"/>
            <w:hideMark/>
          </w:tcPr>
          <w:p w14:paraId="46888919" w14:textId="751C3711" w:rsidR="00F826D0" w:rsidRPr="003328EE" w:rsidRDefault="00F826D0" w:rsidP="00D65F93">
            <w:pPr>
              <w:rPr>
                <w:rFonts w:eastAsia="Times New Roman"/>
                <w:color w:val="000000"/>
                <w:sz w:val="18"/>
                <w:szCs w:val="18"/>
              </w:rPr>
            </w:pPr>
            <w:r w:rsidRPr="003328EE">
              <w:rPr>
                <w:rFonts w:eastAsia="Times New Roman"/>
                <w:color w:val="000000"/>
                <w:sz w:val="18"/>
                <w:szCs w:val="18"/>
              </w:rPr>
              <w:t>Symposium</w:t>
            </w:r>
          </w:p>
        </w:tc>
      </w:tr>
      <w:tr w:rsidR="00F826D0" w:rsidRPr="003328EE" w14:paraId="6680EF7B" w14:textId="77777777" w:rsidTr="00D65F93">
        <w:trPr>
          <w:trHeight w:val="320"/>
        </w:trPr>
        <w:tc>
          <w:tcPr>
            <w:tcW w:w="3545" w:type="dxa"/>
            <w:tcBorders>
              <w:top w:val="nil"/>
              <w:left w:val="nil"/>
              <w:bottom w:val="nil"/>
              <w:right w:val="nil"/>
            </w:tcBorders>
            <w:shd w:val="clear" w:color="auto" w:fill="auto"/>
            <w:noWrap/>
            <w:vAlign w:val="bottom"/>
            <w:hideMark/>
          </w:tcPr>
          <w:p w14:paraId="4B8D5F00" w14:textId="0E9EEDBF" w:rsidR="00F826D0" w:rsidRPr="003328EE" w:rsidRDefault="00F826D0" w:rsidP="00D65F93">
            <w:pPr>
              <w:rPr>
                <w:rFonts w:eastAsia="Times New Roman"/>
                <w:color w:val="000000"/>
                <w:sz w:val="18"/>
                <w:szCs w:val="18"/>
              </w:rPr>
            </w:pPr>
            <w:r w:rsidRPr="003328EE">
              <w:rPr>
                <w:rFonts w:eastAsia="Times New Roman"/>
                <w:color w:val="000000"/>
                <w:sz w:val="18"/>
                <w:szCs w:val="18"/>
              </w:rPr>
              <w:t>Supermarket Sales</w:t>
            </w:r>
          </w:p>
        </w:tc>
        <w:tc>
          <w:tcPr>
            <w:tcW w:w="3183" w:type="dxa"/>
            <w:tcBorders>
              <w:top w:val="nil"/>
              <w:left w:val="nil"/>
              <w:bottom w:val="nil"/>
              <w:right w:val="nil"/>
            </w:tcBorders>
            <w:shd w:val="clear" w:color="auto" w:fill="auto"/>
            <w:noWrap/>
            <w:vAlign w:val="bottom"/>
            <w:hideMark/>
          </w:tcPr>
          <w:p w14:paraId="09826ED3" w14:textId="41A74638"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6BE256BD" w14:textId="5EE0C5CA"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5267271" w14:textId="4E086C9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F01348B" w14:textId="267D4699" w:rsidR="00F826D0" w:rsidRPr="003328EE" w:rsidRDefault="00F826D0" w:rsidP="00D65F93">
            <w:pPr>
              <w:rPr>
                <w:rFonts w:eastAsia="Times New Roman"/>
                <w:color w:val="000000"/>
                <w:sz w:val="18"/>
                <w:szCs w:val="18"/>
              </w:rPr>
            </w:pPr>
            <w:r w:rsidRPr="003328EE">
              <w:rPr>
                <w:rFonts w:eastAsia="Times New Roman"/>
                <w:color w:val="000000"/>
                <w:sz w:val="18"/>
                <w:szCs w:val="18"/>
              </w:rPr>
              <w:t>Jahns et al., 2016</w:t>
            </w:r>
          </w:p>
        </w:tc>
        <w:tc>
          <w:tcPr>
            <w:tcW w:w="1156" w:type="dxa"/>
            <w:tcBorders>
              <w:top w:val="nil"/>
              <w:left w:val="nil"/>
              <w:bottom w:val="nil"/>
              <w:right w:val="nil"/>
            </w:tcBorders>
            <w:shd w:val="clear" w:color="auto" w:fill="auto"/>
            <w:noWrap/>
            <w:vAlign w:val="bottom"/>
            <w:hideMark/>
          </w:tcPr>
          <w:p w14:paraId="3C4963A8" w14:textId="303B40C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23BF7D4" w14:textId="77777777" w:rsidTr="00D65F93">
        <w:trPr>
          <w:trHeight w:val="320"/>
        </w:trPr>
        <w:tc>
          <w:tcPr>
            <w:tcW w:w="3545" w:type="dxa"/>
            <w:tcBorders>
              <w:top w:val="nil"/>
              <w:left w:val="nil"/>
              <w:bottom w:val="nil"/>
              <w:right w:val="nil"/>
            </w:tcBorders>
            <w:shd w:val="clear" w:color="auto" w:fill="auto"/>
            <w:noWrap/>
            <w:vAlign w:val="bottom"/>
            <w:hideMark/>
          </w:tcPr>
          <w:p w14:paraId="7B703E83" w14:textId="1040642B" w:rsidR="00F826D0" w:rsidRPr="003328EE" w:rsidRDefault="00F826D0" w:rsidP="00D65F93">
            <w:pPr>
              <w:rPr>
                <w:rFonts w:eastAsia="Times New Roman"/>
                <w:color w:val="000000"/>
                <w:sz w:val="18"/>
                <w:szCs w:val="18"/>
              </w:rPr>
            </w:pPr>
            <w:r w:rsidRPr="003328EE">
              <w:rPr>
                <w:rFonts w:eastAsia="Times New Roman"/>
                <w:color w:val="000000"/>
                <w:sz w:val="18"/>
                <w:szCs w:val="18"/>
              </w:rPr>
              <w:t>Supermarket Sales</w:t>
            </w:r>
          </w:p>
        </w:tc>
        <w:tc>
          <w:tcPr>
            <w:tcW w:w="3183" w:type="dxa"/>
            <w:tcBorders>
              <w:top w:val="nil"/>
              <w:left w:val="nil"/>
              <w:bottom w:val="nil"/>
              <w:right w:val="nil"/>
            </w:tcBorders>
            <w:shd w:val="clear" w:color="auto" w:fill="auto"/>
            <w:noWrap/>
            <w:vAlign w:val="bottom"/>
            <w:hideMark/>
          </w:tcPr>
          <w:p w14:paraId="1C1B18F5" w14:textId="32557534"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56994219" w14:textId="65193B0A"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089A3C7" w14:textId="1BFCE12D"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B5CFC4F" w14:textId="612A499D" w:rsidR="00F826D0" w:rsidRPr="003328EE" w:rsidRDefault="00F826D0" w:rsidP="00D65F93">
            <w:pPr>
              <w:rPr>
                <w:rFonts w:eastAsia="Times New Roman"/>
                <w:color w:val="000000"/>
                <w:sz w:val="18"/>
                <w:szCs w:val="18"/>
              </w:rPr>
            </w:pPr>
            <w:r w:rsidRPr="003328EE">
              <w:rPr>
                <w:rFonts w:eastAsia="Times New Roman"/>
                <w:color w:val="000000"/>
                <w:sz w:val="18"/>
                <w:szCs w:val="18"/>
              </w:rPr>
              <w:t>Sonntag et al., 2015</w:t>
            </w:r>
          </w:p>
        </w:tc>
        <w:tc>
          <w:tcPr>
            <w:tcW w:w="1156" w:type="dxa"/>
            <w:tcBorders>
              <w:top w:val="nil"/>
              <w:left w:val="nil"/>
              <w:bottom w:val="nil"/>
              <w:right w:val="nil"/>
            </w:tcBorders>
            <w:shd w:val="clear" w:color="auto" w:fill="auto"/>
            <w:noWrap/>
            <w:vAlign w:val="bottom"/>
            <w:hideMark/>
          </w:tcPr>
          <w:p w14:paraId="49483592" w14:textId="578C8ABC"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863BB0A" w14:textId="77777777" w:rsidTr="00D65F93">
        <w:trPr>
          <w:trHeight w:val="320"/>
        </w:trPr>
        <w:tc>
          <w:tcPr>
            <w:tcW w:w="3545" w:type="dxa"/>
            <w:tcBorders>
              <w:top w:val="nil"/>
              <w:left w:val="nil"/>
              <w:bottom w:val="nil"/>
              <w:right w:val="nil"/>
            </w:tcBorders>
            <w:shd w:val="clear" w:color="auto" w:fill="auto"/>
            <w:noWrap/>
            <w:vAlign w:val="bottom"/>
            <w:hideMark/>
          </w:tcPr>
          <w:p w14:paraId="019F7F66" w14:textId="068D4794" w:rsidR="00F826D0" w:rsidRPr="003328EE" w:rsidRDefault="00F826D0" w:rsidP="00D65F93">
            <w:pPr>
              <w:rPr>
                <w:rFonts w:eastAsia="Times New Roman"/>
                <w:color w:val="000000"/>
                <w:sz w:val="18"/>
                <w:szCs w:val="18"/>
              </w:rPr>
            </w:pPr>
            <w:r w:rsidRPr="003328EE">
              <w:rPr>
                <w:rFonts w:eastAsia="Times New Roman"/>
                <w:color w:val="000000"/>
                <w:sz w:val="18"/>
                <w:szCs w:val="18"/>
              </w:rPr>
              <w:t>Supermarket Sales</w:t>
            </w:r>
          </w:p>
        </w:tc>
        <w:tc>
          <w:tcPr>
            <w:tcW w:w="3183" w:type="dxa"/>
            <w:tcBorders>
              <w:top w:val="nil"/>
              <w:left w:val="nil"/>
              <w:bottom w:val="nil"/>
              <w:right w:val="nil"/>
            </w:tcBorders>
            <w:shd w:val="clear" w:color="auto" w:fill="auto"/>
            <w:noWrap/>
            <w:vAlign w:val="bottom"/>
            <w:hideMark/>
          </w:tcPr>
          <w:p w14:paraId="5EE71770" w14:textId="0FA216A6"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627B040B" w14:textId="646F8AFC"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45715EE" w14:textId="2C13B5B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BF10F92" w14:textId="7B991161" w:rsidR="00F826D0" w:rsidRPr="003328EE" w:rsidRDefault="00F826D0" w:rsidP="00D65F93">
            <w:pPr>
              <w:rPr>
                <w:rFonts w:eastAsia="Times New Roman"/>
                <w:color w:val="000000"/>
                <w:sz w:val="18"/>
                <w:szCs w:val="18"/>
              </w:rPr>
            </w:pPr>
            <w:r w:rsidRPr="003328EE">
              <w:rPr>
                <w:rFonts w:eastAsia="Times New Roman"/>
                <w:color w:val="000000"/>
                <w:sz w:val="18"/>
                <w:szCs w:val="18"/>
              </w:rPr>
              <w:t>Vukmirovic, 2015</w:t>
            </w:r>
          </w:p>
        </w:tc>
        <w:tc>
          <w:tcPr>
            <w:tcW w:w="1156" w:type="dxa"/>
            <w:tcBorders>
              <w:top w:val="nil"/>
              <w:left w:val="nil"/>
              <w:bottom w:val="nil"/>
              <w:right w:val="nil"/>
            </w:tcBorders>
            <w:shd w:val="clear" w:color="auto" w:fill="auto"/>
            <w:noWrap/>
            <w:vAlign w:val="bottom"/>
            <w:hideMark/>
          </w:tcPr>
          <w:p w14:paraId="29EF3227" w14:textId="44D12E93"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3B14A168" w14:textId="77777777" w:rsidTr="00D65F93">
        <w:trPr>
          <w:trHeight w:val="320"/>
        </w:trPr>
        <w:tc>
          <w:tcPr>
            <w:tcW w:w="3545" w:type="dxa"/>
            <w:tcBorders>
              <w:top w:val="nil"/>
              <w:left w:val="nil"/>
              <w:bottom w:val="nil"/>
              <w:right w:val="nil"/>
            </w:tcBorders>
            <w:shd w:val="clear" w:color="auto" w:fill="auto"/>
            <w:noWrap/>
            <w:vAlign w:val="bottom"/>
            <w:hideMark/>
          </w:tcPr>
          <w:p w14:paraId="050B434E" w14:textId="6EF044F5" w:rsidR="00F826D0" w:rsidRPr="003328EE" w:rsidRDefault="00F826D0" w:rsidP="00D65F93">
            <w:pPr>
              <w:rPr>
                <w:rFonts w:eastAsia="Times New Roman"/>
                <w:color w:val="000000"/>
                <w:sz w:val="18"/>
                <w:szCs w:val="18"/>
              </w:rPr>
            </w:pPr>
            <w:r w:rsidRPr="003328EE">
              <w:rPr>
                <w:rFonts w:eastAsia="Times New Roman"/>
                <w:color w:val="000000"/>
                <w:sz w:val="18"/>
                <w:szCs w:val="18"/>
              </w:rPr>
              <w:t>Supply</w:t>
            </w:r>
          </w:p>
        </w:tc>
        <w:tc>
          <w:tcPr>
            <w:tcW w:w="3183" w:type="dxa"/>
            <w:tcBorders>
              <w:top w:val="nil"/>
              <w:left w:val="nil"/>
              <w:bottom w:val="nil"/>
              <w:right w:val="nil"/>
            </w:tcBorders>
            <w:shd w:val="clear" w:color="auto" w:fill="auto"/>
            <w:noWrap/>
            <w:vAlign w:val="bottom"/>
            <w:hideMark/>
          </w:tcPr>
          <w:p w14:paraId="1C21C48E" w14:textId="153ECC8E"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567E3E6C" w14:textId="40E12EFE"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42D8FF9" w14:textId="0D90A46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2F91C06" w14:textId="5CBC1D4A" w:rsidR="00F826D0" w:rsidRPr="003328EE" w:rsidRDefault="00F826D0" w:rsidP="00D65F93">
            <w:pPr>
              <w:rPr>
                <w:rFonts w:eastAsia="Times New Roman"/>
                <w:color w:val="000000"/>
                <w:sz w:val="18"/>
                <w:szCs w:val="18"/>
              </w:rPr>
            </w:pPr>
            <w:r w:rsidRPr="003328EE">
              <w:rPr>
                <w:rFonts w:eastAsia="Times New Roman"/>
                <w:color w:val="000000"/>
                <w:sz w:val="18"/>
                <w:szCs w:val="18"/>
              </w:rPr>
              <w:t>Kearney, 2010</w:t>
            </w:r>
          </w:p>
        </w:tc>
        <w:tc>
          <w:tcPr>
            <w:tcW w:w="1156" w:type="dxa"/>
            <w:tcBorders>
              <w:top w:val="nil"/>
              <w:left w:val="nil"/>
              <w:bottom w:val="nil"/>
              <w:right w:val="nil"/>
            </w:tcBorders>
            <w:shd w:val="clear" w:color="auto" w:fill="auto"/>
            <w:noWrap/>
            <w:vAlign w:val="bottom"/>
            <w:hideMark/>
          </w:tcPr>
          <w:p w14:paraId="49B4E07B" w14:textId="57794A1B"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0D22EDA" w14:textId="77777777" w:rsidTr="00D65F93">
        <w:trPr>
          <w:trHeight w:val="320"/>
        </w:trPr>
        <w:tc>
          <w:tcPr>
            <w:tcW w:w="3545" w:type="dxa"/>
            <w:tcBorders>
              <w:top w:val="nil"/>
              <w:left w:val="nil"/>
              <w:bottom w:val="nil"/>
              <w:right w:val="nil"/>
            </w:tcBorders>
            <w:shd w:val="clear" w:color="auto" w:fill="auto"/>
            <w:noWrap/>
            <w:vAlign w:val="bottom"/>
            <w:hideMark/>
          </w:tcPr>
          <w:p w14:paraId="2180DAA4" w14:textId="6320F198" w:rsidR="00F826D0" w:rsidRPr="003328EE" w:rsidRDefault="00F826D0" w:rsidP="00D65F93">
            <w:pPr>
              <w:rPr>
                <w:rFonts w:eastAsia="Times New Roman"/>
                <w:color w:val="000000"/>
                <w:sz w:val="18"/>
                <w:szCs w:val="18"/>
              </w:rPr>
            </w:pPr>
            <w:r w:rsidRPr="003328EE">
              <w:rPr>
                <w:rFonts w:eastAsia="Times New Roman"/>
                <w:color w:val="000000"/>
                <w:sz w:val="18"/>
                <w:szCs w:val="18"/>
              </w:rPr>
              <w:t>Threat to Industry</w:t>
            </w:r>
          </w:p>
        </w:tc>
        <w:tc>
          <w:tcPr>
            <w:tcW w:w="3183" w:type="dxa"/>
            <w:tcBorders>
              <w:top w:val="nil"/>
              <w:left w:val="nil"/>
              <w:bottom w:val="nil"/>
              <w:right w:val="nil"/>
            </w:tcBorders>
            <w:shd w:val="clear" w:color="auto" w:fill="auto"/>
            <w:noWrap/>
            <w:vAlign w:val="bottom"/>
            <w:hideMark/>
          </w:tcPr>
          <w:p w14:paraId="67508078" w14:textId="39C463B0"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165D72F5" w14:textId="7D99C873"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A0FE20B" w14:textId="51BD35B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E5F8CF2" w14:textId="36C8F0D9" w:rsidR="00F826D0" w:rsidRPr="003328EE" w:rsidRDefault="00F826D0" w:rsidP="00D65F93">
            <w:pPr>
              <w:rPr>
                <w:rFonts w:eastAsia="Times New Roman"/>
                <w:color w:val="000000"/>
                <w:sz w:val="18"/>
                <w:szCs w:val="18"/>
              </w:rPr>
            </w:pPr>
            <w:r w:rsidRPr="003328EE">
              <w:rPr>
                <w:rFonts w:eastAsia="Times New Roman"/>
                <w:color w:val="000000"/>
                <w:sz w:val="18"/>
                <w:szCs w:val="18"/>
              </w:rPr>
              <w:t>Chin et al., 2002</w:t>
            </w:r>
          </w:p>
        </w:tc>
        <w:tc>
          <w:tcPr>
            <w:tcW w:w="1156" w:type="dxa"/>
            <w:tcBorders>
              <w:top w:val="nil"/>
              <w:left w:val="nil"/>
              <w:bottom w:val="nil"/>
              <w:right w:val="nil"/>
            </w:tcBorders>
            <w:shd w:val="clear" w:color="auto" w:fill="auto"/>
            <w:noWrap/>
            <w:vAlign w:val="bottom"/>
            <w:hideMark/>
          </w:tcPr>
          <w:p w14:paraId="62AF0EA8" w14:textId="247303A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814000F" w14:textId="77777777" w:rsidTr="00D65F93">
        <w:trPr>
          <w:trHeight w:val="320"/>
        </w:trPr>
        <w:tc>
          <w:tcPr>
            <w:tcW w:w="3545" w:type="dxa"/>
            <w:tcBorders>
              <w:top w:val="nil"/>
              <w:left w:val="nil"/>
              <w:bottom w:val="nil"/>
              <w:right w:val="nil"/>
            </w:tcBorders>
            <w:shd w:val="clear" w:color="auto" w:fill="auto"/>
            <w:noWrap/>
            <w:vAlign w:val="bottom"/>
            <w:hideMark/>
          </w:tcPr>
          <w:p w14:paraId="4A5C49A5" w14:textId="058BC563" w:rsidR="00F826D0" w:rsidRPr="003328EE" w:rsidRDefault="00F826D0" w:rsidP="00D65F93">
            <w:pPr>
              <w:rPr>
                <w:rFonts w:eastAsia="Times New Roman"/>
                <w:color w:val="000000"/>
                <w:sz w:val="18"/>
                <w:szCs w:val="18"/>
              </w:rPr>
            </w:pPr>
            <w:r w:rsidRPr="003328EE">
              <w:rPr>
                <w:rFonts w:eastAsia="Times New Roman"/>
                <w:color w:val="000000"/>
                <w:sz w:val="18"/>
                <w:szCs w:val="18"/>
              </w:rPr>
              <w:t>Trade Policies</w:t>
            </w:r>
          </w:p>
        </w:tc>
        <w:tc>
          <w:tcPr>
            <w:tcW w:w="3183" w:type="dxa"/>
            <w:tcBorders>
              <w:top w:val="nil"/>
              <w:left w:val="nil"/>
              <w:bottom w:val="nil"/>
              <w:right w:val="nil"/>
            </w:tcBorders>
            <w:shd w:val="clear" w:color="auto" w:fill="auto"/>
            <w:noWrap/>
            <w:vAlign w:val="bottom"/>
            <w:hideMark/>
          </w:tcPr>
          <w:p w14:paraId="518220DF" w14:textId="11C86589" w:rsidR="00F826D0" w:rsidRPr="003328EE" w:rsidRDefault="00F826D0" w:rsidP="00D65F93">
            <w:pPr>
              <w:rPr>
                <w:rFonts w:eastAsia="Times New Roman"/>
                <w:color w:val="000000"/>
                <w:sz w:val="18"/>
                <w:szCs w:val="18"/>
              </w:rPr>
            </w:pPr>
            <w:r w:rsidRPr="003328EE">
              <w:rPr>
                <w:rFonts w:eastAsia="Times New Roman"/>
                <w:color w:val="000000"/>
                <w:sz w:val="18"/>
                <w:szCs w:val="18"/>
              </w:rPr>
              <w:t>Economic Underpinnings</w:t>
            </w:r>
          </w:p>
        </w:tc>
        <w:tc>
          <w:tcPr>
            <w:tcW w:w="2061" w:type="dxa"/>
            <w:tcBorders>
              <w:top w:val="nil"/>
              <w:left w:val="nil"/>
              <w:bottom w:val="nil"/>
              <w:right w:val="nil"/>
            </w:tcBorders>
            <w:shd w:val="clear" w:color="auto" w:fill="auto"/>
            <w:noWrap/>
            <w:vAlign w:val="bottom"/>
            <w:hideMark/>
          </w:tcPr>
          <w:p w14:paraId="0833F45D" w14:textId="2900FC7E"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C325619" w14:textId="170C141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21DCD68" w14:textId="347A1DD5" w:rsidR="00F826D0" w:rsidRPr="003328EE" w:rsidRDefault="00F826D0" w:rsidP="00D65F93">
            <w:pPr>
              <w:rPr>
                <w:rFonts w:eastAsia="Times New Roman"/>
                <w:color w:val="000000"/>
                <w:sz w:val="18"/>
                <w:szCs w:val="18"/>
              </w:rPr>
            </w:pPr>
            <w:r w:rsidRPr="003328EE">
              <w:rPr>
                <w:rFonts w:eastAsia="Times New Roman"/>
                <w:color w:val="000000"/>
                <w:sz w:val="18"/>
                <w:szCs w:val="18"/>
              </w:rPr>
              <w:t>Kearney, 2010</w:t>
            </w:r>
          </w:p>
        </w:tc>
        <w:tc>
          <w:tcPr>
            <w:tcW w:w="1156" w:type="dxa"/>
            <w:tcBorders>
              <w:top w:val="nil"/>
              <w:left w:val="nil"/>
              <w:bottom w:val="nil"/>
              <w:right w:val="nil"/>
            </w:tcBorders>
            <w:shd w:val="clear" w:color="auto" w:fill="auto"/>
            <w:noWrap/>
            <w:vAlign w:val="bottom"/>
            <w:hideMark/>
          </w:tcPr>
          <w:p w14:paraId="0C5DDDD6" w14:textId="1DACCE59"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1EA23C8" w14:textId="77777777" w:rsidTr="00D65F93">
        <w:trPr>
          <w:trHeight w:val="320"/>
        </w:trPr>
        <w:tc>
          <w:tcPr>
            <w:tcW w:w="3545" w:type="dxa"/>
            <w:tcBorders>
              <w:top w:val="nil"/>
              <w:left w:val="nil"/>
              <w:bottom w:val="nil"/>
              <w:right w:val="nil"/>
            </w:tcBorders>
            <w:shd w:val="clear" w:color="auto" w:fill="auto"/>
            <w:noWrap/>
            <w:vAlign w:val="bottom"/>
            <w:hideMark/>
          </w:tcPr>
          <w:p w14:paraId="02530476" w14:textId="6347DF0B" w:rsidR="00F826D0" w:rsidRPr="003328EE" w:rsidRDefault="00F826D0" w:rsidP="00D65F93">
            <w:pPr>
              <w:rPr>
                <w:rFonts w:eastAsia="Times New Roman"/>
                <w:color w:val="000000"/>
                <w:sz w:val="18"/>
                <w:szCs w:val="18"/>
              </w:rPr>
            </w:pPr>
            <w:r w:rsidRPr="003328EE">
              <w:rPr>
                <w:rFonts w:eastAsia="Times New Roman"/>
                <w:color w:val="000000"/>
                <w:sz w:val="18"/>
                <w:szCs w:val="18"/>
              </w:rPr>
              <w:t>Asymmetric Intervention by Industry</w:t>
            </w:r>
          </w:p>
        </w:tc>
        <w:tc>
          <w:tcPr>
            <w:tcW w:w="3183" w:type="dxa"/>
            <w:tcBorders>
              <w:top w:val="nil"/>
              <w:left w:val="nil"/>
              <w:bottom w:val="nil"/>
              <w:right w:val="nil"/>
            </w:tcBorders>
            <w:shd w:val="clear" w:color="auto" w:fill="auto"/>
            <w:noWrap/>
            <w:vAlign w:val="bottom"/>
            <w:hideMark/>
          </w:tcPr>
          <w:p w14:paraId="45DEE182" w14:textId="7BFFCA87"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127E0C60" w14:textId="50A2B775"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08AD88AF" w14:textId="73EACF5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46151D5" w14:textId="2D80691B" w:rsidR="00F826D0" w:rsidRPr="003328EE" w:rsidRDefault="00F826D0" w:rsidP="00D65F93">
            <w:pPr>
              <w:rPr>
                <w:rFonts w:eastAsia="Times New Roman"/>
                <w:color w:val="000000"/>
                <w:sz w:val="18"/>
                <w:szCs w:val="18"/>
              </w:rPr>
            </w:pPr>
            <w:r w:rsidRPr="003328EE">
              <w:rPr>
                <w:rFonts w:eastAsia="Times New Roman"/>
                <w:color w:val="000000"/>
                <w:sz w:val="18"/>
                <w:szCs w:val="18"/>
              </w:rPr>
              <w:t>Campbell-Arvai et al., 2014</w:t>
            </w:r>
          </w:p>
        </w:tc>
        <w:tc>
          <w:tcPr>
            <w:tcW w:w="1156" w:type="dxa"/>
            <w:tcBorders>
              <w:top w:val="nil"/>
              <w:left w:val="nil"/>
              <w:bottom w:val="nil"/>
              <w:right w:val="nil"/>
            </w:tcBorders>
            <w:shd w:val="clear" w:color="auto" w:fill="auto"/>
            <w:noWrap/>
            <w:vAlign w:val="bottom"/>
            <w:hideMark/>
          </w:tcPr>
          <w:p w14:paraId="248D0AF5" w14:textId="4C62A4B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C883B94" w14:textId="77777777" w:rsidTr="00D65F93">
        <w:trPr>
          <w:trHeight w:val="320"/>
        </w:trPr>
        <w:tc>
          <w:tcPr>
            <w:tcW w:w="3545" w:type="dxa"/>
            <w:tcBorders>
              <w:top w:val="nil"/>
              <w:left w:val="nil"/>
              <w:bottom w:val="nil"/>
              <w:right w:val="nil"/>
            </w:tcBorders>
            <w:shd w:val="clear" w:color="auto" w:fill="auto"/>
            <w:noWrap/>
            <w:vAlign w:val="bottom"/>
            <w:hideMark/>
          </w:tcPr>
          <w:p w14:paraId="1E6B9423" w14:textId="35700466"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201ECC72" w14:textId="46BF10D4"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58960110" w14:textId="22C1EF3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0DB39FE0" w14:textId="5D673B6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F091EC7" w14:textId="3FEDFBA8" w:rsidR="00F826D0" w:rsidRPr="003328EE" w:rsidRDefault="00F826D0" w:rsidP="00D65F93">
            <w:pPr>
              <w:rPr>
                <w:rFonts w:eastAsia="Times New Roman"/>
                <w:color w:val="000000"/>
                <w:sz w:val="18"/>
                <w:szCs w:val="18"/>
              </w:rPr>
            </w:pPr>
            <w:r w:rsidRPr="003328EE">
              <w:rPr>
                <w:rFonts w:eastAsia="Times New Roman"/>
                <w:color w:val="000000"/>
                <w:sz w:val="18"/>
                <w:szCs w:val="18"/>
              </w:rPr>
              <w:t>Beardsworth &amp; Keil</w:t>
            </w:r>
            <w:r>
              <w:rPr>
                <w:rFonts w:eastAsia="Times New Roman"/>
                <w:color w:val="000000"/>
                <w:sz w:val="18"/>
                <w:szCs w:val="18"/>
              </w:rPr>
              <w:t>, 1993</w:t>
            </w:r>
          </w:p>
        </w:tc>
        <w:tc>
          <w:tcPr>
            <w:tcW w:w="1156" w:type="dxa"/>
            <w:tcBorders>
              <w:top w:val="nil"/>
              <w:left w:val="nil"/>
              <w:bottom w:val="nil"/>
              <w:right w:val="nil"/>
            </w:tcBorders>
            <w:shd w:val="clear" w:color="auto" w:fill="auto"/>
            <w:noWrap/>
            <w:vAlign w:val="bottom"/>
            <w:hideMark/>
          </w:tcPr>
          <w:p w14:paraId="5BEEA04B" w14:textId="455F057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A33E98F" w14:textId="77777777" w:rsidTr="00D65F93">
        <w:trPr>
          <w:trHeight w:val="320"/>
        </w:trPr>
        <w:tc>
          <w:tcPr>
            <w:tcW w:w="3545" w:type="dxa"/>
            <w:tcBorders>
              <w:top w:val="nil"/>
              <w:left w:val="nil"/>
              <w:bottom w:val="nil"/>
              <w:right w:val="nil"/>
            </w:tcBorders>
            <w:shd w:val="clear" w:color="auto" w:fill="auto"/>
            <w:noWrap/>
            <w:vAlign w:val="bottom"/>
            <w:hideMark/>
          </w:tcPr>
          <w:p w14:paraId="416290E8" w14:textId="3C7AB4CA"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7D5DDCBC" w14:textId="4063EA11"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14EA0AF1" w14:textId="2273E25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1B26FBA" w14:textId="5BF21E0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5752AE7" w14:textId="62102A8B" w:rsidR="00F826D0" w:rsidRPr="003328EE" w:rsidRDefault="00F826D0" w:rsidP="00D65F93">
            <w:pPr>
              <w:rPr>
                <w:rFonts w:eastAsia="Times New Roman"/>
                <w:color w:val="000000"/>
                <w:sz w:val="18"/>
                <w:szCs w:val="18"/>
              </w:rPr>
            </w:pPr>
            <w:r w:rsidRPr="003328EE">
              <w:rPr>
                <w:rFonts w:eastAsia="Times New Roman"/>
                <w:color w:val="000000"/>
                <w:sz w:val="18"/>
                <w:szCs w:val="18"/>
              </w:rPr>
              <w:t>Erinosho et al., 2015</w:t>
            </w:r>
          </w:p>
        </w:tc>
        <w:tc>
          <w:tcPr>
            <w:tcW w:w="1156" w:type="dxa"/>
            <w:tcBorders>
              <w:top w:val="nil"/>
              <w:left w:val="nil"/>
              <w:bottom w:val="nil"/>
              <w:right w:val="nil"/>
            </w:tcBorders>
            <w:shd w:val="clear" w:color="auto" w:fill="auto"/>
            <w:noWrap/>
            <w:vAlign w:val="bottom"/>
            <w:hideMark/>
          </w:tcPr>
          <w:p w14:paraId="5AFBD554" w14:textId="3CEAC1B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51E7D72" w14:textId="77777777" w:rsidTr="00D65F93">
        <w:trPr>
          <w:trHeight w:val="320"/>
        </w:trPr>
        <w:tc>
          <w:tcPr>
            <w:tcW w:w="3545" w:type="dxa"/>
            <w:tcBorders>
              <w:top w:val="nil"/>
              <w:left w:val="nil"/>
              <w:bottom w:val="nil"/>
              <w:right w:val="nil"/>
            </w:tcBorders>
            <w:shd w:val="clear" w:color="auto" w:fill="auto"/>
            <w:noWrap/>
            <w:vAlign w:val="bottom"/>
            <w:hideMark/>
          </w:tcPr>
          <w:p w14:paraId="0493D7F6" w14:textId="3818546F"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36D0B702" w14:textId="0060B32E"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00099BE0" w14:textId="13C2298D"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0BAD932E" w14:textId="6D752F2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CF40509" w14:textId="67BAC300" w:rsidR="00F826D0" w:rsidRPr="003328EE" w:rsidRDefault="00F826D0" w:rsidP="00D65F93">
            <w:pPr>
              <w:rPr>
                <w:rFonts w:eastAsia="Times New Roman"/>
                <w:color w:val="000000"/>
                <w:sz w:val="18"/>
                <w:szCs w:val="18"/>
              </w:rPr>
            </w:pPr>
            <w:r w:rsidRPr="003328EE">
              <w:rPr>
                <w:rFonts w:eastAsia="Times New Roman"/>
                <w:color w:val="000000"/>
                <w:sz w:val="18"/>
                <w:szCs w:val="18"/>
              </w:rPr>
              <w:t>Gobert &amp; Duncan, 2009</w:t>
            </w:r>
          </w:p>
        </w:tc>
        <w:tc>
          <w:tcPr>
            <w:tcW w:w="1156" w:type="dxa"/>
            <w:tcBorders>
              <w:top w:val="nil"/>
              <w:left w:val="nil"/>
              <w:bottom w:val="nil"/>
              <w:right w:val="nil"/>
            </w:tcBorders>
            <w:shd w:val="clear" w:color="auto" w:fill="auto"/>
            <w:noWrap/>
            <w:vAlign w:val="bottom"/>
            <w:hideMark/>
          </w:tcPr>
          <w:p w14:paraId="5871E9AD" w14:textId="284612A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E2D69C5" w14:textId="77777777" w:rsidTr="00D65F93">
        <w:trPr>
          <w:trHeight w:val="320"/>
        </w:trPr>
        <w:tc>
          <w:tcPr>
            <w:tcW w:w="3545" w:type="dxa"/>
            <w:tcBorders>
              <w:top w:val="nil"/>
              <w:left w:val="nil"/>
              <w:bottom w:val="nil"/>
              <w:right w:val="nil"/>
            </w:tcBorders>
            <w:shd w:val="clear" w:color="auto" w:fill="auto"/>
            <w:noWrap/>
            <w:vAlign w:val="bottom"/>
            <w:hideMark/>
          </w:tcPr>
          <w:p w14:paraId="1DBF51F6" w14:textId="7125F9F4"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4FB81226" w14:textId="7A73EC68"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639D1617" w14:textId="013ADEFD"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C656BD7" w14:textId="10A88A9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9E6D7C4" w14:textId="3706402D" w:rsidR="00F826D0" w:rsidRPr="003328EE" w:rsidRDefault="00F826D0" w:rsidP="00D65F93">
            <w:pPr>
              <w:rPr>
                <w:rFonts w:eastAsia="Times New Roman"/>
                <w:color w:val="000000"/>
                <w:sz w:val="18"/>
                <w:szCs w:val="18"/>
              </w:rPr>
            </w:pPr>
            <w:r w:rsidRPr="003328EE">
              <w:rPr>
                <w:rFonts w:eastAsia="Times New Roman"/>
                <w:color w:val="000000"/>
                <w:sz w:val="18"/>
                <w:szCs w:val="18"/>
              </w:rPr>
              <w:t>Hill, 2002</w:t>
            </w:r>
          </w:p>
        </w:tc>
        <w:tc>
          <w:tcPr>
            <w:tcW w:w="1156" w:type="dxa"/>
            <w:tcBorders>
              <w:top w:val="nil"/>
              <w:left w:val="nil"/>
              <w:bottom w:val="nil"/>
              <w:right w:val="nil"/>
            </w:tcBorders>
            <w:shd w:val="clear" w:color="auto" w:fill="auto"/>
            <w:noWrap/>
            <w:vAlign w:val="bottom"/>
            <w:hideMark/>
          </w:tcPr>
          <w:p w14:paraId="27F0710B" w14:textId="6ABC7D2D"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9B1B33A" w14:textId="77777777" w:rsidTr="00D65F93">
        <w:trPr>
          <w:trHeight w:val="320"/>
        </w:trPr>
        <w:tc>
          <w:tcPr>
            <w:tcW w:w="3545" w:type="dxa"/>
            <w:tcBorders>
              <w:top w:val="nil"/>
              <w:left w:val="nil"/>
              <w:bottom w:val="nil"/>
              <w:right w:val="nil"/>
            </w:tcBorders>
            <w:shd w:val="clear" w:color="auto" w:fill="auto"/>
            <w:noWrap/>
            <w:vAlign w:val="bottom"/>
            <w:hideMark/>
          </w:tcPr>
          <w:p w14:paraId="3F3F7BF0" w14:textId="1719F14C"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01828A12" w14:textId="201B2AF1"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07F78CE4" w14:textId="5675EA93"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EE4AAB8" w14:textId="29AF9C8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5763A68" w14:textId="05E18D37" w:rsidR="00F826D0" w:rsidRPr="003328EE" w:rsidRDefault="00F826D0" w:rsidP="00D65F93">
            <w:pPr>
              <w:rPr>
                <w:rFonts w:eastAsia="Times New Roman"/>
                <w:color w:val="000000"/>
                <w:sz w:val="18"/>
                <w:szCs w:val="18"/>
              </w:rPr>
            </w:pPr>
            <w:r w:rsidRPr="003328EE">
              <w:rPr>
                <w:rFonts w:eastAsia="Times New Roman"/>
                <w:color w:val="000000"/>
                <w:sz w:val="18"/>
                <w:szCs w:val="18"/>
              </w:rPr>
              <w:t>Makiniemi &amp; Vinio, 2014</w:t>
            </w:r>
          </w:p>
        </w:tc>
        <w:tc>
          <w:tcPr>
            <w:tcW w:w="1156" w:type="dxa"/>
            <w:tcBorders>
              <w:top w:val="nil"/>
              <w:left w:val="nil"/>
              <w:bottom w:val="nil"/>
              <w:right w:val="nil"/>
            </w:tcBorders>
            <w:shd w:val="clear" w:color="auto" w:fill="auto"/>
            <w:noWrap/>
            <w:vAlign w:val="bottom"/>
            <w:hideMark/>
          </w:tcPr>
          <w:p w14:paraId="03AB9CF9" w14:textId="65150C2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E467F84" w14:textId="77777777" w:rsidTr="00D65F93">
        <w:trPr>
          <w:trHeight w:val="320"/>
        </w:trPr>
        <w:tc>
          <w:tcPr>
            <w:tcW w:w="3545" w:type="dxa"/>
            <w:tcBorders>
              <w:top w:val="nil"/>
              <w:left w:val="nil"/>
              <w:bottom w:val="nil"/>
              <w:right w:val="nil"/>
            </w:tcBorders>
            <w:shd w:val="clear" w:color="auto" w:fill="auto"/>
            <w:noWrap/>
            <w:vAlign w:val="bottom"/>
            <w:hideMark/>
          </w:tcPr>
          <w:p w14:paraId="6135AFCE" w14:textId="7F7E5106"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63A655B7" w14:textId="4BB697CB"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7F332C30" w14:textId="515AF05C"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9331E0D" w14:textId="7AEE6A1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914D939" w14:textId="2DE078E8" w:rsidR="00F826D0" w:rsidRPr="003328EE" w:rsidRDefault="00F826D0" w:rsidP="00D65F93">
            <w:pPr>
              <w:rPr>
                <w:rFonts w:eastAsia="Times New Roman"/>
                <w:color w:val="000000"/>
                <w:sz w:val="18"/>
                <w:szCs w:val="18"/>
              </w:rPr>
            </w:pPr>
            <w:r w:rsidRPr="003328EE">
              <w:rPr>
                <w:rFonts w:eastAsia="Times New Roman"/>
                <w:color w:val="000000"/>
                <w:sz w:val="18"/>
                <w:szCs w:val="18"/>
              </w:rPr>
              <w:t>Barr &amp; Chapman, 2002</w:t>
            </w:r>
          </w:p>
        </w:tc>
        <w:tc>
          <w:tcPr>
            <w:tcW w:w="1156" w:type="dxa"/>
            <w:tcBorders>
              <w:top w:val="nil"/>
              <w:left w:val="nil"/>
              <w:bottom w:val="nil"/>
              <w:right w:val="nil"/>
            </w:tcBorders>
            <w:shd w:val="clear" w:color="auto" w:fill="auto"/>
            <w:noWrap/>
            <w:vAlign w:val="bottom"/>
            <w:hideMark/>
          </w:tcPr>
          <w:p w14:paraId="5FDE4D40" w14:textId="52EA31F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6772A60" w14:textId="77777777" w:rsidTr="00D65F93">
        <w:trPr>
          <w:trHeight w:val="320"/>
        </w:trPr>
        <w:tc>
          <w:tcPr>
            <w:tcW w:w="3545" w:type="dxa"/>
            <w:tcBorders>
              <w:top w:val="nil"/>
              <w:left w:val="nil"/>
              <w:bottom w:val="nil"/>
              <w:right w:val="nil"/>
            </w:tcBorders>
            <w:shd w:val="clear" w:color="auto" w:fill="auto"/>
            <w:noWrap/>
            <w:vAlign w:val="bottom"/>
            <w:hideMark/>
          </w:tcPr>
          <w:p w14:paraId="2196E10B" w14:textId="6995B6DE"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344420AA" w14:textId="0E40B66D"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34A5E00B" w14:textId="06440863"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A90C802" w14:textId="27F4CBA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F55CF89" w14:textId="26C77DCB" w:rsidR="00F826D0" w:rsidRPr="003328EE" w:rsidRDefault="00F826D0" w:rsidP="00D65F93">
            <w:pPr>
              <w:rPr>
                <w:rFonts w:eastAsia="Times New Roman"/>
                <w:color w:val="000000"/>
                <w:sz w:val="18"/>
                <w:szCs w:val="18"/>
              </w:rPr>
            </w:pPr>
            <w:r w:rsidRPr="003328EE">
              <w:rPr>
                <w:rFonts w:eastAsia="Times New Roman"/>
                <w:color w:val="000000"/>
                <w:sz w:val="18"/>
                <w:szCs w:val="18"/>
              </w:rPr>
              <w:t>Fleming et al., 1997</w:t>
            </w:r>
          </w:p>
        </w:tc>
        <w:tc>
          <w:tcPr>
            <w:tcW w:w="1156" w:type="dxa"/>
            <w:tcBorders>
              <w:top w:val="nil"/>
              <w:left w:val="nil"/>
              <w:bottom w:val="nil"/>
              <w:right w:val="nil"/>
            </w:tcBorders>
            <w:shd w:val="clear" w:color="auto" w:fill="auto"/>
            <w:noWrap/>
            <w:vAlign w:val="bottom"/>
            <w:hideMark/>
          </w:tcPr>
          <w:p w14:paraId="1A07C0AB" w14:textId="62BE854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0E41853" w14:textId="77777777" w:rsidTr="00D65F93">
        <w:trPr>
          <w:trHeight w:val="320"/>
        </w:trPr>
        <w:tc>
          <w:tcPr>
            <w:tcW w:w="3545" w:type="dxa"/>
            <w:tcBorders>
              <w:top w:val="nil"/>
              <w:left w:val="nil"/>
              <w:bottom w:val="nil"/>
              <w:right w:val="nil"/>
            </w:tcBorders>
            <w:shd w:val="clear" w:color="auto" w:fill="auto"/>
            <w:noWrap/>
            <w:vAlign w:val="bottom"/>
            <w:hideMark/>
          </w:tcPr>
          <w:p w14:paraId="14A17EF1" w14:textId="4C054FAA"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128FA3C4" w14:textId="33EE781E"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2B8A633B" w14:textId="606BAA8F"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70D9DC8" w14:textId="14D174F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06AE935" w14:textId="481D77B3" w:rsidR="00F826D0" w:rsidRPr="003328EE" w:rsidRDefault="00F826D0" w:rsidP="00D65F93">
            <w:pPr>
              <w:rPr>
                <w:rFonts w:eastAsia="Times New Roman"/>
                <w:color w:val="000000"/>
                <w:sz w:val="18"/>
                <w:szCs w:val="18"/>
              </w:rPr>
            </w:pPr>
            <w:r w:rsidRPr="003328EE">
              <w:rPr>
                <w:rFonts w:eastAsia="Times New Roman"/>
                <w:color w:val="000000"/>
                <w:sz w:val="18"/>
                <w:szCs w:val="18"/>
              </w:rPr>
              <w:t>Neumark-Sztainer et al., 1999</w:t>
            </w:r>
          </w:p>
        </w:tc>
        <w:tc>
          <w:tcPr>
            <w:tcW w:w="1156" w:type="dxa"/>
            <w:tcBorders>
              <w:top w:val="nil"/>
              <w:left w:val="nil"/>
              <w:bottom w:val="nil"/>
              <w:right w:val="nil"/>
            </w:tcBorders>
            <w:shd w:val="clear" w:color="auto" w:fill="auto"/>
            <w:noWrap/>
            <w:vAlign w:val="bottom"/>
            <w:hideMark/>
          </w:tcPr>
          <w:p w14:paraId="0081714C" w14:textId="02B8BCD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5EC23D3" w14:textId="77777777" w:rsidTr="00D65F93">
        <w:trPr>
          <w:trHeight w:val="320"/>
        </w:trPr>
        <w:tc>
          <w:tcPr>
            <w:tcW w:w="3545" w:type="dxa"/>
            <w:tcBorders>
              <w:top w:val="nil"/>
              <w:left w:val="nil"/>
              <w:bottom w:val="nil"/>
              <w:right w:val="nil"/>
            </w:tcBorders>
            <w:shd w:val="clear" w:color="auto" w:fill="auto"/>
            <w:noWrap/>
            <w:vAlign w:val="bottom"/>
            <w:hideMark/>
          </w:tcPr>
          <w:p w14:paraId="4985E5F8" w14:textId="1C6B77C0"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30D43AD0" w14:textId="15DB16C8"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58E11561" w14:textId="2353B565"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DFDFF95" w14:textId="2B64F1C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442CCB3" w14:textId="0B8F2B1D" w:rsidR="00F826D0" w:rsidRPr="003328EE" w:rsidRDefault="00F826D0" w:rsidP="00D65F93">
            <w:pPr>
              <w:rPr>
                <w:rFonts w:eastAsia="Times New Roman"/>
                <w:color w:val="000000"/>
                <w:sz w:val="18"/>
                <w:szCs w:val="18"/>
              </w:rPr>
            </w:pPr>
            <w:r w:rsidRPr="003328EE">
              <w:rPr>
                <w:rFonts w:eastAsia="Times New Roman"/>
                <w:color w:val="000000"/>
                <w:sz w:val="18"/>
                <w:szCs w:val="18"/>
              </w:rPr>
              <w:t>Schyver &amp; Smith, 2005</w:t>
            </w:r>
          </w:p>
        </w:tc>
        <w:tc>
          <w:tcPr>
            <w:tcW w:w="1156" w:type="dxa"/>
            <w:tcBorders>
              <w:top w:val="nil"/>
              <w:left w:val="nil"/>
              <w:bottom w:val="nil"/>
              <w:right w:val="nil"/>
            </w:tcBorders>
            <w:shd w:val="clear" w:color="auto" w:fill="auto"/>
            <w:noWrap/>
            <w:vAlign w:val="bottom"/>
            <w:hideMark/>
          </w:tcPr>
          <w:p w14:paraId="31B3B323" w14:textId="519ED5B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2D566F4" w14:textId="77777777" w:rsidTr="00D65F93">
        <w:trPr>
          <w:trHeight w:val="320"/>
        </w:trPr>
        <w:tc>
          <w:tcPr>
            <w:tcW w:w="3545" w:type="dxa"/>
            <w:tcBorders>
              <w:top w:val="nil"/>
              <w:left w:val="nil"/>
              <w:bottom w:val="nil"/>
              <w:right w:val="nil"/>
            </w:tcBorders>
            <w:shd w:val="clear" w:color="auto" w:fill="auto"/>
            <w:noWrap/>
            <w:vAlign w:val="bottom"/>
            <w:hideMark/>
          </w:tcPr>
          <w:p w14:paraId="5F2734E2" w14:textId="591D5E79"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7E24BD21" w14:textId="596526C9"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6278A4EE" w14:textId="145A3D5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95C27BC" w14:textId="6925970E"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F6D3900" w14:textId="2545ACB0" w:rsidR="00F826D0" w:rsidRPr="003328EE" w:rsidRDefault="00F826D0" w:rsidP="00D65F93">
            <w:pPr>
              <w:rPr>
                <w:rFonts w:eastAsia="Times New Roman"/>
                <w:color w:val="000000"/>
                <w:sz w:val="18"/>
                <w:szCs w:val="18"/>
              </w:rPr>
            </w:pPr>
            <w:r w:rsidRPr="003328EE">
              <w:rPr>
                <w:rFonts w:eastAsia="Times New Roman"/>
                <w:color w:val="000000"/>
                <w:sz w:val="18"/>
                <w:szCs w:val="18"/>
              </w:rPr>
              <w:t>Rose, 2010</w:t>
            </w:r>
          </w:p>
        </w:tc>
        <w:tc>
          <w:tcPr>
            <w:tcW w:w="1156" w:type="dxa"/>
            <w:tcBorders>
              <w:top w:val="nil"/>
              <w:left w:val="nil"/>
              <w:bottom w:val="nil"/>
              <w:right w:val="nil"/>
            </w:tcBorders>
            <w:shd w:val="clear" w:color="auto" w:fill="auto"/>
            <w:noWrap/>
            <w:vAlign w:val="bottom"/>
            <w:hideMark/>
          </w:tcPr>
          <w:p w14:paraId="4C30AFCF" w14:textId="4D5D80D8" w:rsidR="00F826D0" w:rsidRPr="003328EE" w:rsidRDefault="00F826D0" w:rsidP="00D65F93">
            <w:pPr>
              <w:rPr>
                <w:rFonts w:eastAsia="Times New Roman"/>
                <w:color w:val="000000"/>
                <w:sz w:val="18"/>
                <w:szCs w:val="18"/>
              </w:rPr>
            </w:pPr>
            <w:r w:rsidRPr="003328EE">
              <w:rPr>
                <w:rFonts w:eastAsia="Times New Roman"/>
                <w:color w:val="000000"/>
                <w:sz w:val="18"/>
                <w:szCs w:val="18"/>
              </w:rPr>
              <w:t>Symposium</w:t>
            </w:r>
          </w:p>
        </w:tc>
      </w:tr>
      <w:tr w:rsidR="00F826D0" w:rsidRPr="003328EE" w14:paraId="2075EBE4" w14:textId="77777777" w:rsidTr="00D65F93">
        <w:trPr>
          <w:trHeight w:val="320"/>
        </w:trPr>
        <w:tc>
          <w:tcPr>
            <w:tcW w:w="3545" w:type="dxa"/>
            <w:tcBorders>
              <w:top w:val="nil"/>
              <w:left w:val="nil"/>
              <w:bottom w:val="nil"/>
              <w:right w:val="nil"/>
            </w:tcBorders>
            <w:shd w:val="clear" w:color="auto" w:fill="auto"/>
            <w:noWrap/>
            <w:vAlign w:val="bottom"/>
            <w:hideMark/>
          </w:tcPr>
          <w:p w14:paraId="4FDB4E72" w14:textId="752D1279"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2B5D40E9" w14:textId="4943B0D5"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338FFECA" w14:textId="6CC06D2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62E648C" w14:textId="5D61F32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CD42E8B" w14:textId="418DFCA1" w:rsidR="00F826D0" w:rsidRPr="003328EE" w:rsidRDefault="00F826D0" w:rsidP="00D65F93">
            <w:pPr>
              <w:rPr>
                <w:rFonts w:eastAsia="Times New Roman"/>
                <w:color w:val="000000"/>
                <w:sz w:val="18"/>
                <w:szCs w:val="18"/>
              </w:rPr>
            </w:pPr>
            <w:r w:rsidRPr="003328EE">
              <w:rPr>
                <w:rFonts w:eastAsia="Times New Roman"/>
                <w:color w:val="000000"/>
                <w:sz w:val="18"/>
                <w:szCs w:val="18"/>
              </w:rPr>
              <w:t>Katcher et al., 2010</w:t>
            </w:r>
          </w:p>
        </w:tc>
        <w:tc>
          <w:tcPr>
            <w:tcW w:w="1156" w:type="dxa"/>
            <w:tcBorders>
              <w:top w:val="nil"/>
              <w:left w:val="nil"/>
              <w:bottom w:val="nil"/>
              <w:right w:val="nil"/>
            </w:tcBorders>
            <w:shd w:val="clear" w:color="auto" w:fill="auto"/>
            <w:noWrap/>
            <w:vAlign w:val="bottom"/>
            <w:hideMark/>
          </w:tcPr>
          <w:p w14:paraId="630A629C" w14:textId="43537FE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7C9C92A" w14:textId="77777777" w:rsidTr="00D65F93">
        <w:trPr>
          <w:trHeight w:val="320"/>
        </w:trPr>
        <w:tc>
          <w:tcPr>
            <w:tcW w:w="3545" w:type="dxa"/>
            <w:tcBorders>
              <w:top w:val="nil"/>
              <w:left w:val="nil"/>
              <w:bottom w:val="nil"/>
              <w:right w:val="nil"/>
            </w:tcBorders>
            <w:shd w:val="clear" w:color="auto" w:fill="auto"/>
            <w:noWrap/>
            <w:vAlign w:val="bottom"/>
            <w:hideMark/>
          </w:tcPr>
          <w:p w14:paraId="66E74EE9" w14:textId="32A9DBE8"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52CB2C9E" w14:textId="1C7F76BC"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577B796C" w14:textId="0F8B586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6EDFDC6" w14:textId="3C5216C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32D7117" w14:textId="27658CC3" w:rsidR="00F826D0" w:rsidRPr="003328EE" w:rsidRDefault="00F826D0" w:rsidP="00D65F93">
            <w:pPr>
              <w:rPr>
                <w:rFonts w:eastAsia="Times New Roman"/>
                <w:color w:val="000000"/>
                <w:sz w:val="18"/>
                <w:szCs w:val="18"/>
              </w:rPr>
            </w:pPr>
            <w:r w:rsidRPr="003328EE">
              <w:rPr>
                <w:rFonts w:eastAsia="Times New Roman"/>
                <w:color w:val="000000"/>
                <w:sz w:val="18"/>
                <w:szCs w:val="18"/>
              </w:rPr>
              <w:t>Palaniswamy, 2003</w:t>
            </w:r>
          </w:p>
        </w:tc>
        <w:tc>
          <w:tcPr>
            <w:tcW w:w="1156" w:type="dxa"/>
            <w:tcBorders>
              <w:top w:val="nil"/>
              <w:left w:val="nil"/>
              <w:bottom w:val="nil"/>
              <w:right w:val="nil"/>
            </w:tcBorders>
            <w:shd w:val="clear" w:color="auto" w:fill="auto"/>
            <w:noWrap/>
            <w:vAlign w:val="bottom"/>
            <w:hideMark/>
          </w:tcPr>
          <w:p w14:paraId="6158693A" w14:textId="0F66C699"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FE7259B" w14:textId="77777777" w:rsidTr="00D65F93">
        <w:trPr>
          <w:trHeight w:val="320"/>
        </w:trPr>
        <w:tc>
          <w:tcPr>
            <w:tcW w:w="3545" w:type="dxa"/>
            <w:tcBorders>
              <w:top w:val="nil"/>
              <w:left w:val="nil"/>
              <w:bottom w:val="nil"/>
              <w:right w:val="nil"/>
            </w:tcBorders>
            <w:shd w:val="clear" w:color="auto" w:fill="auto"/>
            <w:noWrap/>
            <w:vAlign w:val="bottom"/>
            <w:hideMark/>
          </w:tcPr>
          <w:p w14:paraId="333703BC" w14:textId="747AF076"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609714F8" w14:textId="48F71D88"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1F0C477C" w14:textId="40512DF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51F2E46" w14:textId="667E9421"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83EFF30" w14:textId="6ED89943" w:rsidR="00F826D0" w:rsidRPr="003328EE" w:rsidRDefault="00F826D0" w:rsidP="00D65F93">
            <w:pPr>
              <w:rPr>
                <w:rFonts w:eastAsia="Times New Roman"/>
                <w:color w:val="000000"/>
                <w:sz w:val="18"/>
                <w:szCs w:val="18"/>
              </w:rPr>
            </w:pPr>
            <w:r w:rsidRPr="003328EE">
              <w:rPr>
                <w:rFonts w:eastAsia="Times New Roman"/>
                <w:color w:val="000000"/>
                <w:sz w:val="18"/>
                <w:szCs w:val="18"/>
              </w:rPr>
              <w:t>Whitfield et al., 2015</w:t>
            </w:r>
          </w:p>
        </w:tc>
        <w:tc>
          <w:tcPr>
            <w:tcW w:w="1156" w:type="dxa"/>
            <w:tcBorders>
              <w:top w:val="nil"/>
              <w:left w:val="nil"/>
              <w:bottom w:val="nil"/>
              <w:right w:val="nil"/>
            </w:tcBorders>
            <w:shd w:val="clear" w:color="auto" w:fill="auto"/>
            <w:noWrap/>
            <w:vAlign w:val="bottom"/>
            <w:hideMark/>
          </w:tcPr>
          <w:p w14:paraId="73D07A0C" w14:textId="723E747D" w:rsidR="00F826D0" w:rsidRPr="003328EE" w:rsidRDefault="00F826D0" w:rsidP="00D65F93">
            <w:pPr>
              <w:rPr>
                <w:rFonts w:eastAsia="Times New Roman"/>
                <w:color w:val="000000"/>
                <w:sz w:val="18"/>
                <w:szCs w:val="18"/>
              </w:rPr>
            </w:pPr>
            <w:r w:rsidRPr="003328EE">
              <w:rPr>
                <w:rFonts w:eastAsia="Times New Roman"/>
                <w:color w:val="000000"/>
                <w:sz w:val="18"/>
                <w:szCs w:val="18"/>
              </w:rPr>
              <w:t>Case Study</w:t>
            </w:r>
          </w:p>
        </w:tc>
      </w:tr>
      <w:tr w:rsidR="00F826D0" w:rsidRPr="003328EE" w14:paraId="676DE534" w14:textId="77777777" w:rsidTr="00D65F93">
        <w:trPr>
          <w:trHeight w:val="320"/>
        </w:trPr>
        <w:tc>
          <w:tcPr>
            <w:tcW w:w="3545" w:type="dxa"/>
            <w:tcBorders>
              <w:top w:val="nil"/>
              <w:left w:val="nil"/>
              <w:bottom w:val="nil"/>
              <w:right w:val="nil"/>
            </w:tcBorders>
            <w:shd w:val="clear" w:color="auto" w:fill="auto"/>
            <w:noWrap/>
            <w:vAlign w:val="bottom"/>
            <w:hideMark/>
          </w:tcPr>
          <w:p w14:paraId="019A7FE8" w14:textId="05F4FD8B"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1F299D88" w14:textId="3E1B02D0"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1A8D315E" w14:textId="33A38E4F"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5ABA2A7" w14:textId="5774B098"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48BA50B" w14:textId="60CB25C0" w:rsidR="00F826D0" w:rsidRPr="003328EE" w:rsidRDefault="00F826D0" w:rsidP="00D65F93">
            <w:pPr>
              <w:rPr>
                <w:rFonts w:eastAsia="Times New Roman"/>
                <w:color w:val="000000"/>
                <w:sz w:val="18"/>
                <w:szCs w:val="18"/>
              </w:rPr>
            </w:pPr>
            <w:r w:rsidRPr="003328EE">
              <w:rPr>
                <w:rFonts w:eastAsia="Times New Roman"/>
                <w:color w:val="000000"/>
                <w:sz w:val="18"/>
                <w:szCs w:val="18"/>
              </w:rPr>
              <w:t>Jahns et al., 2016</w:t>
            </w:r>
          </w:p>
        </w:tc>
        <w:tc>
          <w:tcPr>
            <w:tcW w:w="1156" w:type="dxa"/>
            <w:tcBorders>
              <w:top w:val="nil"/>
              <w:left w:val="nil"/>
              <w:bottom w:val="nil"/>
              <w:right w:val="nil"/>
            </w:tcBorders>
            <w:shd w:val="clear" w:color="auto" w:fill="auto"/>
            <w:noWrap/>
            <w:vAlign w:val="bottom"/>
            <w:hideMark/>
          </w:tcPr>
          <w:p w14:paraId="4C4753FD" w14:textId="3D8D4CE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57E8A37" w14:textId="77777777" w:rsidTr="00D65F93">
        <w:trPr>
          <w:trHeight w:val="320"/>
        </w:trPr>
        <w:tc>
          <w:tcPr>
            <w:tcW w:w="3545" w:type="dxa"/>
            <w:tcBorders>
              <w:top w:val="nil"/>
              <w:left w:val="nil"/>
              <w:bottom w:val="nil"/>
              <w:right w:val="nil"/>
            </w:tcBorders>
            <w:shd w:val="clear" w:color="auto" w:fill="auto"/>
            <w:noWrap/>
            <w:vAlign w:val="bottom"/>
            <w:hideMark/>
          </w:tcPr>
          <w:p w14:paraId="7DFEE2FD" w14:textId="08A7B849"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365701B7" w14:textId="5CA22A60"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42E9A26C" w14:textId="4AB433DB"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808D404" w14:textId="02D326B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5BA5B92" w14:textId="73DC5660"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7957B9C4" w14:textId="509A206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72BA4C1" w14:textId="77777777" w:rsidTr="00D65F93">
        <w:trPr>
          <w:trHeight w:val="320"/>
        </w:trPr>
        <w:tc>
          <w:tcPr>
            <w:tcW w:w="3545" w:type="dxa"/>
            <w:tcBorders>
              <w:top w:val="nil"/>
              <w:left w:val="nil"/>
              <w:bottom w:val="nil"/>
              <w:right w:val="nil"/>
            </w:tcBorders>
            <w:shd w:val="clear" w:color="auto" w:fill="auto"/>
            <w:noWrap/>
            <w:vAlign w:val="bottom"/>
            <w:hideMark/>
          </w:tcPr>
          <w:p w14:paraId="52893D1E" w14:textId="7407EE16" w:rsidR="00F826D0" w:rsidRPr="003328EE" w:rsidRDefault="00F826D0" w:rsidP="00D65F93">
            <w:pPr>
              <w:rPr>
                <w:rFonts w:eastAsia="Times New Roman"/>
                <w:color w:val="000000"/>
                <w:sz w:val="18"/>
                <w:szCs w:val="18"/>
              </w:rPr>
            </w:pPr>
            <w:r w:rsidRPr="003328EE">
              <w:rPr>
                <w:rFonts w:eastAsia="Times New Roman"/>
                <w:color w:val="000000"/>
                <w:sz w:val="18"/>
                <w:szCs w:val="18"/>
              </w:rPr>
              <w:t>Availability</w:t>
            </w:r>
          </w:p>
        </w:tc>
        <w:tc>
          <w:tcPr>
            <w:tcW w:w="3183" w:type="dxa"/>
            <w:tcBorders>
              <w:top w:val="nil"/>
              <w:left w:val="nil"/>
              <w:bottom w:val="nil"/>
              <w:right w:val="nil"/>
            </w:tcBorders>
            <w:shd w:val="clear" w:color="auto" w:fill="auto"/>
            <w:noWrap/>
            <w:vAlign w:val="bottom"/>
            <w:hideMark/>
          </w:tcPr>
          <w:p w14:paraId="75FA7945" w14:textId="605D7F53"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250B2FF3" w14:textId="25D718C6"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93B35B3" w14:textId="3234146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F87E540" w14:textId="00A478D2" w:rsidR="00F826D0" w:rsidRPr="003328EE" w:rsidRDefault="00F826D0" w:rsidP="00D65F93">
            <w:pPr>
              <w:rPr>
                <w:rFonts w:eastAsia="Times New Roman"/>
                <w:color w:val="000000"/>
                <w:sz w:val="18"/>
                <w:szCs w:val="18"/>
              </w:rPr>
            </w:pPr>
            <w:r w:rsidRPr="003328EE">
              <w:rPr>
                <w:rFonts w:eastAsia="Times New Roman"/>
                <w:color w:val="000000"/>
                <w:sz w:val="18"/>
                <w:szCs w:val="18"/>
              </w:rPr>
              <w:t>Reisch et al., 2013</w:t>
            </w:r>
          </w:p>
        </w:tc>
        <w:tc>
          <w:tcPr>
            <w:tcW w:w="1156" w:type="dxa"/>
            <w:tcBorders>
              <w:top w:val="nil"/>
              <w:left w:val="nil"/>
              <w:bottom w:val="nil"/>
              <w:right w:val="nil"/>
            </w:tcBorders>
            <w:shd w:val="clear" w:color="auto" w:fill="auto"/>
            <w:noWrap/>
            <w:vAlign w:val="bottom"/>
            <w:hideMark/>
          </w:tcPr>
          <w:p w14:paraId="0B729E32" w14:textId="7E0D0AF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A094F5A" w14:textId="77777777" w:rsidTr="00D65F93">
        <w:trPr>
          <w:trHeight w:val="320"/>
        </w:trPr>
        <w:tc>
          <w:tcPr>
            <w:tcW w:w="3545" w:type="dxa"/>
            <w:tcBorders>
              <w:top w:val="nil"/>
              <w:left w:val="nil"/>
              <w:bottom w:val="nil"/>
              <w:right w:val="nil"/>
            </w:tcBorders>
            <w:shd w:val="clear" w:color="auto" w:fill="auto"/>
            <w:noWrap/>
            <w:vAlign w:val="bottom"/>
            <w:hideMark/>
          </w:tcPr>
          <w:p w14:paraId="705C499E" w14:textId="07E575EE" w:rsidR="00F826D0" w:rsidRPr="003328EE" w:rsidRDefault="00F826D0" w:rsidP="00D65F93">
            <w:pPr>
              <w:rPr>
                <w:rFonts w:eastAsia="Times New Roman"/>
                <w:color w:val="000000"/>
                <w:sz w:val="18"/>
                <w:szCs w:val="18"/>
              </w:rPr>
            </w:pPr>
            <w:r w:rsidRPr="003328EE">
              <w:rPr>
                <w:rFonts w:eastAsia="Times New Roman"/>
                <w:color w:val="000000"/>
                <w:sz w:val="18"/>
                <w:szCs w:val="18"/>
              </w:rPr>
              <w:t>Campaign Donations</w:t>
            </w:r>
          </w:p>
        </w:tc>
        <w:tc>
          <w:tcPr>
            <w:tcW w:w="3183" w:type="dxa"/>
            <w:tcBorders>
              <w:top w:val="nil"/>
              <w:left w:val="nil"/>
              <w:bottom w:val="nil"/>
              <w:right w:val="nil"/>
            </w:tcBorders>
            <w:shd w:val="clear" w:color="auto" w:fill="auto"/>
            <w:noWrap/>
            <w:vAlign w:val="bottom"/>
            <w:hideMark/>
          </w:tcPr>
          <w:p w14:paraId="1F811382" w14:textId="0DBE9E83"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35D6254A" w14:textId="29A82DC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3615129" w14:textId="1C61F98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7738475" w14:textId="2E82CB66"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25AD725E" w14:textId="2A1DEA36"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047B714" w14:textId="77777777" w:rsidTr="00D65F93">
        <w:trPr>
          <w:trHeight w:val="320"/>
        </w:trPr>
        <w:tc>
          <w:tcPr>
            <w:tcW w:w="3545" w:type="dxa"/>
            <w:tcBorders>
              <w:top w:val="nil"/>
              <w:left w:val="nil"/>
              <w:bottom w:val="nil"/>
              <w:right w:val="nil"/>
            </w:tcBorders>
            <w:shd w:val="clear" w:color="auto" w:fill="auto"/>
            <w:noWrap/>
            <w:vAlign w:val="bottom"/>
            <w:hideMark/>
          </w:tcPr>
          <w:p w14:paraId="2235E2F3" w14:textId="48577CDA" w:rsidR="00F826D0" w:rsidRPr="003328EE" w:rsidRDefault="00F826D0" w:rsidP="00D65F93">
            <w:pPr>
              <w:rPr>
                <w:rFonts w:eastAsia="Times New Roman"/>
                <w:color w:val="000000"/>
                <w:sz w:val="18"/>
                <w:szCs w:val="18"/>
              </w:rPr>
            </w:pPr>
            <w:r w:rsidRPr="003328EE">
              <w:rPr>
                <w:rFonts w:eastAsia="Times New Roman"/>
                <w:color w:val="000000"/>
                <w:sz w:val="18"/>
                <w:szCs w:val="18"/>
              </w:rPr>
              <w:t>Categorization as Food</w:t>
            </w:r>
          </w:p>
        </w:tc>
        <w:tc>
          <w:tcPr>
            <w:tcW w:w="3183" w:type="dxa"/>
            <w:tcBorders>
              <w:top w:val="nil"/>
              <w:left w:val="nil"/>
              <w:bottom w:val="nil"/>
              <w:right w:val="nil"/>
            </w:tcBorders>
            <w:shd w:val="clear" w:color="auto" w:fill="auto"/>
            <w:noWrap/>
            <w:vAlign w:val="bottom"/>
            <w:hideMark/>
          </w:tcPr>
          <w:p w14:paraId="0850410C" w14:textId="236F597F"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09DC28C1" w14:textId="1B27565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E141ADA" w14:textId="55D0CA7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456F383" w14:textId="3B93BB80" w:rsidR="00F826D0" w:rsidRPr="003328EE" w:rsidRDefault="00F826D0" w:rsidP="00D65F93">
            <w:pPr>
              <w:rPr>
                <w:rFonts w:eastAsia="Times New Roman"/>
                <w:color w:val="000000"/>
                <w:sz w:val="18"/>
                <w:szCs w:val="18"/>
              </w:rPr>
            </w:pPr>
            <w:r w:rsidRPr="003328EE">
              <w:rPr>
                <w:rFonts w:eastAsia="Times New Roman"/>
                <w:color w:val="000000"/>
                <w:sz w:val="18"/>
                <w:szCs w:val="18"/>
              </w:rPr>
              <w:t>Bratanova et al., 2011</w:t>
            </w:r>
          </w:p>
        </w:tc>
        <w:tc>
          <w:tcPr>
            <w:tcW w:w="1156" w:type="dxa"/>
            <w:tcBorders>
              <w:top w:val="nil"/>
              <w:left w:val="nil"/>
              <w:bottom w:val="nil"/>
              <w:right w:val="nil"/>
            </w:tcBorders>
            <w:shd w:val="clear" w:color="auto" w:fill="auto"/>
            <w:noWrap/>
            <w:vAlign w:val="bottom"/>
            <w:hideMark/>
          </w:tcPr>
          <w:p w14:paraId="56C8CC05" w14:textId="14A32EA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77104B5" w14:textId="77777777" w:rsidTr="00D65F93">
        <w:trPr>
          <w:trHeight w:val="320"/>
        </w:trPr>
        <w:tc>
          <w:tcPr>
            <w:tcW w:w="3545" w:type="dxa"/>
            <w:tcBorders>
              <w:top w:val="nil"/>
              <w:left w:val="nil"/>
              <w:bottom w:val="nil"/>
              <w:right w:val="nil"/>
            </w:tcBorders>
            <w:shd w:val="clear" w:color="auto" w:fill="auto"/>
            <w:noWrap/>
            <w:vAlign w:val="bottom"/>
            <w:hideMark/>
          </w:tcPr>
          <w:p w14:paraId="0A475D40" w14:textId="0E758444" w:rsidR="00F826D0" w:rsidRPr="003328EE" w:rsidRDefault="00F826D0" w:rsidP="00D65F93">
            <w:pPr>
              <w:rPr>
                <w:rFonts w:eastAsia="Times New Roman"/>
                <w:color w:val="000000"/>
                <w:sz w:val="18"/>
                <w:szCs w:val="18"/>
              </w:rPr>
            </w:pPr>
            <w:r w:rsidRPr="003328EE">
              <w:rPr>
                <w:rFonts w:eastAsia="Times New Roman"/>
                <w:color w:val="000000"/>
                <w:sz w:val="18"/>
                <w:szCs w:val="18"/>
              </w:rPr>
              <w:t>Categorization as Food</w:t>
            </w:r>
          </w:p>
        </w:tc>
        <w:tc>
          <w:tcPr>
            <w:tcW w:w="3183" w:type="dxa"/>
            <w:tcBorders>
              <w:top w:val="nil"/>
              <w:left w:val="nil"/>
              <w:bottom w:val="nil"/>
              <w:right w:val="nil"/>
            </w:tcBorders>
            <w:shd w:val="clear" w:color="auto" w:fill="auto"/>
            <w:noWrap/>
            <w:vAlign w:val="bottom"/>
            <w:hideMark/>
          </w:tcPr>
          <w:p w14:paraId="6ED111C6" w14:textId="72344006"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65A3DB9A" w14:textId="7DF12B0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A2C9AC1" w14:textId="6373E25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C39C8F5" w14:textId="23DBE96D"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4FDF5FF4" w14:textId="22526A8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9D70DF4" w14:textId="77777777" w:rsidTr="00D65F93">
        <w:trPr>
          <w:trHeight w:val="320"/>
        </w:trPr>
        <w:tc>
          <w:tcPr>
            <w:tcW w:w="3545" w:type="dxa"/>
            <w:tcBorders>
              <w:top w:val="nil"/>
              <w:left w:val="nil"/>
              <w:bottom w:val="nil"/>
              <w:right w:val="nil"/>
            </w:tcBorders>
            <w:shd w:val="clear" w:color="auto" w:fill="auto"/>
            <w:noWrap/>
            <w:vAlign w:val="bottom"/>
            <w:hideMark/>
          </w:tcPr>
          <w:p w14:paraId="55CE7143" w14:textId="2F616EBB" w:rsidR="00F826D0" w:rsidRPr="003328EE" w:rsidRDefault="00F826D0" w:rsidP="00D65F93">
            <w:pPr>
              <w:rPr>
                <w:rFonts w:eastAsia="Times New Roman"/>
                <w:color w:val="000000"/>
                <w:sz w:val="18"/>
                <w:szCs w:val="18"/>
              </w:rPr>
            </w:pPr>
            <w:r w:rsidRPr="003328EE">
              <w:rPr>
                <w:rFonts w:eastAsia="Times New Roman"/>
                <w:color w:val="000000"/>
                <w:sz w:val="18"/>
                <w:szCs w:val="18"/>
              </w:rPr>
              <w:t>Fast Food</w:t>
            </w:r>
          </w:p>
        </w:tc>
        <w:tc>
          <w:tcPr>
            <w:tcW w:w="3183" w:type="dxa"/>
            <w:tcBorders>
              <w:top w:val="nil"/>
              <w:left w:val="nil"/>
              <w:bottom w:val="nil"/>
              <w:right w:val="nil"/>
            </w:tcBorders>
            <w:shd w:val="clear" w:color="auto" w:fill="auto"/>
            <w:noWrap/>
            <w:vAlign w:val="bottom"/>
            <w:hideMark/>
          </w:tcPr>
          <w:p w14:paraId="6BDC0B8D" w14:textId="39944F7D"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73B415DB" w14:textId="481CABD2"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EB779A7" w14:textId="6E017AA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FC2E8B0" w14:textId="34497BCA" w:rsidR="00F826D0" w:rsidRPr="003328EE" w:rsidRDefault="00F826D0" w:rsidP="00D65F93">
            <w:pPr>
              <w:rPr>
                <w:rFonts w:eastAsia="Times New Roman"/>
                <w:color w:val="000000"/>
                <w:sz w:val="18"/>
                <w:szCs w:val="18"/>
              </w:rPr>
            </w:pPr>
            <w:r w:rsidRPr="003328EE">
              <w:rPr>
                <w:rFonts w:eastAsia="Times New Roman"/>
                <w:color w:val="000000"/>
                <w:sz w:val="18"/>
                <w:szCs w:val="18"/>
              </w:rPr>
              <w:t>Reisch et al., 2013</w:t>
            </w:r>
          </w:p>
        </w:tc>
        <w:tc>
          <w:tcPr>
            <w:tcW w:w="1156" w:type="dxa"/>
            <w:tcBorders>
              <w:top w:val="nil"/>
              <w:left w:val="nil"/>
              <w:bottom w:val="nil"/>
              <w:right w:val="nil"/>
            </w:tcBorders>
            <w:shd w:val="clear" w:color="auto" w:fill="auto"/>
            <w:noWrap/>
            <w:vAlign w:val="bottom"/>
            <w:hideMark/>
          </w:tcPr>
          <w:p w14:paraId="33658CCB" w14:textId="740DC48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D102608" w14:textId="77777777" w:rsidTr="00D65F93">
        <w:trPr>
          <w:trHeight w:val="320"/>
        </w:trPr>
        <w:tc>
          <w:tcPr>
            <w:tcW w:w="3545" w:type="dxa"/>
            <w:tcBorders>
              <w:top w:val="nil"/>
              <w:left w:val="nil"/>
              <w:bottom w:val="nil"/>
              <w:right w:val="nil"/>
            </w:tcBorders>
            <w:shd w:val="clear" w:color="auto" w:fill="auto"/>
            <w:noWrap/>
            <w:vAlign w:val="bottom"/>
            <w:hideMark/>
          </w:tcPr>
          <w:p w14:paraId="2A3F2B0D" w14:textId="77C4677C" w:rsidR="00F826D0" w:rsidRPr="003328EE" w:rsidRDefault="00F826D0" w:rsidP="00D65F93">
            <w:pPr>
              <w:rPr>
                <w:rFonts w:eastAsia="Times New Roman"/>
                <w:color w:val="000000"/>
                <w:sz w:val="18"/>
                <w:szCs w:val="18"/>
              </w:rPr>
            </w:pPr>
            <w:r w:rsidRPr="003328EE">
              <w:rPr>
                <w:rFonts w:eastAsia="Times New Roman"/>
                <w:color w:val="000000"/>
                <w:sz w:val="18"/>
                <w:szCs w:val="18"/>
              </w:rPr>
              <w:t>Food Overexposure</w:t>
            </w:r>
          </w:p>
        </w:tc>
        <w:tc>
          <w:tcPr>
            <w:tcW w:w="3183" w:type="dxa"/>
            <w:tcBorders>
              <w:top w:val="nil"/>
              <w:left w:val="nil"/>
              <w:bottom w:val="nil"/>
              <w:right w:val="nil"/>
            </w:tcBorders>
            <w:shd w:val="clear" w:color="auto" w:fill="auto"/>
            <w:noWrap/>
            <w:vAlign w:val="bottom"/>
            <w:hideMark/>
          </w:tcPr>
          <w:p w14:paraId="54634A4B" w14:textId="0686193E"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0025FE69" w14:textId="7B37E74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C9DA97B" w14:textId="58E533B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77BBB62" w14:textId="5A850393" w:rsidR="00F826D0" w:rsidRPr="003328EE" w:rsidRDefault="00F826D0" w:rsidP="00D65F93">
            <w:pPr>
              <w:rPr>
                <w:rFonts w:eastAsia="Times New Roman"/>
                <w:color w:val="000000"/>
                <w:sz w:val="18"/>
                <w:szCs w:val="18"/>
              </w:rPr>
            </w:pPr>
            <w:r w:rsidRPr="003328EE">
              <w:rPr>
                <w:rFonts w:eastAsia="Times New Roman"/>
                <w:color w:val="000000"/>
                <w:sz w:val="18"/>
                <w:szCs w:val="18"/>
              </w:rPr>
              <w:t>Nederkoorn et al., 2009</w:t>
            </w:r>
          </w:p>
        </w:tc>
        <w:tc>
          <w:tcPr>
            <w:tcW w:w="1156" w:type="dxa"/>
            <w:tcBorders>
              <w:top w:val="nil"/>
              <w:left w:val="nil"/>
              <w:bottom w:val="nil"/>
              <w:right w:val="nil"/>
            </w:tcBorders>
            <w:shd w:val="clear" w:color="auto" w:fill="auto"/>
            <w:noWrap/>
            <w:vAlign w:val="bottom"/>
            <w:hideMark/>
          </w:tcPr>
          <w:p w14:paraId="40D095D0" w14:textId="2AA547F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FDB902C" w14:textId="77777777" w:rsidTr="00D65F93">
        <w:trPr>
          <w:trHeight w:val="320"/>
        </w:trPr>
        <w:tc>
          <w:tcPr>
            <w:tcW w:w="3545" w:type="dxa"/>
            <w:tcBorders>
              <w:top w:val="nil"/>
              <w:left w:val="nil"/>
              <w:bottom w:val="nil"/>
              <w:right w:val="nil"/>
            </w:tcBorders>
            <w:shd w:val="clear" w:color="auto" w:fill="auto"/>
            <w:noWrap/>
            <w:vAlign w:val="bottom"/>
            <w:hideMark/>
          </w:tcPr>
          <w:p w14:paraId="0F8FAFBD" w14:textId="5EADAA28" w:rsidR="00F826D0" w:rsidRPr="003328EE" w:rsidRDefault="00F826D0" w:rsidP="00D65F93">
            <w:pPr>
              <w:rPr>
                <w:rFonts w:eastAsia="Times New Roman"/>
                <w:color w:val="000000"/>
                <w:sz w:val="18"/>
                <w:szCs w:val="18"/>
              </w:rPr>
            </w:pPr>
            <w:r w:rsidRPr="003328EE">
              <w:rPr>
                <w:rFonts w:eastAsia="Times New Roman"/>
                <w:color w:val="000000"/>
                <w:sz w:val="18"/>
                <w:szCs w:val="18"/>
              </w:rPr>
              <w:t>Framing</w:t>
            </w:r>
          </w:p>
        </w:tc>
        <w:tc>
          <w:tcPr>
            <w:tcW w:w="3183" w:type="dxa"/>
            <w:tcBorders>
              <w:top w:val="nil"/>
              <w:left w:val="nil"/>
              <w:bottom w:val="nil"/>
              <w:right w:val="nil"/>
            </w:tcBorders>
            <w:shd w:val="clear" w:color="auto" w:fill="auto"/>
            <w:noWrap/>
            <w:vAlign w:val="bottom"/>
            <w:hideMark/>
          </w:tcPr>
          <w:p w14:paraId="1655AD4B" w14:textId="213EB068"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6FE5E298" w14:textId="5E6EB03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132E4F1" w14:textId="201D454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885D7FA" w14:textId="427A3139"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41BB7746" w14:textId="164414E1"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2DF8E39" w14:textId="77777777" w:rsidTr="00D65F93">
        <w:trPr>
          <w:trHeight w:val="320"/>
        </w:trPr>
        <w:tc>
          <w:tcPr>
            <w:tcW w:w="3545" w:type="dxa"/>
            <w:tcBorders>
              <w:top w:val="nil"/>
              <w:left w:val="nil"/>
              <w:bottom w:val="nil"/>
              <w:right w:val="nil"/>
            </w:tcBorders>
            <w:shd w:val="clear" w:color="auto" w:fill="auto"/>
            <w:noWrap/>
            <w:vAlign w:val="bottom"/>
            <w:hideMark/>
          </w:tcPr>
          <w:p w14:paraId="3536B65C" w14:textId="09BDDAA3" w:rsidR="00F826D0" w:rsidRPr="003328EE" w:rsidRDefault="00F826D0" w:rsidP="00D65F93">
            <w:pPr>
              <w:rPr>
                <w:rFonts w:eastAsia="Times New Roman"/>
                <w:color w:val="000000"/>
                <w:sz w:val="18"/>
                <w:szCs w:val="18"/>
              </w:rPr>
            </w:pPr>
            <w:r w:rsidRPr="003328EE">
              <w:rPr>
                <w:rFonts w:eastAsia="Times New Roman"/>
                <w:color w:val="000000"/>
                <w:sz w:val="18"/>
                <w:szCs w:val="18"/>
              </w:rPr>
              <w:t>Government/Medical Endorsement</w:t>
            </w:r>
          </w:p>
        </w:tc>
        <w:tc>
          <w:tcPr>
            <w:tcW w:w="3183" w:type="dxa"/>
            <w:tcBorders>
              <w:top w:val="nil"/>
              <w:left w:val="nil"/>
              <w:bottom w:val="nil"/>
              <w:right w:val="nil"/>
            </w:tcBorders>
            <w:shd w:val="clear" w:color="auto" w:fill="auto"/>
            <w:noWrap/>
            <w:vAlign w:val="bottom"/>
            <w:hideMark/>
          </w:tcPr>
          <w:p w14:paraId="0EFEC11D" w14:textId="72490C3E"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5E433945" w14:textId="5E1DC332"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3F8EDB2" w14:textId="541AB0E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FC3B982" w14:textId="211F3795"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62B05CA8" w14:textId="40890008"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5656076" w14:textId="77777777" w:rsidTr="00D65F93">
        <w:trPr>
          <w:trHeight w:val="320"/>
        </w:trPr>
        <w:tc>
          <w:tcPr>
            <w:tcW w:w="3545" w:type="dxa"/>
            <w:tcBorders>
              <w:top w:val="nil"/>
              <w:left w:val="nil"/>
              <w:bottom w:val="nil"/>
              <w:right w:val="nil"/>
            </w:tcBorders>
            <w:shd w:val="clear" w:color="auto" w:fill="auto"/>
            <w:noWrap/>
            <w:vAlign w:val="bottom"/>
            <w:hideMark/>
          </w:tcPr>
          <w:p w14:paraId="755FD77A" w14:textId="55E1C9F4" w:rsidR="00F826D0" w:rsidRPr="003328EE" w:rsidRDefault="00F826D0" w:rsidP="00D65F93">
            <w:pPr>
              <w:rPr>
                <w:rFonts w:eastAsia="Times New Roman"/>
                <w:color w:val="000000"/>
                <w:sz w:val="18"/>
                <w:szCs w:val="18"/>
              </w:rPr>
            </w:pPr>
            <w:r w:rsidRPr="003328EE">
              <w:rPr>
                <w:rFonts w:eastAsia="Times New Roman"/>
                <w:color w:val="000000"/>
                <w:sz w:val="18"/>
                <w:szCs w:val="18"/>
              </w:rPr>
              <w:t>Imperfect Supply Adjustment</w:t>
            </w:r>
          </w:p>
        </w:tc>
        <w:tc>
          <w:tcPr>
            <w:tcW w:w="3183" w:type="dxa"/>
            <w:tcBorders>
              <w:top w:val="nil"/>
              <w:left w:val="nil"/>
              <w:bottom w:val="nil"/>
              <w:right w:val="nil"/>
            </w:tcBorders>
            <w:shd w:val="clear" w:color="auto" w:fill="auto"/>
            <w:noWrap/>
            <w:vAlign w:val="bottom"/>
            <w:hideMark/>
          </w:tcPr>
          <w:p w14:paraId="78DA5B0D" w14:textId="6AD63832"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6BE40C1D" w14:textId="4A834BA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6B1A142" w14:textId="046DCA1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7842A09" w14:textId="446DF8B7" w:rsidR="00F826D0" w:rsidRPr="003328EE" w:rsidRDefault="00F826D0" w:rsidP="00D65F93">
            <w:pPr>
              <w:rPr>
                <w:rFonts w:eastAsia="Times New Roman"/>
                <w:color w:val="000000"/>
                <w:sz w:val="18"/>
                <w:szCs w:val="18"/>
              </w:rPr>
            </w:pPr>
            <w:r w:rsidRPr="003328EE">
              <w:rPr>
                <w:rFonts w:eastAsia="Times New Roman"/>
                <w:color w:val="000000"/>
                <w:sz w:val="18"/>
                <w:szCs w:val="18"/>
              </w:rPr>
              <w:t>Wahlen et al., 2012</w:t>
            </w:r>
          </w:p>
        </w:tc>
        <w:tc>
          <w:tcPr>
            <w:tcW w:w="1156" w:type="dxa"/>
            <w:tcBorders>
              <w:top w:val="nil"/>
              <w:left w:val="nil"/>
              <w:bottom w:val="nil"/>
              <w:right w:val="nil"/>
            </w:tcBorders>
            <w:shd w:val="clear" w:color="auto" w:fill="auto"/>
            <w:noWrap/>
            <w:vAlign w:val="bottom"/>
            <w:hideMark/>
          </w:tcPr>
          <w:p w14:paraId="744D5290" w14:textId="67CA5EBA"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Primary </w:t>
            </w:r>
          </w:p>
        </w:tc>
      </w:tr>
      <w:tr w:rsidR="00F826D0" w:rsidRPr="003328EE" w14:paraId="2417FA65" w14:textId="77777777" w:rsidTr="00D65F93">
        <w:trPr>
          <w:trHeight w:val="320"/>
        </w:trPr>
        <w:tc>
          <w:tcPr>
            <w:tcW w:w="3545" w:type="dxa"/>
            <w:tcBorders>
              <w:top w:val="nil"/>
              <w:left w:val="nil"/>
              <w:bottom w:val="nil"/>
              <w:right w:val="nil"/>
            </w:tcBorders>
            <w:shd w:val="clear" w:color="auto" w:fill="auto"/>
            <w:noWrap/>
            <w:vAlign w:val="bottom"/>
            <w:hideMark/>
          </w:tcPr>
          <w:p w14:paraId="2D327C57" w14:textId="0DCF77FD"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Industry Objections </w:t>
            </w:r>
          </w:p>
        </w:tc>
        <w:tc>
          <w:tcPr>
            <w:tcW w:w="3183" w:type="dxa"/>
            <w:tcBorders>
              <w:top w:val="nil"/>
              <w:left w:val="nil"/>
              <w:bottom w:val="nil"/>
              <w:right w:val="nil"/>
            </w:tcBorders>
            <w:shd w:val="clear" w:color="auto" w:fill="auto"/>
            <w:noWrap/>
            <w:vAlign w:val="bottom"/>
            <w:hideMark/>
          </w:tcPr>
          <w:p w14:paraId="04D8D78C" w14:textId="4DA2C795"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0DD1C358" w14:textId="4A6C133F"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33FC443" w14:textId="2A5B58FF"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0590826" w14:textId="6B06BEA1" w:rsidR="00F826D0" w:rsidRPr="003328EE" w:rsidRDefault="00F826D0" w:rsidP="00D65F93">
            <w:pPr>
              <w:rPr>
                <w:rFonts w:eastAsia="Times New Roman"/>
                <w:color w:val="000000"/>
                <w:sz w:val="18"/>
                <w:szCs w:val="18"/>
              </w:rPr>
            </w:pPr>
            <w:r w:rsidRPr="003328EE">
              <w:rPr>
                <w:rFonts w:eastAsia="Times New Roman"/>
                <w:color w:val="000000"/>
                <w:sz w:val="18"/>
                <w:szCs w:val="18"/>
              </w:rPr>
              <w:t>Nestle, 1999</w:t>
            </w:r>
          </w:p>
        </w:tc>
        <w:tc>
          <w:tcPr>
            <w:tcW w:w="1156" w:type="dxa"/>
            <w:tcBorders>
              <w:top w:val="nil"/>
              <w:left w:val="nil"/>
              <w:bottom w:val="nil"/>
              <w:right w:val="nil"/>
            </w:tcBorders>
            <w:shd w:val="clear" w:color="auto" w:fill="auto"/>
            <w:noWrap/>
            <w:vAlign w:val="bottom"/>
            <w:hideMark/>
          </w:tcPr>
          <w:p w14:paraId="729A4A0E" w14:textId="3A54DB55"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B5C6335" w14:textId="77777777" w:rsidTr="00D65F93">
        <w:trPr>
          <w:trHeight w:val="320"/>
        </w:trPr>
        <w:tc>
          <w:tcPr>
            <w:tcW w:w="3545" w:type="dxa"/>
            <w:tcBorders>
              <w:top w:val="nil"/>
              <w:left w:val="nil"/>
              <w:bottom w:val="nil"/>
              <w:right w:val="nil"/>
            </w:tcBorders>
            <w:shd w:val="clear" w:color="auto" w:fill="auto"/>
            <w:noWrap/>
            <w:vAlign w:val="bottom"/>
            <w:hideMark/>
          </w:tcPr>
          <w:p w14:paraId="46EDA791" w14:textId="13BF7B48" w:rsidR="00F826D0" w:rsidRPr="003328EE" w:rsidRDefault="00F826D0" w:rsidP="00D65F93">
            <w:pPr>
              <w:rPr>
                <w:rFonts w:eastAsia="Times New Roman"/>
                <w:color w:val="000000"/>
                <w:sz w:val="18"/>
                <w:szCs w:val="18"/>
              </w:rPr>
            </w:pPr>
            <w:r w:rsidRPr="003328EE">
              <w:rPr>
                <w:rFonts w:eastAsia="Times New Roman"/>
                <w:color w:val="000000"/>
                <w:sz w:val="18"/>
                <w:szCs w:val="18"/>
              </w:rPr>
              <w:t>Institutional Norms</w:t>
            </w:r>
          </w:p>
        </w:tc>
        <w:tc>
          <w:tcPr>
            <w:tcW w:w="3183" w:type="dxa"/>
            <w:tcBorders>
              <w:top w:val="nil"/>
              <w:left w:val="nil"/>
              <w:bottom w:val="nil"/>
              <w:right w:val="nil"/>
            </w:tcBorders>
            <w:shd w:val="clear" w:color="auto" w:fill="auto"/>
            <w:noWrap/>
            <w:vAlign w:val="bottom"/>
            <w:hideMark/>
          </w:tcPr>
          <w:p w14:paraId="26424C54" w14:textId="156D3CFD"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58770682" w14:textId="3E60AFAB"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9419AD1" w14:textId="19D0CFF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4DD2BDB" w14:textId="30FBC4B3" w:rsidR="00F826D0" w:rsidRPr="003328EE" w:rsidRDefault="00F826D0" w:rsidP="00D65F93">
            <w:pPr>
              <w:rPr>
                <w:rFonts w:eastAsia="Times New Roman"/>
                <w:color w:val="000000"/>
                <w:sz w:val="18"/>
                <w:szCs w:val="18"/>
              </w:rPr>
            </w:pPr>
            <w:r w:rsidRPr="003328EE">
              <w:rPr>
                <w:rFonts w:eastAsia="Times New Roman"/>
                <w:color w:val="000000"/>
                <w:sz w:val="18"/>
                <w:szCs w:val="18"/>
              </w:rPr>
              <w:t>Vinnari &amp; Vinnari, 2013</w:t>
            </w:r>
          </w:p>
        </w:tc>
        <w:tc>
          <w:tcPr>
            <w:tcW w:w="1156" w:type="dxa"/>
            <w:tcBorders>
              <w:top w:val="nil"/>
              <w:left w:val="nil"/>
              <w:bottom w:val="nil"/>
              <w:right w:val="nil"/>
            </w:tcBorders>
            <w:shd w:val="clear" w:color="auto" w:fill="auto"/>
            <w:noWrap/>
            <w:vAlign w:val="bottom"/>
            <w:hideMark/>
          </w:tcPr>
          <w:p w14:paraId="03E82191" w14:textId="6E386E0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2310729" w14:textId="77777777" w:rsidTr="00D65F93">
        <w:trPr>
          <w:trHeight w:val="320"/>
        </w:trPr>
        <w:tc>
          <w:tcPr>
            <w:tcW w:w="3545" w:type="dxa"/>
            <w:tcBorders>
              <w:top w:val="nil"/>
              <w:left w:val="nil"/>
              <w:bottom w:val="nil"/>
              <w:right w:val="nil"/>
            </w:tcBorders>
            <w:shd w:val="clear" w:color="auto" w:fill="auto"/>
            <w:noWrap/>
            <w:vAlign w:val="bottom"/>
            <w:hideMark/>
          </w:tcPr>
          <w:p w14:paraId="2256D68D" w14:textId="5C761CFD" w:rsidR="00F826D0" w:rsidRPr="003328EE" w:rsidRDefault="00F826D0" w:rsidP="00D65F93">
            <w:pPr>
              <w:rPr>
                <w:rFonts w:eastAsia="Times New Roman"/>
                <w:color w:val="000000"/>
                <w:sz w:val="18"/>
                <w:szCs w:val="18"/>
              </w:rPr>
            </w:pPr>
            <w:r w:rsidRPr="003328EE">
              <w:rPr>
                <w:rFonts w:eastAsia="Times New Roman"/>
                <w:color w:val="000000"/>
                <w:sz w:val="18"/>
                <w:szCs w:val="18"/>
              </w:rPr>
              <w:t>Institutional Norms</w:t>
            </w:r>
          </w:p>
        </w:tc>
        <w:tc>
          <w:tcPr>
            <w:tcW w:w="3183" w:type="dxa"/>
            <w:tcBorders>
              <w:top w:val="nil"/>
              <w:left w:val="nil"/>
              <w:bottom w:val="nil"/>
              <w:right w:val="nil"/>
            </w:tcBorders>
            <w:shd w:val="clear" w:color="auto" w:fill="auto"/>
            <w:noWrap/>
            <w:vAlign w:val="bottom"/>
            <w:hideMark/>
          </w:tcPr>
          <w:p w14:paraId="7871A115" w14:textId="349B4E6F"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3A3D95DF" w14:textId="79CC3410"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7AB4D92" w14:textId="6582CFA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1CBD7C5" w14:textId="5284278A"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74217276" w14:textId="64C9A2B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35307FF" w14:textId="77777777" w:rsidTr="00D65F93">
        <w:trPr>
          <w:trHeight w:val="320"/>
        </w:trPr>
        <w:tc>
          <w:tcPr>
            <w:tcW w:w="3545" w:type="dxa"/>
            <w:tcBorders>
              <w:top w:val="nil"/>
              <w:left w:val="nil"/>
              <w:bottom w:val="nil"/>
              <w:right w:val="nil"/>
            </w:tcBorders>
            <w:shd w:val="clear" w:color="auto" w:fill="auto"/>
            <w:noWrap/>
            <w:vAlign w:val="bottom"/>
            <w:hideMark/>
          </w:tcPr>
          <w:p w14:paraId="6DEC981E" w14:textId="28A22144"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Green Provisioning</w:t>
            </w:r>
          </w:p>
        </w:tc>
        <w:tc>
          <w:tcPr>
            <w:tcW w:w="3183" w:type="dxa"/>
            <w:tcBorders>
              <w:top w:val="nil"/>
              <w:left w:val="nil"/>
              <w:bottom w:val="nil"/>
              <w:right w:val="nil"/>
            </w:tcBorders>
            <w:shd w:val="clear" w:color="auto" w:fill="auto"/>
            <w:noWrap/>
            <w:vAlign w:val="bottom"/>
            <w:hideMark/>
          </w:tcPr>
          <w:p w14:paraId="2894AA24" w14:textId="164095B2"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6A4FE8A3" w14:textId="26A5E217"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69CB2F3" w14:textId="47DF2F2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489BFD0" w14:textId="0FA54F69" w:rsidR="00F826D0" w:rsidRPr="003328EE" w:rsidRDefault="00F826D0" w:rsidP="00D65F93">
            <w:pPr>
              <w:rPr>
                <w:rFonts w:eastAsia="Times New Roman"/>
                <w:color w:val="000000"/>
                <w:sz w:val="18"/>
                <w:szCs w:val="18"/>
              </w:rPr>
            </w:pPr>
            <w:r w:rsidRPr="003328EE">
              <w:rPr>
                <w:rFonts w:eastAsia="Times New Roman"/>
                <w:color w:val="000000"/>
                <w:sz w:val="18"/>
                <w:szCs w:val="18"/>
              </w:rPr>
              <w:t>Spaargaren, 2003</w:t>
            </w:r>
          </w:p>
        </w:tc>
        <w:tc>
          <w:tcPr>
            <w:tcW w:w="1156" w:type="dxa"/>
            <w:tcBorders>
              <w:top w:val="nil"/>
              <w:left w:val="nil"/>
              <w:bottom w:val="nil"/>
              <w:right w:val="nil"/>
            </w:tcBorders>
            <w:shd w:val="clear" w:color="auto" w:fill="auto"/>
            <w:noWrap/>
            <w:vAlign w:val="bottom"/>
            <w:hideMark/>
          </w:tcPr>
          <w:p w14:paraId="0390567F" w14:textId="71AF43D4"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Primary </w:t>
            </w:r>
          </w:p>
        </w:tc>
      </w:tr>
      <w:tr w:rsidR="00F826D0" w:rsidRPr="003328EE" w14:paraId="0A07CB86" w14:textId="77777777" w:rsidTr="00D65F93">
        <w:trPr>
          <w:trHeight w:val="320"/>
        </w:trPr>
        <w:tc>
          <w:tcPr>
            <w:tcW w:w="3545" w:type="dxa"/>
            <w:tcBorders>
              <w:top w:val="nil"/>
              <w:left w:val="nil"/>
              <w:bottom w:val="nil"/>
              <w:right w:val="nil"/>
            </w:tcBorders>
            <w:shd w:val="clear" w:color="auto" w:fill="auto"/>
            <w:noWrap/>
            <w:vAlign w:val="bottom"/>
            <w:hideMark/>
          </w:tcPr>
          <w:p w14:paraId="3366B4E1" w14:textId="419879E3" w:rsidR="00F826D0" w:rsidRPr="003328EE" w:rsidRDefault="00F826D0" w:rsidP="00D65F93">
            <w:pPr>
              <w:rPr>
                <w:rFonts w:eastAsia="Times New Roman"/>
                <w:color w:val="000000"/>
                <w:sz w:val="18"/>
                <w:szCs w:val="18"/>
              </w:rPr>
            </w:pPr>
            <w:r w:rsidRPr="003328EE">
              <w:rPr>
                <w:rFonts w:eastAsia="Times New Roman"/>
                <w:color w:val="000000"/>
                <w:sz w:val="18"/>
                <w:szCs w:val="18"/>
              </w:rPr>
              <w:t>Poor Diversity</w:t>
            </w:r>
          </w:p>
        </w:tc>
        <w:tc>
          <w:tcPr>
            <w:tcW w:w="3183" w:type="dxa"/>
            <w:tcBorders>
              <w:top w:val="nil"/>
              <w:left w:val="nil"/>
              <w:bottom w:val="nil"/>
              <w:right w:val="nil"/>
            </w:tcBorders>
            <w:shd w:val="clear" w:color="auto" w:fill="auto"/>
            <w:noWrap/>
            <w:vAlign w:val="bottom"/>
            <w:hideMark/>
          </w:tcPr>
          <w:p w14:paraId="0635DD28" w14:textId="48C32D25"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5B71EA99" w14:textId="7AAE45A2"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C41C9B9" w14:textId="7470963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2E48564" w14:textId="04D9F3B4" w:rsidR="00F826D0" w:rsidRPr="003328EE" w:rsidRDefault="00F826D0" w:rsidP="00D65F93">
            <w:pPr>
              <w:rPr>
                <w:rFonts w:eastAsia="Times New Roman"/>
                <w:color w:val="000000"/>
                <w:sz w:val="18"/>
                <w:szCs w:val="18"/>
              </w:rPr>
            </w:pPr>
            <w:r w:rsidRPr="003328EE">
              <w:rPr>
                <w:rFonts w:eastAsia="Times New Roman"/>
                <w:color w:val="000000"/>
                <w:sz w:val="18"/>
                <w:szCs w:val="18"/>
              </w:rPr>
              <w:t>Palaniswamy, 2003</w:t>
            </w:r>
          </w:p>
        </w:tc>
        <w:tc>
          <w:tcPr>
            <w:tcW w:w="1156" w:type="dxa"/>
            <w:tcBorders>
              <w:top w:val="nil"/>
              <w:left w:val="nil"/>
              <w:bottom w:val="nil"/>
              <w:right w:val="nil"/>
            </w:tcBorders>
            <w:shd w:val="clear" w:color="auto" w:fill="auto"/>
            <w:noWrap/>
            <w:vAlign w:val="bottom"/>
            <w:hideMark/>
          </w:tcPr>
          <w:p w14:paraId="53DE163C" w14:textId="5FA688D4"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20A205C" w14:textId="77777777" w:rsidTr="00D65F93">
        <w:trPr>
          <w:trHeight w:val="320"/>
        </w:trPr>
        <w:tc>
          <w:tcPr>
            <w:tcW w:w="3545" w:type="dxa"/>
            <w:tcBorders>
              <w:top w:val="nil"/>
              <w:left w:val="nil"/>
              <w:bottom w:val="nil"/>
              <w:right w:val="nil"/>
            </w:tcBorders>
            <w:shd w:val="clear" w:color="auto" w:fill="auto"/>
            <w:noWrap/>
            <w:vAlign w:val="bottom"/>
            <w:hideMark/>
          </w:tcPr>
          <w:p w14:paraId="68179158" w14:textId="21278CE4" w:rsidR="00F826D0" w:rsidRPr="003328EE" w:rsidRDefault="00F826D0" w:rsidP="00D65F93">
            <w:pPr>
              <w:rPr>
                <w:rFonts w:eastAsia="Times New Roman"/>
                <w:color w:val="000000"/>
                <w:sz w:val="18"/>
                <w:szCs w:val="18"/>
              </w:rPr>
            </w:pPr>
            <w:r w:rsidRPr="003328EE">
              <w:rPr>
                <w:rFonts w:eastAsia="Times New Roman"/>
                <w:color w:val="000000"/>
                <w:sz w:val="18"/>
                <w:szCs w:val="18"/>
              </w:rPr>
              <w:t>Teachers</w:t>
            </w:r>
          </w:p>
        </w:tc>
        <w:tc>
          <w:tcPr>
            <w:tcW w:w="3183" w:type="dxa"/>
            <w:tcBorders>
              <w:top w:val="nil"/>
              <w:left w:val="nil"/>
              <w:bottom w:val="nil"/>
              <w:right w:val="nil"/>
            </w:tcBorders>
            <w:shd w:val="clear" w:color="auto" w:fill="auto"/>
            <w:noWrap/>
            <w:vAlign w:val="bottom"/>
            <w:hideMark/>
          </w:tcPr>
          <w:p w14:paraId="6B2FC99D" w14:textId="23197EDB"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Influence</w:t>
            </w:r>
          </w:p>
        </w:tc>
        <w:tc>
          <w:tcPr>
            <w:tcW w:w="2061" w:type="dxa"/>
            <w:tcBorders>
              <w:top w:val="nil"/>
              <w:left w:val="nil"/>
              <w:bottom w:val="nil"/>
              <w:right w:val="nil"/>
            </w:tcBorders>
            <w:shd w:val="clear" w:color="auto" w:fill="auto"/>
            <w:noWrap/>
            <w:vAlign w:val="bottom"/>
            <w:hideMark/>
          </w:tcPr>
          <w:p w14:paraId="2356746A" w14:textId="24309276"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6BCBB08" w14:textId="30CF21C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1600868" w14:textId="168F0713"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6C2F6A33" w14:textId="4623345C"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7DAD263" w14:textId="77777777" w:rsidTr="00D65F93">
        <w:trPr>
          <w:trHeight w:val="320"/>
        </w:trPr>
        <w:tc>
          <w:tcPr>
            <w:tcW w:w="3545" w:type="dxa"/>
            <w:tcBorders>
              <w:top w:val="nil"/>
              <w:left w:val="nil"/>
              <w:bottom w:val="nil"/>
              <w:right w:val="nil"/>
            </w:tcBorders>
            <w:shd w:val="clear" w:color="auto" w:fill="auto"/>
            <w:noWrap/>
            <w:vAlign w:val="bottom"/>
            <w:hideMark/>
          </w:tcPr>
          <w:p w14:paraId="098850C0" w14:textId="41433AEE" w:rsidR="00F826D0" w:rsidRPr="003328EE" w:rsidRDefault="00F826D0" w:rsidP="00D65F93">
            <w:pPr>
              <w:rPr>
                <w:rFonts w:eastAsia="Times New Roman"/>
                <w:color w:val="000000"/>
                <w:sz w:val="18"/>
                <w:szCs w:val="18"/>
              </w:rPr>
            </w:pPr>
            <w:r w:rsidRPr="003328EE">
              <w:rPr>
                <w:rFonts w:eastAsia="Times New Roman"/>
                <w:color w:val="000000"/>
                <w:sz w:val="18"/>
                <w:szCs w:val="18"/>
              </w:rPr>
              <w:t>Choice Architecture</w:t>
            </w:r>
          </w:p>
        </w:tc>
        <w:tc>
          <w:tcPr>
            <w:tcW w:w="3183" w:type="dxa"/>
            <w:tcBorders>
              <w:top w:val="nil"/>
              <w:left w:val="nil"/>
              <w:bottom w:val="nil"/>
              <w:right w:val="nil"/>
            </w:tcBorders>
            <w:shd w:val="clear" w:color="auto" w:fill="auto"/>
            <w:noWrap/>
            <w:vAlign w:val="bottom"/>
            <w:hideMark/>
          </w:tcPr>
          <w:p w14:paraId="4D8E9BCF" w14:textId="5238F8AF"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72FC27AB" w14:textId="69A02270"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E8AB24C" w14:textId="6496ECBE"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9E6EC18" w14:textId="18C4272E" w:rsidR="00F826D0" w:rsidRPr="003328EE" w:rsidRDefault="00F826D0" w:rsidP="00D65F93">
            <w:pPr>
              <w:rPr>
                <w:rFonts w:eastAsia="Times New Roman"/>
                <w:color w:val="000000"/>
                <w:sz w:val="18"/>
                <w:szCs w:val="18"/>
              </w:rPr>
            </w:pPr>
            <w:r w:rsidRPr="003328EE">
              <w:rPr>
                <w:rFonts w:eastAsia="Times New Roman"/>
                <w:color w:val="000000"/>
                <w:sz w:val="18"/>
                <w:szCs w:val="18"/>
              </w:rPr>
              <w:t>Kongsback, 2016</w:t>
            </w:r>
          </w:p>
        </w:tc>
        <w:tc>
          <w:tcPr>
            <w:tcW w:w="1156" w:type="dxa"/>
            <w:tcBorders>
              <w:top w:val="nil"/>
              <w:left w:val="nil"/>
              <w:bottom w:val="nil"/>
              <w:right w:val="nil"/>
            </w:tcBorders>
            <w:shd w:val="clear" w:color="auto" w:fill="auto"/>
            <w:noWrap/>
            <w:vAlign w:val="bottom"/>
            <w:hideMark/>
          </w:tcPr>
          <w:p w14:paraId="6AFC306E" w14:textId="37FCBE2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ACAE575" w14:textId="77777777" w:rsidTr="00D65F93">
        <w:trPr>
          <w:trHeight w:val="320"/>
        </w:trPr>
        <w:tc>
          <w:tcPr>
            <w:tcW w:w="3545" w:type="dxa"/>
            <w:tcBorders>
              <w:top w:val="nil"/>
              <w:left w:val="nil"/>
              <w:bottom w:val="nil"/>
              <w:right w:val="nil"/>
            </w:tcBorders>
            <w:shd w:val="clear" w:color="auto" w:fill="auto"/>
            <w:noWrap/>
            <w:vAlign w:val="bottom"/>
            <w:hideMark/>
          </w:tcPr>
          <w:p w14:paraId="50C6057E" w14:textId="283D3756" w:rsidR="00F826D0" w:rsidRPr="003328EE" w:rsidRDefault="00F826D0" w:rsidP="00D65F93">
            <w:pPr>
              <w:rPr>
                <w:rFonts w:eastAsia="Times New Roman"/>
                <w:color w:val="000000"/>
                <w:sz w:val="18"/>
                <w:szCs w:val="18"/>
              </w:rPr>
            </w:pPr>
            <w:r w:rsidRPr="003328EE">
              <w:rPr>
                <w:rFonts w:eastAsia="Times New Roman"/>
                <w:color w:val="000000"/>
                <w:sz w:val="18"/>
                <w:szCs w:val="18"/>
              </w:rPr>
              <w:t>Committees on National Guidelines</w:t>
            </w:r>
          </w:p>
        </w:tc>
        <w:tc>
          <w:tcPr>
            <w:tcW w:w="3183" w:type="dxa"/>
            <w:tcBorders>
              <w:top w:val="nil"/>
              <w:left w:val="nil"/>
              <w:bottom w:val="nil"/>
              <w:right w:val="nil"/>
            </w:tcBorders>
            <w:shd w:val="clear" w:color="auto" w:fill="auto"/>
            <w:noWrap/>
            <w:vAlign w:val="bottom"/>
            <w:hideMark/>
          </w:tcPr>
          <w:p w14:paraId="57CD9155" w14:textId="17035C3C"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044D4C90" w14:textId="5F00E7BB"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47EEC42" w14:textId="2A09A9C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43A5F71" w14:textId="2DAE35D2"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3E6C461F" w14:textId="110FCF64"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8C82A46" w14:textId="77777777" w:rsidTr="00D65F93">
        <w:trPr>
          <w:trHeight w:val="320"/>
        </w:trPr>
        <w:tc>
          <w:tcPr>
            <w:tcW w:w="3545" w:type="dxa"/>
            <w:tcBorders>
              <w:top w:val="nil"/>
              <w:left w:val="nil"/>
              <w:bottom w:val="nil"/>
              <w:right w:val="nil"/>
            </w:tcBorders>
            <w:shd w:val="clear" w:color="auto" w:fill="auto"/>
            <w:noWrap/>
            <w:vAlign w:val="bottom"/>
            <w:hideMark/>
          </w:tcPr>
          <w:p w14:paraId="34D19D4F" w14:textId="154AE9A9" w:rsidR="00F826D0" w:rsidRPr="003328EE" w:rsidRDefault="00F826D0" w:rsidP="00D65F93">
            <w:pPr>
              <w:rPr>
                <w:rFonts w:eastAsia="Times New Roman"/>
                <w:color w:val="000000"/>
                <w:sz w:val="18"/>
                <w:szCs w:val="18"/>
              </w:rPr>
            </w:pPr>
            <w:r w:rsidRPr="003328EE">
              <w:rPr>
                <w:rFonts w:eastAsia="Times New Roman"/>
                <w:color w:val="000000"/>
                <w:sz w:val="18"/>
                <w:szCs w:val="18"/>
              </w:rPr>
              <w:t>Contradictory Information</w:t>
            </w:r>
          </w:p>
        </w:tc>
        <w:tc>
          <w:tcPr>
            <w:tcW w:w="3183" w:type="dxa"/>
            <w:tcBorders>
              <w:top w:val="nil"/>
              <w:left w:val="nil"/>
              <w:bottom w:val="nil"/>
              <w:right w:val="nil"/>
            </w:tcBorders>
            <w:shd w:val="clear" w:color="auto" w:fill="auto"/>
            <w:noWrap/>
            <w:vAlign w:val="bottom"/>
            <w:hideMark/>
          </w:tcPr>
          <w:p w14:paraId="688CB770" w14:textId="7DC32D1F"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7966386C" w14:textId="7A5457C4"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18F8749" w14:textId="7A7BF73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A45E5B1" w14:textId="12677522"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46899FE7" w14:textId="3497DBBC"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E06423C" w14:textId="77777777" w:rsidTr="00D65F93">
        <w:trPr>
          <w:trHeight w:val="320"/>
        </w:trPr>
        <w:tc>
          <w:tcPr>
            <w:tcW w:w="3545" w:type="dxa"/>
            <w:tcBorders>
              <w:top w:val="nil"/>
              <w:left w:val="nil"/>
              <w:bottom w:val="nil"/>
              <w:right w:val="nil"/>
            </w:tcBorders>
            <w:shd w:val="clear" w:color="auto" w:fill="auto"/>
            <w:noWrap/>
            <w:vAlign w:val="bottom"/>
            <w:hideMark/>
          </w:tcPr>
          <w:p w14:paraId="220A929A" w14:textId="58EBCDCF" w:rsidR="00F826D0" w:rsidRPr="003328EE" w:rsidRDefault="00F826D0" w:rsidP="00D65F93">
            <w:pPr>
              <w:rPr>
                <w:rFonts w:eastAsia="Times New Roman"/>
                <w:color w:val="000000"/>
                <w:sz w:val="18"/>
                <w:szCs w:val="18"/>
              </w:rPr>
            </w:pPr>
            <w:r w:rsidRPr="003328EE">
              <w:rPr>
                <w:rFonts w:eastAsia="Times New Roman"/>
                <w:color w:val="000000"/>
                <w:sz w:val="18"/>
                <w:szCs w:val="18"/>
              </w:rPr>
              <w:t>Contradictory Information</w:t>
            </w:r>
          </w:p>
        </w:tc>
        <w:tc>
          <w:tcPr>
            <w:tcW w:w="3183" w:type="dxa"/>
            <w:tcBorders>
              <w:top w:val="nil"/>
              <w:left w:val="nil"/>
              <w:bottom w:val="nil"/>
              <w:right w:val="nil"/>
            </w:tcBorders>
            <w:shd w:val="clear" w:color="auto" w:fill="auto"/>
            <w:noWrap/>
            <w:vAlign w:val="bottom"/>
            <w:hideMark/>
          </w:tcPr>
          <w:p w14:paraId="0AA6E940" w14:textId="59D14F91"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404F04C8" w14:textId="19D61C26"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2773FE7" w14:textId="6DA5D0A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3DB5331" w14:textId="3CD0E7ED"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30134336" w14:textId="7A10342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689AB85" w14:textId="77777777" w:rsidTr="00D65F93">
        <w:trPr>
          <w:trHeight w:val="320"/>
        </w:trPr>
        <w:tc>
          <w:tcPr>
            <w:tcW w:w="3545" w:type="dxa"/>
            <w:tcBorders>
              <w:top w:val="nil"/>
              <w:left w:val="nil"/>
              <w:bottom w:val="nil"/>
              <w:right w:val="nil"/>
            </w:tcBorders>
            <w:shd w:val="clear" w:color="auto" w:fill="auto"/>
            <w:noWrap/>
            <w:vAlign w:val="bottom"/>
            <w:hideMark/>
          </w:tcPr>
          <w:p w14:paraId="0127ECEA" w14:textId="636EA0EE" w:rsidR="00F826D0" w:rsidRPr="003328EE" w:rsidRDefault="00F826D0" w:rsidP="00D65F93">
            <w:pPr>
              <w:rPr>
                <w:rFonts w:eastAsia="Times New Roman"/>
                <w:color w:val="000000"/>
                <w:sz w:val="18"/>
                <w:szCs w:val="18"/>
              </w:rPr>
            </w:pPr>
            <w:r w:rsidRPr="003328EE">
              <w:rPr>
                <w:rFonts w:eastAsia="Times New Roman"/>
                <w:color w:val="000000"/>
                <w:sz w:val="18"/>
                <w:szCs w:val="18"/>
              </w:rPr>
              <w:t>Distortion of Recommendations &amp; Advertisements</w:t>
            </w:r>
          </w:p>
        </w:tc>
        <w:tc>
          <w:tcPr>
            <w:tcW w:w="3183" w:type="dxa"/>
            <w:tcBorders>
              <w:top w:val="nil"/>
              <w:left w:val="nil"/>
              <w:bottom w:val="nil"/>
              <w:right w:val="nil"/>
            </w:tcBorders>
            <w:shd w:val="clear" w:color="auto" w:fill="auto"/>
            <w:noWrap/>
            <w:vAlign w:val="bottom"/>
            <w:hideMark/>
          </w:tcPr>
          <w:p w14:paraId="73B87CE2" w14:textId="514861BC"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079BECEE" w14:textId="2F76D116"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03DD2B06" w14:textId="4161641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6C8405F" w14:textId="1F91164C" w:rsidR="00F826D0" w:rsidRPr="003328EE" w:rsidRDefault="00F826D0" w:rsidP="00D65F93">
            <w:pPr>
              <w:rPr>
                <w:rFonts w:eastAsia="Times New Roman"/>
                <w:color w:val="000000"/>
                <w:sz w:val="18"/>
                <w:szCs w:val="18"/>
              </w:rPr>
            </w:pPr>
            <w:r w:rsidRPr="003328EE">
              <w:rPr>
                <w:rFonts w:eastAsia="Times New Roman"/>
                <w:color w:val="000000"/>
                <w:sz w:val="18"/>
                <w:szCs w:val="18"/>
              </w:rPr>
              <w:t>Misbach et al., 2015</w:t>
            </w:r>
          </w:p>
        </w:tc>
        <w:tc>
          <w:tcPr>
            <w:tcW w:w="1156" w:type="dxa"/>
            <w:tcBorders>
              <w:top w:val="nil"/>
              <w:left w:val="nil"/>
              <w:bottom w:val="nil"/>
              <w:right w:val="nil"/>
            </w:tcBorders>
            <w:shd w:val="clear" w:color="auto" w:fill="auto"/>
            <w:noWrap/>
            <w:vAlign w:val="bottom"/>
            <w:hideMark/>
          </w:tcPr>
          <w:p w14:paraId="5B5A6962" w14:textId="58C4233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22D03AD" w14:textId="77777777" w:rsidTr="00D65F93">
        <w:trPr>
          <w:trHeight w:val="320"/>
        </w:trPr>
        <w:tc>
          <w:tcPr>
            <w:tcW w:w="3545" w:type="dxa"/>
            <w:tcBorders>
              <w:top w:val="nil"/>
              <w:left w:val="nil"/>
              <w:bottom w:val="nil"/>
              <w:right w:val="nil"/>
            </w:tcBorders>
            <w:shd w:val="clear" w:color="auto" w:fill="auto"/>
            <w:noWrap/>
            <w:vAlign w:val="bottom"/>
            <w:hideMark/>
          </w:tcPr>
          <w:p w14:paraId="5A85DBC4" w14:textId="5F504004" w:rsidR="00F826D0" w:rsidRPr="003328EE" w:rsidRDefault="00F826D0" w:rsidP="00D65F93">
            <w:pPr>
              <w:rPr>
                <w:rFonts w:eastAsia="Times New Roman"/>
                <w:color w:val="000000"/>
                <w:sz w:val="18"/>
                <w:szCs w:val="18"/>
              </w:rPr>
            </w:pPr>
            <w:r w:rsidRPr="003328EE">
              <w:rPr>
                <w:rFonts w:eastAsia="Times New Roman"/>
                <w:color w:val="000000"/>
                <w:sz w:val="18"/>
                <w:szCs w:val="18"/>
              </w:rPr>
              <w:t>Distortion of Food Recommendations &amp; Advertisements</w:t>
            </w:r>
          </w:p>
        </w:tc>
        <w:tc>
          <w:tcPr>
            <w:tcW w:w="3183" w:type="dxa"/>
            <w:tcBorders>
              <w:top w:val="nil"/>
              <w:left w:val="nil"/>
              <w:bottom w:val="nil"/>
              <w:right w:val="nil"/>
            </w:tcBorders>
            <w:shd w:val="clear" w:color="auto" w:fill="auto"/>
            <w:noWrap/>
            <w:vAlign w:val="bottom"/>
            <w:hideMark/>
          </w:tcPr>
          <w:p w14:paraId="5C4CCEDC" w14:textId="444C0A8A"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09A8B3E7" w14:textId="26D3E5E9"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80A6090" w14:textId="5772053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1273E45" w14:textId="15FA78CB" w:rsidR="00F826D0" w:rsidRPr="003328EE" w:rsidRDefault="00F826D0" w:rsidP="00D65F93">
            <w:pPr>
              <w:rPr>
                <w:rFonts w:eastAsia="Times New Roman"/>
                <w:color w:val="000000"/>
                <w:sz w:val="18"/>
                <w:szCs w:val="18"/>
              </w:rPr>
            </w:pPr>
            <w:r w:rsidRPr="003328EE">
              <w:rPr>
                <w:rFonts w:eastAsia="Times New Roman"/>
                <w:color w:val="000000"/>
                <w:sz w:val="18"/>
                <w:szCs w:val="18"/>
              </w:rPr>
              <w:t>Sonntag et al., 2015</w:t>
            </w:r>
          </w:p>
        </w:tc>
        <w:tc>
          <w:tcPr>
            <w:tcW w:w="1156" w:type="dxa"/>
            <w:tcBorders>
              <w:top w:val="nil"/>
              <w:left w:val="nil"/>
              <w:bottom w:val="nil"/>
              <w:right w:val="nil"/>
            </w:tcBorders>
            <w:shd w:val="clear" w:color="auto" w:fill="auto"/>
            <w:noWrap/>
            <w:vAlign w:val="bottom"/>
            <w:hideMark/>
          </w:tcPr>
          <w:p w14:paraId="498C9B42" w14:textId="17D5B223"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A9E50EE" w14:textId="77777777" w:rsidTr="00D65F93">
        <w:trPr>
          <w:trHeight w:val="320"/>
        </w:trPr>
        <w:tc>
          <w:tcPr>
            <w:tcW w:w="3545" w:type="dxa"/>
            <w:tcBorders>
              <w:top w:val="nil"/>
              <w:left w:val="nil"/>
              <w:bottom w:val="nil"/>
              <w:right w:val="nil"/>
            </w:tcBorders>
            <w:shd w:val="clear" w:color="auto" w:fill="auto"/>
            <w:noWrap/>
            <w:vAlign w:val="bottom"/>
            <w:hideMark/>
          </w:tcPr>
          <w:p w14:paraId="03F2CF61" w14:textId="6402921C" w:rsidR="00F826D0" w:rsidRPr="003328EE" w:rsidRDefault="00F826D0" w:rsidP="00D65F93">
            <w:pPr>
              <w:rPr>
                <w:rFonts w:eastAsia="Times New Roman"/>
                <w:color w:val="000000"/>
                <w:sz w:val="18"/>
                <w:szCs w:val="18"/>
              </w:rPr>
            </w:pPr>
            <w:r w:rsidRPr="003328EE">
              <w:rPr>
                <w:rFonts w:eastAsia="Times New Roman"/>
                <w:color w:val="000000"/>
                <w:sz w:val="18"/>
                <w:szCs w:val="18"/>
              </w:rPr>
              <w:t>Externalizing Responsibility/Blame</w:t>
            </w:r>
          </w:p>
        </w:tc>
        <w:tc>
          <w:tcPr>
            <w:tcW w:w="3183" w:type="dxa"/>
            <w:tcBorders>
              <w:top w:val="nil"/>
              <w:left w:val="nil"/>
              <w:bottom w:val="nil"/>
              <w:right w:val="nil"/>
            </w:tcBorders>
            <w:shd w:val="clear" w:color="auto" w:fill="auto"/>
            <w:noWrap/>
            <w:vAlign w:val="bottom"/>
            <w:hideMark/>
          </w:tcPr>
          <w:p w14:paraId="150A7350" w14:textId="52F4B5D4"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4CF68AF2" w14:textId="720455EF"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93D3950" w14:textId="5AD2AC8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CCC6BE9" w14:textId="64BEDEDA" w:rsidR="00F826D0" w:rsidRPr="003328EE" w:rsidRDefault="00F826D0" w:rsidP="00D65F93">
            <w:pPr>
              <w:rPr>
                <w:rFonts w:eastAsia="Times New Roman"/>
                <w:color w:val="000000"/>
                <w:sz w:val="18"/>
                <w:szCs w:val="18"/>
              </w:rPr>
            </w:pPr>
            <w:r w:rsidRPr="003328EE">
              <w:rPr>
                <w:rFonts w:eastAsia="Times New Roman"/>
                <w:color w:val="000000"/>
                <w:sz w:val="18"/>
                <w:szCs w:val="18"/>
              </w:rPr>
              <w:t>Lorenzoni et al., 2007</w:t>
            </w:r>
          </w:p>
        </w:tc>
        <w:tc>
          <w:tcPr>
            <w:tcW w:w="1156" w:type="dxa"/>
            <w:tcBorders>
              <w:top w:val="nil"/>
              <w:left w:val="nil"/>
              <w:bottom w:val="nil"/>
              <w:right w:val="nil"/>
            </w:tcBorders>
            <w:shd w:val="clear" w:color="auto" w:fill="auto"/>
            <w:noWrap/>
            <w:vAlign w:val="bottom"/>
            <w:hideMark/>
          </w:tcPr>
          <w:p w14:paraId="395485D0" w14:textId="6414930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9050060" w14:textId="77777777" w:rsidTr="00D65F93">
        <w:trPr>
          <w:trHeight w:val="320"/>
        </w:trPr>
        <w:tc>
          <w:tcPr>
            <w:tcW w:w="3545" w:type="dxa"/>
            <w:tcBorders>
              <w:top w:val="nil"/>
              <w:left w:val="nil"/>
              <w:bottom w:val="nil"/>
              <w:right w:val="nil"/>
            </w:tcBorders>
            <w:shd w:val="clear" w:color="auto" w:fill="auto"/>
            <w:noWrap/>
            <w:vAlign w:val="bottom"/>
            <w:hideMark/>
          </w:tcPr>
          <w:p w14:paraId="2693A888" w14:textId="13538EAB" w:rsidR="00F826D0" w:rsidRPr="003328EE" w:rsidRDefault="00F826D0" w:rsidP="00D65F93">
            <w:pPr>
              <w:rPr>
                <w:rFonts w:eastAsia="Times New Roman"/>
                <w:color w:val="000000"/>
                <w:sz w:val="18"/>
                <w:szCs w:val="18"/>
              </w:rPr>
            </w:pPr>
            <w:r w:rsidRPr="003328EE">
              <w:rPr>
                <w:rFonts w:eastAsia="Times New Roman"/>
                <w:color w:val="000000"/>
                <w:sz w:val="18"/>
                <w:szCs w:val="18"/>
              </w:rPr>
              <w:t>Food Guide</w:t>
            </w:r>
          </w:p>
        </w:tc>
        <w:tc>
          <w:tcPr>
            <w:tcW w:w="3183" w:type="dxa"/>
            <w:tcBorders>
              <w:top w:val="nil"/>
              <w:left w:val="nil"/>
              <w:bottom w:val="nil"/>
              <w:right w:val="nil"/>
            </w:tcBorders>
            <w:shd w:val="clear" w:color="auto" w:fill="auto"/>
            <w:noWrap/>
            <w:vAlign w:val="bottom"/>
            <w:hideMark/>
          </w:tcPr>
          <w:p w14:paraId="09B53CCE" w14:textId="7908AAC6"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08EA64AF" w14:textId="116A0BB0"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32549BE" w14:textId="7000E3FF"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88AD264" w14:textId="0B0F4E8D" w:rsidR="00F826D0" w:rsidRPr="003328EE" w:rsidRDefault="00F826D0" w:rsidP="00D65F93">
            <w:pPr>
              <w:rPr>
                <w:rFonts w:eastAsia="Times New Roman"/>
                <w:color w:val="000000"/>
                <w:sz w:val="18"/>
                <w:szCs w:val="18"/>
              </w:rPr>
            </w:pPr>
            <w:r w:rsidRPr="003328EE">
              <w:rPr>
                <w:rFonts w:eastAsia="Times New Roman"/>
                <w:color w:val="000000"/>
                <w:sz w:val="18"/>
                <w:szCs w:val="18"/>
              </w:rPr>
              <w:t>Jones et al., 2004</w:t>
            </w:r>
          </w:p>
        </w:tc>
        <w:tc>
          <w:tcPr>
            <w:tcW w:w="1156" w:type="dxa"/>
            <w:tcBorders>
              <w:top w:val="nil"/>
              <w:left w:val="nil"/>
              <w:bottom w:val="nil"/>
              <w:right w:val="nil"/>
            </w:tcBorders>
            <w:shd w:val="clear" w:color="auto" w:fill="auto"/>
            <w:noWrap/>
            <w:vAlign w:val="bottom"/>
            <w:hideMark/>
          </w:tcPr>
          <w:p w14:paraId="30B63466" w14:textId="282AF63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1A6A4E1" w14:textId="77777777" w:rsidTr="00D65F93">
        <w:trPr>
          <w:trHeight w:val="320"/>
        </w:trPr>
        <w:tc>
          <w:tcPr>
            <w:tcW w:w="3545" w:type="dxa"/>
            <w:tcBorders>
              <w:top w:val="nil"/>
              <w:left w:val="nil"/>
              <w:bottom w:val="nil"/>
              <w:right w:val="nil"/>
            </w:tcBorders>
            <w:shd w:val="clear" w:color="auto" w:fill="auto"/>
            <w:noWrap/>
            <w:vAlign w:val="bottom"/>
            <w:hideMark/>
          </w:tcPr>
          <w:p w14:paraId="2FEC3C1E" w14:textId="63A650C3" w:rsidR="00F826D0" w:rsidRPr="003328EE" w:rsidRDefault="00F826D0" w:rsidP="00D65F93">
            <w:pPr>
              <w:rPr>
                <w:rFonts w:eastAsia="Times New Roman"/>
                <w:color w:val="000000"/>
                <w:sz w:val="18"/>
                <w:szCs w:val="18"/>
              </w:rPr>
            </w:pPr>
            <w:r w:rsidRPr="003328EE">
              <w:rPr>
                <w:rFonts w:eastAsia="Times New Roman"/>
                <w:color w:val="000000"/>
                <w:sz w:val="18"/>
                <w:szCs w:val="18"/>
              </w:rPr>
              <w:t>Food Guide</w:t>
            </w:r>
          </w:p>
        </w:tc>
        <w:tc>
          <w:tcPr>
            <w:tcW w:w="3183" w:type="dxa"/>
            <w:tcBorders>
              <w:top w:val="nil"/>
              <w:left w:val="nil"/>
              <w:bottom w:val="nil"/>
              <w:right w:val="nil"/>
            </w:tcBorders>
            <w:shd w:val="clear" w:color="auto" w:fill="auto"/>
            <w:noWrap/>
            <w:vAlign w:val="bottom"/>
            <w:hideMark/>
          </w:tcPr>
          <w:p w14:paraId="14CB0B31" w14:textId="727A93F2"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4C79046F" w14:textId="55F69C22"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9ABE18D" w14:textId="0F06A75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1F8C626" w14:textId="04043735" w:rsidR="00F826D0" w:rsidRPr="003328EE" w:rsidRDefault="00F826D0" w:rsidP="00D65F93">
            <w:pPr>
              <w:rPr>
                <w:rFonts w:eastAsia="Times New Roman"/>
                <w:color w:val="000000"/>
                <w:sz w:val="18"/>
                <w:szCs w:val="18"/>
              </w:rPr>
            </w:pPr>
            <w:r w:rsidRPr="003328EE">
              <w:rPr>
                <w:rFonts w:eastAsia="Times New Roman"/>
                <w:color w:val="000000"/>
                <w:sz w:val="18"/>
                <w:szCs w:val="18"/>
              </w:rPr>
              <w:t>Katcher et al., 2010</w:t>
            </w:r>
          </w:p>
        </w:tc>
        <w:tc>
          <w:tcPr>
            <w:tcW w:w="1156" w:type="dxa"/>
            <w:tcBorders>
              <w:top w:val="nil"/>
              <w:left w:val="nil"/>
              <w:bottom w:val="nil"/>
              <w:right w:val="nil"/>
            </w:tcBorders>
            <w:shd w:val="clear" w:color="auto" w:fill="auto"/>
            <w:noWrap/>
            <w:vAlign w:val="bottom"/>
            <w:hideMark/>
          </w:tcPr>
          <w:p w14:paraId="2FD6772C" w14:textId="4D6F2BA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48FCCE4" w14:textId="77777777" w:rsidTr="00D65F93">
        <w:trPr>
          <w:trHeight w:val="320"/>
        </w:trPr>
        <w:tc>
          <w:tcPr>
            <w:tcW w:w="3545" w:type="dxa"/>
            <w:tcBorders>
              <w:top w:val="nil"/>
              <w:left w:val="nil"/>
              <w:bottom w:val="nil"/>
              <w:right w:val="nil"/>
            </w:tcBorders>
            <w:shd w:val="clear" w:color="auto" w:fill="auto"/>
            <w:noWrap/>
            <w:vAlign w:val="bottom"/>
            <w:hideMark/>
          </w:tcPr>
          <w:p w14:paraId="01103A09" w14:textId="2EA0177D" w:rsidR="00F826D0" w:rsidRPr="003328EE" w:rsidRDefault="00F826D0" w:rsidP="00D65F93">
            <w:pPr>
              <w:rPr>
                <w:rFonts w:eastAsia="Times New Roman"/>
                <w:color w:val="000000"/>
                <w:sz w:val="18"/>
                <w:szCs w:val="18"/>
              </w:rPr>
            </w:pPr>
            <w:r w:rsidRPr="003328EE">
              <w:rPr>
                <w:rFonts w:eastAsia="Times New Roman"/>
                <w:color w:val="000000"/>
                <w:sz w:val="18"/>
                <w:szCs w:val="18"/>
              </w:rPr>
              <w:t>Food Guide</w:t>
            </w:r>
          </w:p>
        </w:tc>
        <w:tc>
          <w:tcPr>
            <w:tcW w:w="3183" w:type="dxa"/>
            <w:tcBorders>
              <w:top w:val="nil"/>
              <w:left w:val="nil"/>
              <w:bottom w:val="nil"/>
              <w:right w:val="nil"/>
            </w:tcBorders>
            <w:shd w:val="clear" w:color="auto" w:fill="auto"/>
            <w:noWrap/>
            <w:vAlign w:val="bottom"/>
            <w:hideMark/>
          </w:tcPr>
          <w:p w14:paraId="668F2D21" w14:textId="19EAA97A"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1DC33E3B" w14:textId="41F0D2E5"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6372A4F" w14:textId="3CE4EC3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D5F0079" w14:textId="0FD62C80" w:rsidR="00F826D0" w:rsidRPr="003328EE" w:rsidRDefault="00F826D0" w:rsidP="00D65F93">
            <w:pPr>
              <w:rPr>
                <w:rFonts w:eastAsia="Times New Roman"/>
                <w:color w:val="000000"/>
                <w:sz w:val="18"/>
                <w:szCs w:val="18"/>
              </w:rPr>
            </w:pPr>
            <w:r w:rsidRPr="003328EE">
              <w:rPr>
                <w:rFonts w:eastAsia="Times New Roman"/>
                <w:color w:val="000000"/>
                <w:sz w:val="18"/>
                <w:szCs w:val="18"/>
              </w:rPr>
              <w:t>Messine et al., 2003</w:t>
            </w:r>
          </w:p>
        </w:tc>
        <w:tc>
          <w:tcPr>
            <w:tcW w:w="1156" w:type="dxa"/>
            <w:tcBorders>
              <w:top w:val="nil"/>
              <w:left w:val="nil"/>
              <w:bottom w:val="nil"/>
              <w:right w:val="nil"/>
            </w:tcBorders>
            <w:shd w:val="clear" w:color="auto" w:fill="auto"/>
            <w:noWrap/>
            <w:vAlign w:val="bottom"/>
            <w:hideMark/>
          </w:tcPr>
          <w:p w14:paraId="70A211BF" w14:textId="1680671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C4001A8" w14:textId="77777777" w:rsidTr="00D65F93">
        <w:trPr>
          <w:trHeight w:val="320"/>
        </w:trPr>
        <w:tc>
          <w:tcPr>
            <w:tcW w:w="3545" w:type="dxa"/>
            <w:tcBorders>
              <w:top w:val="nil"/>
              <w:left w:val="nil"/>
              <w:bottom w:val="nil"/>
              <w:right w:val="nil"/>
            </w:tcBorders>
            <w:shd w:val="clear" w:color="auto" w:fill="auto"/>
            <w:noWrap/>
            <w:vAlign w:val="bottom"/>
            <w:hideMark/>
          </w:tcPr>
          <w:p w14:paraId="6BB40E15" w14:textId="12BAA3FE" w:rsidR="00F826D0" w:rsidRPr="003328EE" w:rsidRDefault="00F826D0" w:rsidP="00D65F93">
            <w:pPr>
              <w:rPr>
                <w:rFonts w:eastAsia="Times New Roman"/>
                <w:color w:val="000000"/>
                <w:sz w:val="18"/>
                <w:szCs w:val="18"/>
              </w:rPr>
            </w:pPr>
            <w:r w:rsidRPr="003328EE">
              <w:rPr>
                <w:rFonts w:eastAsia="Times New Roman"/>
                <w:color w:val="000000"/>
                <w:sz w:val="18"/>
                <w:szCs w:val="18"/>
              </w:rPr>
              <w:t>Food Guide</w:t>
            </w:r>
          </w:p>
        </w:tc>
        <w:tc>
          <w:tcPr>
            <w:tcW w:w="3183" w:type="dxa"/>
            <w:tcBorders>
              <w:top w:val="nil"/>
              <w:left w:val="nil"/>
              <w:bottom w:val="nil"/>
              <w:right w:val="nil"/>
            </w:tcBorders>
            <w:shd w:val="clear" w:color="auto" w:fill="auto"/>
            <w:noWrap/>
            <w:vAlign w:val="bottom"/>
            <w:hideMark/>
          </w:tcPr>
          <w:p w14:paraId="758D31DD" w14:textId="246FC6C4"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44BEDD67" w14:textId="143117B2"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9408478" w14:textId="125423A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B26D771" w14:textId="5FD4068C"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4C2400D0" w14:textId="3CC1D3D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64BA1B2" w14:textId="77777777" w:rsidTr="00D65F93">
        <w:trPr>
          <w:trHeight w:val="320"/>
        </w:trPr>
        <w:tc>
          <w:tcPr>
            <w:tcW w:w="3545" w:type="dxa"/>
            <w:tcBorders>
              <w:top w:val="nil"/>
              <w:left w:val="nil"/>
              <w:bottom w:val="nil"/>
              <w:right w:val="nil"/>
            </w:tcBorders>
            <w:shd w:val="clear" w:color="auto" w:fill="auto"/>
            <w:noWrap/>
            <w:vAlign w:val="bottom"/>
            <w:hideMark/>
          </w:tcPr>
          <w:p w14:paraId="5E8C588E" w14:textId="5F187221" w:rsidR="00F826D0" w:rsidRPr="003328EE" w:rsidRDefault="00F826D0" w:rsidP="00D65F93">
            <w:pPr>
              <w:rPr>
                <w:rFonts w:eastAsia="Times New Roman"/>
                <w:color w:val="000000"/>
                <w:sz w:val="18"/>
                <w:szCs w:val="18"/>
              </w:rPr>
            </w:pPr>
            <w:r w:rsidRPr="003328EE">
              <w:rPr>
                <w:rFonts w:eastAsia="Times New Roman"/>
                <w:color w:val="000000"/>
                <w:sz w:val="18"/>
                <w:szCs w:val="18"/>
              </w:rPr>
              <w:t>Food Guide</w:t>
            </w:r>
          </w:p>
        </w:tc>
        <w:tc>
          <w:tcPr>
            <w:tcW w:w="3183" w:type="dxa"/>
            <w:tcBorders>
              <w:top w:val="nil"/>
              <w:left w:val="nil"/>
              <w:bottom w:val="nil"/>
              <w:right w:val="nil"/>
            </w:tcBorders>
            <w:shd w:val="clear" w:color="auto" w:fill="auto"/>
            <w:noWrap/>
            <w:vAlign w:val="bottom"/>
            <w:hideMark/>
          </w:tcPr>
          <w:p w14:paraId="492E2736" w14:textId="58ADDCDC"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0AA3247A" w14:textId="696660A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FBB1857" w14:textId="6CA60603"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7A1880A" w14:textId="4468FEF3" w:rsidR="00F826D0" w:rsidRPr="003328EE" w:rsidRDefault="00F826D0" w:rsidP="00D65F93">
            <w:pPr>
              <w:rPr>
                <w:rFonts w:eastAsia="Times New Roman"/>
                <w:color w:val="000000"/>
                <w:sz w:val="18"/>
                <w:szCs w:val="18"/>
              </w:rPr>
            </w:pPr>
            <w:r w:rsidRPr="003328EE">
              <w:rPr>
                <w:rFonts w:eastAsia="Times New Roman"/>
                <w:color w:val="000000"/>
                <w:sz w:val="18"/>
                <w:szCs w:val="18"/>
              </w:rPr>
              <w:t>Flynn et al., 2011</w:t>
            </w:r>
          </w:p>
        </w:tc>
        <w:tc>
          <w:tcPr>
            <w:tcW w:w="1156" w:type="dxa"/>
            <w:tcBorders>
              <w:top w:val="nil"/>
              <w:left w:val="nil"/>
              <w:bottom w:val="nil"/>
              <w:right w:val="nil"/>
            </w:tcBorders>
            <w:shd w:val="clear" w:color="auto" w:fill="auto"/>
            <w:noWrap/>
            <w:vAlign w:val="bottom"/>
            <w:hideMark/>
          </w:tcPr>
          <w:p w14:paraId="4AECB795" w14:textId="051BF41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2C50EDB" w14:textId="77777777" w:rsidTr="00D65F93">
        <w:trPr>
          <w:trHeight w:val="320"/>
        </w:trPr>
        <w:tc>
          <w:tcPr>
            <w:tcW w:w="3545" w:type="dxa"/>
            <w:tcBorders>
              <w:top w:val="nil"/>
              <w:left w:val="nil"/>
              <w:bottom w:val="nil"/>
              <w:right w:val="nil"/>
            </w:tcBorders>
            <w:shd w:val="clear" w:color="auto" w:fill="auto"/>
            <w:noWrap/>
            <w:vAlign w:val="bottom"/>
            <w:hideMark/>
          </w:tcPr>
          <w:p w14:paraId="4E87304F" w14:textId="69C939AB" w:rsidR="00F826D0" w:rsidRPr="003328EE" w:rsidRDefault="00F826D0" w:rsidP="00D65F93">
            <w:pPr>
              <w:rPr>
                <w:rFonts w:eastAsia="Times New Roman"/>
                <w:color w:val="000000"/>
                <w:sz w:val="18"/>
                <w:szCs w:val="18"/>
              </w:rPr>
            </w:pPr>
            <w:r w:rsidRPr="003328EE">
              <w:rPr>
                <w:rFonts w:eastAsia="Times New Roman"/>
                <w:color w:val="000000"/>
                <w:sz w:val="18"/>
                <w:szCs w:val="18"/>
              </w:rPr>
              <w:t>Food Guide</w:t>
            </w:r>
          </w:p>
        </w:tc>
        <w:tc>
          <w:tcPr>
            <w:tcW w:w="3183" w:type="dxa"/>
            <w:tcBorders>
              <w:top w:val="nil"/>
              <w:left w:val="nil"/>
              <w:bottom w:val="nil"/>
              <w:right w:val="nil"/>
            </w:tcBorders>
            <w:shd w:val="clear" w:color="auto" w:fill="auto"/>
            <w:noWrap/>
            <w:vAlign w:val="bottom"/>
            <w:hideMark/>
          </w:tcPr>
          <w:p w14:paraId="33553046" w14:textId="558D2A02"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6629C4A5" w14:textId="1F7BD0C9"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B69D843" w14:textId="2832B63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69A78E0" w14:textId="3D2EFE63" w:rsidR="00F826D0" w:rsidRPr="003328EE" w:rsidRDefault="00F826D0" w:rsidP="00D65F93">
            <w:pPr>
              <w:rPr>
                <w:rFonts w:eastAsia="Times New Roman"/>
                <w:color w:val="000000"/>
                <w:sz w:val="18"/>
                <w:szCs w:val="18"/>
              </w:rPr>
            </w:pPr>
            <w:r w:rsidRPr="003328EE">
              <w:rPr>
                <w:rFonts w:eastAsia="Times New Roman"/>
                <w:color w:val="000000"/>
                <w:sz w:val="18"/>
                <w:szCs w:val="18"/>
              </w:rPr>
              <w:t>van Dooren et al., 2014</w:t>
            </w:r>
          </w:p>
        </w:tc>
        <w:tc>
          <w:tcPr>
            <w:tcW w:w="1156" w:type="dxa"/>
            <w:tcBorders>
              <w:top w:val="nil"/>
              <w:left w:val="nil"/>
              <w:bottom w:val="nil"/>
              <w:right w:val="nil"/>
            </w:tcBorders>
            <w:shd w:val="clear" w:color="auto" w:fill="auto"/>
            <w:noWrap/>
            <w:vAlign w:val="bottom"/>
            <w:hideMark/>
          </w:tcPr>
          <w:p w14:paraId="7F1C10FF" w14:textId="4AC5925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81989EB" w14:textId="77777777" w:rsidTr="00D65F93">
        <w:trPr>
          <w:trHeight w:val="320"/>
        </w:trPr>
        <w:tc>
          <w:tcPr>
            <w:tcW w:w="3545" w:type="dxa"/>
            <w:tcBorders>
              <w:top w:val="nil"/>
              <w:left w:val="nil"/>
              <w:bottom w:val="nil"/>
              <w:right w:val="nil"/>
            </w:tcBorders>
            <w:shd w:val="clear" w:color="auto" w:fill="auto"/>
            <w:noWrap/>
            <w:vAlign w:val="bottom"/>
            <w:hideMark/>
          </w:tcPr>
          <w:p w14:paraId="0CD7CA18" w14:textId="63B2651E"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Credibility with Respect to Sustainability Claims</w:t>
            </w:r>
          </w:p>
        </w:tc>
        <w:tc>
          <w:tcPr>
            <w:tcW w:w="3183" w:type="dxa"/>
            <w:tcBorders>
              <w:top w:val="nil"/>
              <w:left w:val="nil"/>
              <w:bottom w:val="nil"/>
              <w:right w:val="nil"/>
            </w:tcBorders>
            <w:shd w:val="clear" w:color="auto" w:fill="auto"/>
            <w:noWrap/>
            <w:vAlign w:val="bottom"/>
            <w:hideMark/>
          </w:tcPr>
          <w:p w14:paraId="4D70A8CD" w14:textId="5F9D6A7A"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76088F25" w14:textId="78C656D5"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1687401" w14:textId="10AAC99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F37240D" w14:textId="53B3DF4C"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616EF0D2" w14:textId="7463BB9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2792F14" w14:textId="77777777" w:rsidTr="00D65F93">
        <w:trPr>
          <w:trHeight w:val="320"/>
        </w:trPr>
        <w:tc>
          <w:tcPr>
            <w:tcW w:w="3545" w:type="dxa"/>
            <w:tcBorders>
              <w:top w:val="nil"/>
              <w:left w:val="nil"/>
              <w:bottom w:val="nil"/>
              <w:right w:val="nil"/>
            </w:tcBorders>
            <w:shd w:val="clear" w:color="auto" w:fill="auto"/>
            <w:noWrap/>
            <w:vAlign w:val="bottom"/>
            <w:hideMark/>
          </w:tcPr>
          <w:p w14:paraId="06CCF037" w14:textId="3CA7525B"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Industry Action</w:t>
            </w:r>
          </w:p>
        </w:tc>
        <w:tc>
          <w:tcPr>
            <w:tcW w:w="3183" w:type="dxa"/>
            <w:tcBorders>
              <w:top w:val="nil"/>
              <w:left w:val="nil"/>
              <w:bottom w:val="nil"/>
              <w:right w:val="nil"/>
            </w:tcBorders>
            <w:shd w:val="clear" w:color="auto" w:fill="auto"/>
            <w:noWrap/>
            <w:vAlign w:val="bottom"/>
            <w:hideMark/>
          </w:tcPr>
          <w:p w14:paraId="7F281A8F" w14:textId="34F4F030"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408FE313" w14:textId="62E9B6D4"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B0724F2" w14:textId="1A195F3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C2137FA" w14:textId="0EA6DD06" w:rsidR="00F826D0" w:rsidRPr="003328EE" w:rsidRDefault="00F826D0" w:rsidP="00D65F93">
            <w:pPr>
              <w:rPr>
                <w:rFonts w:eastAsia="Times New Roman"/>
                <w:color w:val="000000"/>
                <w:sz w:val="18"/>
                <w:szCs w:val="18"/>
              </w:rPr>
            </w:pPr>
            <w:r w:rsidRPr="003328EE">
              <w:rPr>
                <w:rFonts w:eastAsia="Times New Roman"/>
                <w:color w:val="000000"/>
                <w:sz w:val="18"/>
                <w:szCs w:val="18"/>
              </w:rPr>
              <w:t>Lorenzoni et al., 2007</w:t>
            </w:r>
          </w:p>
        </w:tc>
        <w:tc>
          <w:tcPr>
            <w:tcW w:w="1156" w:type="dxa"/>
            <w:tcBorders>
              <w:top w:val="nil"/>
              <w:left w:val="nil"/>
              <w:bottom w:val="nil"/>
              <w:right w:val="nil"/>
            </w:tcBorders>
            <w:shd w:val="clear" w:color="auto" w:fill="auto"/>
            <w:noWrap/>
            <w:vAlign w:val="bottom"/>
            <w:hideMark/>
          </w:tcPr>
          <w:p w14:paraId="716D2033" w14:textId="0A69082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D95CCCC" w14:textId="77777777" w:rsidTr="00D65F93">
        <w:trPr>
          <w:trHeight w:val="320"/>
        </w:trPr>
        <w:tc>
          <w:tcPr>
            <w:tcW w:w="3545" w:type="dxa"/>
            <w:tcBorders>
              <w:top w:val="nil"/>
              <w:left w:val="nil"/>
              <w:bottom w:val="nil"/>
              <w:right w:val="nil"/>
            </w:tcBorders>
            <w:shd w:val="clear" w:color="auto" w:fill="auto"/>
            <w:noWrap/>
            <w:vAlign w:val="bottom"/>
            <w:hideMark/>
          </w:tcPr>
          <w:p w14:paraId="7E0FD121" w14:textId="624202D5"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Political Action/ Policy</w:t>
            </w:r>
          </w:p>
        </w:tc>
        <w:tc>
          <w:tcPr>
            <w:tcW w:w="3183" w:type="dxa"/>
            <w:tcBorders>
              <w:top w:val="nil"/>
              <w:left w:val="nil"/>
              <w:bottom w:val="nil"/>
              <w:right w:val="nil"/>
            </w:tcBorders>
            <w:shd w:val="clear" w:color="auto" w:fill="auto"/>
            <w:noWrap/>
            <w:vAlign w:val="bottom"/>
            <w:hideMark/>
          </w:tcPr>
          <w:p w14:paraId="3FD6C80A" w14:textId="03F79E90"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2DC50B83" w14:textId="5EB8135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B577F4C" w14:textId="4353FD8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6BB7739" w14:textId="3059363E" w:rsidR="00F826D0" w:rsidRPr="003328EE" w:rsidRDefault="00F826D0" w:rsidP="00D65F93">
            <w:pPr>
              <w:rPr>
                <w:rFonts w:eastAsia="Times New Roman"/>
                <w:color w:val="000000"/>
                <w:sz w:val="18"/>
                <w:szCs w:val="18"/>
              </w:rPr>
            </w:pPr>
            <w:r w:rsidRPr="003328EE">
              <w:rPr>
                <w:rFonts w:eastAsia="Times New Roman"/>
                <w:color w:val="000000"/>
                <w:sz w:val="18"/>
                <w:szCs w:val="18"/>
              </w:rPr>
              <w:t>Lorenzoni et al., 2007</w:t>
            </w:r>
          </w:p>
        </w:tc>
        <w:tc>
          <w:tcPr>
            <w:tcW w:w="1156" w:type="dxa"/>
            <w:tcBorders>
              <w:top w:val="nil"/>
              <w:left w:val="nil"/>
              <w:bottom w:val="nil"/>
              <w:right w:val="nil"/>
            </w:tcBorders>
            <w:shd w:val="clear" w:color="auto" w:fill="auto"/>
            <w:noWrap/>
            <w:vAlign w:val="bottom"/>
            <w:hideMark/>
          </w:tcPr>
          <w:p w14:paraId="40D9C636" w14:textId="5889B9E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B78856E" w14:textId="77777777" w:rsidTr="00D65F93">
        <w:trPr>
          <w:trHeight w:val="320"/>
        </w:trPr>
        <w:tc>
          <w:tcPr>
            <w:tcW w:w="3545" w:type="dxa"/>
            <w:tcBorders>
              <w:top w:val="nil"/>
              <w:left w:val="nil"/>
              <w:bottom w:val="nil"/>
              <w:right w:val="nil"/>
            </w:tcBorders>
            <w:shd w:val="clear" w:color="auto" w:fill="auto"/>
            <w:noWrap/>
            <w:vAlign w:val="bottom"/>
            <w:hideMark/>
          </w:tcPr>
          <w:p w14:paraId="76DE9D60" w14:textId="43CE71DA"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Political Action/ Policy</w:t>
            </w:r>
          </w:p>
        </w:tc>
        <w:tc>
          <w:tcPr>
            <w:tcW w:w="3183" w:type="dxa"/>
            <w:tcBorders>
              <w:top w:val="nil"/>
              <w:left w:val="nil"/>
              <w:bottom w:val="nil"/>
              <w:right w:val="nil"/>
            </w:tcBorders>
            <w:shd w:val="clear" w:color="auto" w:fill="auto"/>
            <w:noWrap/>
            <w:vAlign w:val="bottom"/>
            <w:hideMark/>
          </w:tcPr>
          <w:p w14:paraId="55486209" w14:textId="2F2753FB"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54E5DE57" w14:textId="73E0ED1C"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18F9F1A" w14:textId="596B09D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DD766B6" w14:textId="42FB3B7D" w:rsidR="00F826D0" w:rsidRPr="003328EE" w:rsidRDefault="00F826D0" w:rsidP="00D65F93">
            <w:pPr>
              <w:rPr>
                <w:rFonts w:eastAsia="Times New Roman"/>
                <w:color w:val="000000"/>
                <w:sz w:val="18"/>
                <w:szCs w:val="18"/>
              </w:rPr>
            </w:pPr>
            <w:r w:rsidRPr="003328EE">
              <w:rPr>
                <w:rFonts w:eastAsia="Times New Roman"/>
                <w:color w:val="000000"/>
                <w:sz w:val="18"/>
                <w:szCs w:val="18"/>
              </w:rPr>
              <w:t>Lerner et al., 2013</w:t>
            </w:r>
          </w:p>
        </w:tc>
        <w:tc>
          <w:tcPr>
            <w:tcW w:w="1156" w:type="dxa"/>
            <w:tcBorders>
              <w:top w:val="nil"/>
              <w:left w:val="nil"/>
              <w:bottom w:val="nil"/>
              <w:right w:val="nil"/>
            </w:tcBorders>
            <w:shd w:val="clear" w:color="auto" w:fill="auto"/>
            <w:noWrap/>
            <w:vAlign w:val="bottom"/>
            <w:hideMark/>
          </w:tcPr>
          <w:p w14:paraId="5B8C2BC8" w14:textId="3EFC003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AA15B5F" w14:textId="77777777" w:rsidTr="00D65F93">
        <w:trPr>
          <w:trHeight w:val="320"/>
        </w:trPr>
        <w:tc>
          <w:tcPr>
            <w:tcW w:w="3545" w:type="dxa"/>
            <w:tcBorders>
              <w:top w:val="nil"/>
              <w:left w:val="nil"/>
              <w:bottom w:val="nil"/>
              <w:right w:val="nil"/>
            </w:tcBorders>
            <w:shd w:val="clear" w:color="auto" w:fill="auto"/>
            <w:noWrap/>
            <w:vAlign w:val="bottom"/>
            <w:hideMark/>
          </w:tcPr>
          <w:p w14:paraId="49A38468" w14:textId="0E2ADDDE"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Political Action/ Policy</w:t>
            </w:r>
          </w:p>
        </w:tc>
        <w:tc>
          <w:tcPr>
            <w:tcW w:w="3183" w:type="dxa"/>
            <w:tcBorders>
              <w:top w:val="nil"/>
              <w:left w:val="nil"/>
              <w:bottom w:val="nil"/>
              <w:right w:val="nil"/>
            </w:tcBorders>
            <w:shd w:val="clear" w:color="auto" w:fill="auto"/>
            <w:noWrap/>
            <w:vAlign w:val="bottom"/>
            <w:hideMark/>
          </w:tcPr>
          <w:p w14:paraId="211B7382" w14:textId="76DAE97B"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352B0104" w14:textId="66F63BA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DD2D889" w14:textId="47D6235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CC9D0B2" w14:textId="014B0C68"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5557F6BC" w14:textId="0854972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6FCE35D" w14:textId="77777777" w:rsidTr="00D65F93">
        <w:trPr>
          <w:trHeight w:val="320"/>
        </w:trPr>
        <w:tc>
          <w:tcPr>
            <w:tcW w:w="3545" w:type="dxa"/>
            <w:tcBorders>
              <w:top w:val="nil"/>
              <w:left w:val="nil"/>
              <w:bottom w:val="nil"/>
              <w:right w:val="nil"/>
            </w:tcBorders>
            <w:shd w:val="clear" w:color="auto" w:fill="auto"/>
            <w:noWrap/>
            <w:vAlign w:val="bottom"/>
            <w:hideMark/>
          </w:tcPr>
          <w:p w14:paraId="0B3B1385" w14:textId="3DF26A6F"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Political Action/ Policy</w:t>
            </w:r>
          </w:p>
        </w:tc>
        <w:tc>
          <w:tcPr>
            <w:tcW w:w="3183" w:type="dxa"/>
            <w:tcBorders>
              <w:top w:val="nil"/>
              <w:left w:val="nil"/>
              <w:bottom w:val="nil"/>
              <w:right w:val="nil"/>
            </w:tcBorders>
            <w:shd w:val="clear" w:color="auto" w:fill="auto"/>
            <w:noWrap/>
            <w:vAlign w:val="bottom"/>
            <w:hideMark/>
          </w:tcPr>
          <w:p w14:paraId="74689E25" w14:textId="07D3B6E8"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6C87E08F" w14:textId="43A72547"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3BEB62D" w14:textId="0F55683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65FA94D" w14:textId="1945AE93" w:rsidR="00F826D0" w:rsidRPr="003328EE" w:rsidRDefault="00F826D0" w:rsidP="00D65F93">
            <w:pPr>
              <w:rPr>
                <w:rFonts w:eastAsia="Times New Roman"/>
                <w:color w:val="000000"/>
                <w:sz w:val="18"/>
                <w:szCs w:val="18"/>
              </w:rPr>
            </w:pPr>
            <w:r w:rsidRPr="003328EE">
              <w:rPr>
                <w:rFonts w:eastAsia="Times New Roman"/>
                <w:color w:val="000000"/>
                <w:sz w:val="18"/>
                <w:szCs w:val="18"/>
              </w:rPr>
              <w:t>Wahlen et al., 2012</w:t>
            </w:r>
          </w:p>
        </w:tc>
        <w:tc>
          <w:tcPr>
            <w:tcW w:w="1156" w:type="dxa"/>
            <w:tcBorders>
              <w:top w:val="nil"/>
              <w:left w:val="nil"/>
              <w:bottom w:val="nil"/>
              <w:right w:val="nil"/>
            </w:tcBorders>
            <w:shd w:val="clear" w:color="auto" w:fill="auto"/>
            <w:noWrap/>
            <w:vAlign w:val="bottom"/>
            <w:hideMark/>
          </w:tcPr>
          <w:p w14:paraId="0EEEB75B" w14:textId="39BBF79A"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Primary </w:t>
            </w:r>
          </w:p>
        </w:tc>
      </w:tr>
      <w:tr w:rsidR="00F826D0" w:rsidRPr="003328EE" w14:paraId="2607C87E" w14:textId="77777777" w:rsidTr="00D65F93">
        <w:trPr>
          <w:trHeight w:val="320"/>
        </w:trPr>
        <w:tc>
          <w:tcPr>
            <w:tcW w:w="3545" w:type="dxa"/>
            <w:tcBorders>
              <w:top w:val="nil"/>
              <w:left w:val="nil"/>
              <w:bottom w:val="nil"/>
              <w:right w:val="nil"/>
            </w:tcBorders>
            <w:shd w:val="clear" w:color="auto" w:fill="auto"/>
            <w:noWrap/>
            <w:vAlign w:val="bottom"/>
            <w:hideMark/>
          </w:tcPr>
          <w:p w14:paraId="5EAB67A9" w14:textId="2C5F1AD6"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Political Action/ Policy</w:t>
            </w:r>
          </w:p>
        </w:tc>
        <w:tc>
          <w:tcPr>
            <w:tcW w:w="3183" w:type="dxa"/>
            <w:tcBorders>
              <w:top w:val="nil"/>
              <w:left w:val="nil"/>
              <w:bottom w:val="nil"/>
              <w:right w:val="nil"/>
            </w:tcBorders>
            <w:shd w:val="clear" w:color="auto" w:fill="auto"/>
            <w:noWrap/>
            <w:vAlign w:val="bottom"/>
            <w:hideMark/>
          </w:tcPr>
          <w:p w14:paraId="70B4A86A" w14:textId="147999BD"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5DADEB88" w14:textId="140B7432"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431B883" w14:textId="2F043F0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2808050" w14:textId="703D9328" w:rsidR="00F826D0" w:rsidRPr="003328EE" w:rsidRDefault="00F826D0" w:rsidP="00D65F93">
            <w:pPr>
              <w:rPr>
                <w:rFonts w:eastAsia="Times New Roman"/>
                <w:color w:val="000000"/>
                <w:sz w:val="18"/>
                <w:szCs w:val="18"/>
              </w:rPr>
            </w:pPr>
            <w:r w:rsidRPr="003328EE">
              <w:rPr>
                <w:rFonts w:eastAsia="Times New Roman"/>
                <w:color w:val="000000"/>
                <w:sz w:val="18"/>
                <w:szCs w:val="18"/>
              </w:rPr>
              <w:t>Spaargaren, 2003</w:t>
            </w:r>
          </w:p>
        </w:tc>
        <w:tc>
          <w:tcPr>
            <w:tcW w:w="1156" w:type="dxa"/>
            <w:tcBorders>
              <w:top w:val="nil"/>
              <w:left w:val="nil"/>
              <w:bottom w:val="nil"/>
              <w:right w:val="nil"/>
            </w:tcBorders>
            <w:shd w:val="clear" w:color="auto" w:fill="auto"/>
            <w:noWrap/>
            <w:vAlign w:val="bottom"/>
            <w:hideMark/>
          </w:tcPr>
          <w:p w14:paraId="06C74752" w14:textId="02B750AC"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Primary </w:t>
            </w:r>
          </w:p>
        </w:tc>
      </w:tr>
      <w:tr w:rsidR="00F826D0" w:rsidRPr="003328EE" w14:paraId="382537B8" w14:textId="77777777" w:rsidTr="00D65F93">
        <w:trPr>
          <w:trHeight w:val="320"/>
        </w:trPr>
        <w:tc>
          <w:tcPr>
            <w:tcW w:w="3545" w:type="dxa"/>
            <w:tcBorders>
              <w:top w:val="nil"/>
              <w:left w:val="nil"/>
              <w:bottom w:val="nil"/>
              <w:right w:val="nil"/>
            </w:tcBorders>
            <w:shd w:val="clear" w:color="auto" w:fill="auto"/>
            <w:noWrap/>
            <w:vAlign w:val="bottom"/>
            <w:hideMark/>
          </w:tcPr>
          <w:p w14:paraId="13A349FD" w14:textId="56B20D72"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Political Action/ Policy</w:t>
            </w:r>
          </w:p>
        </w:tc>
        <w:tc>
          <w:tcPr>
            <w:tcW w:w="3183" w:type="dxa"/>
            <w:tcBorders>
              <w:top w:val="nil"/>
              <w:left w:val="nil"/>
              <w:bottom w:val="nil"/>
              <w:right w:val="nil"/>
            </w:tcBorders>
            <w:shd w:val="clear" w:color="auto" w:fill="auto"/>
            <w:noWrap/>
            <w:vAlign w:val="bottom"/>
            <w:hideMark/>
          </w:tcPr>
          <w:p w14:paraId="7A5A3BEF" w14:textId="1F76900C"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72BA3589" w14:textId="4289D83A"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CA4B065" w14:textId="4C4617F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50FF4A0" w14:textId="0B19DD6F" w:rsidR="00F826D0" w:rsidRPr="003328EE" w:rsidRDefault="00F826D0" w:rsidP="00D65F93">
            <w:pPr>
              <w:rPr>
                <w:rFonts w:eastAsia="Times New Roman"/>
                <w:color w:val="000000"/>
                <w:sz w:val="18"/>
                <w:szCs w:val="18"/>
              </w:rPr>
            </w:pPr>
            <w:r w:rsidRPr="003328EE">
              <w:rPr>
                <w:rFonts w:eastAsia="Times New Roman"/>
                <w:color w:val="000000"/>
                <w:sz w:val="18"/>
                <w:szCs w:val="18"/>
              </w:rPr>
              <w:t>Kearney, 2010</w:t>
            </w:r>
          </w:p>
        </w:tc>
        <w:tc>
          <w:tcPr>
            <w:tcW w:w="1156" w:type="dxa"/>
            <w:tcBorders>
              <w:top w:val="nil"/>
              <w:left w:val="nil"/>
              <w:bottom w:val="nil"/>
              <w:right w:val="nil"/>
            </w:tcBorders>
            <w:shd w:val="clear" w:color="auto" w:fill="auto"/>
            <w:noWrap/>
            <w:vAlign w:val="bottom"/>
            <w:hideMark/>
          </w:tcPr>
          <w:p w14:paraId="5028612F" w14:textId="04C8CF0B"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C44BC3A" w14:textId="77777777" w:rsidTr="00D65F93">
        <w:trPr>
          <w:trHeight w:val="320"/>
        </w:trPr>
        <w:tc>
          <w:tcPr>
            <w:tcW w:w="3545" w:type="dxa"/>
            <w:tcBorders>
              <w:top w:val="nil"/>
              <w:left w:val="nil"/>
              <w:bottom w:val="nil"/>
              <w:right w:val="nil"/>
            </w:tcBorders>
            <w:shd w:val="clear" w:color="auto" w:fill="auto"/>
            <w:noWrap/>
            <w:vAlign w:val="bottom"/>
            <w:hideMark/>
          </w:tcPr>
          <w:p w14:paraId="06D75A0D" w14:textId="011D7142"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Political Action/ Policy</w:t>
            </w:r>
          </w:p>
        </w:tc>
        <w:tc>
          <w:tcPr>
            <w:tcW w:w="3183" w:type="dxa"/>
            <w:tcBorders>
              <w:top w:val="nil"/>
              <w:left w:val="nil"/>
              <w:bottom w:val="nil"/>
              <w:right w:val="nil"/>
            </w:tcBorders>
            <w:shd w:val="clear" w:color="auto" w:fill="auto"/>
            <w:noWrap/>
            <w:vAlign w:val="bottom"/>
            <w:hideMark/>
          </w:tcPr>
          <w:p w14:paraId="0EA64DC9" w14:textId="37CF0D3F"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1D02E02E" w14:textId="213FB59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25EF51E" w14:textId="41DC5959"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FEE4069" w14:textId="21EF14D7" w:rsidR="00F826D0" w:rsidRPr="003328EE" w:rsidRDefault="00F826D0" w:rsidP="00D65F93">
            <w:pPr>
              <w:rPr>
                <w:rFonts w:eastAsia="Times New Roman"/>
                <w:color w:val="000000"/>
                <w:sz w:val="18"/>
                <w:szCs w:val="18"/>
              </w:rPr>
            </w:pPr>
            <w:r w:rsidRPr="003328EE">
              <w:rPr>
                <w:rFonts w:eastAsia="Times New Roman"/>
                <w:color w:val="000000"/>
                <w:sz w:val="18"/>
                <w:szCs w:val="18"/>
              </w:rPr>
              <w:t>Seyfang &amp; Smith, 2007</w:t>
            </w:r>
          </w:p>
        </w:tc>
        <w:tc>
          <w:tcPr>
            <w:tcW w:w="1156" w:type="dxa"/>
            <w:tcBorders>
              <w:top w:val="nil"/>
              <w:left w:val="nil"/>
              <w:bottom w:val="nil"/>
              <w:right w:val="nil"/>
            </w:tcBorders>
            <w:shd w:val="clear" w:color="auto" w:fill="auto"/>
            <w:noWrap/>
            <w:vAlign w:val="bottom"/>
            <w:hideMark/>
          </w:tcPr>
          <w:p w14:paraId="5229E50B" w14:textId="38B44E96"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0792503" w14:textId="77777777" w:rsidTr="00D65F93">
        <w:trPr>
          <w:trHeight w:val="320"/>
        </w:trPr>
        <w:tc>
          <w:tcPr>
            <w:tcW w:w="3545" w:type="dxa"/>
            <w:tcBorders>
              <w:top w:val="nil"/>
              <w:left w:val="nil"/>
              <w:bottom w:val="nil"/>
              <w:right w:val="nil"/>
            </w:tcBorders>
            <w:shd w:val="clear" w:color="auto" w:fill="auto"/>
            <w:noWrap/>
            <w:vAlign w:val="bottom"/>
            <w:hideMark/>
          </w:tcPr>
          <w:p w14:paraId="63F5BFC1" w14:textId="07B43167"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Political Action/ Policy</w:t>
            </w:r>
          </w:p>
        </w:tc>
        <w:tc>
          <w:tcPr>
            <w:tcW w:w="3183" w:type="dxa"/>
            <w:tcBorders>
              <w:top w:val="nil"/>
              <w:left w:val="nil"/>
              <w:bottom w:val="nil"/>
              <w:right w:val="nil"/>
            </w:tcBorders>
            <w:shd w:val="clear" w:color="auto" w:fill="auto"/>
            <w:noWrap/>
            <w:vAlign w:val="bottom"/>
            <w:hideMark/>
          </w:tcPr>
          <w:p w14:paraId="65CA4247" w14:textId="46AD63C2"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1B5D7E9A" w14:textId="0F4AAF77"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CCEA77E" w14:textId="3203CEE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EFC8CE6" w14:textId="58C1176D" w:rsidR="00F826D0" w:rsidRPr="003328EE" w:rsidRDefault="00F826D0" w:rsidP="00D65F93">
            <w:pPr>
              <w:rPr>
                <w:rFonts w:eastAsia="Times New Roman"/>
                <w:color w:val="000000"/>
                <w:sz w:val="18"/>
                <w:szCs w:val="18"/>
              </w:rPr>
            </w:pPr>
            <w:r w:rsidRPr="003328EE">
              <w:rPr>
                <w:rFonts w:eastAsia="Times New Roman"/>
                <w:color w:val="000000"/>
                <w:sz w:val="18"/>
                <w:szCs w:val="18"/>
              </w:rPr>
              <w:t>Reisch et al., 2013</w:t>
            </w:r>
          </w:p>
        </w:tc>
        <w:tc>
          <w:tcPr>
            <w:tcW w:w="1156" w:type="dxa"/>
            <w:tcBorders>
              <w:top w:val="nil"/>
              <w:left w:val="nil"/>
              <w:bottom w:val="nil"/>
              <w:right w:val="nil"/>
            </w:tcBorders>
            <w:shd w:val="clear" w:color="auto" w:fill="auto"/>
            <w:noWrap/>
            <w:vAlign w:val="bottom"/>
            <w:hideMark/>
          </w:tcPr>
          <w:p w14:paraId="49B644C5" w14:textId="2FC9420D"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346B425" w14:textId="77777777" w:rsidTr="00D65F93">
        <w:trPr>
          <w:trHeight w:val="320"/>
        </w:trPr>
        <w:tc>
          <w:tcPr>
            <w:tcW w:w="3545" w:type="dxa"/>
            <w:tcBorders>
              <w:top w:val="nil"/>
              <w:left w:val="nil"/>
              <w:bottom w:val="nil"/>
              <w:right w:val="nil"/>
            </w:tcBorders>
            <w:shd w:val="clear" w:color="auto" w:fill="auto"/>
            <w:noWrap/>
            <w:vAlign w:val="bottom"/>
            <w:hideMark/>
          </w:tcPr>
          <w:p w14:paraId="728DD00F" w14:textId="78E5BDDE"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Political Will</w:t>
            </w:r>
          </w:p>
        </w:tc>
        <w:tc>
          <w:tcPr>
            <w:tcW w:w="3183" w:type="dxa"/>
            <w:tcBorders>
              <w:top w:val="nil"/>
              <w:left w:val="nil"/>
              <w:bottom w:val="nil"/>
              <w:right w:val="nil"/>
            </w:tcBorders>
            <w:shd w:val="clear" w:color="auto" w:fill="auto"/>
            <w:noWrap/>
            <w:vAlign w:val="bottom"/>
            <w:hideMark/>
          </w:tcPr>
          <w:p w14:paraId="4573C5E9" w14:textId="61BFDB64"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057C5C3B" w14:textId="618D7A0A"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0EEAFC15" w14:textId="22BD669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7D57164" w14:textId="01663FD3" w:rsidR="00F826D0" w:rsidRPr="003328EE" w:rsidRDefault="00F826D0" w:rsidP="00D65F93">
            <w:pPr>
              <w:rPr>
                <w:rFonts w:eastAsia="Times New Roman"/>
                <w:color w:val="000000"/>
                <w:sz w:val="18"/>
                <w:szCs w:val="18"/>
              </w:rPr>
            </w:pPr>
            <w:r w:rsidRPr="003328EE">
              <w:rPr>
                <w:rFonts w:eastAsia="Times New Roman"/>
                <w:color w:val="000000"/>
                <w:sz w:val="18"/>
                <w:szCs w:val="18"/>
              </w:rPr>
              <w:t>Reisch et al., 2013</w:t>
            </w:r>
          </w:p>
        </w:tc>
        <w:tc>
          <w:tcPr>
            <w:tcW w:w="1156" w:type="dxa"/>
            <w:tcBorders>
              <w:top w:val="nil"/>
              <w:left w:val="nil"/>
              <w:bottom w:val="nil"/>
              <w:right w:val="nil"/>
            </w:tcBorders>
            <w:shd w:val="clear" w:color="auto" w:fill="auto"/>
            <w:noWrap/>
            <w:vAlign w:val="bottom"/>
            <w:hideMark/>
          </w:tcPr>
          <w:p w14:paraId="026BF946" w14:textId="25AEDE54"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A6E688B" w14:textId="77777777" w:rsidTr="00D65F93">
        <w:trPr>
          <w:trHeight w:val="320"/>
        </w:trPr>
        <w:tc>
          <w:tcPr>
            <w:tcW w:w="3545" w:type="dxa"/>
            <w:tcBorders>
              <w:top w:val="nil"/>
              <w:left w:val="nil"/>
              <w:bottom w:val="nil"/>
              <w:right w:val="nil"/>
            </w:tcBorders>
            <w:shd w:val="clear" w:color="auto" w:fill="auto"/>
            <w:noWrap/>
            <w:vAlign w:val="bottom"/>
            <w:hideMark/>
          </w:tcPr>
          <w:p w14:paraId="4A79AE62" w14:textId="068D3366" w:rsidR="00F826D0" w:rsidRPr="003328EE" w:rsidRDefault="00F826D0" w:rsidP="00D65F93">
            <w:pPr>
              <w:rPr>
                <w:rFonts w:eastAsia="Times New Roman"/>
                <w:color w:val="000000"/>
                <w:sz w:val="18"/>
                <w:szCs w:val="18"/>
              </w:rPr>
            </w:pPr>
            <w:r w:rsidRPr="003328EE">
              <w:rPr>
                <w:rFonts w:eastAsia="Times New Roman"/>
                <w:color w:val="000000"/>
                <w:sz w:val="18"/>
                <w:szCs w:val="18"/>
              </w:rPr>
              <w:t>Lock-In</w:t>
            </w:r>
          </w:p>
        </w:tc>
        <w:tc>
          <w:tcPr>
            <w:tcW w:w="3183" w:type="dxa"/>
            <w:tcBorders>
              <w:top w:val="nil"/>
              <w:left w:val="nil"/>
              <w:bottom w:val="nil"/>
              <w:right w:val="nil"/>
            </w:tcBorders>
            <w:shd w:val="clear" w:color="auto" w:fill="auto"/>
            <w:noWrap/>
            <w:vAlign w:val="bottom"/>
            <w:hideMark/>
          </w:tcPr>
          <w:p w14:paraId="3923C641" w14:textId="0A7D1DFF"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2C7989F3" w14:textId="4BFECE0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DADFD0D" w14:textId="7EE41A0F"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6D1CA65" w14:textId="1E2989E3" w:rsidR="00F826D0" w:rsidRPr="003328EE" w:rsidRDefault="00F826D0" w:rsidP="00D65F93">
            <w:pPr>
              <w:rPr>
                <w:rFonts w:eastAsia="Times New Roman"/>
                <w:color w:val="000000"/>
                <w:sz w:val="18"/>
                <w:szCs w:val="18"/>
              </w:rPr>
            </w:pPr>
            <w:r w:rsidRPr="003328EE">
              <w:rPr>
                <w:rFonts w:eastAsia="Times New Roman"/>
                <w:color w:val="000000"/>
                <w:sz w:val="18"/>
                <w:szCs w:val="18"/>
              </w:rPr>
              <w:t>Curran &amp; Sherbinin, 2004</w:t>
            </w:r>
          </w:p>
        </w:tc>
        <w:tc>
          <w:tcPr>
            <w:tcW w:w="1156" w:type="dxa"/>
            <w:tcBorders>
              <w:top w:val="nil"/>
              <w:left w:val="nil"/>
              <w:bottom w:val="nil"/>
              <w:right w:val="nil"/>
            </w:tcBorders>
            <w:shd w:val="clear" w:color="auto" w:fill="auto"/>
            <w:noWrap/>
            <w:vAlign w:val="bottom"/>
            <w:hideMark/>
          </w:tcPr>
          <w:p w14:paraId="594E4308" w14:textId="7CBE3C92"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0318828" w14:textId="77777777" w:rsidTr="00D65F93">
        <w:trPr>
          <w:trHeight w:val="320"/>
        </w:trPr>
        <w:tc>
          <w:tcPr>
            <w:tcW w:w="3545" w:type="dxa"/>
            <w:tcBorders>
              <w:top w:val="nil"/>
              <w:left w:val="nil"/>
              <w:bottom w:val="nil"/>
              <w:right w:val="nil"/>
            </w:tcBorders>
            <w:shd w:val="clear" w:color="auto" w:fill="auto"/>
            <w:noWrap/>
            <w:vAlign w:val="bottom"/>
            <w:hideMark/>
          </w:tcPr>
          <w:p w14:paraId="68AD5FC8" w14:textId="491C3483" w:rsidR="00F826D0" w:rsidRPr="003328EE" w:rsidRDefault="00F826D0" w:rsidP="00D65F93">
            <w:pPr>
              <w:rPr>
                <w:rFonts w:eastAsia="Times New Roman"/>
                <w:color w:val="000000"/>
                <w:sz w:val="18"/>
                <w:szCs w:val="18"/>
              </w:rPr>
            </w:pPr>
            <w:r w:rsidRPr="003328EE">
              <w:rPr>
                <w:rFonts w:eastAsia="Times New Roman"/>
                <w:color w:val="000000"/>
                <w:sz w:val="18"/>
                <w:szCs w:val="18"/>
              </w:rPr>
              <w:t>Lock-In</w:t>
            </w:r>
          </w:p>
        </w:tc>
        <w:tc>
          <w:tcPr>
            <w:tcW w:w="3183" w:type="dxa"/>
            <w:tcBorders>
              <w:top w:val="nil"/>
              <w:left w:val="nil"/>
              <w:bottom w:val="nil"/>
              <w:right w:val="nil"/>
            </w:tcBorders>
            <w:shd w:val="clear" w:color="auto" w:fill="auto"/>
            <w:noWrap/>
            <w:vAlign w:val="bottom"/>
            <w:hideMark/>
          </w:tcPr>
          <w:p w14:paraId="5E4059D7" w14:textId="4F1660BA"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65C3734E" w14:textId="408491B0"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62B6E40" w14:textId="02FA3B5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B314AD8" w14:textId="59D608F9" w:rsidR="00F826D0" w:rsidRPr="003328EE" w:rsidRDefault="00F826D0" w:rsidP="00D65F93">
            <w:pPr>
              <w:rPr>
                <w:rFonts w:eastAsia="Times New Roman"/>
                <w:color w:val="000000"/>
                <w:sz w:val="18"/>
                <w:szCs w:val="18"/>
              </w:rPr>
            </w:pPr>
            <w:r w:rsidRPr="003328EE">
              <w:rPr>
                <w:rFonts w:eastAsia="Times New Roman"/>
                <w:color w:val="000000"/>
                <w:sz w:val="18"/>
                <w:szCs w:val="18"/>
              </w:rPr>
              <w:t>Seyfang &amp; Smith, 2007</w:t>
            </w:r>
          </w:p>
        </w:tc>
        <w:tc>
          <w:tcPr>
            <w:tcW w:w="1156" w:type="dxa"/>
            <w:tcBorders>
              <w:top w:val="nil"/>
              <w:left w:val="nil"/>
              <w:bottom w:val="nil"/>
              <w:right w:val="nil"/>
            </w:tcBorders>
            <w:shd w:val="clear" w:color="auto" w:fill="auto"/>
            <w:noWrap/>
            <w:vAlign w:val="bottom"/>
            <w:hideMark/>
          </w:tcPr>
          <w:p w14:paraId="4D10FFC8" w14:textId="7478F428"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A0033AD" w14:textId="77777777" w:rsidTr="00D65F93">
        <w:trPr>
          <w:trHeight w:val="320"/>
        </w:trPr>
        <w:tc>
          <w:tcPr>
            <w:tcW w:w="3545" w:type="dxa"/>
            <w:tcBorders>
              <w:top w:val="nil"/>
              <w:left w:val="nil"/>
              <w:bottom w:val="nil"/>
              <w:right w:val="nil"/>
            </w:tcBorders>
            <w:shd w:val="clear" w:color="auto" w:fill="auto"/>
            <w:noWrap/>
            <w:vAlign w:val="bottom"/>
            <w:hideMark/>
          </w:tcPr>
          <w:p w14:paraId="27411A9C" w14:textId="0C6EFF87" w:rsidR="00F826D0" w:rsidRPr="003328EE" w:rsidRDefault="00F826D0" w:rsidP="00D65F93">
            <w:pPr>
              <w:rPr>
                <w:rFonts w:eastAsia="Times New Roman"/>
                <w:color w:val="000000"/>
                <w:sz w:val="18"/>
                <w:szCs w:val="18"/>
              </w:rPr>
            </w:pPr>
            <w:r w:rsidRPr="003328EE">
              <w:rPr>
                <w:rFonts w:eastAsia="Times New Roman"/>
                <w:color w:val="000000"/>
                <w:sz w:val="18"/>
                <w:szCs w:val="18"/>
              </w:rPr>
              <w:t>Market Instruments</w:t>
            </w:r>
          </w:p>
        </w:tc>
        <w:tc>
          <w:tcPr>
            <w:tcW w:w="3183" w:type="dxa"/>
            <w:tcBorders>
              <w:top w:val="nil"/>
              <w:left w:val="nil"/>
              <w:bottom w:val="nil"/>
              <w:right w:val="nil"/>
            </w:tcBorders>
            <w:shd w:val="clear" w:color="auto" w:fill="auto"/>
            <w:noWrap/>
            <w:vAlign w:val="bottom"/>
            <w:hideMark/>
          </w:tcPr>
          <w:p w14:paraId="07A68F5E" w14:textId="52B72BC0"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1BD6C192" w14:textId="6A9C7F4E"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8CCCF44" w14:textId="1D18841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4381349" w14:textId="4771C18E" w:rsidR="00F826D0" w:rsidRPr="003328EE" w:rsidRDefault="00F826D0" w:rsidP="00D65F93">
            <w:pPr>
              <w:rPr>
                <w:rFonts w:eastAsia="Times New Roman"/>
                <w:color w:val="000000"/>
                <w:sz w:val="18"/>
                <w:szCs w:val="18"/>
              </w:rPr>
            </w:pPr>
            <w:r w:rsidRPr="003328EE">
              <w:rPr>
                <w:rFonts w:eastAsia="Times New Roman"/>
                <w:color w:val="000000"/>
                <w:sz w:val="18"/>
                <w:szCs w:val="18"/>
              </w:rPr>
              <w:t>Seyfang, 2005</w:t>
            </w:r>
          </w:p>
        </w:tc>
        <w:tc>
          <w:tcPr>
            <w:tcW w:w="1156" w:type="dxa"/>
            <w:tcBorders>
              <w:top w:val="nil"/>
              <w:left w:val="nil"/>
              <w:bottom w:val="nil"/>
              <w:right w:val="nil"/>
            </w:tcBorders>
            <w:shd w:val="clear" w:color="auto" w:fill="auto"/>
            <w:noWrap/>
            <w:vAlign w:val="bottom"/>
            <w:hideMark/>
          </w:tcPr>
          <w:p w14:paraId="7648981B" w14:textId="1884A0CD"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D2E2D92" w14:textId="77777777" w:rsidTr="00D65F93">
        <w:trPr>
          <w:trHeight w:val="320"/>
        </w:trPr>
        <w:tc>
          <w:tcPr>
            <w:tcW w:w="3545" w:type="dxa"/>
            <w:tcBorders>
              <w:top w:val="nil"/>
              <w:left w:val="nil"/>
              <w:bottom w:val="nil"/>
              <w:right w:val="nil"/>
            </w:tcBorders>
            <w:shd w:val="clear" w:color="auto" w:fill="auto"/>
            <w:noWrap/>
            <w:vAlign w:val="bottom"/>
            <w:hideMark/>
          </w:tcPr>
          <w:p w14:paraId="54CB5507" w14:textId="77512CFB" w:rsidR="00F826D0" w:rsidRPr="003328EE" w:rsidRDefault="00F826D0" w:rsidP="00D65F93">
            <w:pPr>
              <w:rPr>
                <w:rFonts w:eastAsia="Times New Roman"/>
                <w:color w:val="000000"/>
                <w:sz w:val="18"/>
                <w:szCs w:val="18"/>
              </w:rPr>
            </w:pPr>
            <w:r w:rsidRPr="003328EE">
              <w:rPr>
                <w:rFonts w:eastAsia="Times New Roman"/>
                <w:color w:val="000000"/>
                <w:sz w:val="18"/>
                <w:szCs w:val="18"/>
              </w:rPr>
              <w:t>No Definition of Optimal Diet</w:t>
            </w:r>
          </w:p>
        </w:tc>
        <w:tc>
          <w:tcPr>
            <w:tcW w:w="3183" w:type="dxa"/>
            <w:tcBorders>
              <w:top w:val="nil"/>
              <w:left w:val="nil"/>
              <w:bottom w:val="nil"/>
              <w:right w:val="nil"/>
            </w:tcBorders>
            <w:shd w:val="clear" w:color="auto" w:fill="auto"/>
            <w:noWrap/>
            <w:vAlign w:val="bottom"/>
            <w:hideMark/>
          </w:tcPr>
          <w:p w14:paraId="1789DDF0" w14:textId="6C7DA551"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1F140559" w14:textId="3A5DAB25"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E1DF3E8" w14:textId="37C5DB6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E22FD8C" w14:textId="75D17CAC" w:rsidR="00F826D0" w:rsidRPr="003328EE" w:rsidRDefault="00F826D0" w:rsidP="00D65F93">
            <w:pPr>
              <w:rPr>
                <w:rFonts w:eastAsia="Times New Roman"/>
                <w:color w:val="000000"/>
                <w:sz w:val="18"/>
                <w:szCs w:val="18"/>
              </w:rPr>
            </w:pPr>
            <w:r w:rsidRPr="003328EE">
              <w:rPr>
                <w:rFonts w:eastAsia="Times New Roman"/>
                <w:color w:val="000000"/>
                <w:sz w:val="18"/>
                <w:szCs w:val="18"/>
              </w:rPr>
              <w:t>Palaniswamy, 2003</w:t>
            </w:r>
          </w:p>
        </w:tc>
        <w:tc>
          <w:tcPr>
            <w:tcW w:w="1156" w:type="dxa"/>
            <w:tcBorders>
              <w:top w:val="nil"/>
              <w:left w:val="nil"/>
              <w:bottom w:val="nil"/>
              <w:right w:val="nil"/>
            </w:tcBorders>
            <w:shd w:val="clear" w:color="auto" w:fill="auto"/>
            <w:noWrap/>
            <w:vAlign w:val="bottom"/>
            <w:hideMark/>
          </w:tcPr>
          <w:p w14:paraId="5F65BDC6" w14:textId="652C3857"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DADFFCB" w14:textId="77777777" w:rsidTr="00D65F93">
        <w:trPr>
          <w:trHeight w:val="320"/>
        </w:trPr>
        <w:tc>
          <w:tcPr>
            <w:tcW w:w="3545" w:type="dxa"/>
            <w:tcBorders>
              <w:top w:val="nil"/>
              <w:left w:val="nil"/>
              <w:bottom w:val="nil"/>
              <w:right w:val="nil"/>
            </w:tcBorders>
            <w:shd w:val="clear" w:color="auto" w:fill="auto"/>
            <w:noWrap/>
            <w:vAlign w:val="bottom"/>
            <w:hideMark/>
          </w:tcPr>
          <w:p w14:paraId="4F970F4F" w14:textId="28CE7B79" w:rsidR="00F826D0" w:rsidRPr="003328EE" w:rsidRDefault="00F826D0" w:rsidP="00D65F93">
            <w:pPr>
              <w:rPr>
                <w:rFonts w:eastAsia="Times New Roman"/>
                <w:color w:val="000000"/>
                <w:sz w:val="18"/>
                <w:szCs w:val="18"/>
              </w:rPr>
            </w:pPr>
            <w:r w:rsidRPr="003328EE">
              <w:rPr>
                <w:rFonts w:eastAsia="Times New Roman"/>
                <w:color w:val="000000"/>
                <w:sz w:val="18"/>
                <w:szCs w:val="18"/>
              </w:rPr>
              <w:t>Nutritional Information</w:t>
            </w:r>
          </w:p>
        </w:tc>
        <w:tc>
          <w:tcPr>
            <w:tcW w:w="3183" w:type="dxa"/>
            <w:tcBorders>
              <w:top w:val="nil"/>
              <w:left w:val="nil"/>
              <w:bottom w:val="nil"/>
              <w:right w:val="nil"/>
            </w:tcBorders>
            <w:shd w:val="clear" w:color="auto" w:fill="auto"/>
            <w:noWrap/>
            <w:vAlign w:val="bottom"/>
            <w:hideMark/>
          </w:tcPr>
          <w:p w14:paraId="7133184C" w14:textId="4D15375E"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50380A34" w14:textId="2F285602"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0EC4AA1" w14:textId="5B63589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3F7BEE1" w14:textId="797E4698" w:rsidR="00F826D0" w:rsidRPr="003328EE" w:rsidRDefault="00F826D0" w:rsidP="00D65F93">
            <w:pPr>
              <w:rPr>
                <w:rFonts w:eastAsia="Times New Roman"/>
                <w:color w:val="000000"/>
                <w:sz w:val="18"/>
                <w:szCs w:val="18"/>
              </w:rPr>
            </w:pPr>
            <w:r w:rsidRPr="003328EE">
              <w:rPr>
                <w:rFonts w:eastAsia="Times New Roman"/>
                <w:color w:val="000000"/>
                <w:sz w:val="18"/>
                <w:szCs w:val="18"/>
              </w:rPr>
              <w:t>Fleming et al., 1997</w:t>
            </w:r>
          </w:p>
        </w:tc>
        <w:tc>
          <w:tcPr>
            <w:tcW w:w="1156" w:type="dxa"/>
            <w:tcBorders>
              <w:top w:val="nil"/>
              <w:left w:val="nil"/>
              <w:bottom w:val="nil"/>
              <w:right w:val="nil"/>
            </w:tcBorders>
            <w:shd w:val="clear" w:color="auto" w:fill="auto"/>
            <w:noWrap/>
            <w:vAlign w:val="bottom"/>
            <w:hideMark/>
          </w:tcPr>
          <w:p w14:paraId="6262A703" w14:textId="1F3139B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F8C25C2" w14:textId="77777777" w:rsidTr="00D65F93">
        <w:trPr>
          <w:trHeight w:val="320"/>
        </w:trPr>
        <w:tc>
          <w:tcPr>
            <w:tcW w:w="3545" w:type="dxa"/>
            <w:tcBorders>
              <w:top w:val="nil"/>
              <w:left w:val="nil"/>
              <w:bottom w:val="nil"/>
              <w:right w:val="nil"/>
            </w:tcBorders>
            <w:shd w:val="clear" w:color="auto" w:fill="auto"/>
            <w:noWrap/>
            <w:vAlign w:val="bottom"/>
            <w:hideMark/>
          </w:tcPr>
          <w:p w14:paraId="173B098E" w14:textId="3F4EFD73" w:rsidR="00F826D0" w:rsidRPr="003328EE" w:rsidRDefault="00F826D0" w:rsidP="00D65F93">
            <w:pPr>
              <w:rPr>
                <w:rFonts w:eastAsia="Times New Roman"/>
                <w:color w:val="000000"/>
                <w:sz w:val="18"/>
                <w:szCs w:val="18"/>
              </w:rPr>
            </w:pPr>
            <w:r w:rsidRPr="003328EE">
              <w:rPr>
                <w:rFonts w:eastAsia="Times New Roman"/>
                <w:color w:val="000000"/>
                <w:sz w:val="18"/>
                <w:szCs w:val="18"/>
              </w:rPr>
              <w:t>Public Involvement</w:t>
            </w:r>
          </w:p>
        </w:tc>
        <w:tc>
          <w:tcPr>
            <w:tcW w:w="3183" w:type="dxa"/>
            <w:tcBorders>
              <w:top w:val="nil"/>
              <w:left w:val="nil"/>
              <w:bottom w:val="nil"/>
              <w:right w:val="nil"/>
            </w:tcBorders>
            <w:shd w:val="clear" w:color="auto" w:fill="auto"/>
            <w:noWrap/>
            <w:vAlign w:val="bottom"/>
            <w:hideMark/>
          </w:tcPr>
          <w:p w14:paraId="4EEA5B56" w14:textId="33099B93"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0FBEC86A" w14:textId="714A2167"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51B39A4" w14:textId="773F3BA1"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07F05B9" w14:textId="4DD7B3A3" w:rsidR="00F826D0" w:rsidRPr="003328EE" w:rsidRDefault="00F826D0" w:rsidP="00D65F93">
            <w:pPr>
              <w:rPr>
                <w:rFonts w:eastAsia="Times New Roman"/>
                <w:color w:val="000000"/>
                <w:sz w:val="18"/>
                <w:szCs w:val="18"/>
              </w:rPr>
            </w:pPr>
            <w:r w:rsidRPr="003328EE">
              <w:rPr>
                <w:rFonts w:eastAsia="Times New Roman"/>
                <w:color w:val="000000"/>
                <w:sz w:val="18"/>
                <w:szCs w:val="18"/>
              </w:rPr>
              <w:t>Verbeke et al., 2015</w:t>
            </w:r>
          </w:p>
        </w:tc>
        <w:tc>
          <w:tcPr>
            <w:tcW w:w="1156" w:type="dxa"/>
            <w:tcBorders>
              <w:top w:val="nil"/>
              <w:left w:val="nil"/>
              <w:bottom w:val="nil"/>
              <w:right w:val="nil"/>
            </w:tcBorders>
            <w:shd w:val="clear" w:color="auto" w:fill="auto"/>
            <w:noWrap/>
            <w:vAlign w:val="bottom"/>
            <w:hideMark/>
          </w:tcPr>
          <w:p w14:paraId="440B4613" w14:textId="6BB7547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90A03BF" w14:textId="77777777" w:rsidTr="00D65F93">
        <w:trPr>
          <w:trHeight w:val="320"/>
        </w:trPr>
        <w:tc>
          <w:tcPr>
            <w:tcW w:w="3545" w:type="dxa"/>
            <w:tcBorders>
              <w:top w:val="nil"/>
              <w:left w:val="nil"/>
              <w:bottom w:val="nil"/>
              <w:right w:val="nil"/>
            </w:tcBorders>
            <w:shd w:val="clear" w:color="auto" w:fill="auto"/>
            <w:noWrap/>
            <w:vAlign w:val="bottom"/>
            <w:hideMark/>
          </w:tcPr>
          <w:p w14:paraId="3E918208" w14:textId="25647523" w:rsidR="00F826D0" w:rsidRPr="003328EE" w:rsidRDefault="00F826D0" w:rsidP="00D65F93">
            <w:pPr>
              <w:rPr>
                <w:rFonts w:eastAsia="Times New Roman"/>
                <w:color w:val="000000"/>
                <w:sz w:val="18"/>
                <w:szCs w:val="18"/>
              </w:rPr>
            </w:pPr>
            <w:r w:rsidRPr="003328EE">
              <w:rPr>
                <w:rFonts w:eastAsia="Times New Roman"/>
                <w:color w:val="000000"/>
                <w:sz w:val="18"/>
                <w:szCs w:val="18"/>
              </w:rPr>
              <w:t>Public Procurement</w:t>
            </w:r>
          </w:p>
        </w:tc>
        <w:tc>
          <w:tcPr>
            <w:tcW w:w="3183" w:type="dxa"/>
            <w:tcBorders>
              <w:top w:val="nil"/>
              <w:left w:val="nil"/>
              <w:bottom w:val="nil"/>
              <w:right w:val="nil"/>
            </w:tcBorders>
            <w:shd w:val="clear" w:color="auto" w:fill="auto"/>
            <w:noWrap/>
            <w:vAlign w:val="bottom"/>
            <w:hideMark/>
          </w:tcPr>
          <w:p w14:paraId="6F363ECD" w14:textId="710733F2"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0F142CC5" w14:textId="66B96286"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406436E" w14:textId="013B4F7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F559FD6" w14:textId="40D796AE" w:rsidR="00F826D0" w:rsidRPr="003328EE" w:rsidRDefault="00F826D0" w:rsidP="00D65F93">
            <w:pPr>
              <w:rPr>
                <w:rFonts w:eastAsia="Times New Roman"/>
                <w:color w:val="000000"/>
                <w:sz w:val="18"/>
                <w:szCs w:val="18"/>
              </w:rPr>
            </w:pPr>
            <w:r w:rsidRPr="003328EE">
              <w:rPr>
                <w:rFonts w:eastAsia="Times New Roman"/>
                <w:color w:val="000000"/>
                <w:sz w:val="18"/>
                <w:szCs w:val="18"/>
              </w:rPr>
              <w:t>Wahlen et al., 2012</w:t>
            </w:r>
          </w:p>
        </w:tc>
        <w:tc>
          <w:tcPr>
            <w:tcW w:w="1156" w:type="dxa"/>
            <w:tcBorders>
              <w:top w:val="nil"/>
              <w:left w:val="nil"/>
              <w:bottom w:val="nil"/>
              <w:right w:val="nil"/>
            </w:tcBorders>
            <w:shd w:val="clear" w:color="auto" w:fill="auto"/>
            <w:noWrap/>
            <w:vAlign w:val="bottom"/>
            <w:hideMark/>
          </w:tcPr>
          <w:p w14:paraId="22E1BC85" w14:textId="3AB756AA"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Primary </w:t>
            </w:r>
          </w:p>
        </w:tc>
      </w:tr>
      <w:tr w:rsidR="00F826D0" w:rsidRPr="003328EE" w14:paraId="39961E66" w14:textId="77777777" w:rsidTr="00D65F93">
        <w:trPr>
          <w:trHeight w:val="320"/>
        </w:trPr>
        <w:tc>
          <w:tcPr>
            <w:tcW w:w="3545" w:type="dxa"/>
            <w:tcBorders>
              <w:top w:val="nil"/>
              <w:left w:val="nil"/>
              <w:bottom w:val="nil"/>
              <w:right w:val="nil"/>
            </w:tcBorders>
            <w:shd w:val="clear" w:color="auto" w:fill="auto"/>
            <w:noWrap/>
            <w:vAlign w:val="bottom"/>
            <w:hideMark/>
          </w:tcPr>
          <w:p w14:paraId="203E9087" w14:textId="46C9CCA4" w:rsidR="00F826D0" w:rsidRPr="003328EE" w:rsidRDefault="00F826D0" w:rsidP="00D65F93">
            <w:pPr>
              <w:rPr>
                <w:rFonts w:eastAsia="Times New Roman"/>
                <w:color w:val="000000"/>
                <w:sz w:val="18"/>
                <w:szCs w:val="18"/>
              </w:rPr>
            </w:pPr>
            <w:r w:rsidRPr="003328EE">
              <w:rPr>
                <w:rFonts w:eastAsia="Times New Roman"/>
                <w:color w:val="000000"/>
                <w:sz w:val="18"/>
                <w:szCs w:val="18"/>
              </w:rPr>
              <w:t>Public Procurement</w:t>
            </w:r>
          </w:p>
        </w:tc>
        <w:tc>
          <w:tcPr>
            <w:tcW w:w="3183" w:type="dxa"/>
            <w:tcBorders>
              <w:top w:val="nil"/>
              <w:left w:val="nil"/>
              <w:bottom w:val="nil"/>
              <w:right w:val="nil"/>
            </w:tcBorders>
            <w:shd w:val="clear" w:color="auto" w:fill="auto"/>
            <w:noWrap/>
            <w:vAlign w:val="bottom"/>
            <w:hideMark/>
          </w:tcPr>
          <w:p w14:paraId="1B3B523A" w14:textId="4BB9AAFB"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4DCE43FA" w14:textId="56CE52EE"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D129D8A" w14:textId="580F4F3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E32C186" w14:textId="4D0BDEF5" w:rsidR="00F826D0" w:rsidRPr="003328EE" w:rsidRDefault="00F826D0" w:rsidP="00D65F93">
            <w:pPr>
              <w:rPr>
                <w:rFonts w:eastAsia="Times New Roman"/>
                <w:color w:val="000000"/>
                <w:sz w:val="18"/>
                <w:szCs w:val="18"/>
              </w:rPr>
            </w:pPr>
            <w:r w:rsidRPr="003328EE">
              <w:rPr>
                <w:rFonts w:eastAsia="Times New Roman"/>
                <w:color w:val="000000"/>
                <w:sz w:val="18"/>
                <w:szCs w:val="18"/>
              </w:rPr>
              <w:t>Reisch et al., 2013</w:t>
            </w:r>
          </w:p>
        </w:tc>
        <w:tc>
          <w:tcPr>
            <w:tcW w:w="1156" w:type="dxa"/>
            <w:tcBorders>
              <w:top w:val="nil"/>
              <w:left w:val="nil"/>
              <w:bottom w:val="nil"/>
              <w:right w:val="nil"/>
            </w:tcBorders>
            <w:shd w:val="clear" w:color="auto" w:fill="auto"/>
            <w:noWrap/>
            <w:vAlign w:val="bottom"/>
            <w:hideMark/>
          </w:tcPr>
          <w:p w14:paraId="0C371E67" w14:textId="3A21F583"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2A023C7" w14:textId="77777777" w:rsidTr="00D65F93">
        <w:trPr>
          <w:trHeight w:val="320"/>
        </w:trPr>
        <w:tc>
          <w:tcPr>
            <w:tcW w:w="3545" w:type="dxa"/>
            <w:tcBorders>
              <w:top w:val="nil"/>
              <w:left w:val="nil"/>
              <w:bottom w:val="nil"/>
              <w:right w:val="nil"/>
            </w:tcBorders>
            <w:shd w:val="clear" w:color="auto" w:fill="auto"/>
            <w:noWrap/>
            <w:vAlign w:val="bottom"/>
            <w:hideMark/>
          </w:tcPr>
          <w:p w14:paraId="4F1905BF" w14:textId="4A5A3243" w:rsidR="00F826D0" w:rsidRPr="003328EE" w:rsidRDefault="00F826D0" w:rsidP="00D65F93">
            <w:pPr>
              <w:rPr>
                <w:rFonts w:eastAsia="Times New Roman"/>
                <w:color w:val="000000"/>
                <w:sz w:val="18"/>
                <w:szCs w:val="18"/>
              </w:rPr>
            </w:pPr>
            <w:r w:rsidRPr="003328EE">
              <w:rPr>
                <w:rFonts w:eastAsia="Times New Roman"/>
                <w:color w:val="000000"/>
                <w:sz w:val="18"/>
                <w:szCs w:val="18"/>
              </w:rPr>
              <w:t>School Lunches</w:t>
            </w:r>
          </w:p>
        </w:tc>
        <w:tc>
          <w:tcPr>
            <w:tcW w:w="3183" w:type="dxa"/>
            <w:tcBorders>
              <w:top w:val="nil"/>
              <w:left w:val="nil"/>
              <w:bottom w:val="nil"/>
              <w:right w:val="nil"/>
            </w:tcBorders>
            <w:shd w:val="clear" w:color="auto" w:fill="auto"/>
            <w:noWrap/>
            <w:vAlign w:val="bottom"/>
            <w:hideMark/>
          </w:tcPr>
          <w:p w14:paraId="0DFE504C" w14:textId="1D31754F"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705B3A44" w14:textId="53FCE002"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6D7278E" w14:textId="277A533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7155F4F" w14:textId="5E38DBAE" w:rsidR="00F826D0" w:rsidRPr="003328EE" w:rsidRDefault="00F826D0" w:rsidP="00D65F93">
            <w:pPr>
              <w:rPr>
                <w:rFonts w:eastAsia="Times New Roman"/>
                <w:color w:val="000000"/>
                <w:sz w:val="18"/>
                <w:szCs w:val="18"/>
              </w:rPr>
            </w:pPr>
            <w:r w:rsidRPr="003328EE">
              <w:rPr>
                <w:rFonts w:eastAsia="Times New Roman"/>
                <w:color w:val="000000"/>
                <w:sz w:val="18"/>
                <w:szCs w:val="18"/>
              </w:rPr>
              <w:t>Ruby et al., 2016</w:t>
            </w:r>
          </w:p>
        </w:tc>
        <w:tc>
          <w:tcPr>
            <w:tcW w:w="1156" w:type="dxa"/>
            <w:tcBorders>
              <w:top w:val="nil"/>
              <w:left w:val="nil"/>
              <w:bottom w:val="nil"/>
              <w:right w:val="nil"/>
            </w:tcBorders>
            <w:shd w:val="clear" w:color="auto" w:fill="auto"/>
            <w:noWrap/>
            <w:vAlign w:val="bottom"/>
            <w:hideMark/>
          </w:tcPr>
          <w:p w14:paraId="49F622C1" w14:textId="1A18405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FF0D1C7" w14:textId="77777777" w:rsidTr="00D65F93">
        <w:trPr>
          <w:trHeight w:val="320"/>
        </w:trPr>
        <w:tc>
          <w:tcPr>
            <w:tcW w:w="3545" w:type="dxa"/>
            <w:tcBorders>
              <w:top w:val="nil"/>
              <w:left w:val="nil"/>
              <w:bottom w:val="nil"/>
              <w:right w:val="nil"/>
            </w:tcBorders>
            <w:shd w:val="clear" w:color="auto" w:fill="auto"/>
            <w:noWrap/>
            <w:vAlign w:val="bottom"/>
            <w:hideMark/>
          </w:tcPr>
          <w:p w14:paraId="54893EB7" w14:textId="0A57A900" w:rsidR="00F826D0" w:rsidRPr="003328EE" w:rsidRDefault="00F826D0" w:rsidP="00D65F93">
            <w:pPr>
              <w:rPr>
                <w:rFonts w:eastAsia="Times New Roman"/>
                <w:color w:val="000000"/>
                <w:sz w:val="18"/>
                <w:szCs w:val="18"/>
              </w:rPr>
            </w:pPr>
            <w:r w:rsidRPr="003328EE">
              <w:rPr>
                <w:rFonts w:eastAsia="Times New Roman"/>
                <w:color w:val="000000"/>
                <w:sz w:val="18"/>
                <w:szCs w:val="18"/>
              </w:rPr>
              <w:t>School Lunches</w:t>
            </w:r>
          </w:p>
        </w:tc>
        <w:tc>
          <w:tcPr>
            <w:tcW w:w="3183" w:type="dxa"/>
            <w:tcBorders>
              <w:top w:val="nil"/>
              <w:left w:val="nil"/>
              <w:bottom w:val="nil"/>
              <w:right w:val="nil"/>
            </w:tcBorders>
            <w:shd w:val="clear" w:color="auto" w:fill="auto"/>
            <w:noWrap/>
            <w:vAlign w:val="bottom"/>
            <w:hideMark/>
          </w:tcPr>
          <w:p w14:paraId="3037DFE1" w14:textId="4056C170"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6A948CB5" w14:textId="6BEA1FEF"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FE6F104" w14:textId="6ED8AA0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9B90A8F" w14:textId="7333B59C" w:rsidR="00F826D0" w:rsidRPr="003328EE" w:rsidRDefault="00F826D0" w:rsidP="00D65F93">
            <w:pPr>
              <w:rPr>
                <w:rFonts w:eastAsia="Times New Roman"/>
                <w:color w:val="000000"/>
                <w:sz w:val="18"/>
                <w:szCs w:val="18"/>
              </w:rPr>
            </w:pPr>
            <w:r w:rsidRPr="003328EE">
              <w:rPr>
                <w:rFonts w:eastAsia="Times New Roman"/>
                <w:color w:val="000000"/>
                <w:sz w:val="18"/>
                <w:szCs w:val="18"/>
              </w:rPr>
              <w:t>Worsley, 2007</w:t>
            </w:r>
          </w:p>
        </w:tc>
        <w:tc>
          <w:tcPr>
            <w:tcW w:w="1156" w:type="dxa"/>
            <w:tcBorders>
              <w:top w:val="nil"/>
              <w:left w:val="nil"/>
              <w:bottom w:val="nil"/>
              <w:right w:val="nil"/>
            </w:tcBorders>
            <w:shd w:val="clear" w:color="auto" w:fill="auto"/>
            <w:noWrap/>
            <w:vAlign w:val="bottom"/>
            <w:hideMark/>
          </w:tcPr>
          <w:p w14:paraId="0AD6DD34" w14:textId="0613A06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D1FB156" w14:textId="77777777" w:rsidTr="00D65F93">
        <w:trPr>
          <w:trHeight w:val="320"/>
        </w:trPr>
        <w:tc>
          <w:tcPr>
            <w:tcW w:w="3545" w:type="dxa"/>
            <w:tcBorders>
              <w:top w:val="nil"/>
              <w:left w:val="nil"/>
              <w:bottom w:val="nil"/>
              <w:right w:val="nil"/>
            </w:tcBorders>
            <w:shd w:val="clear" w:color="auto" w:fill="auto"/>
            <w:noWrap/>
            <w:vAlign w:val="bottom"/>
            <w:hideMark/>
          </w:tcPr>
          <w:p w14:paraId="04ACC0D9" w14:textId="448EB645" w:rsidR="00F826D0" w:rsidRPr="003328EE" w:rsidRDefault="00F826D0" w:rsidP="00D65F93">
            <w:pPr>
              <w:rPr>
                <w:rFonts w:eastAsia="Times New Roman"/>
                <w:color w:val="000000"/>
                <w:sz w:val="18"/>
                <w:szCs w:val="18"/>
              </w:rPr>
            </w:pPr>
            <w:r w:rsidRPr="003328EE">
              <w:rPr>
                <w:rFonts w:eastAsia="Times New Roman"/>
                <w:color w:val="000000"/>
                <w:sz w:val="18"/>
                <w:szCs w:val="18"/>
              </w:rPr>
              <w:t>School Lunches</w:t>
            </w:r>
          </w:p>
        </w:tc>
        <w:tc>
          <w:tcPr>
            <w:tcW w:w="3183" w:type="dxa"/>
            <w:tcBorders>
              <w:top w:val="nil"/>
              <w:left w:val="nil"/>
              <w:bottom w:val="nil"/>
              <w:right w:val="nil"/>
            </w:tcBorders>
            <w:shd w:val="clear" w:color="auto" w:fill="auto"/>
            <w:noWrap/>
            <w:vAlign w:val="bottom"/>
            <w:hideMark/>
          </w:tcPr>
          <w:p w14:paraId="726EFA8E" w14:textId="5B556C6A"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268EFC7E" w14:textId="12F8633D"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6793E9F" w14:textId="56FDA824"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464333B" w14:textId="0F2D02F2" w:rsidR="00F826D0" w:rsidRPr="003328EE" w:rsidRDefault="00F826D0" w:rsidP="00D65F93">
            <w:pPr>
              <w:rPr>
                <w:rFonts w:eastAsia="Times New Roman"/>
                <w:color w:val="000000"/>
                <w:sz w:val="18"/>
                <w:szCs w:val="18"/>
              </w:rPr>
            </w:pPr>
            <w:r w:rsidRPr="003328EE">
              <w:rPr>
                <w:rFonts w:eastAsia="Times New Roman"/>
                <w:color w:val="000000"/>
                <w:sz w:val="18"/>
                <w:szCs w:val="18"/>
              </w:rPr>
              <w:t>Sonntag et al., 2015</w:t>
            </w:r>
          </w:p>
        </w:tc>
        <w:tc>
          <w:tcPr>
            <w:tcW w:w="1156" w:type="dxa"/>
            <w:tcBorders>
              <w:top w:val="nil"/>
              <w:left w:val="nil"/>
              <w:bottom w:val="nil"/>
              <w:right w:val="nil"/>
            </w:tcBorders>
            <w:shd w:val="clear" w:color="auto" w:fill="auto"/>
            <w:noWrap/>
            <w:vAlign w:val="bottom"/>
            <w:hideMark/>
          </w:tcPr>
          <w:p w14:paraId="130E0D44" w14:textId="62A26389"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381F87E" w14:textId="77777777" w:rsidTr="00D65F93">
        <w:trPr>
          <w:trHeight w:val="320"/>
        </w:trPr>
        <w:tc>
          <w:tcPr>
            <w:tcW w:w="3545" w:type="dxa"/>
            <w:tcBorders>
              <w:top w:val="nil"/>
              <w:left w:val="nil"/>
              <w:bottom w:val="nil"/>
              <w:right w:val="nil"/>
            </w:tcBorders>
            <w:shd w:val="clear" w:color="auto" w:fill="auto"/>
            <w:noWrap/>
            <w:vAlign w:val="bottom"/>
            <w:hideMark/>
          </w:tcPr>
          <w:p w14:paraId="63E2FC98" w14:textId="1CB4252C"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Trust in </w:t>
            </w:r>
            <w:r>
              <w:rPr>
                <w:rFonts w:eastAsia="Times New Roman"/>
                <w:color w:val="000000"/>
                <w:sz w:val="18"/>
                <w:szCs w:val="18"/>
              </w:rPr>
              <w:t>S</w:t>
            </w:r>
            <w:r w:rsidRPr="003328EE">
              <w:rPr>
                <w:rFonts w:eastAsia="Times New Roman"/>
                <w:color w:val="000000"/>
                <w:sz w:val="18"/>
                <w:szCs w:val="18"/>
              </w:rPr>
              <w:t>cience</w:t>
            </w:r>
            <w:r>
              <w:rPr>
                <w:rFonts w:eastAsia="Times New Roman"/>
                <w:color w:val="000000"/>
                <w:sz w:val="18"/>
                <w:szCs w:val="18"/>
              </w:rPr>
              <w:t>, Policy &amp; S</w:t>
            </w:r>
            <w:r w:rsidRPr="003328EE">
              <w:rPr>
                <w:rFonts w:eastAsia="Times New Roman"/>
                <w:color w:val="000000"/>
                <w:sz w:val="18"/>
                <w:szCs w:val="18"/>
              </w:rPr>
              <w:t>ociety</w:t>
            </w:r>
          </w:p>
        </w:tc>
        <w:tc>
          <w:tcPr>
            <w:tcW w:w="3183" w:type="dxa"/>
            <w:tcBorders>
              <w:top w:val="nil"/>
              <w:left w:val="nil"/>
              <w:bottom w:val="nil"/>
              <w:right w:val="nil"/>
            </w:tcBorders>
            <w:shd w:val="clear" w:color="auto" w:fill="auto"/>
            <w:noWrap/>
            <w:vAlign w:val="bottom"/>
            <w:hideMark/>
          </w:tcPr>
          <w:p w14:paraId="16013095" w14:textId="75FE5EC1"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46B1840B" w14:textId="444001C2"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3237184" w14:textId="4A2E0504"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1C68E6D" w14:textId="63A0033B" w:rsidR="00F826D0" w:rsidRPr="003328EE" w:rsidRDefault="00F826D0" w:rsidP="00D65F93">
            <w:pPr>
              <w:rPr>
                <w:rFonts w:eastAsia="Times New Roman"/>
                <w:color w:val="000000"/>
                <w:sz w:val="18"/>
                <w:szCs w:val="18"/>
              </w:rPr>
            </w:pPr>
            <w:r w:rsidRPr="003328EE">
              <w:rPr>
                <w:rFonts w:eastAsia="Times New Roman"/>
                <w:color w:val="000000"/>
                <w:sz w:val="18"/>
                <w:szCs w:val="18"/>
              </w:rPr>
              <w:t>Verbeke et al., 2015</w:t>
            </w:r>
          </w:p>
        </w:tc>
        <w:tc>
          <w:tcPr>
            <w:tcW w:w="1156" w:type="dxa"/>
            <w:tcBorders>
              <w:top w:val="nil"/>
              <w:left w:val="nil"/>
              <w:bottom w:val="nil"/>
              <w:right w:val="nil"/>
            </w:tcBorders>
            <w:shd w:val="clear" w:color="auto" w:fill="auto"/>
            <w:noWrap/>
            <w:vAlign w:val="bottom"/>
            <w:hideMark/>
          </w:tcPr>
          <w:p w14:paraId="5952AB49" w14:textId="45F1EAB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EFA286B" w14:textId="77777777" w:rsidTr="00D65F93">
        <w:trPr>
          <w:trHeight w:val="320"/>
        </w:trPr>
        <w:tc>
          <w:tcPr>
            <w:tcW w:w="3545" w:type="dxa"/>
            <w:tcBorders>
              <w:top w:val="nil"/>
              <w:left w:val="nil"/>
              <w:bottom w:val="nil"/>
              <w:right w:val="nil"/>
            </w:tcBorders>
            <w:shd w:val="clear" w:color="auto" w:fill="auto"/>
            <w:noWrap/>
            <w:vAlign w:val="bottom"/>
            <w:hideMark/>
          </w:tcPr>
          <w:p w14:paraId="3C26E5F8" w14:textId="36E14A84" w:rsidR="00F826D0" w:rsidRPr="003328EE" w:rsidRDefault="00F826D0" w:rsidP="00D65F93">
            <w:pPr>
              <w:rPr>
                <w:rFonts w:eastAsia="Times New Roman"/>
                <w:color w:val="000000"/>
                <w:sz w:val="18"/>
                <w:szCs w:val="18"/>
              </w:rPr>
            </w:pPr>
            <w:r w:rsidRPr="003328EE">
              <w:rPr>
                <w:rFonts w:eastAsia="Times New Roman"/>
                <w:color w:val="000000"/>
                <w:sz w:val="18"/>
                <w:szCs w:val="18"/>
              </w:rPr>
              <w:t>Uncertainty/Skepticism/Distrust</w:t>
            </w:r>
          </w:p>
        </w:tc>
        <w:tc>
          <w:tcPr>
            <w:tcW w:w="3183" w:type="dxa"/>
            <w:tcBorders>
              <w:top w:val="nil"/>
              <w:left w:val="nil"/>
              <w:bottom w:val="nil"/>
              <w:right w:val="nil"/>
            </w:tcBorders>
            <w:shd w:val="clear" w:color="auto" w:fill="auto"/>
            <w:noWrap/>
            <w:vAlign w:val="bottom"/>
            <w:hideMark/>
          </w:tcPr>
          <w:p w14:paraId="3B514006" w14:textId="6F4B4A96"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Government/Industry Leadership</w:t>
            </w:r>
          </w:p>
        </w:tc>
        <w:tc>
          <w:tcPr>
            <w:tcW w:w="2061" w:type="dxa"/>
            <w:tcBorders>
              <w:top w:val="nil"/>
              <w:left w:val="nil"/>
              <w:bottom w:val="nil"/>
              <w:right w:val="nil"/>
            </w:tcBorders>
            <w:shd w:val="clear" w:color="auto" w:fill="auto"/>
            <w:noWrap/>
            <w:vAlign w:val="bottom"/>
            <w:hideMark/>
          </w:tcPr>
          <w:p w14:paraId="3711F35B" w14:textId="67E8F5CA"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6B1C758" w14:textId="41B7F32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D395A47" w14:textId="42423544" w:rsidR="00F826D0" w:rsidRPr="003328EE" w:rsidRDefault="00F826D0" w:rsidP="00D65F93">
            <w:pPr>
              <w:rPr>
                <w:rFonts w:eastAsia="Times New Roman"/>
                <w:color w:val="000000"/>
                <w:sz w:val="18"/>
                <w:szCs w:val="18"/>
              </w:rPr>
            </w:pPr>
            <w:r w:rsidRPr="003328EE">
              <w:rPr>
                <w:rFonts w:eastAsia="Times New Roman"/>
                <w:color w:val="000000"/>
                <w:sz w:val="18"/>
                <w:szCs w:val="18"/>
              </w:rPr>
              <w:t>Lorenzoni et al., 2007</w:t>
            </w:r>
          </w:p>
        </w:tc>
        <w:tc>
          <w:tcPr>
            <w:tcW w:w="1156" w:type="dxa"/>
            <w:tcBorders>
              <w:top w:val="nil"/>
              <w:left w:val="nil"/>
              <w:bottom w:val="nil"/>
              <w:right w:val="nil"/>
            </w:tcBorders>
            <w:shd w:val="clear" w:color="auto" w:fill="auto"/>
            <w:noWrap/>
            <w:vAlign w:val="bottom"/>
            <w:hideMark/>
          </w:tcPr>
          <w:p w14:paraId="0C49316F" w14:textId="517D552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6B0375D" w14:textId="77777777" w:rsidTr="00D65F93">
        <w:trPr>
          <w:trHeight w:val="320"/>
        </w:trPr>
        <w:tc>
          <w:tcPr>
            <w:tcW w:w="3545" w:type="dxa"/>
            <w:tcBorders>
              <w:top w:val="nil"/>
              <w:left w:val="nil"/>
              <w:bottom w:val="nil"/>
              <w:right w:val="nil"/>
            </w:tcBorders>
            <w:shd w:val="clear" w:color="auto" w:fill="auto"/>
            <w:noWrap/>
            <w:vAlign w:val="bottom"/>
            <w:hideMark/>
          </w:tcPr>
          <w:p w14:paraId="0DED7A73" w14:textId="06C531ED" w:rsidR="00F826D0" w:rsidRPr="003328EE" w:rsidRDefault="00F826D0" w:rsidP="00D65F93">
            <w:pPr>
              <w:rPr>
                <w:rFonts w:eastAsia="Times New Roman"/>
                <w:color w:val="000000"/>
                <w:sz w:val="18"/>
                <w:szCs w:val="18"/>
              </w:rPr>
            </w:pPr>
            <w:r w:rsidRPr="003328EE">
              <w:rPr>
                <w:rFonts w:eastAsia="Times New Roman"/>
                <w:color w:val="000000"/>
                <w:sz w:val="18"/>
                <w:szCs w:val="18"/>
              </w:rPr>
              <w:t>Action, Lobbying and Education by NGOs</w:t>
            </w:r>
          </w:p>
        </w:tc>
        <w:tc>
          <w:tcPr>
            <w:tcW w:w="3183" w:type="dxa"/>
            <w:tcBorders>
              <w:top w:val="nil"/>
              <w:left w:val="nil"/>
              <w:bottom w:val="nil"/>
              <w:right w:val="nil"/>
            </w:tcBorders>
            <w:shd w:val="clear" w:color="auto" w:fill="auto"/>
            <w:noWrap/>
            <w:vAlign w:val="bottom"/>
            <w:hideMark/>
          </w:tcPr>
          <w:p w14:paraId="6A7F3EB4" w14:textId="190DAA5C" w:rsidR="00F826D0" w:rsidRPr="003328EE" w:rsidRDefault="00F826D0" w:rsidP="00D65F93">
            <w:pPr>
              <w:rPr>
                <w:rFonts w:eastAsia="Times New Roman"/>
                <w:color w:val="000000"/>
                <w:sz w:val="18"/>
                <w:szCs w:val="18"/>
              </w:rPr>
            </w:pPr>
            <w:r w:rsidRPr="003328EE">
              <w:rPr>
                <w:rFonts w:eastAsia="Times New Roman"/>
                <w:color w:val="000000"/>
                <w:sz w:val="18"/>
                <w:szCs w:val="18"/>
              </w:rPr>
              <w:t>Limited Effort by NGOs</w:t>
            </w:r>
          </w:p>
        </w:tc>
        <w:tc>
          <w:tcPr>
            <w:tcW w:w="2061" w:type="dxa"/>
            <w:tcBorders>
              <w:top w:val="nil"/>
              <w:left w:val="nil"/>
              <w:bottom w:val="nil"/>
              <w:right w:val="nil"/>
            </w:tcBorders>
            <w:shd w:val="clear" w:color="auto" w:fill="auto"/>
            <w:noWrap/>
            <w:vAlign w:val="bottom"/>
            <w:hideMark/>
          </w:tcPr>
          <w:p w14:paraId="2E9570AF" w14:textId="7EA8BEBA"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610B5A1" w14:textId="512EA22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A14A2FA" w14:textId="1F3019DA"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2013</w:t>
            </w:r>
          </w:p>
        </w:tc>
        <w:tc>
          <w:tcPr>
            <w:tcW w:w="1156" w:type="dxa"/>
            <w:tcBorders>
              <w:top w:val="nil"/>
              <w:left w:val="nil"/>
              <w:bottom w:val="nil"/>
              <w:right w:val="nil"/>
            </w:tcBorders>
            <w:shd w:val="clear" w:color="auto" w:fill="auto"/>
            <w:noWrap/>
            <w:vAlign w:val="bottom"/>
            <w:hideMark/>
          </w:tcPr>
          <w:p w14:paraId="44BD2138" w14:textId="5FA59E6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6556663" w14:textId="77777777" w:rsidTr="00D65F93">
        <w:trPr>
          <w:trHeight w:val="320"/>
        </w:trPr>
        <w:tc>
          <w:tcPr>
            <w:tcW w:w="3545" w:type="dxa"/>
            <w:tcBorders>
              <w:top w:val="nil"/>
              <w:left w:val="nil"/>
              <w:bottom w:val="nil"/>
              <w:right w:val="nil"/>
            </w:tcBorders>
            <w:shd w:val="clear" w:color="auto" w:fill="auto"/>
            <w:noWrap/>
            <w:vAlign w:val="bottom"/>
            <w:hideMark/>
          </w:tcPr>
          <w:p w14:paraId="5148B257" w14:textId="1A892143" w:rsidR="00F826D0" w:rsidRPr="003328EE" w:rsidRDefault="00F826D0" w:rsidP="00D65F93">
            <w:pPr>
              <w:rPr>
                <w:rFonts w:eastAsia="Times New Roman"/>
                <w:color w:val="000000"/>
                <w:sz w:val="18"/>
                <w:szCs w:val="18"/>
              </w:rPr>
            </w:pPr>
            <w:r w:rsidRPr="003328EE">
              <w:rPr>
                <w:rFonts w:eastAsia="Times New Roman"/>
                <w:color w:val="000000"/>
                <w:sz w:val="18"/>
                <w:szCs w:val="18"/>
              </w:rPr>
              <w:t>Action, Lobbying and Education by NGOs</w:t>
            </w:r>
          </w:p>
        </w:tc>
        <w:tc>
          <w:tcPr>
            <w:tcW w:w="3183" w:type="dxa"/>
            <w:tcBorders>
              <w:top w:val="nil"/>
              <w:left w:val="nil"/>
              <w:bottom w:val="nil"/>
              <w:right w:val="nil"/>
            </w:tcBorders>
            <w:shd w:val="clear" w:color="auto" w:fill="auto"/>
            <w:noWrap/>
            <w:vAlign w:val="bottom"/>
            <w:hideMark/>
          </w:tcPr>
          <w:p w14:paraId="6CEE9F5A" w14:textId="06E05A71" w:rsidR="00F826D0" w:rsidRPr="003328EE" w:rsidRDefault="00F826D0" w:rsidP="00D65F93">
            <w:pPr>
              <w:rPr>
                <w:rFonts w:eastAsia="Times New Roman"/>
                <w:color w:val="000000"/>
                <w:sz w:val="18"/>
                <w:szCs w:val="18"/>
              </w:rPr>
            </w:pPr>
            <w:r w:rsidRPr="003328EE">
              <w:rPr>
                <w:rFonts w:eastAsia="Times New Roman"/>
                <w:color w:val="000000"/>
                <w:sz w:val="18"/>
                <w:szCs w:val="18"/>
              </w:rPr>
              <w:t>Limited Effort by NGOs</w:t>
            </w:r>
          </w:p>
        </w:tc>
        <w:tc>
          <w:tcPr>
            <w:tcW w:w="2061" w:type="dxa"/>
            <w:tcBorders>
              <w:top w:val="nil"/>
              <w:left w:val="nil"/>
              <w:bottom w:val="nil"/>
              <w:right w:val="nil"/>
            </w:tcBorders>
            <w:shd w:val="clear" w:color="auto" w:fill="auto"/>
            <w:noWrap/>
            <w:vAlign w:val="bottom"/>
            <w:hideMark/>
          </w:tcPr>
          <w:p w14:paraId="1964212E" w14:textId="0C01F444"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159A154" w14:textId="44F446D8"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68ECF28" w14:textId="68D2D966" w:rsidR="00F826D0" w:rsidRPr="003328EE" w:rsidRDefault="00F826D0" w:rsidP="00D65F93">
            <w:pPr>
              <w:rPr>
                <w:rFonts w:eastAsia="Times New Roman"/>
                <w:color w:val="000000"/>
                <w:sz w:val="18"/>
                <w:szCs w:val="18"/>
              </w:rPr>
            </w:pPr>
            <w:r w:rsidRPr="003328EE">
              <w:rPr>
                <w:rFonts w:eastAsia="Times New Roman"/>
                <w:color w:val="000000"/>
                <w:sz w:val="18"/>
                <w:szCs w:val="18"/>
              </w:rPr>
              <w:t>Seyfang &amp; Smith, 2007</w:t>
            </w:r>
          </w:p>
        </w:tc>
        <w:tc>
          <w:tcPr>
            <w:tcW w:w="1156" w:type="dxa"/>
            <w:tcBorders>
              <w:top w:val="nil"/>
              <w:left w:val="nil"/>
              <w:bottom w:val="nil"/>
              <w:right w:val="nil"/>
            </w:tcBorders>
            <w:shd w:val="clear" w:color="auto" w:fill="auto"/>
            <w:noWrap/>
            <w:vAlign w:val="bottom"/>
            <w:hideMark/>
          </w:tcPr>
          <w:p w14:paraId="3FAE21D9" w14:textId="05876091"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3289324D" w14:textId="77777777" w:rsidTr="00D65F93">
        <w:trPr>
          <w:trHeight w:val="320"/>
        </w:trPr>
        <w:tc>
          <w:tcPr>
            <w:tcW w:w="3545" w:type="dxa"/>
            <w:tcBorders>
              <w:top w:val="nil"/>
              <w:left w:val="nil"/>
              <w:bottom w:val="nil"/>
              <w:right w:val="nil"/>
            </w:tcBorders>
            <w:shd w:val="clear" w:color="auto" w:fill="auto"/>
            <w:noWrap/>
            <w:vAlign w:val="bottom"/>
            <w:hideMark/>
          </w:tcPr>
          <w:p w14:paraId="6545B4A9" w14:textId="7C7A7B2E" w:rsidR="00F826D0" w:rsidRPr="003328EE" w:rsidRDefault="00F826D0" w:rsidP="00D65F93">
            <w:pPr>
              <w:rPr>
                <w:rFonts w:eastAsia="Times New Roman"/>
                <w:color w:val="000000"/>
                <w:sz w:val="18"/>
                <w:szCs w:val="18"/>
              </w:rPr>
            </w:pPr>
            <w:r w:rsidRPr="003328EE">
              <w:rPr>
                <w:rFonts w:eastAsia="Times New Roman"/>
                <w:color w:val="000000"/>
                <w:sz w:val="18"/>
                <w:szCs w:val="18"/>
              </w:rPr>
              <w:t>Community Action</w:t>
            </w:r>
          </w:p>
        </w:tc>
        <w:tc>
          <w:tcPr>
            <w:tcW w:w="3183" w:type="dxa"/>
            <w:tcBorders>
              <w:top w:val="nil"/>
              <w:left w:val="nil"/>
              <w:bottom w:val="nil"/>
              <w:right w:val="nil"/>
            </w:tcBorders>
            <w:shd w:val="clear" w:color="auto" w:fill="auto"/>
            <w:noWrap/>
            <w:vAlign w:val="bottom"/>
            <w:hideMark/>
          </w:tcPr>
          <w:p w14:paraId="3E30A949" w14:textId="53ED81BC" w:rsidR="00F826D0" w:rsidRPr="003328EE" w:rsidRDefault="00F826D0" w:rsidP="00D65F93">
            <w:pPr>
              <w:rPr>
                <w:rFonts w:eastAsia="Times New Roman"/>
                <w:color w:val="000000"/>
                <w:sz w:val="18"/>
                <w:szCs w:val="18"/>
              </w:rPr>
            </w:pPr>
            <w:r w:rsidRPr="003328EE">
              <w:rPr>
                <w:rFonts w:eastAsia="Times New Roman"/>
                <w:color w:val="000000"/>
                <w:sz w:val="18"/>
                <w:szCs w:val="18"/>
              </w:rPr>
              <w:t>Limited Effort by NGOs</w:t>
            </w:r>
          </w:p>
        </w:tc>
        <w:tc>
          <w:tcPr>
            <w:tcW w:w="2061" w:type="dxa"/>
            <w:tcBorders>
              <w:top w:val="nil"/>
              <w:left w:val="nil"/>
              <w:bottom w:val="nil"/>
              <w:right w:val="nil"/>
            </w:tcBorders>
            <w:shd w:val="clear" w:color="auto" w:fill="auto"/>
            <w:noWrap/>
            <w:vAlign w:val="bottom"/>
            <w:hideMark/>
          </w:tcPr>
          <w:p w14:paraId="6BDB32F4" w14:textId="0F82DCA4"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33EA7E3" w14:textId="6CAAC4A3"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5BB8303" w14:textId="24C86D59" w:rsidR="00F826D0" w:rsidRPr="003328EE" w:rsidRDefault="00F826D0" w:rsidP="00D65F93">
            <w:pPr>
              <w:rPr>
                <w:rFonts w:eastAsia="Times New Roman"/>
                <w:color w:val="000000"/>
                <w:sz w:val="18"/>
                <w:szCs w:val="18"/>
              </w:rPr>
            </w:pPr>
            <w:r w:rsidRPr="003328EE">
              <w:rPr>
                <w:rFonts w:eastAsia="Times New Roman"/>
                <w:color w:val="000000"/>
                <w:sz w:val="18"/>
                <w:szCs w:val="18"/>
              </w:rPr>
              <w:t>Seyfang &amp; Smith, 2007</w:t>
            </w:r>
          </w:p>
        </w:tc>
        <w:tc>
          <w:tcPr>
            <w:tcW w:w="1156" w:type="dxa"/>
            <w:tcBorders>
              <w:top w:val="nil"/>
              <w:left w:val="nil"/>
              <w:bottom w:val="nil"/>
              <w:right w:val="nil"/>
            </w:tcBorders>
            <w:shd w:val="clear" w:color="auto" w:fill="auto"/>
            <w:noWrap/>
            <w:vAlign w:val="bottom"/>
            <w:hideMark/>
          </w:tcPr>
          <w:p w14:paraId="259DD1E0" w14:textId="7F0FA262"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EF197D3" w14:textId="77777777" w:rsidTr="00D65F93">
        <w:trPr>
          <w:trHeight w:val="320"/>
        </w:trPr>
        <w:tc>
          <w:tcPr>
            <w:tcW w:w="3545" w:type="dxa"/>
            <w:tcBorders>
              <w:top w:val="nil"/>
              <w:left w:val="nil"/>
              <w:bottom w:val="nil"/>
              <w:right w:val="nil"/>
            </w:tcBorders>
            <w:shd w:val="clear" w:color="auto" w:fill="auto"/>
            <w:noWrap/>
            <w:vAlign w:val="bottom"/>
            <w:hideMark/>
          </w:tcPr>
          <w:p w14:paraId="545B8917" w14:textId="3BD5386E" w:rsidR="00F826D0" w:rsidRPr="003328EE" w:rsidRDefault="00F826D0" w:rsidP="00D65F93">
            <w:pPr>
              <w:rPr>
                <w:rFonts w:eastAsia="Times New Roman"/>
                <w:color w:val="000000"/>
                <w:sz w:val="18"/>
                <w:szCs w:val="18"/>
              </w:rPr>
            </w:pPr>
            <w:r w:rsidRPr="003328EE">
              <w:rPr>
                <w:rFonts w:eastAsia="Times New Roman"/>
                <w:color w:val="000000"/>
                <w:sz w:val="18"/>
                <w:szCs w:val="18"/>
              </w:rPr>
              <w:t>Few Formal NGO Campaigns</w:t>
            </w:r>
          </w:p>
        </w:tc>
        <w:tc>
          <w:tcPr>
            <w:tcW w:w="3183" w:type="dxa"/>
            <w:tcBorders>
              <w:top w:val="nil"/>
              <w:left w:val="nil"/>
              <w:bottom w:val="nil"/>
              <w:right w:val="nil"/>
            </w:tcBorders>
            <w:shd w:val="clear" w:color="auto" w:fill="auto"/>
            <w:noWrap/>
            <w:vAlign w:val="bottom"/>
            <w:hideMark/>
          </w:tcPr>
          <w:p w14:paraId="56A71E61" w14:textId="7983620D" w:rsidR="00F826D0" w:rsidRPr="003328EE" w:rsidRDefault="00F826D0" w:rsidP="00D65F93">
            <w:pPr>
              <w:rPr>
                <w:rFonts w:eastAsia="Times New Roman"/>
                <w:color w:val="000000"/>
                <w:sz w:val="18"/>
                <w:szCs w:val="18"/>
              </w:rPr>
            </w:pPr>
            <w:r w:rsidRPr="003328EE">
              <w:rPr>
                <w:rFonts w:eastAsia="Times New Roman"/>
                <w:color w:val="000000"/>
                <w:sz w:val="18"/>
                <w:szCs w:val="18"/>
              </w:rPr>
              <w:t>Limited Effort by NGOs</w:t>
            </w:r>
          </w:p>
        </w:tc>
        <w:tc>
          <w:tcPr>
            <w:tcW w:w="2061" w:type="dxa"/>
            <w:tcBorders>
              <w:top w:val="nil"/>
              <w:left w:val="nil"/>
              <w:bottom w:val="nil"/>
              <w:right w:val="nil"/>
            </w:tcBorders>
            <w:shd w:val="clear" w:color="auto" w:fill="auto"/>
            <w:noWrap/>
            <w:vAlign w:val="bottom"/>
            <w:hideMark/>
          </w:tcPr>
          <w:p w14:paraId="64456613" w14:textId="2B1DC817"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569C3E3" w14:textId="6849AB3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58CC543" w14:textId="180F5BE1"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2013</w:t>
            </w:r>
          </w:p>
        </w:tc>
        <w:tc>
          <w:tcPr>
            <w:tcW w:w="1156" w:type="dxa"/>
            <w:tcBorders>
              <w:top w:val="nil"/>
              <w:left w:val="nil"/>
              <w:bottom w:val="nil"/>
              <w:right w:val="nil"/>
            </w:tcBorders>
            <w:shd w:val="clear" w:color="auto" w:fill="auto"/>
            <w:noWrap/>
            <w:vAlign w:val="bottom"/>
            <w:hideMark/>
          </w:tcPr>
          <w:p w14:paraId="14788777" w14:textId="7F81511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09A8FEE" w14:textId="77777777" w:rsidTr="00D65F93">
        <w:trPr>
          <w:trHeight w:val="320"/>
        </w:trPr>
        <w:tc>
          <w:tcPr>
            <w:tcW w:w="3545" w:type="dxa"/>
            <w:tcBorders>
              <w:top w:val="nil"/>
              <w:left w:val="nil"/>
              <w:bottom w:val="nil"/>
              <w:right w:val="nil"/>
            </w:tcBorders>
            <w:shd w:val="clear" w:color="auto" w:fill="auto"/>
            <w:noWrap/>
            <w:vAlign w:val="bottom"/>
            <w:hideMark/>
          </w:tcPr>
          <w:p w14:paraId="455A7150" w14:textId="6C7BB0B3" w:rsidR="00F826D0" w:rsidRPr="003328EE" w:rsidRDefault="00F826D0" w:rsidP="00D65F93">
            <w:pPr>
              <w:rPr>
                <w:rFonts w:eastAsia="Times New Roman"/>
                <w:color w:val="000000"/>
                <w:sz w:val="18"/>
                <w:szCs w:val="18"/>
              </w:rPr>
            </w:pPr>
            <w:r w:rsidRPr="003328EE">
              <w:rPr>
                <w:rFonts w:eastAsia="Times New Roman"/>
                <w:color w:val="000000"/>
                <w:sz w:val="18"/>
                <w:szCs w:val="18"/>
              </w:rPr>
              <w:t>Few Formal NGO Campaigns</w:t>
            </w:r>
          </w:p>
        </w:tc>
        <w:tc>
          <w:tcPr>
            <w:tcW w:w="3183" w:type="dxa"/>
            <w:tcBorders>
              <w:top w:val="nil"/>
              <w:left w:val="nil"/>
              <w:bottom w:val="nil"/>
              <w:right w:val="nil"/>
            </w:tcBorders>
            <w:shd w:val="clear" w:color="auto" w:fill="auto"/>
            <w:noWrap/>
            <w:vAlign w:val="bottom"/>
            <w:hideMark/>
          </w:tcPr>
          <w:p w14:paraId="39B9E70D" w14:textId="304B5BD7" w:rsidR="00F826D0" w:rsidRPr="003328EE" w:rsidRDefault="00F826D0" w:rsidP="00D65F93">
            <w:pPr>
              <w:rPr>
                <w:rFonts w:eastAsia="Times New Roman"/>
                <w:color w:val="000000"/>
                <w:sz w:val="18"/>
                <w:szCs w:val="18"/>
              </w:rPr>
            </w:pPr>
            <w:r w:rsidRPr="003328EE">
              <w:rPr>
                <w:rFonts w:eastAsia="Times New Roman"/>
                <w:color w:val="000000"/>
                <w:sz w:val="18"/>
                <w:szCs w:val="18"/>
              </w:rPr>
              <w:t>Limited Effort by NGOs</w:t>
            </w:r>
          </w:p>
        </w:tc>
        <w:tc>
          <w:tcPr>
            <w:tcW w:w="2061" w:type="dxa"/>
            <w:tcBorders>
              <w:top w:val="nil"/>
              <w:left w:val="nil"/>
              <w:bottom w:val="nil"/>
              <w:right w:val="nil"/>
            </w:tcBorders>
            <w:shd w:val="clear" w:color="auto" w:fill="auto"/>
            <w:noWrap/>
            <w:vAlign w:val="bottom"/>
            <w:hideMark/>
          </w:tcPr>
          <w:p w14:paraId="2BE1A129" w14:textId="1A3C7A72"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09F067A8" w14:textId="29B6A68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6C54FA0" w14:textId="6232B0B5"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2014</w:t>
            </w:r>
          </w:p>
        </w:tc>
        <w:tc>
          <w:tcPr>
            <w:tcW w:w="1156" w:type="dxa"/>
            <w:tcBorders>
              <w:top w:val="nil"/>
              <w:left w:val="nil"/>
              <w:bottom w:val="nil"/>
              <w:right w:val="nil"/>
            </w:tcBorders>
            <w:shd w:val="clear" w:color="auto" w:fill="auto"/>
            <w:noWrap/>
            <w:vAlign w:val="bottom"/>
            <w:hideMark/>
          </w:tcPr>
          <w:p w14:paraId="3A8CA4C9" w14:textId="3EE50C2C"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798514E" w14:textId="77777777" w:rsidTr="00D65F93">
        <w:trPr>
          <w:trHeight w:val="320"/>
        </w:trPr>
        <w:tc>
          <w:tcPr>
            <w:tcW w:w="3545" w:type="dxa"/>
            <w:tcBorders>
              <w:top w:val="nil"/>
              <w:left w:val="nil"/>
              <w:bottom w:val="nil"/>
              <w:right w:val="nil"/>
            </w:tcBorders>
            <w:shd w:val="clear" w:color="auto" w:fill="auto"/>
            <w:noWrap/>
            <w:vAlign w:val="bottom"/>
            <w:hideMark/>
          </w:tcPr>
          <w:p w14:paraId="0490804C" w14:textId="45447759" w:rsidR="00F826D0" w:rsidRPr="003328EE" w:rsidRDefault="00F826D0" w:rsidP="00D65F93">
            <w:pPr>
              <w:rPr>
                <w:rFonts w:eastAsia="Times New Roman"/>
                <w:color w:val="000000"/>
                <w:sz w:val="18"/>
                <w:szCs w:val="18"/>
              </w:rPr>
            </w:pPr>
            <w:r w:rsidRPr="003328EE">
              <w:rPr>
                <w:rFonts w:eastAsia="Times New Roman"/>
                <w:color w:val="000000"/>
                <w:sz w:val="18"/>
                <w:szCs w:val="18"/>
              </w:rPr>
              <w:t>Few Formal NGO Campaigns</w:t>
            </w:r>
          </w:p>
        </w:tc>
        <w:tc>
          <w:tcPr>
            <w:tcW w:w="3183" w:type="dxa"/>
            <w:tcBorders>
              <w:top w:val="nil"/>
              <w:left w:val="nil"/>
              <w:bottom w:val="nil"/>
              <w:right w:val="nil"/>
            </w:tcBorders>
            <w:shd w:val="clear" w:color="auto" w:fill="auto"/>
            <w:noWrap/>
            <w:vAlign w:val="bottom"/>
            <w:hideMark/>
          </w:tcPr>
          <w:p w14:paraId="36968720" w14:textId="0EA984C8" w:rsidR="00F826D0" w:rsidRPr="003328EE" w:rsidRDefault="00F826D0" w:rsidP="00D65F93">
            <w:pPr>
              <w:rPr>
                <w:rFonts w:eastAsia="Times New Roman"/>
                <w:color w:val="000000"/>
                <w:sz w:val="18"/>
                <w:szCs w:val="18"/>
              </w:rPr>
            </w:pPr>
            <w:r w:rsidRPr="003328EE">
              <w:rPr>
                <w:rFonts w:eastAsia="Times New Roman"/>
                <w:color w:val="000000"/>
                <w:sz w:val="18"/>
                <w:szCs w:val="18"/>
              </w:rPr>
              <w:t>Limited Effort by NGOs</w:t>
            </w:r>
          </w:p>
        </w:tc>
        <w:tc>
          <w:tcPr>
            <w:tcW w:w="2061" w:type="dxa"/>
            <w:tcBorders>
              <w:top w:val="nil"/>
              <w:left w:val="nil"/>
              <w:bottom w:val="nil"/>
              <w:right w:val="nil"/>
            </w:tcBorders>
            <w:shd w:val="clear" w:color="auto" w:fill="auto"/>
            <w:noWrap/>
            <w:vAlign w:val="bottom"/>
            <w:hideMark/>
          </w:tcPr>
          <w:p w14:paraId="47CAB436" w14:textId="734E198A"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6705070" w14:textId="4D3E540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DCAA3D7" w14:textId="3787399A"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2014</w:t>
            </w:r>
          </w:p>
        </w:tc>
        <w:tc>
          <w:tcPr>
            <w:tcW w:w="1156" w:type="dxa"/>
            <w:tcBorders>
              <w:top w:val="nil"/>
              <w:left w:val="nil"/>
              <w:bottom w:val="nil"/>
              <w:right w:val="nil"/>
            </w:tcBorders>
            <w:shd w:val="clear" w:color="auto" w:fill="auto"/>
            <w:noWrap/>
            <w:vAlign w:val="bottom"/>
            <w:hideMark/>
          </w:tcPr>
          <w:p w14:paraId="41FC5010" w14:textId="3DD576A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67CF2C9" w14:textId="77777777" w:rsidTr="00D65F93">
        <w:trPr>
          <w:trHeight w:val="320"/>
        </w:trPr>
        <w:tc>
          <w:tcPr>
            <w:tcW w:w="3545" w:type="dxa"/>
            <w:tcBorders>
              <w:top w:val="nil"/>
              <w:left w:val="nil"/>
              <w:bottom w:val="nil"/>
              <w:right w:val="nil"/>
            </w:tcBorders>
            <w:shd w:val="clear" w:color="auto" w:fill="auto"/>
            <w:noWrap/>
            <w:vAlign w:val="bottom"/>
            <w:hideMark/>
          </w:tcPr>
          <w:p w14:paraId="7973C87E" w14:textId="544AEC96" w:rsidR="00F826D0" w:rsidRPr="003328EE" w:rsidRDefault="00F826D0" w:rsidP="00D65F93">
            <w:pPr>
              <w:rPr>
                <w:rFonts w:eastAsia="Times New Roman"/>
                <w:color w:val="000000"/>
                <w:sz w:val="18"/>
                <w:szCs w:val="18"/>
              </w:rPr>
            </w:pPr>
            <w:r w:rsidRPr="003328EE">
              <w:rPr>
                <w:rFonts w:eastAsia="Times New Roman"/>
                <w:color w:val="000000"/>
                <w:sz w:val="18"/>
                <w:szCs w:val="18"/>
              </w:rPr>
              <w:t>Few NGOs Promoting national Policies</w:t>
            </w:r>
          </w:p>
        </w:tc>
        <w:tc>
          <w:tcPr>
            <w:tcW w:w="3183" w:type="dxa"/>
            <w:tcBorders>
              <w:top w:val="nil"/>
              <w:left w:val="nil"/>
              <w:bottom w:val="nil"/>
              <w:right w:val="nil"/>
            </w:tcBorders>
            <w:shd w:val="clear" w:color="auto" w:fill="auto"/>
            <w:noWrap/>
            <w:vAlign w:val="bottom"/>
            <w:hideMark/>
          </w:tcPr>
          <w:p w14:paraId="69DF7B96" w14:textId="479068E6" w:rsidR="00F826D0" w:rsidRPr="003328EE" w:rsidRDefault="00F826D0" w:rsidP="00D65F93">
            <w:pPr>
              <w:rPr>
                <w:rFonts w:eastAsia="Times New Roman"/>
                <w:color w:val="000000"/>
                <w:sz w:val="18"/>
                <w:szCs w:val="18"/>
              </w:rPr>
            </w:pPr>
            <w:r w:rsidRPr="003328EE">
              <w:rPr>
                <w:rFonts w:eastAsia="Times New Roman"/>
                <w:color w:val="000000"/>
                <w:sz w:val="18"/>
                <w:szCs w:val="18"/>
              </w:rPr>
              <w:t>Limited Effort by NGOs</w:t>
            </w:r>
          </w:p>
        </w:tc>
        <w:tc>
          <w:tcPr>
            <w:tcW w:w="2061" w:type="dxa"/>
            <w:tcBorders>
              <w:top w:val="nil"/>
              <w:left w:val="nil"/>
              <w:bottom w:val="nil"/>
              <w:right w:val="nil"/>
            </w:tcBorders>
            <w:shd w:val="clear" w:color="auto" w:fill="auto"/>
            <w:noWrap/>
            <w:vAlign w:val="bottom"/>
            <w:hideMark/>
          </w:tcPr>
          <w:p w14:paraId="3D952666" w14:textId="6414E509"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DEEE907" w14:textId="6CE1972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16E8071" w14:textId="13B4B59C"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2013</w:t>
            </w:r>
          </w:p>
        </w:tc>
        <w:tc>
          <w:tcPr>
            <w:tcW w:w="1156" w:type="dxa"/>
            <w:tcBorders>
              <w:top w:val="nil"/>
              <w:left w:val="nil"/>
              <w:bottom w:val="nil"/>
              <w:right w:val="nil"/>
            </w:tcBorders>
            <w:shd w:val="clear" w:color="auto" w:fill="auto"/>
            <w:noWrap/>
            <w:vAlign w:val="bottom"/>
            <w:hideMark/>
          </w:tcPr>
          <w:p w14:paraId="37425328" w14:textId="3F2D4A0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DBA245F" w14:textId="77777777" w:rsidTr="00D65F93">
        <w:trPr>
          <w:trHeight w:val="320"/>
        </w:trPr>
        <w:tc>
          <w:tcPr>
            <w:tcW w:w="3545" w:type="dxa"/>
            <w:tcBorders>
              <w:top w:val="nil"/>
              <w:left w:val="nil"/>
              <w:bottom w:val="nil"/>
              <w:right w:val="nil"/>
            </w:tcBorders>
            <w:shd w:val="clear" w:color="auto" w:fill="auto"/>
            <w:noWrap/>
            <w:vAlign w:val="bottom"/>
            <w:hideMark/>
          </w:tcPr>
          <w:p w14:paraId="027AC6EA" w14:textId="4E7A9C9F" w:rsidR="00F826D0" w:rsidRPr="003328EE" w:rsidRDefault="00F826D0" w:rsidP="00D65F93">
            <w:pPr>
              <w:rPr>
                <w:rFonts w:eastAsia="Times New Roman"/>
                <w:color w:val="000000"/>
                <w:sz w:val="18"/>
                <w:szCs w:val="18"/>
              </w:rPr>
            </w:pPr>
            <w:r w:rsidRPr="003328EE">
              <w:rPr>
                <w:rFonts w:eastAsia="Times New Roman"/>
                <w:color w:val="000000"/>
                <w:sz w:val="18"/>
                <w:szCs w:val="18"/>
              </w:rPr>
              <w:t>Few NGOs Promoting national Policies</w:t>
            </w:r>
          </w:p>
        </w:tc>
        <w:tc>
          <w:tcPr>
            <w:tcW w:w="3183" w:type="dxa"/>
            <w:tcBorders>
              <w:top w:val="nil"/>
              <w:left w:val="nil"/>
              <w:bottom w:val="nil"/>
              <w:right w:val="nil"/>
            </w:tcBorders>
            <w:shd w:val="clear" w:color="auto" w:fill="auto"/>
            <w:noWrap/>
            <w:vAlign w:val="bottom"/>
            <w:hideMark/>
          </w:tcPr>
          <w:p w14:paraId="3B2DB3D5" w14:textId="73EAF434" w:rsidR="00F826D0" w:rsidRPr="003328EE" w:rsidRDefault="00F826D0" w:rsidP="00D65F93">
            <w:pPr>
              <w:rPr>
                <w:rFonts w:eastAsia="Times New Roman"/>
                <w:color w:val="000000"/>
                <w:sz w:val="18"/>
                <w:szCs w:val="18"/>
              </w:rPr>
            </w:pPr>
            <w:r w:rsidRPr="003328EE">
              <w:rPr>
                <w:rFonts w:eastAsia="Times New Roman"/>
                <w:color w:val="000000"/>
                <w:sz w:val="18"/>
                <w:szCs w:val="18"/>
              </w:rPr>
              <w:t>Limited Effort by NGOs</w:t>
            </w:r>
          </w:p>
        </w:tc>
        <w:tc>
          <w:tcPr>
            <w:tcW w:w="2061" w:type="dxa"/>
            <w:tcBorders>
              <w:top w:val="nil"/>
              <w:left w:val="nil"/>
              <w:bottom w:val="nil"/>
              <w:right w:val="nil"/>
            </w:tcBorders>
            <w:shd w:val="clear" w:color="auto" w:fill="auto"/>
            <w:noWrap/>
            <w:vAlign w:val="bottom"/>
            <w:hideMark/>
          </w:tcPr>
          <w:p w14:paraId="6358CE64" w14:textId="0DD957FC"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0F2C544" w14:textId="3663739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C86B3F8" w14:textId="09B259F1"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2014</w:t>
            </w:r>
          </w:p>
        </w:tc>
        <w:tc>
          <w:tcPr>
            <w:tcW w:w="1156" w:type="dxa"/>
            <w:tcBorders>
              <w:top w:val="nil"/>
              <w:left w:val="nil"/>
              <w:bottom w:val="nil"/>
              <w:right w:val="nil"/>
            </w:tcBorders>
            <w:shd w:val="clear" w:color="auto" w:fill="auto"/>
            <w:noWrap/>
            <w:vAlign w:val="bottom"/>
            <w:hideMark/>
          </w:tcPr>
          <w:p w14:paraId="36B30B02" w14:textId="6BC03E60"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AC32EF6" w14:textId="77777777" w:rsidTr="00D65F93">
        <w:trPr>
          <w:trHeight w:val="320"/>
        </w:trPr>
        <w:tc>
          <w:tcPr>
            <w:tcW w:w="3545" w:type="dxa"/>
            <w:tcBorders>
              <w:top w:val="nil"/>
              <w:left w:val="nil"/>
              <w:bottom w:val="nil"/>
              <w:right w:val="nil"/>
            </w:tcBorders>
            <w:shd w:val="clear" w:color="auto" w:fill="auto"/>
            <w:noWrap/>
            <w:vAlign w:val="bottom"/>
            <w:hideMark/>
          </w:tcPr>
          <w:p w14:paraId="3911FF6B" w14:textId="4B82F76F" w:rsidR="00F826D0" w:rsidRPr="003328EE" w:rsidRDefault="00F826D0" w:rsidP="00D65F93">
            <w:pPr>
              <w:rPr>
                <w:rFonts w:eastAsia="Times New Roman"/>
                <w:color w:val="000000"/>
                <w:sz w:val="18"/>
                <w:szCs w:val="18"/>
              </w:rPr>
            </w:pPr>
            <w:r w:rsidRPr="003328EE">
              <w:rPr>
                <w:rFonts w:eastAsia="Times New Roman"/>
                <w:color w:val="000000"/>
                <w:sz w:val="18"/>
                <w:szCs w:val="18"/>
              </w:rPr>
              <w:t>Message Consistency</w:t>
            </w:r>
          </w:p>
        </w:tc>
        <w:tc>
          <w:tcPr>
            <w:tcW w:w="3183" w:type="dxa"/>
            <w:tcBorders>
              <w:top w:val="nil"/>
              <w:left w:val="nil"/>
              <w:bottom w:val="nil"/>
              <w:right w:val="nil"/>
            </w:tcBorders>
            <w:shd w:val="clear" w:color="auto" w:fill="auto"/>
            <w:noWrap/>
            <w:vAlign w:val="bottom"/>
            <w:hideMark/>
          </w:tcPr>
          <w:p w14:paraId="02807A7A" w14:textId="1749447A" w:rsidR="00F826D0" w:rsidRPr="003328EE" w:rsidRDefault="00F826D0" w:rsidP="00D65F93">
            <w:pPr>
              <w:rPr>
                <w:rFonts w:eastAsia="Times New Roman"/>
                <w:color w:val="000000"/>
                <w:sz w:val="18"/>
                <w:szCs w:val="18"/>
              </w:rPr>
            </w:pPr>
            <w:r w:rsidRPr="003328EE">
              <w:rPr>
                <w:rFonts w:eastAsia="Times New Roman"/>
                <w:color w:val="000000"/>
                <w:sz w:val="18"/>
                <w:szCs w:val="18"/>
              </w:rPr>
              <w:t>Limited Effort by NGOs</w:t>
            </w:r>
          </w:p>
        </w:tc>
        <w:tc>
          <w:tcPr>
            <w:tcW w:w="2061" w:type="dxa"/>
            <w:tcBorders>
              <w:top w:val="nil"/>
              <w:left w:val="nil"/>
              <w:bottom w:val="nil"/>
              <w:right w:val="nil"/>
            </w:tcBorders>
            <w:shd w:val="clear" w:color="auto" w:fill="auto"/>
            <w:noWrap/>
            <w:vAlign w:val="bottom"/>
            <w:hideMark/>
          </w:tcPr>
          <w:p w14:paraId="15E73C31" w14:textId="2CC49BA0"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2FCDB2C" w14:textId="5D69D52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97120BF" w14:textId="2FE76738"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2013</w:t>
            </w:r>
          </w:p>
        </w:tc>
        <w:tc>
          <w:tcPr>
            <w:tcW w:w="1156" w:type="dxa"/>
            <w:tcBorders>
              <w:top w:val="nil"/>
              <w:left w:val="nil"/>
              <w:bottom w:val="nil"/>
              <w:right w:val="nil"/>
            </w:tcBorders>
            <w:shd w:val="clear" w:color="auto" w:fill="auto"/>
            <w:noWrap/>
            <w:vAlign w:val="bottom"/>
            <w:hideMark/>
          </w:tcPr>
          <w:p w14:paraId="2401F93C" w14:textId="627E66F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1A8CC1E" w14:textId="77777777" w:rsidTr="00D65F93">
        <w:trPr>
          <w:trHeight w:val="320"/>
        </w:trPr>
        <w:tc>
          <w:tcPr>
            <w:tcW w:w="3545" w:type="dxa"/>
            <w:tcBorders>
              <w:top w:val="nil"/>
              <w:left w:val="nil"/>
              <w:bottom w:val="nil"/>
              <w:right w:val="nil"/>
            </w:tcBorders>
            <w:shd w:val="clear" w:color="auto" w:fill="auto"/>
            <w:noWrap/>
            <w:vAlign w:val="bottom"/>
            <w:hideMark/>
          </w:tcPr>
          <w:p w14:paraId="2CED8E1A" w14:textId="4B6B071F" w:rsidR="00F826D0" w:rsidRPr="003328EE" w:rsidRDefault="00F826D0" w:rsidP="00D65F93">
            <w:pPr>
              <w:rPr>
                <w:rFonts w:eastAsia="Times New Roman"/>
                <w:color w:val="000000"/>
                <w:sz w:val="18"/>
                <w:szCs w:val="18"/>
              </w:rPr>
            </w:pPr>
            <w:r w:rsidRPr="003328EE">
              <w:rPr>
                <w:rFonts w:eastAsia="Times New Roman"/>
                <w:color w:val="000000"/>
                <w:sz w:val="18"/>
                <w:szCs w:val="18"/>
              </w:rPr>
              <w:t>NGOs Funded by Government, Industry</w:t>
            </w:r>
          </w:p>
        </w:tc>
        <w:tc>
          <w:tcPr>
            <w:tcW w:w="3183" w:type="dxa"/>
            <w:tcBorders>
              <w:top w:val="nil"/>
              <w:left w:val="nil"/>
              <w:bottom w:val="nil"/>
              <w:right w:val="nil"/>
            </w:tcBorders>
            <w:shd w:val="clear" w:color="auto" w:fill="auto"/>
            <w:noWrap/>
            <w:vAlign w:val="bottom"/>
            <w:hideMark/>
          </w:tcPr>
          <w:p w14:paraId="3071434E" w14:textId="7DE0D475" w:rsidR="00F826D0" w:rsidRPr="003328EE" w:rsidRDefault="00F826D0" w:rsidP="00D65F93">
            <w:pPr>
              <w:rPr>
                <w:rFonts w:eastAsia="Times New Roman"/>
                <w:color w:val="000000"/>
                <w:sz w:val="18"/>
                <w:szCs w:val="18"/>
              </w:rPr>
            </w:pPr>
            <w:r w:rsidRPr="003328EE">
              <w:rPr>
                <w:rFonts w:eastAsia="Times New Roman"/>
                <w:color w:val="000000"/>
                <w:sz w:val="18"/>
                <w:szCs w:val="18"/>
              </w:rPr>
              <w:t>Limited Effort by NGOs</w:t>
            </w:r>
          </w:p>
        </w:tc>
        <w:tc>
          <w:tcPr>
            <w:tcW w:w="2061" w:type="dxa"/>
            <w:tcBorders>
              <w:top w:val="nil"/>
              <w:left w:val="nil"/>
              <w:bottom w:val="nil"/>
              <w:right w:val="nil"/>
            </w:tcBorders>
            <w:shd w:val="clear" w:color="auto" w:fill="auto"/>
            <w:noWrap/>
            <w:vAlign w:val="bottom"/>
            <w:hideMark/>
          </w:tcPr>
          <w:p w14:paraId="042FC23C" w14:textId="7C2C057B"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73B226F" w14:textId="565D399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2A4BD5C" w14:textId="6FA53023" w:rsidR="00F826D0" w:rsidRPr="003328EE" w:rsidRDefault="00F826D0" w:rsidP="00D65F93">
            <w:pPr>
              <w:rPr>
                <w:rFonts w:eastAsia="Times New Roman"/>
                <w:color w:val="000000"/>
                <w:sz w:val="18"/>
                <w:szCs w:val="18"/>
              </w:rPr>
            </w:pPr>
            <w:r w:rsidRPr="003328EE">
              <w:rPr>
                <w:rFonts w:eastAsia="Times New Roman"/>
                <w:color w:val="000000"/>
                <w:sz w:val="18"/>
                <w:szCs w:val="18"/>
              </w:rPr>
              <w:t>Laestadius et al., 2014</w:t>
            </w:r>
          </w:p>
        </w:tc>
        <w:tc>
          <w:tcPr>
            <w:tcW w:w="1156" w:type="dxa"/>
            <w:tcBorders>
              <w:top w:val="nil"/>
              <w:left w:val="nil"/>
              <w:bottom w:val="nil"/>
              <w:right w:val="nil"/>
            </w:tcBorders>
            <w:shd w:val="clear" w:color="auto" w:fill="auto"/>
            <w:noWrap/>
            <w:vAlign w:val="bottom"/>
            <w:hideMark/>
          </w:tcPr>
          <w:p w14:paraId="350165BD" w14:textId="114734A5"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2F022BF" w14:textId="77777777" w:rsidTr="00D65F93">
        <w:trPr>
          <w:trHeight w:val="320"/>
        </w:trPr>
        <w:tc>
          <w:tcPr>
            <w:tcW w:w="3545" w:type="dxa"/>
            <w:tcBorders>
              <w:top w:val="nil"/>
              <w:left w:val="nil"/>
              <w:bottom w:val="nil"/>
              <w:right w:val="nil"/>
            </w:tcBorders>
            <w:shd w:val="clear" w:color="auto" w:fill="auto"/>
            <w:noWrap/>
            <w:vAlign w:val="bottom"/>
            <w:hideMark/>
          </w:tcPr>
          <w:p w14:paraId="13AB672E" w14:textId="73C4EC53" w:rsidR="00F826D0" w:rsidRPr="003328EE" w:rsidRDefault="00F826D0" w:rsidP="00D65F93">
            <w:pPr>
              <w:rPr>
                <w:rFonts w:eastAsia="Times New Roman"/>
                <w:color w:val="000000"/>
                <w:sz w:val="18"/>
                <w:szCs w:val="18"/>
              </w:rPr>
            </w:pPr>
            <w:r w:rsidRPr="003328EE">
              <w:rPr>
                <w:rFonts w:eastAsia="Times New Roman"/>
                <w:color w:val="000000"/>
                <w:sz w:val="18"/>
                <w:szCs w:val="18"/>
              </w:rPr>
              <w:t>Advertising</w:t>
            </w:r>
          </w:p>
        </w:tc>
        <w:tc>
          <w:tcPr>
            <w:tcW w:w="3183" w:type="dxa"/>
            <w:tcBorders>
              <w:top w:val="nil"/>
              <w:left w:val="nil"/>
              <w:bottom w:val="nil"/>
              <w:right w:val="nil"/>
            </w:tcBorders>
            <w:shd w:val="clear" w:color="auto" w:fill="auto"/>
            <w:noWrap/>
            <w:vAlign w:val="bottom"/>
            <w:hideMark/>
          </w:tcPr>
          <w:p w14:paraId="31A1FFBE" w14:textId="159DB323"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2EDCE00F" w14:textId="0E15F79F"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A8C7697" w14:textId="74B0FC4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9AE6236" w14:textId="63285D5A" w:rsidR="00F826D0" w:rsidRPr="003328EE" w:rsidRDefault="00F826D0" w:rsidP="00D65F93">
            <w:pPr>
              <w:rPr>
                <w:rFonts w:eastAsia="Times New Roman"/>
                <w:color w:val="000000"/>
                <w:sz w:val="18"/>
                <w:szCs w:val="18"/>
              </w:rPr>
            </w:pPr>
            <w:r w:rsidRPr="003328EE">
              <w:rPr>
                <w:rFonts w:eastAsia="Times New Roman"/>
                <w:color w:val="000000"/>
                <w:sz w:val="18"/>
                <w:szCs w:val="18"/>
              </w:rPr>
              <w:t>Hill, 2002</w:t>
            </w:r>
          </w:p>
        </w:tc>
        <w:tc>
          <w:tcPr>
            <w:tcW w:w="1156" w:type="dxa"/>
            <w:tcBorders>
              <w:top w:val="nil"/>
              <w:left w:val="nil"/>
              <w:bottom w:val="nil"/>
              <w:right w:val="nil"/>
            </w:tcBorders>
            <w:shd w:val="clear" w:color="auto" w:fill="auto"/>
            <w:noWrap/>
            <w:vAlign w:val="bottom"/>
            <w:hideMark/>
          </w:tcPr>
          <w:p w14:paraId="21FA85EA" w14:textId="6BAD4471"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B5B72B4" w14:textId="77777777" w:rsidTr="00D65F93">
        <w:trPr>
          <w:trHeight w:val="320"/>
        </w:trPr>
        <w:tc>
          <w:tcPr>
            <w:tcW w:w="3545" w:type="dxa"/>
            <w:tcBorders>
              <w:top w:val="nil"/>
              <w:left w:val="nil"/>
              <w:bottom w:val="nil"/>
              <w:right w:val="nil"/>
            </w:tcBorders>
            <w:shd w:val="clear" w:color="auto" w:fill="auto"/>
            <w:noWrap/>
            <w:vAlign w:val="bottom"/>
            <w:hideMark/>
          </w:tcPr>
          <w:p w14:paraId="7171D0D3" w14:textId="15A9893A" w:rsidR="00F826D0" w:rsidRPr="003328EE" w:rsidRDefault="00F826D0" w:rsidP="00D65F93">
            <w:pPr>
              <w:rPr>
                <w:rFonts w:eastAsia="Times New Roman"/>
                <w:color w:val="000000"/>
                <w:sz w:val="18"/>
                <w:szCs w:val="18"/>
              </w:rPr>
            </w:pPr>
            <w:r w:rsidRPr="003328EE">
              <w:rPr>
                <w:rFonts w:eastAsia="Times New Roman"/>
                <w:color w:val="000000"/>
                <w:sz w:val="18"/>
                <w:szCs w:val="18"/>
              </w:rPr>
              <w:t>Advertising</w:t>
            </w:r>
          </w:p>
        </w:tc>
        <w:tc>
          <w:tcPr>
            <w:tcW w:w="3183" w:type="dxa"/>
            <w:tcBorders>
              <w:top w:val="nil"/>
              <w:left w:val="nil"/>
              <w:bottom w:val="nil"/>
              <w:right w:val="nil"/>
            </w:tcBorders>
            <w:shd w:val="clear" w:color="auto" w:fill="auto"/>
            <w:noWrap/>
            <w:vAlign w:val="bottom"/>
            <w:hideMark/>
          </w:tcPr>
          <w:p w14:paraId="36652DE2" w14:textId="0370A0FB"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629DFB0F" w14:textId="2F39854A"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1B564FC" w14:textId="4628AFA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6EFFF07" w14:textId="32C6400C"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40175D1A" w14:textId="17C1FAE4"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B5E5889" w14:textId="77777777" w:rsidTr="00D65F93">
        <w:trPr>
          <w:trHeight w:val="320"/>
        </w:trPr>
        <w:tc>
          <w:tcPr>
            <w:tcW w:w="3545" w:type="dxa"/>
            <w:tcBorders>
              <w:top w:val="nil"/>
              <w:left w:val="nil"/>
              <w:bottom w:val="nil"/>
              <w:right w:val="nil"/>
            </w:tcBorders>
            <w:shd w:val="clear" w:color="auto" w:fill="auto"/>
            <w:noWrap/>
            <w:vAlign w:val="bottom"/>
            <w:hideMark/>
          </w:tcPr>
          <w:p w14:paraId="5E4C4F70" w14:textId="546DE0F0" w:rsidR="00F826D0" w:rsidRPr="003328EE" w:rsidRDefault="00F826D0" w:rsidP="00D65F93">
            <w:pPr>
              <w:rPr>
                <w:rFonts w:eastAsia="Times New Roman"/>
                <w:color w:val="000000"/>
                <w:sz w:val="18"/>
                <w:szCs w:val="18"/>
              </w:rPr>
            </w:pPr>
            <w:r w:rsidRPr="003328EE">
              <w:rPr>
                <w:rFonts w:eastAsia="Times New Roman"/>
                <w:color w:val="000000"/>
                <w:sz w:val="18"/>
                <w:szCs w:val="18"/>
              </w:rPr>
              <w:t>Advertising</w:t>
            </w:r>
          </w:p>
        </w:tc>
        <w:tc>
          <w:tcPr>
            <w:tcW w:w="3183" w:type="dxa"/>
            <w:tcBorders>
              <w:top w:val="nil"/>
              <w:left w:val="nil"/>
              <w:bottom w:val="nil"/>
              <w:right w:val="nil"/>
            </w:tcBorders>
            <w:shd w:val="clear" w:color="auto" w:fill="auto"/>
            <w:noWrap/>
            <w:vAlign w:val="bottom"/>
            <w:hideMark/>
          </w:tcPr>
          <w:p w14:paraId="309052AE" w14:textId="425AF7E4"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2BC0B2A1" w14:textId="7DD0F4DD"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A91A707" w14:textId="6A65DFB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0C17788" w14:textId="28529369"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79137AE3" w14:textId="79CAFDD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17B0BC9" w14:textId="77777777" w:rsidTr="00D65F93">
        <w:trPr>
          <w:trHeight w:val="320"/>
        </w:trPr>
        <w:tc>
          <w:tcPr>
            <w:tcW w:w="3545" w:type="dxa"/>
            <w:tcBorders>
              <w:top w:val="nil"/>
              <w:left w:val="nil"/>
              <w:bottom w:val="nil"/>
              <w:right w:val="nil"/>
            </w:tcBorders>
            <w:shd w:val="clear" w:color="auto" w:fill="auto"/>
            <w:noWrap/>
            <w:vAlign w:val="bottom"/>
            <w:hideMark/>
          </w:tcPr>
          <w:p w14:paraId="6D778C8F" w14:textId="1B5D3481" w:rsidR="00F826D0" w:rsidRPr="003328EE" w:rsidRDefault="00F826D0" w:rsidP="00D65F93">
            <w:pPr>
              <w:rPr>
                <w:rFonts w:eastAsia="Times New Roman"/>
                <w:color w:val="000000"/>
                <w:sz w:val="18"/>
                <w:szCs w:val="18"/>
              </w:rPr>
            </w:pPr>
            <w:r w:rsidRPr="003328EE">
              <w:rPr>
                <w:rFonts w:eastAsia="Times New Roman"/>
                <w:color w:val="000000"/>
                <w:sz w:val="18"/>
                <w:szCs w:val="18"/>
              </w:rPr>
              <w:t>Advertising</w:t>
            </w:r>
          </w:p>
        </w:tc>
        <w:tc>
          <w:tcPr>
            <w:tcW w:w="3183" w:type="dxa"/>
            <w:tcBorders>
              <w:top w:val="nil"/>
              <w:left w:val="nil"/>
              <w:bottom w:val="nil"/>
              <w:right w:val="nil"/>
            </w:tcBorders>
            <w:shd w:val="clear" w:color="auto" w:fill="auto"/>
            <w:noWrap/>
            <w:vAlign w:val="bottom"/>
            <w:hideMark/>
          </w:tcPr>
          <w:p w14:paraId="1E582F7B" w14:textId="5221ED60"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382239F5" w14:textId="5B9F52FF"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4162F4B" w14:textId="4E0C533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2210812" w14:textId="7DF844A0" w:rsidR="00F826D0" w:rsidRPr="003328EE" w:rsidRDefault="00F826D0" w:rsidP="00D65F93">
            <w:pPr>
              <w:rPr>
                <w:rFonts w:eastAsia="Times New Roman"/>
                <w:color w:val="000000"/>
                <w:sz w:val="18"/>
                <w:szCs w:val="18"/>
              </w:rPr>
            </w:pPr>
            <w:r w:rsidRPr="003328EE">
              <w:rPr>
                <w:rFonts w:eastAsia="Times New Roman"/>
                <w:color w:val="000000"/>
                <w:sz w:val="18"/>
                <w:szCs w:val="18"/>
              </w:rPr>
              <w:t>Chekima et al., 2016</w:t>
            </w:r>
          </w:p>
        </w:tc>
        <w:tc>
          <w:tcPr>
            <w:tcW w:w="1156" w:type="dxa"/>
            <w:tcBorders>
              <w:top w:val="nil"/>
              <w:left w:val="nil"/>
              <w:bottom w:val="nil"/>
              <w:right w:val="nil"/>
            </w:tcBorders>
            <w:shd w:val="clear" w:color="auto" w:fill="auto"/>
            <w:noWrap/>
            <w:vAlign w:val="bottom"/>
            <w:hideMark/>
          </w:tcPr>
          <w:p w14:paraId="383F5A61" w14:textId="61782D4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632B3B3" w14:textId="77777777" w:rsidTr="00D65F93">
        <w:trPr>
          <w:trHeight w:val="320"/>
        </w:trPr>
        <w:tc>
          <w:tcPr>
            <w:tcW w:w="3545" w:type="dxa"/>
            <w:tcBorders>
              <w:top w:val="nil"/>
              <w:left w:val="nil"/>
              <w:bottom w:val="nil"/>
              <w:right w:val="nil"/>
            </w:tcBorders>
            <w:shd w:val="clear" w:color="auto" w:fill="auto"/>
            <w:noWrap/>
            <w:vAlign w:val="bottom"/>
            <w:hideMark/>
          </w:tcPr>
          <w:p w14:paraId="188001FA" w14:textId="2F71559D" w:rsidR="00F826D0" w:rsidRPr="003328EE" w:rsidRDefault="00F826D0" w:rsidP="00D65F93">
            <w:pPr>
              <w:rPr>
                <w:rFonts w:eastAsia="Times New Roman"/>
                <w:color w:val="000000"/>
                <w:sz w:val="18"/>
                <w:szCs w:val="18"/>
              </w:rPr>
            </w:pPr>
            <w:r w:rsidRPr="003328EE">
              <w:rPr>
                <w:rFonts w:eastAsia="Times New Roman"/>
                <w:color w:val="000000"/>
                <w:sz w:val="18"/>
                <w:szCs w:val="18"/>
              </w:rPr>
              <w:t>Advertising</w:t>
            </w:r>
          </w:p>
        </w:tc>
        <w:tc>
          <w:tcPr>
            <w:tcW w:w="3183" w:type="dxa"/>
            <w:tcBorders>
              <w:top w:val="nil"/>
              <w:left w:val="nil"/>
              <w:bottom w:val="nil"/>
              <w:right w:val="nil"/>
            </w:tcBorders>
            <w:shd w:val="clear" w:color="auto" w:fill="auto"/>
            <w:noWrap/>
            <w:vAlign w:val="bottom"/>
            <w:hideMark/>
          </w:tcPr>
          <w:p w14:paraId="01D8934A" w14:textId="304E8EFE"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6C972B96" w14:textId="69B5CB5E"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E70120D" w14:textId="248E9258"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C717788" w14:textId="31986191" w:rsidR="00F826D0" w:rsidRPr="003328EE" w:rsidRDefault="00F826D0" w:rsidP="00D65F93">
            <w:pPr>
              <w:rPr>
                <w:rFonts w:eastAsia="Times New Roman"/>
                <w:color w:val="000000"/>
                <w:sz w:val="18"/>
                <w:szCs w:val="18"/>
              </w:rPr>
            </w:pPr>
            <w:r w:rsidRPr="003328EE">
              <w:rPr>
                <w:rFonts w:eastAsia="Times New Roman"/>
                <w:color w:val="000000"/>
                <w:sz w:val="18"/>
                <w:szCs w:val="18"/>
              </w:rPr>
              <w:t>Boyland et al., 2016</w:t>
            </w:r>
          </w:p>
        </w:tc>
        <w:tc>
          <w:tcPr>
            <w:tcW w:w="1156" w:type="dxa"/>
            <w:tcBorders>
              <w:top w:val="nil"/>
              <w:left w:val="nil"/>
              <w:bottom w:val="nil"/>
              <w:right w:val="nil"/>
            </w:tcBorders>
            <w:shd w:val="clear" w:color="auto" w:fill="auto"/>
            <w:noWrap/>
            <w:vAlign w:val="bottom"/>
            <w:hideMark/>
          </w:tcPr>
          <w:p w14:paraId="18036B29" w14:textId="65D2DEAD"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B2F6FF8" w14:textId="77777777" w:rsidTr="00D65F93">
        <w:trPr>
          <w:trHeight w:val="320"/>
        </w:trPr>
        <w:tc>
          <w:tcPr>
            <w:tcW w:w="3545" w:type="dxa"/>
            <w:tcBorders>
              <w:top w:val="nil"/>
              <w:left w:val="nil"/>
              <w:bottom w:val="nil"/>
              <w:right w:val="nil"/>
            </w:tcBorders>
            <w:shd w:val="clear" w:color="auto" w:fill="auto"/>
            <w:noWrap/>
            <w:vAlign w:val="bottom"/>
            <w:hideMark/>
          </w:tcPr>
          <w:p w14:paraId="7224AF85" w14:textId="01A92D78" w:rsidR="00F826D0" w:rsidRPr="003328EE" w:rsidRDefault="00F826D0" w:rsidP="00D65F93">
            <w:pPr>
              <w:rPr>
                <w:rFonts w:eastAsia="Times New Roman"/>
                <w:color w:val="000000"/>
                <w:sz w:val="18"/>
                <w:szCs w:val="18"/>
              </w:rPr>
            </w:pPr>
            <w:r w:rsidRPr="003328EE">
              <w:rPr>
                <w:rFonts w:eastAsia="Times New Roman"/>
                <w:color w:val="000000"/>
                <w:sz w:val="18"/>
                <w:szCs w:val="18"/>
              </w:rPr>
              <w:t>Advertising</w:t>
            </w:r>
          </w:p>
        </w:tc>
        <w:tc>
          <w:tcPr>
            <w:tcW w:w="3183" w:type="dxa"/>
            <w:tcBorders>
              <w:top w:val="nil"/>
              <w:left w:val="nil"/>
              <w:bottom w:val="nil"/>
              <w:right w:val="nil"/>
            </w:tcBorders>
            <w:shd w:val="clear" w:color="auto" w:fill="auto"/>
            <w:noWrap/>
            <w:vAlign w:val="bottom"/>
            <w:hideMark/>
          </w:tcPr>
          <w:p w14:paraId="046E64D3" w14:textId="488D3F9C"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1A1EAE86" w14:textId="199C41C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61A032D" w14:textId="1D5A4099"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EF8AD8A" w14:textId="32135F4E" w:rsidR="00F826D0" w:rsidRPr="003328EE" w:rsidRDefault="00F826D0" w:rsidP="00D65F93">
            <w:pPr>
              <w:rPr>
                <w:rFonts w:eastAsia="Times New Roman"/>
                <w:color w:val="000000"/>
                <w:sz w:val="18"/>
                <w:szCs w:val="18"/>
              </w:rPr>
            </w:pPr>
            <w:r w:rsidRPr="003328EE">
              <w:rPr>
                <w:rFonts w:eastAsia="Times New Roman"/>
                <w:color w:val="000000"/>
                <w:sz w:val="18"/>
                <w:szCs w:val="18"/>
              </w:rPr>
              <w:t>Bugge, 2016</w:t>
            </w:r>
          </w:p>
        </w:tc>
        <w:tc>
          <w:tcPr>
            <w:tcW w:w="1156" w:type="dxa"/>
            <w:tcBorders>
              <w:top w:val="nil"/>
              <w:left w:val="nil"/>
              <w:bottom w:val="nil"/>
              <w:right w:val="nil"/>
            </w:tcBorders>
            <w:shd w:val="clear" w:color="auto" w:fill="auto"/>
            <w:noWrap/>
            <w:vAlign w:val="bottom"/>
            <w:hideMark/>
          </w:tcPr>
          <w:p w14:paraId="352658F5" w14:textId="1767C24C"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BBCCCA7" w14:textId="77777777" w:rsidTr="00D65F93">
        <w:trPr>
          <w:trHeight w:val="320"/>
        </w:trPr>
        <w:tc>
          <w:tcPr>
            <w:tcW w:w="3545" w:type="dxa"/>
            <w:tcBorders>
              <w:top w:val="nil"/>
              <w:left w:val="nil"/>
              <w:bottom w:val="nil"/>
              <w:right w:val="nil"/>
            </w:tcBorders>
            <w:shd w:val="clear" w:color="auto" w:fill="auto"/>
            <w:noWrap/>
            <w:vAlign w:val="bottom"/>
            <w:hideMark/>
          </w:tcPr>
          <w:p w14:paraId="05E74315" w14:textId="413BF006" w:rsidR="00F826D0" w:rsidRPr="003328EE" w:rsidRDefault="00F826D0" w:rsidP="00D65F93">
            <w:pPr>
              <w:rPr>
                <w:rFonts w:eastAsia="Times New Roman"/>
                <w:color w:val="000000"/>
                <w:sz w:val="18"/>
                <w:szCs w:val="18"/>
              </w:rPr>
            </w:pPr>
            <w:r w:rsidRPr="003328EE">
              <w:rPr>
                <w:rFonts w:eastAsia="Times New Roman"/>
                <w:color w:val="000000"/>
                <w:sz w:val="18"/>
                <w:szCs w:val="18"/>
              </w:rPr>
              <w:t>Advertising</w:t>
            </w:r>
          </w:p>
        </w:tc>
        <w:tc>
          <w:tcPr>
            <w:tcW w:w="3183" w:type="dxa"/>
            <w:tcBorders>
              <w:top w:val="nil"/>
              <w:left w:val="nil"/>
              <w:bottom w:val="nil"/>
              <w:right w:val="nil"/>
            </w:tcBorders>
            <w:shd w:val="clear" w:color="auto" w:fill="auto"/>
            <w:noWrap/>
            <w:vAlign w:val="bottom"/>
            <w:hideMark/>
          </w:tcPr>
          <w:p w14:paraId="140522C5" w14:textId="00FCE1CF"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2413A481" w14:textId="4C0E418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09AA08A" w14:textId="24336FD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70D8008" w14:textId="59728568" w:rsidR="00F826D0" w:rsidRPr="003328EE" w:rsidRDefault="00F826D0" w:rsidP="00D65F93">
            <w:pPr>
              <w:rPr>
                <w:rFonts w:eastAsia="Times New Roman"/>
                <w:color w:val="000000"/>
                <w:sz w:val="18"/>
                <w:szCs w:val="18"/>
              </w:rPr>
            </w:pPr>
            <w:r w:rsidRPr="003328EE">
              <w:rPr>
                <w:rFonts w:eastAsia="Times New Roman"/>
                <w:color w:val="000000"/>
                <w:sz w:val="18"/>
                <w:szCs w:val="18"/>
              </w:rPr>
              <w:t>Vukmirovic, 2015</w:t>
            </w:r>
          </w:p>
        </w:tc>
        <w:tc>
          <w:tcPr>
            <w:tcW w:w="1156" w:type="dxa"/>
            <w:tcBorders>
              <w:top w:val="nil"/>
              <w:left w:val="nil"/>
              <w:bottom w:val="nil"/>
              <w:right w:val="nil"/>
            </w:tcBorders>
            <w:shd w:val="clear" w:color="auto" w:fill="auto"/>
            <w:noWrap/>
            <w:vAlign w:val="bottom"/>
            <w:hideMark/>
          </w:tcPr>
          <w:p w14:paraId="0BF5B210" w14:textId="3089D45D"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D0424A9" w14:textId="77777777" w:rsidTr="00D65F93">
        <w:trPr>
          <w:trHeight w:val="320"/>
        </w:trPr>
        <w:tc>
          <w:tcPr>
            <w:tcW w:w="3545" w:type="dxa"/>
            <w:tcBorders>
              <w:top w:val="nil"/>
              <w:left w:val="nil"/>
              <w:bottom w:val="nil"/>
              <w:right w:val="nil"/>
            </w:tcBorders>
            <w:shd w:val="clear" w:color="auto" w:fill="auto"/>
            <w:noWrap/>
            <w:vAlign w:val="bottom"/>
            <w:hideMark/>
          </w:tcPr>
          <w:p w14:paraId="45040F64" w14:textId="76579178" w:rsidR="00F826D0" w:rsidRPr="003328EE" w:rsidRDefault="00F826D0" w:rsidP="00D65F93">
            <w:pPr>
              <w:rPr>
                <w:rFonts w:eastAsia="Times New Roman"/>
                <w:color w:val="000000"/>
                <w:sz w:val="18"/>
                <w:szCs w:val="18"/>
              </w:rPr>
            </w:pPr>
            <w:r w:rsidRPr="003328EE">
              <w:rPr>
                <w:rFonts w:eastAsia="Times New Roman"/>
                <w:color w:val="000000"/>
                <w:sz w:val="18"/>
                <w:szCs w:val="18"/>
              </w:rPr>
              <w:t>Advocacy Websites</w:t>
            </w:r>
          </w:p>
        </w:tc>
        <w:tc>
          <w:tcPr>
            <w:tcW w:w="3183" w:type="dxa"/>
            <w:tcBorders>
              <w:top w:val="nil"/>
              <w:left w:val="nil"/>
              <w:bottom w:val="nil"/>
              <w:right w:val="nil"/>
            </w:tcBorders>
            <w:shd w:val="clear" w:color="auto" w:fill="auto"/>
            <w:noWrap/>
            <w:vAlign w:val="bottom"/>
            <w:hideMark/>
          </w:tcPr>
          <w:p w14:paraId="47CF3862" w14:textId="4BB38BEE"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73B2E542" w14:textId="60D09F30"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1121721" w14:textId="178A107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E0E1419" w14:textId="317E355E" w:rsidR="00F826D0" w:rsidRPr="003328EE" w:rsidRDefault="00F826D0" w:rsidP="00D65F93">
            <w:pPr>
              <w:rPr>
                <w:rFonts w:eastAsia="Times New Roman"/>
                <w:color w:val="000000"/>
                <w:sz w:val="18"/>
                <w:szCs w:val="18"/>
              </w:rPr>
            </w:pPr>
            <w:r w:rsidRPr="003328EE">
              <w:rPr>
                <w:rFonts w:eastAsia="Times New Roman"/>
                <w:color w:val="000000"/>
                <w:sz w:val="18"/>
                <w:szCs w:val="18"/>
              </w:rPr>
              <w:t>Hopkins, 2015</w:t>
            </w:r>
          </w:p>
        </w:tc>
        <w:tc>
          <w:tcPr>
            <w:tcW w:w="1156" w:type="dxa"/>
            <w:tcBorders>
              <w:top w:val="nil"/>
              <w:left w:val="nil"/>
              <w:bottom w:val="nil"/>
              <w:right w:val="nil"/>
            </w:tcBorders>
            <w:shd w:val="clear" w:color="auto" w:fill="auto"/>
            <w:noWrap/>
            <w:vAlign w:val="bottom"/>
            <w:hideMark/>
          </w:tcPr>
          <w:p w14:paraId="1D25C505" w14:textId="0480B02F"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3B8B7B57" w14:textId="77777777" w:rsidTr="00D65F93">
        <w:trPr>
          <w:trHeight w:val="320"/>
        </w:trPr>
        <w:tc>
          <w:tcPr>
            <w:tcW w:w="3545" w:type="dxa"/>
            <w:tcBorders>
              <w:top w:val="nil"/>
              <w:left w:val="nil"/>
              <w:bottom w:val="nil"/>
              <w:right w:val="nil"/>
            </w:tcBorders>
            <w:shd w:val="clear" w:color="auto" w:fill="auto"/>
            <w:noWrap/>
            <w:vAlign w:val="bottom"/>
            <w:hideMark/>
          </w:tcPr>
          <w:p w14:paraId="32FF4B0D" w14:textId="3CB82F29" w:rsidR="00F826D0" w:rsidRPr="003328EE" w:rsidRDefault="00F826D0" w:rsidP="00D65F93">
            <w:pPr>
              <w:rPr>
                <w:rFonts w:eastAsia="Times New Roman"/>
                <w:color w:val="000000"/>
                <w:sz w:val="18"/>
                <w:szCs w:val="18"/>
              </w:rPr>
            </w:pPr>
            <w:r w:rsidRPr="003328EE">
              <w:rPr>
                <w:rFonts w:eastAsia="Times New Roman"/>
                <w:color w:val="000000"/>
                <w:sz w:val="18"/>
                <w:szCs w:val="18"/>
              </w:rPr>
              <w:t>Brand Familiarity</w:t>
            </w:r>
          </w:p>
        </w:tc>
        <w:tc>
          <w:tcPr>
            <w:tcW w:w="3183" w:type="dxa"/>
            <w:tcBorders>
              <w:top w:val="nil"/>
              <w:left w:val="nil"/>
              <w:bottom w:val="nil"/>
              <w:right w:val="nil"/>
            </w:tcBorders>
            <w:shd w:val="clear" w:color="auto" w:fill="auto"/>
            <w:noWrap/>
            <w:vAlign w:val="bottom"/>
            <w:hideMark/>
          </w:tcPr>
          <w:p w14:paraId="06EEFB88" w14:textId="78D724B4"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193440AA" w14:textId="76782775"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04A16C57" w14:textId="4ED900C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FC5EA05" w14:textId="6CC062EB"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26AFA64C" w14:textId="29D96CF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4028F1C" w14:textId="77777777" w:rsidTr="00D65F93">
        <w:trPr>
          <w:trHeight w:val="320"/>
        </w:trPr>
        <w:tc>
          <w:tcPr>
            <w:tcW w:w="3545" w:type="dxa"/>
            <w:tcBorders>
              <w:top w:val="nil"/>
              <w:left w:val="nil"/>
              <w:bottom w:val="nil"/>
              <w:right w:val="nil"/>
            </w:tcBorders>
            <w:shd w:val="clear" w:color="auto" w:fill="auto"/>
            <w:noWrap/>
            <w:vAlign w:val="bottom"/>
            <w:hideMark/>
          </w:tcPr>
          <w:p w14:paraId="71078840" w14:textId="3D089888" w:rsidR="00F826D0" w:rsidRPr="003328EE" w:rsidRDefault="00F826D0" w:rsidP="00D65F93">
            <w:pPr>
              <w:rPr>
                <w:rFonts w:eastAsia="Times New Roman"/>
                <w:color w:val="000000"/>
                <w:sz w:val="18"/>
                <w:szCs w:val="18"/>
              </w:rPr>
            </w:pPr>
            <w:r w:rsidRPr="003328EE">
              <w:rPr>
                <w:rFonts w:eastAsia="Times New Roman"/>
                <w:color w:val="000000"/>
                <w:sz w:val="18"/>
                <w:szCs w:val="18"/>
              </w:rPr>
              <w:t>Campaigns</w:t>
            </w:r>
          </w:p>
        </w:tc>
        <w:tc>
          <w:tcPr>
            <w:tcW w:w="3183" w:type="dxa"/>
            <w:tcBorders>
              <w:top w:val="nil"/>
              <w:left w:val="nil"/>
              <w:bottom w:val="nil"/>
              <w:right w:val="nil"/>
            </w:tcBorders>
            <w:shd w:val="clear" w:color="auto" w:fill="auto"/>
            <w:noWrap/>
            <w:vAlign w:val="bottom"/>
            <w:hideMark/>
          </w:tcPr>
          <w:p w14:paraId="490302AD" w14:textId="11ED5D89"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138A7168" w14:textId="18EED6B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12D4BFE" w14:textId="5CF138A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1C9255F" w14:textId="4ACBE46C" w:rsidR="00F826D0" w:rsidRPr="003328EE" w:rsidRDefault="00F826D0" w:rsidP="00D65F93">
            <w:pPr>
              <w:rPr>
                <w:rFonts w:eastAsia="Times New Roman"/>
                <w:color w:val="000000"/>
                <w:sz w:val="18"/>
                <w:szCs w:val="18"/>
              </w:rPr>
            </w:pPr>
            <w:r w:rsidRPr="003328EE">
              <w:rPr>
                <w:rFonts w:eastAsia="Times New Roman"/>
                <w:color w:val="000000"/>
                <w:sz w:val="18"/>
                <w:szCs w:val="18"/>
              </w:rPr>
              <w:t>Hirschler, 2011</w:t>
            </w:r>
          </w:p>
        </w:tc>
        <w:tc>
          <w:tcPr>
            <w:tcW w:w="1156" w:type="dxa"/>
            <w:tcBorders>
              <w:top w:val="nil"/>
              <w:left w:val="nil"/>
              <w:bottom w:val="nil"/>
              <w:right w:val="nil"/>
            </w:tcBorders>
            <w:shd w:val="clear" w:color="auto" w:fill="auto"/>
            <w:noWrap/>
            <w:vAlign w:val="bottom"/>
            <w:hideMark/>
          </w:tcPr>
          <w:p w14:paraId="1CAB55AD" w14:textId="22224AA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E1A6263" w14:textId="77777777" w:rsidTr="00D65F93">
        <w:trPr>
          <w:trHeight w:val="320"/>
        </w:trPr>
        <w:tc>
          <w:tcPr>
            <w:tcW w:w="3545" w:type="dxa"/>
            <w:tcBorders>
              <w:top w:val="nil"/>
              <w:left w:val="nil"/>
              <w:bottom w:val="nil"/>
              <w:right w:val="nil"/>
            </w:tcBorders>
            <w:shd w:val="clear" w:color="auto" w:fill="auto"/>
            <w:noWrap/>
            <w:vAlign w:val="bottom"/>
            <w:hideMark/>
          </w:tcPr>
          <w:p w14:paraId="21391E09" w14:textId="684102F6" w:rsidR="00F826D0" w:rsidRPr="003328EE" w:rsidRDefault="00F826D0" w:rsidP="00D65F93">
            <w:pPr>
              <w:rPr>
                <w:rFonts w:eastAsia="Times New Roman"/>
                <w:color w:val="000000"/>
                <w:sz w:val="18"/>
                <w:szCs w:val="18"/>
              </w:rPr>
            </w:pPr>
            <w:r w:rsidRPr="003328EE">
              <w:rPr>
                <w:rFonts w:eastAsia="Times New Roman"/>
                <w:color w:val="000000"/>
                <w:sz w:val="18"/>
                <w:szCs w:val="18"/>
              </w:rPr>
              <w:t>Celebrities</w:t>
            </w:r>
          </w:p>
        </w:tc>
        <w:tc>
          <w:tcPr>
            <w:tcW w:w="3183" w:type="dxa"/>
            <w:tcBorders>
              <w:top w:val="nil"/>
              <w:left w:val="nil"/>
              <w:bottom w:val="nil"/>
              <w:right w:val="nil"/>
            </w:tcBorders>
            <w:shd w:val="clear" w:color="auto" w:fill="auto"/>
            <w:noWrap/>
            <w:vAlign w:val="bottom"/>
            <w:hideMark/>
          </w:tcPr>
          <w:p w14:paraId="2741F24C" w14:textId="368A9C24"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27F91BD6" w14:textId="2F72C8A9"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AADAC7F" w14:textId="570D8BA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3BF501E" w14:textId="004A7B32" w:rsidR="00F826D0" w:rsidRPr="003328EE" w:rsidRDefault="00F826D0" w:rsidP="00D65F93">
            <w:pPr>
              <w:rPr>
                <w:rFonts w:eastAsia="Times New Roman"/>
                <w:color w:val="000000"/>
                <w:sz w:val="18"/>
                <w:szCs w:val="18"/>
              </w:rPr>
            </w:pPr>
            <w:r w:rsidRPr="003328EE">
              <w:rPr>
                <w:rFonts w:eastAsia="Times New Roman"/>
                <w:color w:val="000000"/>
                <w:sz w:val="18"/>
                <w:szCs w:val="18"/>
              </w:rPr>
              <w:t>Hill, 2002</w:t>
            </w:r>
          </w:p>
        </w:tc>
        <w:tc>
          <w:tcPr>
            <w:tcW w:w="1156" w:type="dxa"/>
            <w:tcBorders>
              <w:top w:val="nil"/>
              <w:left w:val="nil"/>
              <w:bottom w:val="nil"/>
              <w:right w:val="nil"/>
            </w:tcBorders>
            <w:shd w:val="clear" w:color="auto" w:fill="auto"/>
            <w:noWrap/>
            <w:vAlign w:val="bottom"/>
            <w:hideMark/>
          </w:tcPr>
          <w:p w14:paraId="2D71496B" w14:textId="6C868B33"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02926B5" w14:textId="77777777" w:rsidTr="00D65F93">
        <w:trPr>
          <w:trHeight w:val="320"/>
        </w:trPr>
        <w:tc>
          <w:tcPr>
            <w:tcW w:w="3545" w:type="dxa"/>
            <w:tcBorders>
              <w:top w:val="nil"/>
              <w:left w:val="nil"/>
              <w:bottom w:val="nil"/>
              <w:right w:val="nil"/>
            </w:tcBorders>
            <w:shd w:val="clear" w:color="auto" w:fill="auto"/>
            <w:noWrap/>
            <w:vAlign w:val="bottom"/>
            <w:hideMark/>
          </w:tcPr>
          <w:p w14:paraId="053D6BFA" w14:textId="3D433CB9" w:rsidR="00F826D0" w:rsidRPr="003328EE" w:rsidRDefault="00F826D0" w:rsidP="00D65F93">
            <w:pPr>
              <w:rPr>
                <w:rFonts w:eastAsia="Times New Roman"/>
                <w:color w:val="000000"/>
                <w:sz w:val="18"/>
                <w:szCs w:val="18"/>
              </w:rPr>
            </w:pPr>
            <w:r w:rsidRPr="003328EE">
              <w:rPr>
                <w:rFonts w:eastAsia="Times New Roman"/>
                <w:color w:val="000000"/>
                <w:sz w:val="18"/>
                <w:szCs w:val="18"/>
              </w:rPr>
              <w:t>Communication Technology</w:t>
            </w:r>
          </w:p>
        </w:tc>
        <w:tc>
          <w:tcPr>
            <w:tcW w:w="3183" w:type="dxa"/>
            <w:tcBorders>
              <w:top w:val="nil"/>
              <w:left w:val="nil"/>
              <w:bottom w:val="nil"/>
              <w:right w:val="nil"/>
            </w:tcBorders>
            <w:shd w:val="clear" w:color="auto" w:fill="auto"/>
            <w:noWrap/>
            <w:vAlign w:val="bottom"/>
            <w:hideMark/>
          </w:tcPr>
          <w:p w14:paraId="2063FA9D" w14:textId="7C52F36B"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369213A1" w14:textId="6C207325"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D07E2FA" w14:textId="588C399F"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29B6257" w14:textId="7E270A89" w:rsidR="00F826D0" w:rsidRPr="003328EE" w:rsidRDefault="00F826D0" w:rsidP="00D65F93">
            <w:pPr>
              <w:rPr>
                <w:rFonts w:eastAsia="Times New Roman"/>
                <w:color w:val="000000"/>
                <w:sz w:val="18"/>
                <w:szCs w:val="18"/>
              </w:rPr>
            </w:pPr>
            <w:r w:rsidRPr="003328EE">
              <w:rPr>
                <w:rFonts w:eastAsia="Times New Roman"/>
                <w:color w:val="000000"/>
                <w:sz w:val="18"/>
                <w:szCs w:val="18"/>
              </w:rPr>
              <w:t>Kim et al., 1999</w:t>
            </w:r>
          </w:p>
        </w:tc>
        <w:tc>
          <w:tcPr>
            <w:tcW w:w="1156" w:type="dxa"/>
            <w:tcBorders>
              <w:top w:val="nil"/>
              <w:left w:val="nil"/>
              <w:bottom w:val="nil"/>
              <w:right w:val="nil"/>
            </w:tcBorders>
            <w:shd w:val="clear" w:color="auto" w:fill="auto"/>
            <w:noWrap/>
            <w:vAlign w:val="bottom"/>
            <w:hideMark/>
          </w:tcPr>
          <w:p w14:paraId="2E18956C" w14:textId="427389A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939730E" w14:textId="77777777" w:rsidTr="00D65F93">
        <w:trPr>
          <w:trHeight w:val="320"/>
        </w:trPr>
        <w:tc>
          <w:tcPr>
            <w:tcW w:w="3545" w:type="dxa"/>
            <w:tcBorders>
              <w:top w:val="nil"/>
              <w:left w:val="nil"/>
              <w:bottom w:val="nil"/>
              <w:right w:val="nil"/>
            </w:tcBorders>
            <w:shd w:val="clear" w:color="auto" w:fill="auto"/>
            <w:noWrap/>
            <w:vAlign w:val="bottom"/>
            <w:hideMark/>
          </w:tcPr>
          <w:p w14:paraId="45BE9265" w14:textId="5097EF53" w:rsidR="00F826D0" w:rsidRPr="003328EE" w:rsidRDefault="00F826D0" w:rsidP="00D65F93">
            <w:pPr>
              <w:rPr>
                <w:rFonts w:eastAsia="Times New Roman"/>
                <w:color w:val="000000"/>
                <w:sz w:val="18"/>
                <w:szCs w:val="18"/>
              </w:rPr>
            </w:pPr>
            <w:r w:rsidRPr="003328EE">
              <w:rPr>
                <w:rFonts w:eastAsia="Times New Roman"/>
                <w:color w:val="000000"/>
                <w:sz w:val="18"/>
                <w:szCs w:val="18"/>
              </w:rPr>
              <w:t>Disproportionate Advertising</w:t>
            </w:r>
          </w:p>
        </w:tc>
        <w:tc>
          <w:tcPr>
            <w:tcW w:w="3183" w:type="dxa"/>
            <w:tcBorders>
              <w:top w:val="nil"/>
              <w:left w:val="nil"/>
              <w:bottom w:val="nil"/>
              <w:right w:val="nil"/>
            </w:tcBorders>
            <w:shd w:val="clear" w:color="auto" w:fill="auto"/>
            <w:noWrap/>
            <w:vAlign w:val="bottom"/>
            <w:hideMark/>
          </w:tcPr>
          <w:p w14:paraId="3B02FFB7" w14:textId="78C7E480"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7D18DB3B" w14:textId="41CCFB4F"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D9F58C6" w14:textId="6182226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51D84F7" w14:textId="3C9039C6" w:rsidR="00F826D0" w:rsidRPr="003328EE" w:rsidRDefault="00F826D0" w:rsidP="00D65F93">
            <w:pPr>
              <w:rPr>
                <w:rFonts w:eastAsia="Times New Roman"/>
                <w:color w:val="000000"/>
                <w:sz w:val="18"/>
                <w:szCs w:val="18"/>
              </w:rPr>
            </w:pPr>
            <w:r w:rsidRPr="003328EE">
              <w:rPr>
                <w:rFonts w:eastAsia="Times New Roman"/>
                <w:color w:val="000000"/>
                <w:sz w:val="18"/>
                <w:szCs w:val="18"/>
              </w:rPr>
              <w:t>Nestle, 1999</w:t>
            </w:r>
          </w:p>
        </w:tc>
        <w:tc>
          <w:tcPr>
            <w:tcW w:w="1156" w:type="dxa"/>
            <w:tcBorders>
              <w:top w:val="nil"/>
              <w:left w:val="nil"/>
              <w:bottom w:val="nil"/>
              <w:right w:val="nil"/>
            </w:tcBorders>
            <w:shd w:val="clear" w:color="auto" w:fill="auto"/>
            <w:noWrap/>
            <w:vAlign w:val="bottom"/>
            <w:hideMark/>
          </w:tcPr>
          <w:p w14:paraId="7882B3D2" w14:textId="591C58AF"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3276F772" w14:textId="77777777" w:rsidTr="00D65F93">
        <w:trPr>
          <w:trHeight w:val="320"/>
        </w:trPr>
        <w:tc>
          <w:tcPr>
            <w:tcW w:w="3545" w:type="dxa"/>
            <w:tcBorders>
              <w:top w:val="nil"/>
              <w:left w:val="nil"/>
              <w:bottom w:val="nil"/>
              <w:right w:val="nil"/>
            </w:tcBorders>
            <w:shd w:val="clear" w:color="auto" w:fill="auto"/>
            <w:noWrap/>
            <w:vAlign w:val="bottom"/>
            <w:hideMark/>
          </w:tcPr>
          <w:p w14:paraId="3BFFABFD" w14:textId="52B86367" w:rsidR="00F826D0" w:rsidRPr="003328EE" w:rsidRDefault="00F826D0" w:rsidP="00D65F93">
            <w:pPr>
              <w:rPr>
                <w:rFonts w:eastAsia="Times New Roman"/>
                <w:color w:val="000000"/>
                <w:sz w:val="18"/>
                <w:szCs w:val="18"/>
              </w:rPr>
            </w:pPr>
            <w:r w:rsidRPr="003328EE">
              <w:rPr>
                <w:rFonts w:eastAsia="Times New Roman"/>
                <w:color w:val="000000"/>
                <w:sz w:val="18"/>
                <w:szCs w:val="18"/>
              </w:rPr>
              <w:t>Fast Food</w:t>
            </w:r>
          </w:p>
        </w:tc>
        <w:tc>
          <w:tcPr>
            <w:tcW w:w="3183" w:type="dxa"/>
            <w:tcBorders>
              <w:top w:val="nil"/>
              <w:left w:val="nil"/>
              <w:bottom w:val="nil"/>
              <w:right w:val="nil"/>
            </w:tcBorders>
            <w:shd w:val="clear" w:color="auto" w:fill="auto"/>
            <w:noWrap/>
            <w:vAlign w:val="bottom"/>
            <w:hideMark/>
          </w:tcPr>
          <w:p w14:paraId="5A75E2D3" w14:textId="17637D69"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778B914A" w14:textId="42D740B9"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051BF84" w14:textId="24AE3BB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B2CF9B5" w14:textId="6DAF496E"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2774448F" w14:textId="53D8F87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2D9090C" w14:textId="77777777" w:rsidTr="00D65F93">
        <w:trPr>
          <w:trHeight w:val="320"/>
        </w:trPr>
        <w:tc>
          <w:tcPr>
            <w:tcW w:w="3545" w:type="dxa"/>
            <w:tcBorders>
              <w:top w:val="nil"/>
              <w:left w:val="nil"/>
              <w:bottom w:val="nil"/>
              <w:right w:val="nil"/>
            </w:tcBorders>
            <w:shd w:val="clear" w:color="auto" w:fill="auto"/>
            <w:noWrap/>
            <w:vAlign w:val="bottom"/>
            <w:hideMark/>
          </w:tcPr>
          <w:p w14:paraId="18FF8D8F" w14:textId="7DB61D9D" w:rsidR="00F826D0" w:rsidRPr="003328EE" w:rsidRDefault="00F826D0" w:rsidP="00D65F93">
            <w:pPr>
              <w:rPr>
                <w:rFonts w:eastAsia="Times New Roman"/>
                <w:color w:val="000000"/>
                <w:sz w:val="18"/>
                <w:szCs w:val="18"/>
              </w:rPr>
            </w:pPr>
            <w:r w:rsidRPr="003328EE">
              <w:rPr>
                <w:rFonts w:eastAsia="Times New Roman"/>
                <w:color w:val="000000"/>
                <w:sz w:val="18"/>
                <w:szCs w:val="18"/>
              </w:rPr>
              <w:t>Fast Food</w:t>
            </w:r>
          </w:p>
        </w:tc>
        <w:tc>
          <w:tcPr>
            <w:tcW w:w="3183" w:type="dxa"/>
            <w:tcBorders>
              <w:top w:val="nil"/>
              <w:left w:val="nil"/>
              <w:bottom w:val="nil"/>
              <w:right w:val="nil"/>
            </w:tcBorders>
            <w:shd w:val="clear" w:color="auto" w:fill="auto"/>
            <w:noWrap/>
            <w:vAlign w:val="bottom"/>
            <w:hideMark/>
          </w:tcPr>
          <w:p w14:paraId="1EE662D2" w14:textId="2A892B6A"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0769CACA" w14:textId="73FEC3E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00955937" w14:textId="0C18B5E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C8C3E6F" w14:textId="6F10EBF5" w:rsidR="00F826D0" w:rsidRPr="003328EE" w:rsidRDefault="00F826D0" w:rsidP="00D65F93">
            <w:pPr>
              <w:rPr>
                <w:rFonts w:eastAsia="Times New Roman"/>
                <w:color w:val="000000"/>
                <w:sz w:val="18"/>
                <w:szCs w:val="18"/>
              </w:rPr>
            </w:pPr>
            <w:r w:rsidRPr="003328EE">
              <w:rPr>
                <w:rFonts w:eastAsia="Times New Roman"/>
                <w:color w:val="000000"/>
                <w:sz w:val="18"/>
                <w:szCs w:val="18"/>
              </w:rPr>
              <w:t>Sonntag et al., 2015</w:t>
            </w:r>
          </w:p>
        </w:tc>
        <w:tc>
          <w:tcPr>
            <w:tcW w:w="1156" w:type="dxa"/>
            <w:tcBorders>
              <w:top w:val="nil"/>
              <w:left w:val="nil"/>
              <w:bottom w:val="nil"/>
              <w:right w:val="nil"/>
            </w:tcBorders>
            <w:shd w:val="clear" w:color="auto" w:fill="auto"/>
            <w:noWrap/>
            <w:vAlign w:val="bottom"/>
            <w:hideMark/>
          </w:tcPr>
          <w:p w14:paraId="2B443604" w14:textId="5F3ED8A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9D87005" w14:textId="77777777" w:rsidTr="00D65F93">
        <w:trPr>
          <w:trHeight w:val="320"/>
        </w:trPr>
        <w:tc>
          <w:tcPr>
            <w:tcW w:w="3545" w:type="dxa"/>
            <w:tcBorders>
              <w:top w:val="nil"/>
              <w:left w:val="nil"/>
              <w:bottom w:val="nil"/>
              <w:right w:val="nil"/>
            </w:tcBorders>
            <w:shd w:val="clear" w:color="auto" w:fill="auto"/>
            <w:noWrap/>
            <w:vAlign w:val="bottom"/>
            <w:hideMark/>
          </w:tcPr>
          <w:p w14:paraId="0B3D0A26" w14:textId="7FDAEB1C" w:rsidR="00F826D0" w:rsidRPr="003328EE" w:rsidRDefault="00F826D0" w:rsidP="00D65F93">
            <w:pPr>
              <w:rPr>
                <w:rFonts w:eastAsia="Times New Roman"/>
                <w:color w:val="000000"/>
                <w:sz w:val="18"/>
                <w:szCs w:val="18"/>
              </w:rPr>
            </w:pPr>
            <w:r w:rsidRPr="003328EE">
              <w:rPr>
                <w:rFonts w:eastAsia="Times New Roman"/>
                <w:color w:val="000000"/>
                <w:sz w:val="18"/>
                <w:szCs w:val="18"/>
              </w:rPr>
              <w:t>Frequency of Advertisements</w:t>
            </w:r>
          </w:p>
        </w:tc>
        <w:tc>
          <w:tcPr>
            <w:tcW w:w="3183" w:type="dxa"/>
            <w:tcBorders>
              <w:top w:val="nil"/>
              <w:left w:val="nil"/>
              <w:bottom w:val="nil"/>
              <w:right w:val="nil"/>
            </w:tcBorders>
            <w:shd w:val="clear" w:color="auto" w:fill="auto"/>
            <w:noWrap/>
            <w:vAlign w:val="bottom"/>
            <w:hideMark/>
          </w:tcPr>
          <w:p w14:paraId="3FBAFFCA" w14:textId="55AC1BAC"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03F3B3C4" w14:textId="2E41E5B2"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7440F57" w14:textId="25D7E7F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90D4BBB" w14:textId="3AC08CE6" w:rsidR="00F826D0" w:rsidRPr="003328EE" w:rsidRDefault="00F826D0" w:rsidP="00D65F93">
            <w:pPr>
              <w:rPr>
                <w:rFonts w:eastAsia="Times New Roman"/>
                <w:color w:val="000000"/>
                <w:sz w:val="18"/>
                <w:szCs w:val="18"/>
              </w:rPr>
            </w:pPr>
            <w:r w:rsidRPr="003328EE">
              <w:rPr>
                <w:rFonts w:eastAsia="Times New Roman"/>
                <w:color w:val="000000"/>
                <w:sz w:val="18"/>
                <w:szCs w:val="18"/>
              </w:rPr>
              <w:t>Misbach et al., 2015</w:t>
            </w:r>
          </w:p>
        </w:tc>
        <w:tc>
          <w:tcPr>
            <w:tcW w:w="1156" w:type="dxa"/>
            <w:tcBorders>
              <w:top w:val="nil"/>
              <w:left w:val="nil"/>
              <w:bottom w:val="nil"/>
              <w:right w:val="nil"/>
            </w:tcBorders>
            <w:shd w:val="clear" w:color="auto" w:fill="auto"/>
            <w:noWrap/>
            <w:vAlign w:val="bottom"/>
            <w:hideMark/>
          </w:tcPr>
          <w:p w14:paraId="1E1F1795" w14:textId="3D43F43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B94025C" w14:textId="77777777" w:rsidTr="00D65F93">
        <w:trPr>
          <w:trHeight w:val="320"/>
        </w:trPr>
        <w:tc>
          <w:tcPr>
            <w:tcW w:w="3545" w:type="dxa"/>
            <w:tcBorders>
              <w:top w:val="nil"/>
              <w:left w:val="nil"/>
              <w:bottom w:val="nil"/>
              <w:right w:val="nil"/>
            </w:tcBorders>
            <w:shd w:val="clear" w:color="auto" w:fill="auto"/>
            <w:noWrap/>
            <w:vAlign w:val="bottom"/>
            <w:hideMark/>
          </w:tcPr>
          <w:p w14:paraId="6F4E2ED4" w14:textId="68A96BD3" w:rsidR="00F826D0" w:rsidRPr="003328EE" w:rsidRDefault="00F826D0" w:rsidP="00D65F93">
            <w:pPr>
              <w:rPr>
                <w:rFonts w:eastAsia="Times New Roman"/>
                <w:color w:val="000000"/>
                <w:sz w:val="18"/>
                <w:szCs w:val="18"/>
              </w:rPr>
            </w:pPr>
            <w:r w:rsidRPr="003328EE">
              <w:rPr>
                <w:rFonts w:eastAsia="Times New Roman"/>
                <w:color w:val="000000"/>
                <w:sz w:val="18"/>
                <w:szCs w:val="18"/>
              </w:rPr>
              <w:t>Geography of Food</w:t>
            </w:r>
          </w:p>
        </w:tc>
        <w:tc>
          <w:tcPr>
            <w:tcW w:w="3183" w:type="dxa"/>
            <w:tcBorders>
              <w:top w:val="nil"/>
              <w:left w:val="nil"/>
              <w:bottom w:val="nil"/>
              <w:right w:val="nil"/>
            </w:tcBorders>
            <w:shd w:val="clear" w:color="auto" w:fill="auto"/>
            <w:noWrap/>
            <w:vAlign w:val="bottom"/>
            <w:hideMark/>
          </w:tcPr>
          <w:p w14:paraId="25677201" w14:textId="2CFB2D57"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0C8D54ED" w14:textId="1CB594F9"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4FFC34B" w14:textId="6E6664B3"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2F3DAC2" w14:textId="424BE8DF" w:rsidR="00F826D0" w:rsidRPr="003328EE" w:rsidRDefault="00F826D0" w:rsidP="00D65F93">
            <w:pPr>
              <w:rPr>
                <w:rFonts w:eastAsia="Times New Roman"/>
                <w:color w:val="000000"/>
                <w:sz w:val="18"/>
                <w:szCs w:val="18"/>
              </w:rPr>
            </w:pPr>
            <w:r w:rsidRPr="003328EE">
              <w:rPr>
                <w:rFonts w:eastAsia="Times New Roman"/>
                <w:color w:val="000000"/>
                <w:sz w:val="18"/>
                <w:szCs w:val="18"/>
              </w:rPr>
              <w:t>Rose, 2010</w:t>
            </w:r>
          </w:p>
        </w:tc>
        <w:tc>
          <w:tcPr>
            <w:tcW w:w="1156" w:type="dxa"/>
            <w:tcBorders>
              <w:top w:val="nil"/>
              <w:left w:val="nil"/>
              <w:bottom w:val="nil"/>
              <w:right w:val="nil"/>
            </w:tcBorders>
            <w:shd w:val="clear" w:color="auto" w:fill="auto"/>
            <w:noWrap/>
            <w:vAlign w:val="bottom"/>
            <w:hideMark/>
          </w:tcPr>
          <w:p w14:paraId="601BF507" w14:textId="0B036134" w:rsidR="00F826D0" w:rsidRPr="003328EE" w:rsidRDefault="00F826D0" w:rsidP="00D65F93">
            <w:pPr>
              <w:rPr>
                <w:rFonts w:eastAsia="Times New Roman"/>
                <w:color w:val="000000"/>
                <w:sz w:val="18"/>
                <w:szCs w:val="18"/>
              </w:rPr>
            </w:pPr>
            <w:r w:rsidRPr="003328EE">
              <w:rPr>
                <w:rFonts w:eastAsia="Times New Roman"/>
                <w:color w:val="000000"/>
                <w:sz w:val="18"/>
                <w:szCs w:val="18"/>
              </w:rPr>
              <w:t>Symposium</w:t>
            </w:r>
          </w:p>
        </w:tc>
      </w:tr>
      <w:tr w:rsidR="00F826D0" w:rsidRPr="003328EE" w14:paraId="78F3D5F5" w14:textId="77777777" w:rsidTr="00D65F93">
        <w:trPr>
          <w:trHeight w:val="320"/>
        </w:trPr>
        <w:tc>
          <w:tcPr>
            <w:tcW w:w="3545" w:type="dxa"/>
            <w:tcBorders>
              <w:top w:val="nil"/>
              <w:left w:val="nil"/>
              <w:bottom w:val="nil"/>
              <w:right w:val="nil"/>
            </w:tcBorders>
            <w:shd w:val="clear" w:color="auto" w:fill="auto"/>
            <w:noWrap/>
            <w:vAlign w:val="bottom"/>
            <w:hideMark/>
          </w:tcPr>
          <w:p w14:paraId="682B54B8" w14:textId="016D80D7" w:rsidR="00F826D0" w:rsidRPr="003328EE" w:rsidRDefault="00F826D0" w:rsidP="00D65F93">
            <w:pPr>
              <w:rPr>
                <w:rFonts w:eastAsia="Times New Roman"/>
                <w:color w:val="000000"/>
                <w:sz w:val="18"/>
                <w:szCs w:val="18"/>
              </w:rPr>
            </w:pPr>
            <w:r w:rsidRPr="003328EE">
              <w:rPr>
                <w:rFonts w:eastAsia="Times New Roman"/>
                <w:color w:val="000000"/>
                <w:sz w:val="18"/>
                <w:szCs w:val="18"/>
              </w:rPr>
              <w:t>Green Washing/ Nutrient-Washing</w:t>
            </w:r>
          </w:p>
        </w:tc>
        <w:tc>
          <w:tcPr>
            <w:tcW w:w="3183" w:type="dxa"/>
            <w:tcBorders>
              <w:top w:val="nil"/>
              <w:left w:val="nil"/>
              <w:bottom w:val="nil"/>
              <w:right w:val="nil"/>
            </w:tcBorders>
            <w:shd w:val="clear" w:color="auto" w:fill="auto"/>
            <w:noWrap/>
            <w:vAlign w:val="bottom"/>
            <w:hideMark/>
          </w:tcPr>
          <w:p w14:paraId="615DF3C1" w14:textId="1A3D96E9"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6C5D15F1" w14:textId="0ACAAD57"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A1FAECB" w14:textId="739A5211"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C817F7B" w14:textId="1B3B673B" w:rsidR="00F826D0" w:rsidRPr="003328EE" w:rsidRDefault="00F826D0" w:rsidP="00D65F93">
            <w:pPr>
              <w:rPr>
                <w:rFonts w:eastAsia="Times New Roman"/>
                <w:color w:val="000000"/>
                <w:sz w:val="18"/>
                <w:szCs w:val="18"/>
              </w:rPr>
            </w:pPr>
            <w:r w:rsidRPr="003328EE">
              <w:rPr>
                <w:rFonts w:eastAsia="Times New Roman"/>
                <w:color w:val="000000"/>
                <w:sz w:val="18"/>
                <w:szCs w:val="18"/>
              </w:rPr>
              <w:t>Choi &amp; Reid, 2015</w:t>
            </w:r>
          </w:p>
        </w:tc>
        <w:tc>
          <w:tcPr>
            <w:tcW w:w="1156" w:type="dxa"/>
            <w:tcBorders>
              <w:top w:val="nil"/>
              <w:left w:val="nil"/>
              <w:bottom w:val="nil"/>
              <w:right w:val="nil"/>
            </w:tcBorders>
            <w:shd w:val="clear" w:color="auto" w:fill="auto"/>
            <w:noWrap/>
            <w:vAlign w:val="bottom"/>
            <w:hideMark/>
          </w:tcPr>
          <w:p w14:paraId="4F047470" w14:textId="3E35C5E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95045A4" w14:textId="77777777" w:rsidTr="00D65F93">
        <w:trPr>
          <w:trHeight w:val="320"/>
        </w:trPr>
        <w:tc>
          <w:tcPr>
            <w:tcW w:w="3545" w:type="dxa"/>
            <w:tcBorders>
              <w:top w:val="nil"/>
              <w:left w:val="nil"/>
              <w:bottom w:val="nil"/>
              <w:right w:val="nil"/>
            </w:tcBorders>
            <w:shd w:val="clear" w:color="auto" w:fill="auto"/>
            <w:noWrap/>
            <w:vAlign w:val="bottom"/>
            <w:hideMark/>
          </w:tcPr>
          <w:p w14:paraId="3D642013" w14:textId="7C8F8660" w:rsidR="00F826D0" w:rsidRPr="003328EE" w:rsidRDefault="00F826D0" w:rsidP="00D65F93">
            <w:pPr>
              <w:rPr>
                <w:rFonts w:eastAsia="Times New Roman"/>
                <w:color w:val="000000"/>
                <w:sz w:val="18"/>
                <w:szCs w:val="18"/>
              </w:rPr>
            </w:pPr>
            <w:r w:rsidRPr="003328EE">
              <w:rPr>
                <w:rFonts w:eastAsia="Times New Roman"/>
                <w:color w:val="000000"/>
                <w:sz w:val="18"/>
                <w:szCs w:val="18"/>
              </w:rPr>
              <w:t>Industry Marketing</w:t>
            </w:r>
          </w:p>
        </w:tc>
        <w:tc>
          <w:tcPr>
            <w:tcW w:w="3183" w:type="dxa"/>
            <w:tcBorders>
              <w:top w:val="nil"/>
              <w:left w:val="nil"/>
              <w:bottom w:val="nil"/>
              <w:right w:val="nil"/>
            </w:tcBorders>
            <w:shd w:val="clear" w:color="auto" w:fill="auto"/>
            <w:noWrap/>
            <w:vAlign w:val="bottom"/>
            <w:hideMark/>
          </w:tcPr>
          <w:p w14:paraId="452F4D59" w14:textId="3F75D37B"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42B71E02" w14:textId="577A9939"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060701EE" w14:textId="7746E96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5E1BAB6" w14:textId="19005EF8" w:rsidR="00F826D0" w:rsidRPr="003328EE" w:rsidRDefault="00F826D0" w:rsidP="00D65F93">
            <w:pPr>
              <w:rPr>
                <w:rFonts w:eastAsia="Times New Roman"/>
                <w:color w:val="000000"/>
                <w:sz w:val="18"/>
                <w:szCs w:val="18"/>
              </w:rPr>
            </w:pPr>
            <w:r w:rsidRPr="003328EE">
              <w:rPr>
                <w:rFonts w:eastAsia="Times New Roman"/>
                <w:color w:val="000000"/>
                <w:sz w:val="18"/>
                <w:szCs w:val="18"/>
              </w:rPr>
              <w:t>Hill, 2002</w:t>
            </w:r>
          </w:p>
        </w:tc>
        <w:tc>
          <w:tcPr>
            <w:tcW w:w="1156" w:type="dxa"/>
            <w:tcBorders>
              <w:top w:val="nil"/>
              <w:left w:val="nil"/>
              <w:bottom w:val="nil"/>
              <w:right w:val="nil"/>
            </w:tcBorders>
            <w:shd w:val="clear" w:color="auto" w:fill="auto"/>
            <w:noWrap/>
            <w:vAlign w:val="bottom"/>
            <w:hideMark/>
          </w:tcPr>
          <w:p w14:paraId="4FC4BB3F" w14:textId="6D16BA30"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511B66F" w14:textId="77777777" w:rsidTr="00D65F93">
        <w:trPr>
          <w:trHeight w:val="320"/>
        </w:trPr>
        <w:tc>
          <w:tcPr>
            <w:tcW w:w="3545" w:type="dxa"/>
            <w:tcBorders>
              <w:top w:val="nil"/>
              <w:left w:val="nil"/>
              <w:bottom w:val="nil"/>
              <w:right w:val="nil"/>
            </w:tcBorders>
            <w:shd w:val="clear" w:color="auto" w:fill="auto"/>
            <w:noWrap/>
            <w:vAlign w:val="bottom"/>
            <w:hideMark/>
          </w:tcPr>
          <w:p w14:paraId="278C71AE" w14:textId="257AF5DC" w:rsidR="00F826D0" w:rsidRPr="003328EE" w:rsidRDefault="00F826D0" w:rsidP="00D65F93">
            <w:pPr>
              <w:rPr>
                <w:rFonts w:eastAsia="Times New Roman"/>
                <w:color w:val="000000"/>
                <w:sz w:val="18"/>
                <w:szCs w:val="18"/>
              </w:rPr>
            </w:pPr>
            <w:r w:rsidRPr="003328EE">
              <w:rPr>
                <w:rFonts w:eastAsia="Times New Roman"/>
                <w:color w:val="000000"/>
                <w:sz w:val="18"/>
                <w:szCs w:val="18"/>
              </w:rPr>
              <w:t>Influence of Shelf Space</w:t>
            </w:r>
          </w:p>
        </w:tc>
        <w:tc>
          <w:tcPr>
            <w:tcW w:w="3183" w:type="dxa"/>
            <w:tcBorders>
              <w:top w:val="nil"/>
              <w:left w:val="nil"/>
              <w:bottom w:val="nil"/>
              <w:right w:val="nil"/>
            </w:tcBorders>
            <w:shd w:val="clear" w:color="auto" w:fill="auto"/>
            <w:noWrap/>
            <w:vAlign w:val="bottom"/>
            <w:hideMark/>
          </w:tcPr>
          <w:p w14:paraId="51F1F687" w14:textId="461841D5"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4A8B7C79" w14:textId="0FEF4C66"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4330938" w14:textId="7D95AC5E"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4F58C54" w14:textId="6811544D" w:rsidR="00F826D0" w:rsidRPr="003328EE" w:rsidRDefault="00F826D0" w:rsidP="00D65F93">
            <w:pPr>
              <w:rPr>
                <w:rFonts w:eastAsia="Times New Roman"/>
                <w:color w:val="000000"/>
                <w:sz w:val="18"/>
                <w:szCs w:val="18"/>
              </w:rPr>
            </w:pPr>
            <w:r w:rsidRPr="003328EE">
              <w:rPr>
                <w:rFonts w:eastAsia="Times New Roman"/>
                <w:color w:val="000000"/>
                <w:sz w:val="18"/>
                <w:szCs w:val="18"/>
              </w:rPr>
              <w:t>Rose, 2010</w:t>
            </w:r>
          </w:p>
        </w:tc>
        <w:tc>
          <w:tcPr>
            <w:tcW w:w="1156" w:type="dxa"/>
            <w:tcBorders>
              <w:top w:val="nil"/>
              <w:left w:val="nil"/>
              <w:bottom w:val="nil"/>
              <w:right w:val="nil"/>
            </w:tcBorders>
            <w:shd w:val="clear" w:color="auto" w:fill="auto"/>
            <w:noWrap/>
            <w:vAlign w:val="bottom"/>
            <w:hideMark/>
          </w:tcPr>
          <w:p w14:paraId="2B1523F8" w14:textId="4291B79C" w:rsidR="00F826D0" w:rsidRPr="003328EE" w:rsidRDefault="00F826D0" w:rsidP="00D65F93">
            <w:pPr>
              <w:rPr>
                <w:rFonts w:eastAsia="Times New Roman"/>
                <w:color w:val="000000"/>
                <w:sz w:val="18"/>
                <w:szCs w:val="18"/>
              </w:rPr>
            </w:pPr>
            <w:r w:rsidRPr="003328EE">
              <w:rPr>
                <w:rFonts w:eastAsia="Times New Roman"/>
                <w:color w:val="000000"/>
                <w:sz w:val="18"/>
                <w:szCs w:val="18"/>
              </w:rPr>
              <w:t>Symposium</w:t>
            </w:r>
          </w:p>
        </w:tc>
      </w:tr>
      <w:tr w:rsidR="00F826D0" w:rsidRPr="003328EE" w14:paraId="4A8B73DD" w14:textId="77777777" w:rsidTr="00D65F93">
        <w:trPr>
          <w:trHeight w:val="320"/>
        </w:trPr>
        <w:tc>
          <w:tcPr>
            <w:tcW w:w="3545" w:type="dxa"/>
            <w:tcBorders>
              <w:top w:val="nil"/>
              <w:left w:val="nil"/>
              <w:bottom w:val="nil"/>
              <w:right w:val="nil"/>
            </w:tcBorders>
            <w:shd w:val="clear" w:color="auto" w:fill="auto"/>
            <w:noWrap/>
            <w:vAlign w:val="bottom"/>
            <w:hideMark/>
          </w:tcPr>
          <w:p w14:paraId="7390BC41" w14:textId="371ECEA5" w:rsidR="00F826D0" w:rsidRPr="003328EE" w:rsidRDefault="00F826D0" w:rsidP="00D65F93">
            <w:pPr>
              <w:rPr>
                <w:rFonts w:eastAsia="Times New Roman"/>
                <w:color w:val="000000"/>
                <w:sz w:val="18"/>
                <w:szCs w:val="18"/>
              </w:rPr>
            </w:pPr>
            <w:r w:rsidRPr="003328EE">
              <w:rPr>
                <w:rFonts w:eastAsia="Times New Roman"/>
                <w:color w:val="000000"/>
                <w:sz w:val="18"/>
                <w:szCs w:val="18"/>
              </w:rPr>
              <w:t>Lack of Vegetarian Brands</w:t>
            </w:r>
          </w:p>
        </w:tc>
        <w:tc>
          <w:tcPr>
            <w:tcW w:w="3183" w:type="dxa"/>
            <w:tcBorders>
              <w:top w:val="nil"/>
              <w:left w:val="nil"/>
              <w:bottom w:val="nil"/>
              <w:right w:val="nil"/>
            </w:tcBorders>
            <w:shd w:val="clear" w:color="auto" w:fill="auto"/>
            <w:noWrap/>
            <w:vAlign w:val="bottom"/>
            <w:hideMark/>
          </w:tcPr>
          <w:p w14:paraId="1292F417" w14:textId="425EF589"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2AAACE2E" w14:textId="6DEE82C5" w:rsidR="00F826D0" w:rsidRPr="003328EE" w:rsidRDefault="00F826D0" w:rsidP="00D65F93">
            <w:pPr>
              <w:rPr>
                <w:rFonts w:eastAsia="Times New Roman"/>
                <w:color w:val="000000"/>
                <w:sz w:val="18"/>
                <w:szCs w:val="18"/>
              </w:rPr>
            </w:pPr>
            <w:r>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5B47A8C" w14:textId="2DD237B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7CE43C6" w14:textId="3A287044" w:rsidR="00F826D0" w:rsidRPr="003328EE" w:rsidRDefault="00F826D0" w:rsidP="00D65F93">
            <w:pPr>
              <w:rPr>
                <w:rFonts w:eastAsia="Times New Roman"/>
                <w:color w:val="000000"/>
                <w:sz w:val="18"/>
                <w:szCs w:val="18"/>
              </w:rPr>
            </w:pPr>
            <w:r w:rsidRPr="003328EE">
              <w:rPr>
                <w:rFonts w:eastAsia="Times New Roman"/>
                <w:color w:val="000000"/>
                <w:sz w:val="18"/>
                <w:szCs w:val="18"/>
              </w:rPr>
              <w:t>Kim et al., 2016b</w:t>
            </w:r>
          </w:p>
        </w:tc>
        <w:tc>
          <w:tcPr>
            <w:tcW w:w="1156" w:type="dxa"/>
            <w:tcBorders>
              <w:top w:val="nil"/>
              <w:left w:val="nil"/>
              <w:bottom w:val="nil"/>
              <w:right w:val="nil"/>
            </w:tcBorders>
            <w:shd w:val="clear" w:color="auto" w:fill="auto"/>
            <w:noWrap/>
            <w:vAlign w:val="bottom"/>
            <w:hideMark/>
          </w:tcPr>
          <w:p w14:paraId="2F0AC099" w14:textId="70B74BD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1315057" w14:textId="77777777" w:rsidTr="00D65F93">
        <w:trPr>
          <w:trHeight w:val="320"/>
        </w:trPr>
        <w:tc>
          <w:tcPr>
            <w:tcW w:w="3545" w:type="dxa"/>
            <w:tcBorders>
              <w:top w:val="nil"/>
              <w:left w:val="nil"/>
              <w:bottom w:val="nil"/>
              <w:right w:val="nil"/>
            </w:tcBorders>
            <w:shd w:val="clear" w:color="auto" w:fill="auto"/>
            <w:noWrap/>
            <w:vAlign w:val="bottom"/>
            <w:hideMark/>
          </w:tcPr>
          <w:p w14:paraId="62E8CDA9" w14:textId="5D31D991" w:rsidR="00F826D0" w:rsidRPr="003328EE" w:rsidRDefault="00F826D0" w:rsidP="00D65F93">
            <w:pPr>
              <w:rPr>
                <w:rFonts w:eastAsia="Times New Roman"/>
                <w:color w:val="000000"/>
                <w:sz w:val="18"/>
                <w:szCs w:val="18"/>
              </w:rPr>
            </w:pPr>
            <w:r w:rsidRPr="003328EE">
              <w:rPr>
                <w:rFonts w:eastAsia="Times New Roman"/>
                <w:color w:val="000000"/>
                <w:sz w:val="18"/>
                <w:szCs w:val="18"/>
              </w:rPr>
              <w:t>Magazines</w:t>
            </w:r>
          </w:p>
        </w:tc>
        <w:tc>
          <w:tcPr>
            <w:tcW w:w="3183" w:type="dxa"/>
            <w:tcBorders>
              <w:top w:val="nil"/>
              <w:left w:val="nil"/>
              <w:bottom w:val="nil"/>
              <w:right w:val="nil"/>
            </w:tcBorders>
            <w:shd w:val="clear" w:color="auto" w:fill="auto"/>
            <w:noWrap/>
            <w:vAlign w:val="bottom"/>
            <w:hideMark/>
          </w:tcPr>
          <w:p w14:paraId="1826A736" w14:textId="7D6A6BCC"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1DE97BCA" w14:textId="4ED58B04"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13EBE90" w14:textId="2FE2FE1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F216D68" w14:textId="0DB0C6B3"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406F197B" w14:textId="52DD849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335E855" w14:textId="77777777" w:rsidTr="00D65F93">
        <w:trPr>
          <w:trHeight w:val="320"/>
        </w:trPr>
        <w:tc>
          <w:tcPr>
            <w:tcW w:w="3545" w:type="dxa"/>
            <w:tcBorders>
              <w:top w:val="nil"/>
              <w:left w:val="nil"/>
              <w:bottom w:val="nil"/>
              <w:right w:val="nil"/>
            </w:tcBorders>
            <w:shd w:val="clear" w:color="auto" w:fill="auto"/>
            <w:noWrap/>
            <w:vAlign w:val="bottom"/>
            <w:hideMark/>
          </w:tcPr>
          <w:p w14:paraId="5BE3C61D" w14:textId="4C0CB372" w:rsidR="00F826D0" w:rsidRPr="003328EE" w:rsidRDefault="00F826D0" w:rsidP="00D65F93">
            <w:pPr>
              <w:rPr>
                <w:rFonts w:eastAsia="Times New Roman"/>
                <w:color w:val="000000"/>
                <w:sz w:val="18"/>
                <w:szCs w:val="18"/>
              </w:rPr>
            </w:pPr>
            <w:r w:rsidRPr="003328EE">
              <w:rPr>
                <w:rFonts w:eastAsia="Times New Roman"/>
                <w:color w:val="000000"/>
                <w:sz w:val="18"/>
                <w:szCs w:val="18"/>
              </w:rPr>
              <w:t>Magazines</w:t>
            </w:r>
          </w:p>
        </w:tc>
        <w:tc>
          <w:tcPr>
            <w:tcW w:w="3183" w:type="dxa"/>
            <w:tcBorders>
              <w:top w:val="nil"/>
              <w:left w:val="nil"/>
              <w:bottom w:val="nil"/>
              <w:right w:val="nil"/>
            </w:tcBorders>
            <w:shd w:val="clear" w:color="auto" w:fill="auto"/>
            <w:noWrap/>
            <w:vAlign w:val="bottom"/>
            <w:hideMark/>
          </w:tcPr>
          <w:p w14:paraId="4C341C54" w14:textId="0BEB9221"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062FA700" w14:textId="463D9D73"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D264E5D" w14:textId="34848D89"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1993BCB" w14:textId="329A4997" w:rsidR="00F826D0" w:rsidRPr="003328EE" w:rsidRDefault="00F826D0" w:rsidP="00D65F93">
            <w:pPr>
              <w:rPr>
                <w:rFonts w:eastAsia="Times New Roman"/>
                <w:color w:val="000000"/>
                <w:sz w:val="18"/>
                <w:szCs w:val="18"/>
              </w:rPr>
            </w:pPr>
            <w:r w:rsidRPr="003328EE">
              <w:rPr>
                <w:rFonts w:eastAsia="Times New Roman"/>
                <w:color w:val="000000"/>
                <w:sz w:val="18"/>
                <w:szCs w:val="18"/>
              </w:rPr>
              <w:t>Hopkins, 2015</w:t>
            </w:r>
          </w:p>
        </w:tc>
        <w:tc>
          <w:tcPr>
            <w:tcW w:w="1156" w:type="dxa"/>
            <w:tcBorders>
              <w:top w:val="nil"/>
              <w:left w:val="nil"/>
              <w:bottom w:val="nil"/>
              <w:right w:val="nil"/>
            </w:tcBorders>
            <w:shd w:val="clear" w:color="auto" w:fill="auto"/>
            <w:noWrap/>
            <w:vAlign w:val="bottom"/>
            <w:hideMark/>
          </w:tcPr>
          <w:p w14:paraId="1E97DE3F" w14:textId="54C1E640"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111152B" w14:textId="77777777" w:rsidTr="00D65F93">
        <w:trPr>
          <w:trHeight w:val="320"/>
        </w:trPr>
        <w:tc>
          <w:tcPr>
            <w:tcW w:w="3545" w:type="dxa"/>
            <w:tcBorders>
              <w:top w:val="nil"/>
              <w:left w:val="nil"/>
              <w:bottom w:val="nil"/>
              <w:right w:val="nil"/>
            </w:tcBorders>
            <w:shd w:val="clear" w:color="auto" w:fill="auto"/>
            <w:noWrap/>
            <w:vAlign w:val="bottom"/>
            <w:hideMark/>
          </w:tcPr>
          <w:p w14:paraId="061EEFBB" w14:textId="14706260" w:rsidR="00F826D0" w:rsidRPr="003328EE" w:rsidRDefault="00F826D0" w:rsidP="00D65F93">
            <w:pPr>
              <w:rPr>
                <w:rFonts w:eastAsia="Times New Roman"/>
                <w:color w:val="000000"/>
                <w:sz w:val="18"/>
                <w:szCs w:val="18"/>
              </w:rPr>
            </w:pPr>
            <w:r w:rsidRPr="003328EE">
              <w:rPr>
                <w:rFonts w:eastAsia="Times New Roman"/>
                <w:color w:val="000000"/>
                <w:sz w:val="18"/>
                <w:szCs w:val="18"/>
              </w:rPr>
              <w:t>Magazines</w:t>
            </w:r>
          </w:p>
        </w:tc>
        <w:tc>
          <w:tcPr>
            <w:tcW w:w="3183" w:type="dxa"/>
            <w:tcBorders>
              <w:top w:val="nil"/>
              <w:left w:val="nil"/>
              <w:bottom w:val="nil"/>
              <w:right w:val="nil"/>
            </w:tcBorders>
            <w:shd w:val="clear" w:color="auto" w:fill="auto"/>
            <w:noWrap/>
            <w:vAlign w:val="bottom"/>
            <w:hideMark/>
          </w:tcPr>
          <w:p w14:paraId="6BDF8D28" w14:textId="1C7E765A"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7A372885" w14:textId="1F0269EF"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11A7339" w14:textId="26638487"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EC323C1" w14:textId="73384C05" w:rsidR="00F826D0" w:rsidRPr="003328EE" w:rsidRDefault="00F826D0" w:rsidP="00D65F93">
            <w:pPr>
              <w:rPr>
                <w:rFonts w:eastAsia="Times New Roman"/>
                <w:color w:val="000000"/>
                <w:sz w:val="18"/>
                <w:szCs w:val="18"/>
              </w:rPr>
            </w:pPr>
            <w:r w:rsidRPr="003328EE">
              <w:rPr>
                <w:rFonts w:eastAsia="Times New Roman"/>
                <w:color w:val="000000"/>
                <w:sz w:val="18"/>
                <w:szCs w:val="18"/>
              </w:rPr>
              <w:t>Bugge, 2016</w:t>
            </w:r>
          </w:p>
        </w:tc>
        <w:tc>
          <w:tcPr>
            <w:tcW w:w="1156" w:type="dxa"/>
            <w:tcBorders>
              <w:top w:val="nil"/>
              <w:left w:val="nil"/>
              <w:bottom w:val="nil"/>
              <w:right w:val="nil"/>
            </w:tcBorders>
            <w:shd w:val="clear" w:color="auto" w:fill="auto"/>
            <w:noWrap/>
            <w:vAlign w:val="bottom"/>
            <w:hideMark/>
          </w:tcPr>
          <w:p w14:paraId="7F3F78FA" w14:textId="3155662C"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31366BF" w14:textId="77777777" w:rsidTr="00D65F93">
        <w:trPr>
          <w:trHeight w:val="320"/>
        </w:trPr>
        <w:tc>
          <w:tcPr>
            <w:tcW w:w="3545" w:type="dxa"/>
            <w:tcBorders>
              <w:top w:val="nil"/>
              <w:left w:val="nil"/>
              <w:bottom w:val="nil"/>
              <w:right w:val="nil"/>
            </w:tcBorders>
            <w:shd w:val="clear" w:color="auto" w:fill="auto"/>
            <w:noWrap/>
            <w:vAlign w:val="bottom"/>
            <w:hideMark/>
          </w:tcPr>
          <w:p w14:paraId="4765E052" w14:textId="35CAF9EC"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3183" w:type="dxa"/>
            <w:tcBorders>
              <w:top w:val="nil"/>
              <w:left w:val="nil"/>
              <w:bottom w:val="nil"/>
              <w:right w:val="nil"/>
            </w:tcBorders>
            <w:shd w:val="clear" w:color="auto" w:fill="auto"/>
            <w:noWrap/>
            <w:vAlign w:val="bottom"/>
            <w:hideMark/>
          </w:tcPr>
          <w:p w14:paraId="2A5B917E" w14:textId="7DF29860"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15E9513D" w14:textId="6C34EB1D"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2DE490F" w14:textId="5DCE53C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4A58B42" w14:textId="431F1E3D" w:rsidR="00F826D0" w:rsidRPr="003328EE" w:rsidRDefault="00F826D0" w:rsidP="00D65F93">
            <w:pPr>
              <w:rPr>
                <w:rFonts w:eastAsia="Times New Roman"/>
                <w:color w:val="000000"/>
                <w:sz w:val="18"/>
                <w:szCs w:val="18"/>
              </w:rPr>
            </w:pPr>
            <w:r w:rsidRPr="003328EE">
              <w:rPr>
                <w:rFonts w:eastAsia="Times New Roman"/>
                <w:color w:val="000000"/>
                <w:sz w:val="18"/>
                <w:szCs w:val="18"/>
              </w:rPr>
              <w:t>Schyver &amp; Smith, 2005</w:t>
            </w:r>
          </w:p>
        </w:tc>
        <w:tc>
          <w:tcPr>
            <w:tcW w:w="1156" w:type="dxa"/>
            <w:tcBorders>
              <w:top w:val="nil"/>
              <w:left w:val="nil"/>
              <w:bottom w:val="nil"/>
              <w:right w:val="nil"/>
            </w:tcBorders>
            <w:shd w:val="clear" w:color="auto" w:fill="auto"/>
            <w:noWrap/>
            <w:vAlign w:val="bottom"/>
            <w:hideMark/>
          </w:tcPr>
          <w:p w14:paraId="2DDC2F68" w14:textId="44B1816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45E33DF" w14:textId="77777777" w:rsidTr="00D65F93">
        <w:trPr>
          <w:trHeight w:val="320"/>
        </w:trPr>
        <w:tc>
          <w:tcPr>
            <w:tcW w:w="3545" w:type="dxa"/>
            <w:tcBorders>
              <w:top w:val="nil"/>
              <w:left w:val="nil"/>
              <w:bottom w:val="nil"/>
              <w:right w:val="nil"/>
            </w:tcBorders>
            <w:shd w:val="clear" w:color="auto" w:fill="auto"/>
            <w:noWrap/>
            <w:vAlign w:val="bottom"/>
            <w:hideMark/>
          </w:tcPr>
          <w:p w14:paraId="4A598F8B" w14:textId="645B064A"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3183" w:type="dxa"/>
            <w:tcBorders>
              <w:top w:val="nil"/>
              <w:left w:val="nil"/>
              <w:bottom w:val="nil"/>
              <w:right w:val="nil"/>
            </w:tcBorders>
            <w:shd w:val="clear" w:color="auto" w:fill="auto"/>
            <w:noWrap/>
            <w:vAlign w:val="bottom"/>
            <w:hideMark/>
          </w:tcPr>
          <w:p w14:paraId="68E49F89" w14:textId="7CD8A8EA"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25C93505" w14:textId="6F072C04"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303CA06" w14:textId="3DCAD84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36A0D6A" w14:textId="77B910CD" w:rsidR="00F826D0" w:rsidRPr="003328EE" w:rsidRDefault="00F826D0" w:rsidP="00D65F93">
            <w:pPr>
              <w:rPr>
                <w:rFonts w:eastAsia="Times New Roman"/>
                <w:color w:val="000000"/>
                <w:sz w:val="18"/>
                <w:szCs w:val="18"/>
              </w:rPr>
            </w:pPr>
            <w:r w:rsidRPr="003328EE">
              <w:rPr>
                <w:rFonts w:eastAsia="Times New Roman"/>
                <w:color w:val="000000"/>
                <w:sz w:val="18"/>
                <w:szCs w:val="18"/>
              </w:rPr>
              <w:t>Jones et al., 2004</w:t>
            </w:r>
          </w:p>
        </w:tc>
        <w:tc>
          <w:tcPr>
            <w:tcW w:w="1156" w:type="dxa"/>
            <w:tcBorders>
              <w:top w:val="nil"/>
              <w:left w:val="nil"/>
              <w:bottom w:val="nil"/>
              <w:right w:val="nil"/>
            </w:tcBorders>
            <w:shd w:val="clear" w:color="auto" w:fill="auto"/>
            <w:noWrap/>
            <w:vAlign w:val="bottom"/>
            <w:hideMark/>
          </w:tcPr>
          <w:p w14:paraId="06916F0F" w14:textId="0745744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EFE4261" w14:textId="77777777" w:rsidTr="00D65F93">
        <w:trPr>
          <w:trHeight w:val="320"/>
        </w:trPr>
        <w:tc>
          <w:tcPr>
            <w:tcW w:w="3545" w:type="dxa"/>
            <w:tcBorders>
              <w:top w:val="nil"/>
              <w:left w:val="nil"/>
              <w:bottom w:val="nil"/>
              <w:right w:val="nil"/>
            </w:tcBorders>
            <w:shd w:val="clear" w:color="auto" w:fill="auto"/>
            <w:noWrap/>
            <w:vAlign w:val="bottom"/>
            <w:hideMark/>
          </w:tcPr>
          <w:p w14:paraId="7CF8A5EF" w14:textId="1D194361"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3183" w:type="dxa"/>
            <w:tcBorders>
              <w:top w:val="nil"/>
              <w:left w:val="nil"/>
              <w:bottom w:val="nil"/>
              <w:right w:val="nil"/>
            </w:tcBorders>
            <w:shd w:val="clear" w:color="auto" w:fill="auto"/>
            <w:noWrap/>
            <w:vAlign w:val="bottom"/>
            <w:hideMark/>
          </w:tcPr>
          <w:p w14:paraId="6A02BD4E" w14:textId="7D66AC73"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0625405E" w14:textId="0580CCDA"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E230042" w14:textId="5451BEA5"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FCDC0F6" w14:textId="5D8CE301" w:rsidR="00F826D0" w:rsidRPr="003328EE" w:rsidRDefault="00F826D0" w:rsidP="00D65F93">
            <w:pPr>
              <w:rPr>
                <w:rFonts w:eastAsia="Times New Roman"/>
                <w:color w:val="000000"/>
                <w:sz w:val="18"/>
                <w:szCs w:val="18"/>
              </w:rPr>
            </w:pPr>
            <w:r w:rsidRPr="003328EE">
              <w:rPr>
                <w:rFonts w:eastAsia="Times New Roman"/>
                <w:color w:val="000000"/>
                <w:sz w:val="18"/>
                <w:szCs w:val="18"/>
              </w:rPr>
              <w:t>Worsley, 2007</w:t>
            </w:r>
          </w:p>
        </w:tc>
        <w:tc>
          <w:tcPr>
            <w:tcW w:w="1156" w:type="dxa"/>
            <w:tcBorders>
              <w:top w:val="nil"/>
              <w:left w:val="nil"/>
              <w:bottom w:val="nil"/>
              <w:right w:val="nil"/>
            </w:tcBorders>
            <w:shd w:val="clear" w:color="auto" w:fill="auto"/>
            <w:noWrap/>
            <w:vAlign w:val="bottom"/>
            <w:hideMark/>
          </w:tcPr>
          <w:p w14:paraId="1370872B" w14:textId="33AC18E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E12A7B2" w14:textId="77777777" w:rsidTr="00D65F93">
        <w:trPr>
          <w:trHeight w:val="320"/>
        </w:trPr>
        <w:tc>
          <w:tcPr>
            <w:tcW w:w="3545" w:type="dxa"/>
            <w:tcBorders>
              <w:top w:val="nil"/>
              <w:left w:val="nil"/>
              <w:bottom w:val="nil"/>
              <w:right w:val="nil"/>
            </w:tcBorders>
            <w:shd w:val="clear" w:color="auto" w:fill="auto"/>
            <w:noWrap/>
            <w:vAlign w:val="bottom"/>
          </w:tcPr>
          <w:p w14:paraId="5B456132" w14:textId="1D737B2D"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3183" w:type="dxa"/>
            <w:tcBorders>
              <w:top w:val="nil"/>
              <w:left w:val="nil"/>
              <w:bottom w:val="nil"/>
              <w:right w:val="nil"/>
            </w:tcBorders>
            <w:shd w:val="clear" w:color="auto" w:fill="auto"/>
            <w:noWrap/>
            <w:vAlign w:val="bottom"/>
          </w:tcPr>
          <w:p w14:paraId="0FAEB2D4" w14:textId="7BFE3EFE"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tcPr>
          <w:p w14:paraId="3C0F2590" w14:textId="5F1AB2F7"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tcPr>
          <w:p w14:paraId="2C20E825" w14:textId="1561BBB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tcPr>
          <w:p w14:paraId="05769D53" w14:textId="506656C7"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tcPr>
          <w:p w14:paraId="327E3060" w14:textId="29C36B9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A2A8F91" w14:textId="77777777" w:rsidTr="00D65F93">
        <w:trPr>
          <w:trHeight w:val="320"/>
        </w:trPr>
        <w:tc>
          <w:tcPr>
            <w:tcW w:w="3545" w:type="dxa"/>
            <w:tcBorders>
              <w:top w:val="nil"/>
              <w:left w:val="nil"/>
              <w:bottom w:val="nil"/>
              <w:right w:val="nil"/>
            </w:tcBorders>
            <w:shd w:val="clear" w:color="auto" w:fill="auto"/>
            <w:noWrap/>
            <w:vAlign w:val="bottom"/>
            <w:hideMark/>
          </w:tcPr>
          <w:p w14:paraId="1CB822D2" w14:textId="787C0CA8"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3183" w:type="dxa"/>
            <w:tcBorders>
              <w:top w:val="nil"/>
              <w:left w:val="nil"/>
              <w:bottom w:val="nil"/>
              <w:right w:val="nil"/>
            </w:tcBorders>
            <w:shd w:val="clear" w:color="auto" w:fill="auto"/>
            <w:noWrap/>
            <w:vAlign w:val="bottom"/>
            <w:hideMark/>
          </w:tcPr>
          <w:p w14:paraId="5F1C8CE2" w14:textId="44BE364D"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65559596" w14:textId="417D8AEB"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F589361" w14:textId="2DA15A8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41ABBB1" w14:textId="5888ABA3" w:rsidR="00F826D0" w:rsidRPr="003328EE" w:rsidRDefault="00F826D0" w:rsidP="00D65F93">
            <w:pPr>
              <w:rPr>
                <w:rFonts w:eastAsia="Times New Roman"/>
                <w:color w:val="000000"/>
                <w:sz w:val="18"/>
                <w:szCs w:val="18"/>
              </w:rPr>
            </w:pPr>
            <w:r w:rsidRPr="003328EE">
              <w:rPr>
                <w:rFonts w:eastAsia="Times New Roman"/>
                <w:color w:val="000000"/>
                <w:sz w:val="18"/>
                <w:szCs w:val="18"/>
              </w:rPr>
              <w:t>Wahlen et al., 2012</w:t>
            </w:r>
          </w:p>
        </w:tc>
        <w:tc>
          <w:tcPr>
            <w:tcW w:w="1156" w:type="dxa"/>
            <w:tcBorders>
              <w:top w:val="nil"/>
              <w:left w:val="nil"/>
              <w:bottom w:val="nil"/>
              <w:right w:val="nil"/>
            </w:tcBorders>
            <w:shd w:val="clear" w:color="auto" w:fill="auto"/>
            <w:noWrap/>
            <w:vAlign w:val="bottom"/>
            <w:hideMark/>
          </w:tcPr>
          <w:p w14:paraId="309F4BC5" w14:textId="7E076062"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Primary </w:t>
            </w:r>
          </w:p>
        </w:tc>
      </w:tr>
      <w:tr w:rsidR="00F826D0" w:rsidRPr="003328EE" w14:paraId="0AD25C89" w14:textId="77777777" w:rsidTr="00D65F93">
        <w:trPr>
          <w:trHeight w:val="320"/>
        </w:trPr>
        <w:tc>
          <w:tcPr>
            <w:tcW w:w="3545" w:type="dxa"/>
            <w:tcBorders>
              <w:top w:val="nil"/>
              <w:left w:val="nil"/>
              <w:bottom w:val="nil"/>
              <w:right w:val="nil"/>
            </w:tcBorders>
            <w:shd w:val="clear" w:color="auto" w:fill="auto"/>
            <w:noWrap/>
            <w:vAlign w:val="bottom"/>
            <w:hideMark/>
          </w:tcPr>
          <w:p w14:paraId="7DD2A70E" w14:textId="17BEAE10"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3183" w:type="dxa"/>
            <w:tcBorders>
              <w:top w:val="nil"/>
              <w:left w:val="nil"/>
              <w:bottom w:val="nil"/>
              <w:right w:val="nil"/>
            </w:tcBorders>
            <w:shd w:val="clear" w:color="auto" w:fill="auto"/>
            <w:noWrap/>
            <w:vAlign w:val="bottom"/>
            <w:hideMark/>
          </w:tcPr>
          <w:p w14:paraId="155FCE2F" w14:textId="6CD80023"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17758B90" w14:textId="0F19031C"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377C66B" w14:textId="0329869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503A5B3" w14:textId="39528F8C" w:rsidR="00F826D0" w:rsidRPr="003328EE" w:rsidRDefault="00F826D0" w:rsidP="00D65F93">
            <w:pPr>
              <w:rPr>
                <w:rFonts w:eastAsia="Times New Roman"/>
                <w:color w:val="000000"/>
                <w:sz w:val="18"/>
                <w:szCs w:val="18"/>
              </w:rPr>
            </w:pPr>
            <w:r w:rsidRPr="003328EE">
              <w:rPr>
                <w:rFonts w:eastAsia="Times New Roman"/>
                <w:color w:val="000000"/>
                <w:sz w:val="18"/>
                <w:szCs w:val="18"/>
              </w:rPr>
              <w:t>Kearney, 2010</w:t>
            </w:r>
          </w:p>
        </w:tc>
        <w:tc>
          <w:tcPr>
            <w:tcW w:w="1156" w:type="dxa"/>
            <w:tcBorders>
              <w:top w:val="nil"/>
              <w:left w:val="nil"/>
              <w:bottom w:val="nil"/>
              <w:right w:val="nil"/>
            </w:tcBorders>
            <w:shd w:val="clear" w:color="auto" w:fill="auto"/>
            <w:noWrap/>
            <w:vAlign w:val="bottom"/>
            <w:hideMark/>
          </w:tcPr>
          <w:p w14:paraId="27F8B206" w14:textId="201B890D"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3464D4A9" w14:textId="77777777" w:rsidTr="00D65F93">
        <w:trPr>
          <w:trHeight w:val="320"/>
        </w:trPr>
        <w:tc>
          <w:tcPr>
            <w:tcW w:w="3545" w:type="dxa"/>
            <w:tcBorders>
              <w:top w:val="nil"/>
              <w:left w:val="nil"/>
              <w:bottom w:val="nil"/>
              <w:right w:val="nil"/>
            </w:tcBorders>
            <w:shd w:val="clear" w:color="auto" w:fill="auto"/>
            <w:noWrap/>
            <w:vAlign w:val="bottom"/>
            <w:hideMark/>
          </w:tcPr>
          <w:p w14:paraId="4334AAC4" w14:textId="5D0D925A"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3183" w:type="dxa"/>
            <w:tcBorders>
              <w:top w:val="nil"/>
              <w:left w:val="nil"/>
              <w:bottom w:val="nil"/>
              <w:right w:val="nil"/>
            </w:tcBorders>
            <w:shd w:val="clear" w:color="auto" w:fill="auto"/>
            <w:noWrap/>
            <w:vAlign w:val="bottom"/>
            <w:hideMark/>
          </w:tcPr>
          <w:p w14:paraId="5688077B" w14:textId="6280100E"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3B93D133" w14:textId="7D7326E6"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0CD715D" w14:textId="63C8326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482BC79" w14:textId="76B176BD"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368556EF" w14:textId="58A59911"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FAD3EC2" w14:textId="77777777" w:rsidTr="00D65F93">
        <w:trPr>
          <w:trHeight w:val="320"/>
        </w:trPr>
        <w:tc>
          <w:tcPr>
            <w:tcW w:w="3545" w:type="dxa"/>
            <w:tcBorders>
              <w:top w:val="nil"/>
              <w:left w:val="nil"/>
              <w:bottom w:val="nil"/>
              <w:right w:val="nil"/>
            </w:tcBorders>
            <w:shd w:val="clear" w:color="auto" w:fill="auto"/>
            <w:noWrap/>
            <w:vAlign w:val="bottom"/>
            <w:hideMark/>
          </w:tcPr>
          <w:p w14:paraId="1B3F15F6" w14:textId="3C3F3491" w:rsidR="00F826D0" w:rsidRPr="003328EE" w:rsidRDefault="00F826D0" w:rsidP="00D65F93">
            <w:pPr>
              <w:rPr>
                <w:rFonts w:eastAsia="Times New Roman"/>
                <w:color w:val="000000"/>
                <w:sz w:val="18"/>
                <w:szCs w:val="18"/>
              </w:rPr>
            </w:pPr>
            <w:r w:rsidRPr="003328EE">
              <w:rPr>
                <w:rFonts w:eastAsia="Times New Roman"/>
                <w:color w:val="000000"/>
                <w:sz w:val="18"/>
                <w:szCs w:val="18"/>
              </w:rPr>
              <w:t>Media (TV; Social)</w:t>
            </w:r>
          </w:p>
        </w:tc>
        <w:tc>
          <w:tcPr>
            <w:tcW w:w="3183" w:type="dxa"/>
            <w:tcBorders>
              <w:top w:val="nil"/>
              <w:left w:val="nil"/>
              <w:bottom w:val="nil"/>
              <w:right w:val="nil"/>
            </w:tcBorders>
            <w:shd w:val="clear" w:color="auto" w:fill="auto"/>
            <w:noWrap/>
            <w:vAlign w:val="bottom"/>
            <w:hideMark/>
          </w:tcPr>
          <w:p w14:paraId="5E3A4B8B" w14:textId="580BBB65"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7D70F0C7" w14:textId="6EE984AF"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0D207F6" w14:textId="3E8E0C6E"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4886A5E" w14:textId="3C739E12" w:rsidR="00F826D0" w:rsidRPr="003328EE" w:rsidRDefault="00F826D0" w:rsidP="00D65F93">
            <w:pPr>
              <w:rPr>
                <w:rFonts w:eastAsia="Times New Roman"/>
                <w:color w:val="000000"/>
                <w:sz w:val="18"/>
                <w:szCs w:val="18"/>
              </w:rPr>
            </w:pPr>
            <w:r w:rsidRPr="003328EE">
              <w:rPr>
                <w:rFonts w:eastAsia="Times New Roman"/>
                <w:color w:val="000000"/>
                <w:sz w:val="18"/>
                <w:szCs w:val="18"/>
              </w:rPr>
              <w:t>Hopkins, 2015</w:t>
            </w:r>
          </w:p>
        </w:tc>
        <w:tc>
          <w:tcPr>
            <w:tcW w:w="1156" w:type="dxa"/>
            <w:tcBorders>
              <w:top w:val="nil"/>
              <w:left w:val="nil"/>
              <w:bottom w:val="nil"/>
              <w:right w:val="nil"/>
            </w:tcBorders>
            <w:shd w:val="clear" w:color="auto" w:fill="auto"/>
            <w:noWrap/>
            <w:vAlign w:val="bottom"/>
            <w:hideMark/>
          </w:tcPr>
          <w:p w14:paraId="406577AF" w14:textId="74D08F92"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21AF8F4" w14:textId="77777777" w:rsidTr="00D65F93">
        <w:trPr>
          <w:trHeight w:val="320"/>
        </w:trPr>
        <w:tc>
          <w:tcPr>
            <w:tcW w:w="3545" w:type="dxa"/>
            <w:tcBorders>
              <w:top w:val="nil"/>
              <w:left w:val="nil"/>
              <w:bottom w:val="nil"/>
              <w:right w:val="nil"/>
            </w:tcBorders>
            <w:shd w:val="clear" w:color="auto" w:fill="auto"/>
            <w:noWrap/>
            <w:vAlign w:val="bottom"/>
            <w:hideMark/>
          </w:tcPr>
          <w:p w14:paraId="044D4536" w14:textId="023F711B" w:rsidR="00F826D0" w:rsidRPr="003328EE" w:rsidRDefault="00F826D0" w:rsidP="00D65F93">
            <w:pPr>
              <w:rPr>
                <w:rFonts w:eastAsia="Times New Roman"/>
                <w:color w:val="000000"/>
                <w:sz w:val="18"/>
                <w:szCs w:val="18"/>
              </w:rPr>
            </w:pPr>
            <w:r w:rsidRPr="003328EE">
              <w:rPr>
                <w:rFonts w:eastAsia="Times New Roman"/>
                <w:color w:val="000000"/>
                <w:sz w:val="18"/>
                <w:szCs w:val="18"/>
              </w:rPr>
              <w:t>Media (TV; Social)</w:t>
            </w:r>
          </w:p>
        </w:tc>
        <w:tc>
          <w:tcPr>
            <w:tcW w:w="3183" w:type="dxa"/>
            <w:tcBorders>
              <w:top w:val="nil"/>
              <w:left w:val="nil"/>
              <w:bottom w:val="nil"/>
              <w:right w:val="nil"/>
            </w:tcBorders>
            <w:shd w:val="clear" w:color="auto" w:fill="auto"/>
            <w:noWrap/>
            <w:vAlign w:val="bottom"/>
            <w:hideMark/>
          </w:tcPr>
          <w:p w14:paraId="2364ECF4" w14:textId="54E69686"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71E3194A" w14:textId="29FE32F0"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04E251E" w14:textId="29413065"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0F2C5D7" w14:textId="6BC36395" w:rsidR="00F826D0" w:rsidRPr="003328EE" w:rsidRDefault="00F826D0" w:rsidP="00D65F93">
            <w:pPr>
              <w:rPr>
                <w:rFonts w:eastAsia="Times New Roman"/>
                <w:color w:val="000000"/>
                <w:sz w:val="18"/>
                <w:szCs w:val="18"/>
              </w:rPr>
            </w:pPr>
            <w:r w:rsidRPr="003328EE">
              <w:rPr>
                <w:rFonts w:eastAsia="Times New Roman"/>
                <w:color w:val="000000"/>
                <w:sz w:val="18"/>
                <w:szCs w:val="18"/>
              </w:rPr>
              <w:t>Verbeke et al., 2015</w:t>
            </w:r>
          </w:p>
        </w:tc>
        <w:tc>
          <w:tcPr>
            <w:tcW w:w="1156" w:type="dxa"/>
            <w:tcBorders>
              <w:top w:val="nil"/>
              <w:left w:val="nil"/>
              <w:bottom w:val="nil"/>
              <w:right w:val="nil"/>
            </w:tcBorders>
            <w:shd w:val="clear" w:color="auto" w:fill="auto"/>
            <w:noWrap/>
            <w:vAlign w:val="bottom"/>
            <w:hideMark/>
          </w:tcPr>
          <w:p w14:paraId="3C9CB00F" w14:textId="6C9C680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1AC8550" w14:textId="77777777" w:rsidTr="00D65F93">
        <w:trPr>
          <w:trHeight w:val="320"/>
        </w:trPr>
        <w:tc>
          <w:tcPr>
            <w:tcW w:w="3545" w:type="dxa"/>
            <w:tcBorders>
              <w:top w:val="nil"/>
              <w:left w:val="nil"/>
              <w:bottom w:val="nil"/>
              <w:right w:val="nil"/>
            </w:tcBorders>
            <w:shd w:val="clear" w:color="auto" w:fill="auto"/>
            <w:noWrap/>
            <w:vAlign w:val="bottom"/>
            <w:hideMark/>
          </w:tcPr>
          <w:p w14:paraId="3FCD89BF" w14:textId="3A9E9CF0" w:rsidR="00F826D0" w:rsidRPr="003328EE" w:rsidRDefault="00F826D0" w:rsidP="00D65F93">
            <w:pPr>
              <w:rPr>
                <w:rFonts w:eastAsia="Times New Roman"/>
                <w:color w:val="000000"/>
                <w:sz w:val="18"/>
                <w:szCs w:val="18"/>
              </w:rPr>
            </w:pPr>
            <w:r w:rsidRPr="003328EE">
              <w:rPr>
                <w:rFonts w:eastAsia="Times New Roman"/>
                <w:color w:val="000000"/>
                <w:sz w:val="18"/>
                <w:szCs w:val="18"/>
              </w:rPr>
              <w:t>Media (TV; Social)</w:t>
            </w:r>
          </w:p>
        </w:tc>
        <w:tc>
          <w:tcPr>
            <w:tcW w:w="3183" w:type="dxa"/>
            <w:tcBorders>
              <w:top w:val="nil"/>
              <w:left w:val="nil"/>
              <w:bottom w:val="nil"/>
              <w:right w:val="nil"/>
            </w:tcBorders>
            <w:shd w:val="clear" w:color="auto" w:fill="auto"/>
            <w:noWrap/>
            <w:vAlign w:val="bottom"/>
            <w:hideMark/>
          </w:tcPr>
          <w:p w14:paraId="4B2A4DCF" w14:textId="3CFA78EF"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30F7EDD8" w14:textId="06A118D5"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26C43AC" w14:textId="25A05A8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E6CECE8" w14:textId="525B1029" w:rsidR="00F826D0" w:rsidRPr="003328EE" w:rsidRDefault="00F826D0" w:rsidP="00D65F93">
            <w:pPr>
              <w:rPr>
                <w:rFonts w:eastAsia="Times New Roman"/>
                <w:color w:val="000000"/>
                <w:sz w:val="18"/>
                <w:szCs w:val="18"/>
              </w:rPr>
            </w:pPr>
            <w:r w:rsidRPr="003328EE">
              <w:rPr>
                <w:rFonts w:eastAsia="Times New Roman"/>
                <w:color w:val="000000"/>
                <w:sz w:val="18"/>
                <w:szCs w:val="18"/>
              </w:rPr>
              <w:t>Hill, 2002</w:t>
            </w:r>
          </w:p>
        </w:tc>
        <w:tc>
          <w:tcPr>
            <w:tcW w:w="1156" w:type="dxa"/>
            <w:tcBorders>
              <w:top w:val="nil"/>
              <w:left w:val="nil"/>
              <w:bottom w:val="nil"/>
              <w:right w:val="nil"/>
            </w:tcBorders>
            <w:shd w:val="clear" w:color="auto" w:fill="auto"/>
            <w:noWrap/>
            <w:vAlign w:val="bottom"/>
            <w:hideMark/>
          </w:tcPr>
          <w:p w14:paraId="33C96ECD" w14:textId="1AC7694B"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8B5070C" w14:textId="77777777" w:rsidTr="00D65F93">
        <w:trPr>
          <w:trHeight w:val="320"/>
        </w:trPr>
        <w:tc>
          <w:tcPr>
            <w:tcW w:w="3545" w:type="dxa"/>
            <w:tcBorders>
              <w:top w:val="nil"/>
              <w:left w:val="nil"/>
              <w:bottom w:val="nil"/>
              <w:right w:val="nil"/>
            </w:tcBorders>
            <w:shd w:val="clear" w:color="auto" w:fill="auto"/>
            <w:noWrap/>
            <w:vAlign w:val="bottom"/>
            <w:hideMark/>
          </w:tcPr>
          <w:p w14:paraId="62833BE8" w14:textId="19AA8830" w:rsidR="00F826D0" w:rsidRPr="003328EE" w:rsidRDefault="00F826D0" w:rsidP="00D65F93">
            <w:pPr>
              <w:rPr>
                <w:rFonts w:eastAsia="Times New Roman"/>
                <w:color w:val="000000"/>
                <w:sz w:val="18"/>
                <w:szCs w:val="18"/>
              </w:rPr>
            </w:pPr>
            <w:r w:rsidRPr="003328EE">
              <w:rPr>
                <w:rFonts w:eastAsia="Times New Roman"/>
                <w:color w:val="000000"/>
                <w:sz w:val="18"/>
                <w:szCs w:val="18"/>
              </w:rPr>
              <w:t>Media (TV; Social)</w:t>
            </w:r>
          </w:p>
        </w:tc>
        <w:tc>
          <w:tcPr>
            <w:tcW w:w="3183" w:type="dxa"/>
            <w:tcBorders>
              <w:top w:val="nil"/>
              <w:left w:val="nil"/>
              <w:bottom w:val="nil"/>
              <w:right w:val="nil"/>
            </w:tcBorders>
            <w:shd w:val="clear" w:color="auto" w:fill="auto"/>
            <w:noWrap/>
            <w:vAlign w:val="bottom"/>
            <w:hideMark/>
          </w:tcPr>
          <w:p w14:paraId="5F9E180F" w14:textId="6C8867EA"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4F0DDD0D" w14:textId="62ADAFEE"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1E62140" w14:textId="78AA6B0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49672CF" w14:textId="159D6C97" w:rsidR="00F826D0" w:rsidRPr="003328EE" w:rsidRDefault="00F826D0" w:rsidP="00D65F93">
            <w:pPr>
              <w:rPr>
                <w:rFonts w:eastAsia="Times New Roman"/>
                <w:color w:val="000000"/>
                <w:sz w:val="18"/>
                <w:szCs w:val="18"/>
              </w:rPr>
            </w:pPr>
            <w:r w:rsidRPr="003328EE">
              <w:rPr>
                <w:rFonts w:eastAsia="Times New Roman"/>
                <w:color w:val="000000"/>
                <w:sz w:val="18"/>
                <w:szCs w:val="18"/>
              </w:rPr>
              <w:t>Neumark-Sztainer et al., 1999</w:t>
            </w:r>
          </w:p>
        </w:tc>
        <w:tc>
          <w:tcPr>
            <w:tcW w:w="1156" w:type="dxa"/>
            <w:tcBorders>
              <w:top w:val="nil"/>
              <w:left w:val="nil"/>
              <w:bottom w:val="nil"/>
              <w:right w:val="nil"/>
            </w:tcBorders>
            <w:shd w:val="clear" w:color="auto" w:fill="auto"/>
            <w:noWrap/>
            <w:vAlign w:val="bottom"/>
            <w:hideMark/>
          </w:tcPr>
          <w:p w14:paraId="2ABF51E2" w14:textId="7B15FA8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B46EFBB" w14:textId="77777777" w:rsidTr="00D65F93">
        <w:trPr>
          <w:trHeight w:val="320"/>
        </w:trPr>
        <w:tc>
          <w:tcPr>
            <w:tcW w:w="3545" w:type="dxa"/>
            <w:tcBorders>
              <w:top w:val="nil"/>
              <w:left w:val="nil"/>
              <w:bottom w:val="nil"/>
              <w:right w:val="nil"/>
            </w:tcBorders>
            <w:shd w:val="clear" w:color="auto" w:fill="auto"/>
            <w:noWrap/>
            <w:vAlign w:val="bottom"/>
            <w:hideMark/>
          </w:tcPr>
          <w:p w14:paraId="23DC16D3" w14:textId="58062B8B" w:rsidR="00F826D0" w:rsidRPr="003328EE" w:rsidRDefault="00F826D0" w:rsidP="00D65F93">
            <w:pPr>
              <w:rPr>
                <w:rFonts w:eastAsia="Times New Roman"/>
                <w:color w:val="000000"/>
                <w:sz w:val="18"/>
                <w:szCs w:val="18"/>
              </w:rPr>
            </w:pPr>
            <w:r w:rsidRPr="003328EE">
              <w:rPr>
                <w:rFonts w:eastAsia="Times New Roman"/>
                <w:color w:val="000000"/>
                <w:sz w:val="18"/>
                <w:szCs w:val="18"/>
              </w:rPr>
              <w:t>Media (TV; Social)</w:t>
            </w:r>
          </w:p>
        </w:tc>
        <w:tc>
          <w:tcPr>
            <w:tcW w:w="3183" w:type="dxa"/>
            <w:tcBorders>
              <w:top w:val="nil"/>
              <w:left w:val="nil"/>
              <w:bottom w:val="nil"/>
              <w:right w:val="nil"/>
            </w:tcBorders>
            <w:shd w:val="clear" w:color="auto" w:fill="auto"/>
            <w:noWrap/>
            <w:vAlign w:val="bottom"/>
            <w:hideMark/>
          </w:tcPr>
          <w:p w14:paraId="4D6470B9" w14:textId="3A4719CC"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21453B68" w14:textId="50660FDD"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804C238" w14:textId="7AD7591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99BDC72" w14:textId="5EC24A31"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1B64F63B" w14:textId="018FC27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CB3A786" w14:textId="77777777" w:rsidTr="00D65F93">
        <w:trPr>
          <w:trHeight w:val="320"/>
        </w:trPr>
        <w:tc>
          <w:tcPr>
            <w:tcW w:w="3545" w:type="dxa"/>
            <w:tcBorders>
              <w:top w:val="nil"/>
              <w:left w:val="nil"/>
              <w:bottom w:val="nil"/>
              <w:right w:val="nil"/>
            </w:tcBorders>
            <w:shd w:val="clear" w:color="auto" w:fill="auto"/>
            <w:noWrap/>
            <w:vAlign w:val="bottom"/>
            <w:hideMark/>
          </w:tcPr>
          <w:p w14:paraId="3B67988C" w14:textId="3033EF4D" w:rsidR="00F826D0" w:rsidRPr="003328EE" w:rsidRDefault="00F826D0" w:rsidP="00D65F93">
            <w:pPr>
              <w:rPr>
                <w:rFonts w:eastAsia="Times New Roman"/>
                <w:color w:val="000000"/>
                <w:sz w:val="18"/>
                <w:szCs w:val="18"/>
              </w:rPr>
            </w:pPr>
            <w:r w:rsidRPr="003328EE">
              <w:rPr>
                <w:rFonts w:eastAsia="Times New Roman"/>
                <w:color w:val="000000"/>
                <w:sz w:val="18"/>
                <w:szCs w:val="18"/>
              </w:rPr>
              <w:t>Media (TV; Social)</w:t>
            </w:r>
          </w:p>
        </w:tc>
        <w:tc>
          <w:tcPr>
            <w:tcW w:w="3183" w:type="dxa"/>
            <w:tcBorders>
              <w:top w:val="nil"/>
              <w:left w:val="nil"/>
              <w:bottom w:val="nil"/>
              <w:right w:val="nil"/>
            </w:tcBorders>
            <w:shd w:val="clear" w:color="auto" w:fill="auto"/>
            <w:noWrap/>
            <w:vAlign w:val="bottom"/>
            <w:hideMark/>
          </w:tcPr>
          <w:p w14:paraId="105414DE" w14:textId="0ED323C3"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04B1529B" w14:textId="55213EC7"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1BAC280" w14:textId="7289F91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4C47933" w14:textId="4BFB6E4D" w:rsidR="00F826D0" w:rsidRPr="003328EE" w:rsidRDefault="00F826D0" w:rsidP="00D65F93">
            <w:pPr>
              <w:rPr>
                <w:rFonts w:eastAsia="Times New Roman"/>
                <w:color w:val="000000"/>
                <w:sz w:val="18"/>
                <w:szCs w:val="18"/>
              </w:rPr>
            </w:pPr>
            <w:r w:rsidRPr="003328EE">
              <w:rPr>
                <w:rFonts w:eastAsia="Times New Roman"/>
                <w:color w:val="000000"/>
                <w:sz w:val="18"/>
                <w:szCs w:val="18"/>
              </w:rPr>
              <w:t>Bugge, 2016</w:t>
            </w:r>
          </w:p>
        </w:tc>
        <w:tc>
          <w:tcPr>
            <w:tcW w:w="1156" w:type="dxa"/>
            <w:tcBorders>
              <w:top w:val="nil"/>
              <w:left w:val="nil"/>
              <w:bottom w:val="nil"/>
              <w:right w:val="nil"/>
            </w:tcBorders>
            <w:shd w:val="clear" w:color="auto" w:fill="auto"/>
            <w:noWrap/>
            <w:vAlign w:val="bottom"/>
            <w:hideMark/>
          </w:tcPr>
          <w:p w14:paraId="506A650E" w14:textId="6DFFDF39"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2B32F29" w14:textId="77777777" w:rsidTr="00D65F93">
        <w:trPr>
          <w:trHeight w:val="320"/>
        </w:trPr>
        <w:tc>
          <w:tcPr>
            <w:tcW w:w="3545" w:type="dxa"/>
            <w:tcBorders>
              <w:top w:val="nil"/>
              <w:left w:val="nil"/>
              <w:bottom w:val="nil"/>
              <w:right w:val="nil"/>
            </w:tcBorders>
            <w:shd w:val="clear" w:color="auto" w:fill="auto"/>
            <w:noWrap/>
            <w:vAlign w:val="bottom"/>
            <w:hideMark/>
          </w:tcPr>
          <w:p w14:paraId="332E8690" w14:textId="466A8A78" w:rsidR="00F826D0" w:rsidRPr="003328EE" w:rsidRDefault="00F826D0" w:rsidP="00D65F93">
            <w:pPr>
              <w:rPr>
                <w:rFonts w:eastAsia="Times New Roman"/>
                <w:color w:val="000000"/>
                <w:sz w:val="18"/>
                <w:szCs w:val="18"/>
              </w:rPr>
            </w:pPr>
            <w:r w:rsidRPr="003328EE">
              <w:rPr>
                <w:rFonts w:eastAsia="Times New Roman"/>
                <w:color w:val="000000"/>
                <w:sz w:val="18"/>
                <w:szCs w:val="18"/>
              </w:rPr>
              <w:t>Media (TV; Social)</w:t>
            </w:r>
          </w:p>
        </w:tc>
        <w:tc>
          <w:tcPr>
            <w:tcW w:w="3183" w:type="dxa"/>
            <w:tcBorders>
              <w:top w:val="nil"/>
              <w:left w:val="nil"/>
              <w:bottom w:val="nil"/>
              <w:right w:val="nil"/>
            </w:tcBorders>
            <w:shd w:val="clear" w:color="auto" w:fill="auto"/>
            <w:noWrap/>
            <w:vAlign w:val="bottom"/>
            <w:hideMark/>
          </w:tcPr>
          <w:p w14:paraId="1AED15B6" w14:textId="714345D0"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1466A0F7" w14:textId="17AE158E"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039DFE6" w14:textId="49CA8421"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74F4EED" w14:textId="074036E7" w:rsidR="00F826D0" w:rsidRPr="003328EE" w:rsidRDefault="00F826D0" w:rsidP="00D65F93">
            <w:pPr>
              <w:rPr>
                <w:rFonts w:eastAsia="Times New Roman"/>
                <w:color w:val="000000"/>
                <w:sz w:val="18"/>
                <w:szCs w:val="18"/>
              </w:rPr>
            </w:pPr>
            <w:r w:rsidRPr="003328EE">
              <w:rPr>
                <w:rFonts w:eastAsia="Times New Roman"/>
                <w:color w:val="000000"/>
                <w:sz w:val="18"/>
                <w:szCs w:val="18"/>
              </w:rPr>
              <w:t>Choi &amp; Reid, 2015</w:t>
            </w:r>
          </w:p>
        </w:tc>
        <w:tc>
          <w:tcPr>
            <w:tcW w:w="1156" w:type="dxa"/>
            <w:tcBorders>
              <w:top w:val="nil"/>
              <w:left w:val="nil"/>
              <w:bottom w:val="nil"/>
              <w:right w:val="nil"/>
            </w:tcBorders>
            <w:shd w:val="clear" w:color="auto" w:fill="auto"/>
            <w:noWrap/>
            <w:vAlign w:val="bottom"/>
            <w:hideMark/>
          </w:tcPr>
          <w:p w14:paraId="0893A1CF" w14:textId="6524C12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960334A" w14:textId="77777777" w:rsidTr="00D65F93">
        <w:trPr>
          <w:trHeight w:val="320"/>
        </w:trPr>
        <w:tc>
          <w:tcPr>
            <w:tcW w:w="3545" w:type="dxa"/>
            <w:tcBorders>
              <w:top w:val="nil"/>
              <w:left w:val="nil"/>
              <w:bottom w:val="nil"/>
              <w:right w:val="nil"/>
            </w:tcBorders>
            <w:shd w:val="clear" w:color="auto" w:fill="auto"/>
            <w:noWrap/>
            <w:vAlign w:val="bottom"/>
            <w:hideMark/>
          </w:tcPr>
          <w:p w14:paraId="4F24EAC5" w14:textId="4764DA4E" w:rsidR="00F826D0" w:rsidRPr="003328EE" w:rsidRDefault="00F826D0" w:rsidP="00D65F93">
            <w:pPr>
              <w:rPr>
                <w:rFonts w:eastAsia="Times New Roman"/>
                <w:color w:val="000000"/>
                <w:sz w:val="18"/>
                <w:szCs w:val="18"/>
              </w:rPr>
            </w:pPr>
            <w:r w:rsidRPr="003328EE">
              <w:rPr>
                <w:rFonts w:eastAsia="Times New Roman"/>
                <w:color w:val="000000"/>
                <w:sz w:val="18"/>
                <w:szCs w:val="18"/>
              </w:rPr>
              <w:t>Media (TV; Social)</w:t>
            </w:r>
          </w:p>
        </w:tc>
        <w:tc>
          <w:tcPr>
            <w:tcW w:w="3183" w:type="dxa"/>
            <w:tcBorders>
              <w:top w:val="nil"/>
              <w:left w:val="nil"/>
              <w:bottom w:val="nil"/>
              <w:right w:val="nil"/>
            </w:tcBorders>
            <w:shd w:val="clear" w:color="auto" w:fill="auto"/>
            <w:noWrap/>
            <w:vAlign w:val="bottom"/>
            <w:hideMark/>
          </w:tcPr>
          <w:p w14:paraId="564F6E38" w14:textId="41E84D05"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40442E57" w14:textId="24527F0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2B28AD6" w14:textId="08E3844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684F54D" w14:textId="2F712176" w:rsidR="00F826D0" w:rsidRPr="003328EE" w:rsidRDefault="00F826D0" w:rsidP="00D65F93">
            <w:pPr>
              <w:rPr>
                <w:rFonts w:eastAsia="Times New Roman"/>
                <w:color w:val="000000"/>
                <w:sz w:val="18"/>
                <w:szCs w:val="18"/>
              </w:rPr>
            </w:pPr>
            <w:r w:rsidRPr="003328EE">
              <w:rPr>
                <w:rFonts w:eastAsia="Times New Roman"/>
                <w:color w:val="000000"/>
                <w:sz w:val="18"/>
                <w:szCs w:val="18"/>
              </w:rPr>
              <w:t>Kim et al., 2016b</w:t>
            </w:r>
          </w:p>
        </w:tc>
        <w:tc>
          <w:tcPr>
            <w:tcW w:w="1156" w:type="dxa"/>
            <w:tcBorders>
              <w:top w:val="nil"/>
              <w:left w:val="nil"/>
              <w:bottom w:val="nil"/>
              <w:right w:val="nil"/>
            </w:tcBorders>
            <w:shd w:val="clear" w:color="auto" w:fill="auto"/>
            <w:noWrap/>
            <w:vAlign w:val="bottom"/>
            <w:hideMark/>
          </w:tcPr>
          <w:p w14:paraId="15C388B5" w14:textId="5E9A053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1FDAED8" w14:textId="77777777" w:rsidTr="00D65F93">
        <w:trPr>
          <w:trHeight w:val="320"/>
        </w:trPr>
        <w:tc>
          <w:tcPr>
            <w:tcW w:w="3545" w:type="dxa"/>
            <w:tcBorders>
              <w:top w:val="nil"/>
              <w:left w:val="nil"/>
              <w:bottom w:val="nil"/>
              <w:right w:val="nil"/>
            </w:tcBorders>
            <w:shd w:val="clear" w:color="auto" w:fill="auto"/>
            <w:noWrap/>
            <w:vAlign w:val="bottom"/>
            <w:hideMark/>
          </w:tcPr>
          <w:p w14:paraId="4A9C65D0" w14:textId="4A34F997" w:rsidR="00F826D0" w:rsidRPr="003328EE" w:rsidRDefault="00F826D0" w:rsidP="00D65F93">
            <w:pPr>
              <w:rPr>
                <w:rFonts w:eastAsia="Times New Roman"/>
                <w:color w:val="000000"/>
                <w:sz w:val="18"/>
                <w:szCs w:val="18"/>
              </w:rPr>
            </w:pPr>
            <w:r w:rsidRPr="003328EE">
              <w:rPr>
                <w:rFonts w:eastAsia="Times New Roman"/>
                <w:color w:val="000000"/>
                <w:sz w:val="18"/>
                <w:szCs w:val="18"/>
              </w:rPr>
              <w:t>Media (TV; Social)</w:t>
            </w:r>
          </w:p>
        </w:tc>
        <w:tc>
          <w:tcPr>
            <w:tcW w:w="3183" w:type="dxa"/>
            <w:tcBorders>
              <w:top w:val="nil"/>
              <w:left w:val="nil"/>
              <w:bottom w:val="nil"/>
              <w:right w:val="nil"/>
            </w:tcBorders>
            <w:shd w:val="clear" w:color="auto" w:fill="auto"/>
            <w:noWrap/>
            <w:vAlign w:val="bottom"/>
            <w:hideMark/>
          </w:tcPr>
          <w:p w14:paraId="6CFAC4C9" w14:textId="63735BBD"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6B5C4642" w14:textId="3AA92BCF"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E0039E7" w14:textId="06C98A6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9BA2A5B" w14:textId="0FBED613" w:rsidR="00F826D0" w:rsidRPr="003328EE" w:rsidRDefault="00F826D0" w:rsidP="00D65F93">
            <w:pPr>
              <w:rPr>
                <w:rFonts w:eastAsia="Times New Roman"/>
                <w:color w:val="000000"/>
                <w:sz w:val="18"/>
                <w:szCs w:val="18"/>
              </w:rPr>
            </w:pPr>
            <w:r w:rsidRPr="003328EE">
              <w:rPr>
                <w:rFonts w:eastAsia="Times New Roman"/>
                <w:color w:val="000000"/>
                <w:sz w:val="18"/>
                <w:szCs w:val="18"/>
              </w:rPr>
              <w:t>Sonntag et al., 2015</w:t>
            </w:r>
          </w:p>
        </w:tc>
        <w:tc>
          <w:tcPr>
            <w:tcW w:w="1156" w:type="dxa"/>
            <w:tcBorders>
              <w:top w:val="nil"/>
              <w:left w:val="nil"/>
              <w:bottom w:val="nil"/>
              <w:right w:val="nil"/>
            </w:tcBorders>
            <w:shd w:val="clear" w:color="auto" w:fill="auto"/>
            <w:noWrap/>
            <w:vAlign w:val="bottom"/>
            <w:hideMark/>
          </w:tcPr>
          <w:p w14:paraId="75F7E449" w14:textId="2BF81EE8"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6E29EA56" w14:textId="77777777" w:rsidTr="00D65F93">
        <w:trPr>
          <w:trHeight w:val="320"/>
        </w:trPr>
        <w:tc>
          <w:tcPr>
            <w:tcW w:w="3545" w:type="dxa"/>
            <w:tcBorders>
              <w:top w:val="nil"/>
              <w:left w:val="nil"/>
              <w:bottom w:val="nil"/>
              <w:right w:val="nil"/>
            </w:tcBorders>
            <w:shd w:val="clear" w:color="auto" w:fill="auto"/>
            <w:noWrap/>
            <w:vAlign w:val="bottom"/>
            <w:hideMark/>
          </w:tcPr>
          <w:p w14:paraId="3C2964B8" w14:textId="2329268A" w:rsidR="00F826D0" w:rsidRPr="003328EE" w:rsidRDefault="00F826D0" w:rsidP="00D65F93">
            <w:pPr>
              <w:rPr>
                <w:rFonts w:eastAsia="Times New Roman"/>
                <w:color w:val="000000"/>
                <w:sz w:val="18"/>
                <w:szCs w:val="18"/>
              </w:rPr>
            </w:pPr>
            <w:r w:rsidRPr="003328EE">
              <w:rPr>
                <w:rFonts w:eastAsia="Times New Roman"/>
                <w:color w:val="000000"/>
                <w:sz w:val="18"/>
                <w:szCs w:val="18"/>
              </w:rPr>
              <w:t>Media Messages</w:t>
            </w:r>
          </w:p>
        </w:tc>
        <w:tc>
          <w:tcPr>
            <w:tcW w:w="3183" w:type="dxa"/>
            <w:tcBorders>
              <w:top w:val="nil"/>
              <w:left w:val="nil"/>
              <w:bottom w:val="nil"/>
              <w:right w:val="nil"/>
            </w:tcBorders>
            <w:shd w:val="clear" w:color="auto" w:fill="auto"/>
            <w:noWrap/>
            <w:vAlign w:val="bottom"/>
            <w:hideMark/>
          </w:tcPr>
          <w:p w14:paraId="1B09AEED" w14:textId="42F5AF1A"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5D8889E5" w14:textId="6FD7AC43"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A1F0130" w14:textId="3A2C2CD1"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27D76F6" w14:textId="235857AF" w:rsidR="00F826D0" w:rsidRPr="003328EE" w:rsidRDefault="00F826D0" w:rsidP="00D65F93">
            <w:pPr>
              <w:rPr>
                <w:rFonts w:eastAsia="Times New Roman"/>
                <w:color w:val="000000"/>
                <w:sz w:val="18"/>
                <w:szCs w:val="18"/>
              </w:rPr>
            </w:pPr>
            <w:r w:rsidRPr="003328EE">
              <w:rPr>
                <w:rFonts w:eastAsia="Times New Roman"/>
                <w:color w:val="000000"/>
                <w:sz w:val="18"/>
                <w:szCs w:val="18"/>
              </w:rPr>
              <w:t>Hopkins, 2015</w:t>
            </w:r>
          </w:p>
        </w:tc>
        <w:tc>
          <w:tcPr>
            <w:tcW w:w="1156" w:type="dxa"/>
            <w:tcBorders>
              <w:top w:val="nil"/>
              <w:left w:val="nil"/>
              <w:bottom w:val="nil"/>
              <w:right w:val="nil"/>
            </w:tcBorders>
            <w:shd w:val="clear" w:color="auto" w:fill="auto"/>
            <w:noWrap/>
            <w:vAlign w:val="bottom"/>
            <w:hideMark/>
          </w:tcPr>
          <w:p w14:paraId="5249A41E" w14:textId="2173C6D6"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5C5D430" w14:textId="77777777" w:rsidTr="00D65F93">
        <w:trPr>
          <w:trHeight w:val="320"/>
        </w:trPr>
        <w:tc>
          <w:tcPr>
            <w:tcW w:w="3545" w:type="dxa"/>
            <w:tcBorders>
              <w:top w:val="nil"/>
              <w:left w:val="nil"/>
              <w:bottom w:val="nil"/>
              <w:right w:val="nil"/>
            </w:tcBorders>
            <w:shd w:val="clear" w:color="auto" w:fill="auto"/>
            <w:noWrap/>
            <w:vAlign w:val="bottom"/>
            <w:hideMark/>
          </w:tcPr>
          <w:p w14:paraId="590FE478" w14:textId="18CA8493" w:rsidR="00F826D0" w:rsidRPr="003328EE" w:rsidRDefault="00F826D0" w:rsidP="00D65F93">
            <w:pPr>
              <w:rPr>
                <w:rFonts w:eastAsia="Times New Roman"/>
                <w:color w:val="000000"/>
                <w:sz w:val="18"/>
                <w:szCs w:val="18"/>
              </w:rPr>
            </w:pPr>
            <w:r w:rsidRPr="003328EE">
              <w:rPr>
                <w:rFonts w:eastAsia="Times New Roman"/>
                <w:color w:val="000000"/>
                <w:sz w:val="18"/>
                <w:szCs w:val="18"/>
              </w:rPr>
              <w:t>Packaging</w:t>
            </w:r>
          </w:p>
        </w:tc>
        <w:tc>
          <w:tcPr>
            <w:tcW w:w="3183" w:type="dxa"/>
            <w:tcBorders>
              <w:top w:val="nil"/>
              <w:left w:val="nil"/>
              <w:bottom w:val="nil"/>
              <w:right w:val="nil"/>
            </w:tcBorders>
            <w:shd w:val="clear" w:color="auto" w:fill="auto"/>
            <w:noWrap/>
            <w:vAlign w:val="bottom"/>
            <w:hideMark/>
          </w:tcPr>
          <w:p w14:paraId="51BCB9EB" w14:textId="18D191E4"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50353C8B" w14:textId="54ADB55E"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256087F9" w14:textId="3B51166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34D2F61" w14:textId="553FB9CB" w:rsidR="00F826D0" w:rsidRPr="003328EE" w:rsidRDefault="00F826D0" w:rsidP="00D65F93">
            <w:pPr>
              <w:rPr>
                <w:rFonts w:eastAsia="Times New Roman"/>
                <w:color w:val="000000"/>
                <w:sz w:val="18"/>
                <w:szCs w:val="18"/>
              </w:rPr>
            </w:pPr>
            <w:r w:rsidRPr="003328EE">
              <w:rPr>
                <w:rFonts w:eastAsia="Times New Roman"/>
                <w:color w:val="000000"/>
                <w:sz w:val="18"/>
                <w:szCs w:val="18"/>
              </w:rPr>
              <w:t>Bugge, 2016</w:t>
            </w:r>
          </w:p>
        </w:tc>
        <w:tc>
          <w:tcPr>
            <w:tcW w:w="1156" w:type="dxa"/>
            <w:tcBorders>
              <w:top w:val="nil"/>
              <w:left w:val="nil"/>
              <w:bottom w:val="nil"/>
              <w:right w:val="nil"/>
            </w:tcBorders>
            <w:shd w:val="clear" w:color="auto" w:fill="auto"/>
            <w:noWrap/>
            <w:vAlign w:val="bottom"/>
            <w:hideMark/>
          </w:tcPr>
          <w:p w14:paraId="431F6080" w14:textId="6B0977E2"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AC8D0A5" w14:textId="77777777" w:rsidTr="00D65F93">
        <w:trPr>
          <w:trHeight w:val="320"/>
        </w:trPr>
        <w:tc>
          <w:tcPr>
            <w:tcW w:w="3545" w:type="dxa"/>
            <w:tcBorders>
              <w:top w:val="nil"/>
              <w:left w:val="nil"/>
              <w:bottom w:val="nil"/>
              <w:right w:val="nil"/>
            </w:tcBorders>
            <w:shd w:val="clear" w:color="auto" w:fill="auto"/>
            <w:noWrap/>
            <w:vAlign w:val="bottom"/>
            <w:hideMark/>
          </w:tcPr>
          <w:p w14:paraId="3169FD12" w14:textId="3BB68CA0" w:rsidR="00F826D0" w:rsidRPr="003328EE" w:rsidRDefault="00F826D0" w:rsidP="00D65F93">
            <w:pPr>
              <w:rPr>
                <w:rFonts w:eastAsia="Times New Roman"/>
                <w:color w:val="000000"/>
                <w:sz w:val="18"/>
                <w:szCs w:val="18"/>
              </w:rPr>
            </w:pPr>
            <w:r w:rsidRPr="003328EE">
              <w:rPr>
                <w:rFonts w:eastAsia="Times New Roman"/>
                <w:color w:val="000000"/>
                <w:sz w:val="18"/>
                <w:szCs w:val="18"/>
              </w:rPr>
              <w:t>Point of Purchase Information</w:t>
            </w:r>
          </w:p>
        </w:tc>
        <w:tc>
          <w:tcPr>
            <w:tcW w:w="3183" w:type="dxa"/>
            <w:tcBorders>
              <w:top w:val="nil"/>
              <w:left w:val="nil"/>
              <w:bottom w:val="nil"/>
              <w:right w:val="nil"/>
            </w:tcBorders>
            <w:shd w:val="clear" w:color="auto" w:fill="auto"/>
            <w:noWrap/>
            <w:vAlign w:val="bottom"/>
            <w:hideMark/>
          </w:tcPr>
          <w:p w14:paraId="4A1E67E4" w14:textId="08866013"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0B847331" w14:textId="42E24E51"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343DEB6" w14:textId="74796CCB"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DC3EA00" w14:textId="139B18B0" w:rsidR="00F826D0" w:rsidRPr="003328EE" w:rsidRDefault="00F826D0" w:rsidP="00D65F93">
            <w:pPr>
              <w:rPr>
                <w:rFonts w:eastAsia="Times New Roman"/>
                <w:color w:val="000000"/>
                <w:sz w:val="18"/>
                <w:szCs w:val="18"/>
              </w:rPr>
            </w:pPr>
            <w:r w:rsidRPr="003328EE">
              <w:rPr>
                <w:rFonts w:eastAsia="Times New Roman"/>
                <w:color w:val="000000"/>
                <w:sz w:val="18"/>
                <w:szCs w:val="18"/>
              </w:rPr>
              <w:t>Jones et al., 2004</w:t>
            </w:r>
          </w:p>
        </w:tc>
        <w:tc>
          <w:tcPr>
            <w:tcW w:w="1156" w:type="dxa"/>
            <w:tcBorders>
              <w:top w:val="nil"/>
              <w:left w:val="nil"/>
              <w:bottom w:val="nil"/>
              <w:right w:val="nil"/>
            </w:tcBorders>
            <w:shd w:val="clear" w:color="auto" w:fill="auto"/>
            <w:noWrap/>
            <w:vAlign w:val="bottom"/>
            <w:hideMark/>
          </w:tcPr>
          <w:p w14:paraId="2FF4BB79" w14:textId="150B574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A8485DA" w14:textId="77777777" w:rsidTr="00D65F93">
        <w:trPr>
          <w:trHeight w:val="320"/>
        </w:trPr>
        <w:tc>
          <w:tcPr>
            <w:tcW w:w="3545" w:type="dxa"/>
            <w:tcBorders>
              <w:top w:val="nil"/>
              <w:left w:val="nil"/>
              <w:bottom w:val="nil"/>
              <w:right w:val="nil"/>
            </w:tcBorders>
            <w:shd w:val="clear" w:color="auto" w:fill="auto"/>
            <w:noWrap/>
            <w:vAlign w:val="bottom"/>
            <w:hideMark/>
          </w:tcPr>
          <w:p w14:paraId="64F932EA" w14:textId="0E23B079" w:rsidR="00F826D0" w:rsidRPr="003328EE" w:rsidRDefault="00F826D0" w:rsidP="00D65F93">
            <w:pPr>
              <w:rPr>
                <w:rFonts w:eastAsia="Times New Roman"/>
                <w:color w:val="000000"/>
                <w:sz w:val="18"/>
                <w:szCs w:val="18"/>
              </w:rPr>
            </w:pPr>
            <w:r w:rsidRPr="003328EE">
              <w:rPr>
                <w:rFonts w:eastAsia="Times New Roman"/>
                <w:color w:val="000000"/>
                <w:sz w:val="18"/>
                <w:szCs w:val="18"/>
              </w:rPr>
              <w:t>Point of Purchase Information</w:t>
            </w:r>
          </w:p>
        </w:tc>
        <w:tc>
          <w:tcPr>
            <w:tcW w:w="3183" w:type="dxa"/>
            <w:tcBorders>
              <w:top w:val="nil"/>
              <w:left w:val="nil"/>
              <w:bottom w:val="nil"/>
              <w:right w:val="nil"/>
            </w:tcBorders>
            <w:shd w:val="clear" w:color="auto" w:fill="auto"/>
            <w:noWrap/>
            <w:vAlign w:val="bottom"/>
            <w:hideMark/>
          </w:tcPr>
          <w:p w14:paraId="47232734" w14:textId="4AC491EE"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2AA3DAD2" w14:textId="30267A7E"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B0E7777" w14:textId="66A11E1F"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509ED85" w14:textId="74A71433" w:rsidR="00F826D0" w:rsidRPr="003328EE" w:rsidRDefault="00F826D0" w:rsidP="00D65F93">
            <w:pPr>
              <w:rPr>
                <w:rFonts w:eastAsia="Times New Roman"/>
                <w:color w:val="000000"/>
                <w:sz w:val="18"/>
                <w:szCs w:val="18"/>
              </w:rPr>
            </w:pPr>
            <w:r w:rsidRPr="003328EE">
              <w:rPr>
                <w:rFonts w:eastAsia="Times New Roman"/>
                <w:color w:val="000000"/>
                <w:sz w:val="18"/>
                <w:szCs w:val="18"/>
              </w:rPr>
              <w:t>Jahns et al., 2016</w:t>
            </w:r>
          </w:p>
        </w:tc>
        <w:tc>
          <w:tcPr>
            <w:tcW w:w="1156" w:type="dxa"/>
            <w:tcBorders>
              <w:top w:val="nil"/>
              <w:left w:val="nil"/>
              <w:bottom w:val="nil"/>
              <w:right w:val="nil"/>
            </w:tcBorders>
            <w:shd w:val="clear" w:color="auto" w:fill="auto"/>
            <w:noWrap/>
            <w:vAlign w:val="bottom"/>
            <w:hideMark/>
          </w:tcPr>
          <w:p w14:paraId="08E9C057" w14:textId="5BC2C46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F11F322" w14:textId="77777777" w:rsidTr="00D65F93">
        <w:trPr>
          <w:trHeight w:val="320"/>
        </w:trPr>
        <w:tc>
          <w:tcPr>
            <w:tcW w:w="3545" w:type="dxa"/>
            <w:tcBorders>
              <w:top w:val="nil"/>
              <w:left w:val="nil"/>
              <w:bottom w:val="nil"/>
              <w:right w:val="nil"/>
            </w:tcBorders>
            <w:shd w:val="clear" w:color="auto" w:fill="auto"/>
            <w:noWrap/>
            <w:vAlign w:val="bottom"/>
            <w:hideMark/>
          </w:tcPr>
          <w:p w14:paraId="190FB12C" w14:textId="43784F8F" w:rsidR="00F826D0" w:rsidRPr="003328EE" w:rsidRDefault="00F826D0" w:rsidP="00D65F93">
            <w:pPr>
              <w:rPr>
                <w:rFonts w:eastAsia="Times New Roman"/>
                <w:color w:val="000000"/>
                <w:sz w:val="18"/>
                <w:szCs w:val="18"/>
              </w:rPr>
            </w:pPr>
            <w:r w:rsidRPr="003328EE">
              <w:rPr>
                <w:rFonts w:eastAsia="Times New Roman"/>
                <w:color w:val="000000"/>
                <w:sz w:val="18"/>
                <w:szCs w:val="18"/>
              </w:rPr>
              <w:t>Point of Purchase Information</w:t>
            </w:r>
          </w:p>
        </w:tc>
        <w:tc>
          <w:tcPr>
            <w:tcW w:w="3183" w:type="dxa"/>
            <w:tcBorders>
              <w:top w:val="nil"/>
              <w:left w:val="nil"/>
              <w:bottom w:val="nil"/>
              <w:right w:val="nil"/>
            </w:tcBorders>
            <w:shd w:val="clear" w:color="auto" w:fill="auto"/>
            <w:noWrap/>
            <w:vAlign w:val="bottom"/>
            <w:hideMark/>
          </w:tcPr>
          <w:p w14:paraId="0A0CA893" w14:textId="484B5C11"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22ABBCBC" w14:textId="419EC39C"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31744E04" w14:textId="10A05EF9"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5E1C180" w14:textId="7D9F2430" w:rsidR="00F826D0" w:rsidRPr="003328EE" w:rsidRDefault="00F826D0" w:rsidP="00D65F93">
            <w:pPr>
              <w:rPr>
                <w:rFonts w:eastAsia="Times New Roman"/>
                <w:color w:val="000000"/>
                <w:sz w:val="18"/>
                <w:szCs w:val="18"/>
              </w:rPr>
            </w:pPr>
            <w:r w:rsidRPr="003328EE">
              <w:rPr>
                <w:rFonts w:eastAsia="Times New Roman"/>
                <w:color w:val="000000"/>
                <w:sz w:val="18"/>
                <w:szCs w:val="18"/>
              </w:rPr>
              <w:t>Jeong &amp; Jang, 2016</w:t>
            </w:r>
          </w:p>
        </w:tc>
        <w:tc>
          <w:tcPr>
            <w:tcW w:w="1156" w:type="dxa"/>
            <w:tcBorders>
              <w:top w:val="nil"/>
              <w:left w:val="nil"/>
              <w:bottom w:val="nil"/>
              <w:right w:val="nil"/>
            </w:tcBorders>
            <w:shd w:val="clear" w:color="auto" w:fill="auto"/>
            <w:noWrap/>
            <w:vAlign w:val="bottom"/>
            <w:hideMark/>
          </w:tcPr>
          <w:p w14:paraId="50C9215E" w14:textId="694BD8B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3B0EC38" w14:textId="77777777" w:rsidTr="00D65F93">
        <w:trPr>
          <w:trHeight w:val="320"/>
        </w:trPr>
        <w:tc>
          <w:tcPr>
            <w:tcW w:w="3545" w:type="dxa"/>
            <w:tcBorders>
              <w:top w:val="nil"/>
              <w:left w:val="nil"/>
              <w:bottom w:val="nil"/>
              <w:right w:val="nil"/>
            </w:tcBorders>
            <w:shd w:val="clear" w:color="auto" w:fill="auto"/>
            <w:noWrap/>
            <w:vAlign w:val="bottom"/>
            <w:hideMark/>
          </w:tcPr>
          <w:p w14:paraId="7EA92CF9" w14:textId="55E9CBC2" w:rsidR="00F826D0" w:rsidRPr="003328EE" w:rsidRDefault="00F826D0" w:rsidP="00D65F93">
            <w:pPr>
              <w:rPr>
                <w:rFonts w:eastAsia="Times New Roman"/>
                <w:color w:val="000000"/>
                <w:sz w:val="18"/>
                <w:szCs w:val="18"/>
              </w:rPr>
            </w:pPr>
            <w:r w:rsidRPr="003328EE">
              <w:rPr>
                <w:rFonts w:eastAsia="Times New Roman"/>
                <w:color w:val="000000"/>
                <w:sz w:val="18"/>
                <w:szCs w:val="18"/>
              </w:rPr>
              <w:t>Point of Purchase Information</w:t>
            </w:r>
          </w:p>
        </w:tc>
        <w:tc>
          <w:tcPr>
            <w:tcW w:w="3183" w:type="dxa"/>
            <w:tcBorders>
              <w:top w:val="nil"/>
              <w:left w:val="nil"/>
              <w:bottom w:val="nil"/>
              <w:right w:val="nil"/>
            </w:tcBorders>
            <w:shd w:val="clear" w:color="auto" w:fill="auto"/>
            <w:noWrap/>
            <w:vAlign w:val="bottom"/>
            <w:hideMark/>
          </w:tcPr>
          <w:p w14:paraId="3B2F538E" w14:textId="37243017"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21A5353F" w14:textId="2C2A927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59F87060" w14:textId="10EC3C1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AFBFF73" w14:textId="59752719"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208399D3" w14:textId="3E371C3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93CC6B2" w14:textId="77777777" w:rsidTr="00D65F93">
        <w:trPr>
          <w:trHeight w:val="320"/>
        </w:trPr>
        <w:tc>
          <w:tcPr>
            <w:tcW w:w="3545" w:type="dxa"/>
            <w:tcBorders>
              <w:top w:val="nil"/>
              <w:left w:val="nil"/>
              <w:bottom w:val="nil"/>
              <w:right w:val="nil"/>
            </w:tcBorders>
            <w:shd w:val="clear" w:color="auto" w:fill="auto"/>
            <w:noWrap/>
            <w:vAlign w:val="bottom"/>
            <w:hideMark/>
          </w:tcPr>
          <w:p w14:paraId="656325DD" w14:textId="2E009150" w:rsidR="00F826D0" w:rsidRPr="003328EE" w:rsidRDefault="00F826D0" w:rsidP="00D65F93">
            <w:pPr>
              <w:rPr>
                <w:rFonts w:eastAsia="Times New Roman"/>
                <w:color w:val="000000"/>
                <w:sz w:val="18"/>
                <w:szCs w:val="18"/>
              </w:rPr>
            </w:pPr>
            <w:r w:rsidRPr="003328EE">
              <w:rPr>
                <w:rFonts w:eastAsia="Times New Roman"/>
                <w:color w:val="000000"/>
                <w:sz w:val="18"/>
                <w:szCs w:val="18"/>
              </w:rPr>
              <w:t>Product Packaging</w:t>
            </w:r>
          </w:p>
        </w:tc>
        <w:tc>
          <w:tcPr>
            <w:tcW w:w="3183" w:type="dxa"/>
            <w:tcBorders>
              <w:top w:val="nil"/>
              <w:left w:val="nil"/>
              <w:bottom w:val="nil"/>
              <w:right w:val="nil"/>
            </w:tcBorders>
            <w:shd w:val="clear" w:color="auto" w:fill="auto"/>
            <w:noWrap/>
            <w:vAlign w:val="bottom"/>
            <w:hideMark/>
          </w:tcPr>
          <w:p w14:paraId="27B08380" w14:textId="59C8D9FD"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39B194C6" w14:textId="340948B3"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6CA55083" w14:textId="462181E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D0E909A" w14:textId="064EF5E5" w:rsidR="00F826D0" w:rsidRPr="003328EE" w:rsidRDefault="00F826D0" w:rsidP="00D65F93">
            <w:pPr>
              <w:rPr>
                <w:rFonts w:eastAsia="Times New Roman"/>
                <w:color w:val="000000"/>
                <w:sz w:val="18"/>
                <w:szCs w:val="18"/>
              </w:rPr>
            </w:pPr>
            <w:r w:rsidRPr="003328EE">
              <w:rPr>
                <w:rFonts w:eastAsia="Times New Roman"/>
                <w:color w:val="000000"/>
                <w:sz w:val="18"/>
                <w:szCs w:val="18"/>
              </w:rPr>
              <w:t>Sonntag et al., 2015</w:t>
            </w:r>
          </w:p>
        </w:tc>
        <w:tc>
          <w:tcPr>
            <w:tcW w:w="1156" w:type="dxa"/>
            <w:tcBorders>
              <w:top w:val="nil"/>
              <w:left w:val="nil"/>
              <w:bottom w:val="nil"/>
              <w:right w:val="nil"/>
            </w:tcBorders>
            <w:shd w:val="clear" w:color="auto" w:fill="auto"/>
            <w:noWrap/>
            <w:vAlign w:val="bottom"/>
            <w:hideMark/>
          </w:tcPr>
          <w:p w14:paraId="52CE23B5" w14:textId="7E1A1527"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3CC62665" w14:textId="77777777" w:rsidTr="00D65F93">
        <w:trPr>
          <w:trHeight w:val="320"/>
        </w:trPr>
        <w:tc>
          <w:tcPr>
            <w:tcW w:w="3545" w:type="dxa"/>
            <w:tcBorders>
              <w:top w:val="nil"/>
              <w:left w:val="nil"/>
              <w:bottom w:val="nil"/>
              <w:right w:val="nil"/>
            </w:tcBorders>
            <w:shd w:val="clear" w:color="auto" w:fill="auto"/>
            <w:noWrap/>
            <w:vAlign w:val="bottom"/>
            <w:hideMark/>
          </w:tcPr>
          <w:p w14:paraId="3B9F82BD" w14:textId="2D637339" w:rsidR="00F826D0" w:rsidRPr="003328EE" w:rsidRDefault="00F826D0" w:rsidP="00D65F93">
            <w:pPr>
              <w:rPr>
                <w:rFonts w:eastAsia="Times New Roman"/>
                <w:color w:val="000000"/>
                <w:sz w:val="18"/>
                <w:szCs w:val="18"/>
              </w:rPr>
            </w:pPr>
            <w:r w:rsidRPr="003328EE">
              <w:rPr>
                <w:rFonts w:eastAsia="Times New Roman"/>
                <w:color w:val="000000"/>
                <w:sz w:val="18"/>
                <w:szCs w:val="18"/>
              </w:rPr>
              <w:t>Product Placement</w:t>
            </w:r>
          </w:p>
        </w:tc>
        <w:tc>
          <w:tcPr>
            <w:tcW w:w="3183" w:type="dxa"/>
            <w:tcBorders>
              <w:top w:val="nil"/>
              <w:left w:val="nil"/>
              <w:bottom w:val="nil"/>
              <w:right w:val="nil"/>
            </w:tcBorders>
            <w:shd w:val="clear" w:color="auto" w:fill="auto"/>
            <w:noWrap/>
            <w:vAlign w:val="bottom"/>
            <w:hideMark/>
          </w:tcPr>
          <w:p w14:paraId="716771F6" w14:textId="79DE157C"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288BDA63" w14:textId="770B55B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845D0B9" w14:textId="3D8CF5F8"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9650AFE" w14:textId="1721C498" w:rsidR="00F826D0" w:rsidRPr="003328EE" w:rsidRDefault="00F826D0" w:rsidP="00D65F93">
            <w:pPr>
              <w:rPr>
                <w:rFonts w:eastAsia="Times New Roman"/>
                <w:color w:val="000000"/>
                <w:sz w:val="18"/>
                <w:szCs w:val="18"/>
              </w:rPr>
            </w:pPr>
            <w:r w:rsidRPr="003328EE">
              <w:rPr>
                <w:rFonts w:eastAsia="Times New Roman"/>
                <w:color w:val="000000"/>
                <w:sz w:val="18"/>
                <w:szCs w:val="18"/>
              </w:rPr>
              <w:t>Bugge, 2016</w:t>
            </w:r>
          </w:p>
        </w:tc>
        <w:tc>
          <w:tcPr>
            <w:tcW w:w="1156" w:type="dxa"/>
            <w:tcBorders>
              <w:top w:val="nil"/>
              <w:left w:val="nil"/>
              <w:bottom w:val="nil"/>
              <w:right w:val="nil"/>
            </w:tcBorders>
            <w:shd w:val="clear" w:color="auto" w:fill="auto"/>
            <w:noWrap/>
            <w:vAlign w:val="bottom"/>
            <w:hideMark/>
          </w:tcPr>
          <w:p w14:paraId="44639E8B" w14:textId="125FE62B"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4847D22" w14:textId="77777777" w:rsidTr="00D65F93">
        <w:trPr>
          <w:trHeight w:val="320"/>
        </w:trPr>
        <w:tc>
          <w:tcPr>
            <w:tcW w:w="3545" w:type="dxa"/>
            <w:tcBorders>
              <w:top w:val="nil"/>
              <w:left w:val="nil"/>
              <w:bottom w:val="nil"/>
              <w:right w:val="nil"/>
            </w:tcBorders>
            <w:shd w:val="clear" w:color="auto" w:fill="auto"/>
            <w:noWrap/>
            <w:vAlign w:val="bottom"/>
            <w:hideMark/>
          </w:tcPr>
          <w:p w14:paraId="18BBB9C0" w14:textId="20488D77" w:rsidR="00F826D0" w:rsidRPr="003328EE" w:rsidRDefault="00F826D0" w:rsidP="00D65F93">
            <w:pPr>
              <w:rPr>
                <w:rFonts w:eastAsia="Times New Roman"/>
                <w:color w:val="000000"/>
                <w:sz w:val="18"/>
                <w:szCs w:val="18"/>
              </w:rPr>
            </w:pPr>
            <w:r w:rsidRPr="003328EE">
              <w:rPr>
                <w:rFonts w:eastAsia="Times New Roman"/>
                <w:color w:val="000000"/>
                <w:sz w:val="18"/>
                <w:szCs w:val="18"/>
              </w:rPr>
              <w:t>Product Placement/ Brand Affinity</w:t>
            </w:r>
          </w:p>
        </w:tc>
        <w:tc>
          <w:tcPr>
            <w:tcW w:w="3183" w:type="dxa"/>
            <w:tcBorders>
              <w:top w:val="nil"/>
              <w:left w:val="nil"/>
              <w:bottom w:val="nil"/>
              <w:right w:val="nil"/>
            </w:tcBorders>
            <w:shd w:val="clear" w:color="auto" w:fill="auto"/>
            <w:noWrap/>
            <w:vAlign w:val="bottom"/>
            <w:hideMark/>
          </w:tcPr>
          <w:p w14:paraId="74D1B20B" w14:textId="1E72B565"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2BA85226" w14:textId="3C2E958E"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36442E9" w14:textId="57DA774F"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867CCF1" w14:textId="2EBACF58" w:rsidR="00F826D0" w:rsidRPr="003328EE" w:rsidRDefault="00F826D0" w:rsidP="00D65F93">
            <w:pPr>
              <w:rPr>
                <w:rFonts w:eastAsia="Times New Roman"/>
                <w:color w:val="000000"/>
                <w:sz w:val="18"/>
                <w:szCs w:val="18"/>
              </w:rPr>
            </w:pPr>
            <w:r w:rsidRPr="003328EE">
              <w:rPr>
                <w:rFonts w:eastAsia="Times New Roman"/>
                <w:color w:val="000000"/>
                <w:sz w:val="18"/>
                <w:szCs w:val="18"/>
              </w:rPr>
              <w:t>Kim et al., 2016b</w:t>
            </w:r>
          </w:p>
        </w:tc>
        <w:tc>
          <w:tcPr>
            <w:tcW w:w="1156" w:type="dxa"/>
            <w:tcBorders>
              <w:top w:val="nil"/>
              <w:left w:val="nil"/>
              <w:bottom w:val="nil"/>
              <w:right w:val="nil"/>
            </w:tcBorders>
            <w:shd w:val="clear" w:color="auto" w:fill="auto"/>
            <w:noWrap/>
            <w:vAlign w:val="bottom"/>
            <w:hideMark/>
          </w:tcPr>
          <w:p w14:paraId="712E33C2" w14:textId="5AF87F9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9129F49" w14:textId="77777777" w:rsidTr="00D65F93">
        <w:trPr>
          <w:trHeight w:val="320"/>
        </w:trPr>
        <w:tc>
          <w:tcPr>
            <w:tcW w:w="3545" w:type="dxa"/>
            <w:tcBorders>
              <w:top w:val="nil"/>
              <w:left w:val="nil"/>
              <w:bottom w:val="nil"/>
              <w:right w:val="nil"/>
            </w:tcBorders>
            <w:shd w:val="clear" w:color="auto" w:fill="auto"/>
            <w:noWrap/>
            <w:vAlign w:val="bottom"/>
            <w:hideMark/>
          </w:tcPr>
          <w:p w14:paraId="39C14B4E" w14:textId="529496A1" w:rsidR="00F826D0" w:rsidRPr="003328EE" w:rsidRDefault="00F826D0" w:rsidP="00D65F93">
            <w:pPr>
              <w:rPr>
                <w:rFonts w:eastAsia="Times New Roman"/>
                <w:color w:val="000000"/>
                <w:sz w:val="18"/>
                <w:szCs w:val="18"/>
              </w:rPr>
            </w:pPr>
            <w:r w:rsidRPr="003328EE">
              <w:rPr>
                <w:rFonts w:eastAsia="Times New Roman"/>
                <w:color w:val="000000"/>
                <w:sz w:val="18"/>
                <w:szCs w:val="18"/>
              </w:rPr>
              <w:t>Promotion/Advertisements</w:t>
            </w:r>
          </w:p>
        </w:tc>
        <w:tc>
          <w:tcPr>
            <w:tcW w:w="3183" w:type="dxa"/>
            <w:tcBorders>
              <w:top w:val="nil"/>
              <w:left w:val="nil"/>
              <w:bottom w:val="nil"/>
              <w:right w:val="nil"/>
            </w:tcBorders>
            <w:shd w:val="clear" w:color="auto" w:fill="auto"/>
            <w:noWrap/>
            <w:vAlign w:val="bottom"/>
            <w:hideMark/>
          </w:tcPr>
          <w:p w14:paraId="4772D3E4" w14:textId="681D3F69"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1B37A287" w14:textId="0C261676"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062E092" w14:textId="0A4D9C3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C4E1E7A" w14:textId="519905D6" w:rsidR="00F826D0" w:rsidRPr="003328EE" w:rsidRDefault="00F826D0" w:rsidP="00D65F93">
            <w:pPr>
              <w:rPr>
                <w:rFonts w:eastAsia="Times New Roman"/>
                <w:color w:val="000000"/>
                <w:sz w:val="18"/>
                <w:szCs w:val="18"/>
              </w:rPr>
            </w:pPr>
            <w:r w:rsidRPr="003328EE">
              <w:rPr>
                <w:rFonts w:eastAsia="Times New Roman"/>
                <w:color w:val="000000"/>
                <w:sz w:val="18"/>
                <w:szCs w:val="18"/>
              </w:rPr>
              <w:t>Misbach et al., 2015</w:t>
            </w:r>
          </w:p>
        </w:tc>
        <w:tc>
          <w:tcPr>
            <w:tcW w:w="1156" w:type="dxa"/>
            <w:tcBorders>
              <w:top w:val="nil"/>
              <w:left w:val="nil"/>
              <w:bottom w:val="nil"/>
              <w:right w:val="nil"/>
            </w:tcBorders>
            <w:shd w:val="clear" w:color="auto" w:fill="auto"/>
            <w:noWrap/>
            <w:vAlign w:val="bottom"/>
            <w:hideMark/>
          </w:tcPr>
          <w:p w14:paraId="4BF3F534" w14:textId="68E4C08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2D8635C" w14:textId="77777777" w:rsidTr="00D65F93">
        <w:trPr>
          <w:trHeight w:val="320"/>
        </w:trPr>
        <w:tc>
          <w:tcPr>
            <w:tcW w:w="3545" w:type="dxa"/>
            <w:tcBorders>
              <w:top w:val="nil"/>
              <w:left w:val="nil"/>
              <w:bottom w:val="nil"/>
              <w:right w:val="nil"/>
            </w:tcBorders>
            <w:shd w:val="clear" w:color="auto" w:fill="auto"/>
            <w:noWrap/>
            <w:vAlign w:val="bottom"/>
            <w:hideMark/>
          </w:tcPr>
          <w:p w14:paraId="0A7593BB" w14:textId="74DD9B64" w:rsidR="00F826D0" w:rsidRPr="003328EE" w:rsidRDefault="00F826D0" w:rsidP="00D65F93">
            <w:pPr>
              <w:rPr>
                <w:rFonts w:eastAsia="Times New Roman"/>
                <w:color w:val="000000"/>
                <w:sz w:val="18"/>
                <w:szCs w:val="18"/>
              </w:rPr>
            </w:pPr>
            <w:r w:rsidRPr="003328EE">
              <w:rPr>
                <w:rFonts w:eastAsia="Times New Roman"/>
                <w:color w:val="000000"/>
                <w:sz w:val="18"/>
                <w:szCs w:val="18"/>
              </w:rPr>
              <w:t>Retail</w:t>
            </w:r>
          </w:p>
        </w:tc>
        <w:tc>
          <w:tcPr>
            <w:tcW w:w="3183" w:type="dxa"/>
            <w:tcBorders>
              <w:top w:val="nil"/>
              <w:left w:val="nil"/>
              <w:bottom w:val="nil"/>
              <w:right w:val="nil"/>
            </w:tcBorders>
            <w:shd w:val="clear" w:color="auto" w:fill="auto"/>
            <w:noWrap/>
            <w:vAlign w:val="bottom"/>
            <w:hideMark/>
          </w:tcPr>
          <w:p w14:paraId="5BB1291A" w14:textId="1EB12BB0"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36829ED1" w14:textId="4494E928"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C137FA2" w14:textId="5CA2FAC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3143D2D" w14:textId="0BDB20C8" w:rsidR="00F826D0" w:rsidRPr="003328EE" w:rsidRDefault="00F826D0" w:rsidP="00D65F93">
            <w:pPr>
              <w:rPr>
                <w:rFonts w:eastAsia="Times New Roman"/>
                <w:color w:val="000000"/>
                <w:sz w:val="18"/>
                <w:szCs w:val="18"/>
              </w:rPr>
            </w:pPr>
            <w:r w:rsidRPr="003328EE">
              <w:rPr>
                <w:rFonts w:eastAsia="Times New Roman"/>
                <w:color w:val="000000"/>
                <w:sz w:val="18"/>
                <w:szCs w:val="18"/>
              </w:rPr>
              <w:t>Kearney, 2010</w:t>
            </w:r>
          </w:p>
        </w:tc>
        <w:tc>
          <w:tcPr>
            <w:tcW w:w="1156" w:type="dxa"/>
            <w:tcBorders>
              <w:top w:val="nil"/>
              <w:left w:val="nil"/>
              <w:bottom w:val="nil"/>
              <w:right w:val="nil"/>
            </w:tcBorders>
            <w:shd w:val="clear" w:color="auto" w:fill="auto"/>
            <w:noWrap/>
            <w:vAlign w:val="bottom"/>
            <w:hideMark/>
          </w:tcPr>
          <w:p w14:paraId="5A7B9A39" w14:textId="45F17893"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3DDFDC9D" w14:textId="77777777" w:rsidTr="00D65F93">
        <w:trPr>
          <w:trHeight w:val="320"/>
        </w:trPr>
        <w:tc>
          <w:tcPr>
            <w:tcW w:w="3545" w:type="dxa"/>
            <w:tcBorders>
              <w:top w:val="nil"/>
              <w:left w:val="nil"/>
              <w:bottom w:val="nil"/>
              <w:right w:val="nil"/>
            </w:tcBorders>
            <w:shd w:val="clear" w:color="auto" w:fill="auto"/>
            <w:noWrap/>
            <w:vAlign w:val="bottom"/>
            <w:hideMark/>
          </w:tcPr>
          <w:p w14:paraId="5268946A" w14:textId="5B4E9D18" w:rsidR="00F826D0" w:rsidRPr="003328EE" w:rsidRDefault="00F826D0" w:rsidP="00D65F93">
            <w:pPr>
              <w:rPr>
                <w:rFonts w:eastAsia="Times New Roman"/>
                <w:color w:val="000000"/>
                <w:sz w:val="18"/>
                <w:szCs w:val="18"/>
              </w:rPr>
            </w:pPr>
            <w:r w:rsidRPr="003328EE">
              <w:rPr>
                <w:rFonts w:eastAsia="Times New Roman"/>
                <w:color w:val="000000"/>
                <w:sz w:val="18"/>
                <w:szCs w:val="18"/>
              </w:rPr>
              <w:t>Targeted Advertisement</w:t>
            </w:r>
          </w:p>
        </w:tc>
        <w:tc>
          <w:tcPr>
            <w:tcW w:w="3183" w:type="dxa"/>
            <w:tcBorders>
              <w:top w:val="nil"/>
              <w:left w:val="nil"/>
              <w:bottom w:val="nil"/>
              <w:right w:val="nil"/>
            </w:tcBorders>
            <w:shd w:val="clear" w:color="auto" w:fill="auto"/>
            <w:noWrap/>
            <w:vAlign w:val="bottom"/>
            <w:hideMark/>
          </w:tcPr>
          <w:p w14:paraId="1112981A" w14:textId="3DEC3728"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1161DF03" w14:textId="4988B003"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72B52717" w14:textId="5CC91C9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AA9959E" w14:textId="5001DC36" w:rsidR="00F826D0" w:rsidRPr="003328EE" w:rsidRDefault="00F826D0" w:rsidP="00D65F93">
            <w:pPr>
              <w:rPr>
                <w:rFonts w:eastAsia="Times New Roman"/>
                <w:color w:val="000000"/>
                <w:sz w:val="18"/>
                <w:szCs w:val="18"/>
              </w:rPr>
            </w:pPr>
            <w:r w:rsidRPr="003328EE">
              <w:rPr>
                <w:rFonts w:eastAsia="Times New Roman"/>
                <w:color w:val="000000"/>
                <w:sz w:val="18"/>
                <w:szCs w:val="18"/>
              </w:rPr>
              <w:t>Kim et al., 2016b</w:t>
            </w:r>
          </w:p>
        </w:tc>
        <w:tc>
          <w:tcPr>
            <w:tcW w:w="1156" w:type="dxa"/>
            <w:tcBorders>
              <w:top w:val="nil"/>
              <w:left w:val="nil"/>
              <w:bottom w:val="nil"/>
              <w:right w:val="nil"/>
            </w:tcBorders>
            <w:shd w:val="clear" w:color="auto" w:fill="auto"/>
            <w:noWrap/>
            <w:vAlign w:val="bottom"/>
            <w:hideMark/>
          </w:tcPr>
          <w:p w14:paraId="46DD9668" w14:textId="632ADA1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F3C66E8" w14:textId="77777777" w:rsidTr="00D65F93">
        <w:trPr>
          <w:trHeight w:val="320"/>
        </w:trPr>
        <w:tc>
          <w:tcPr>
            <w:tcW w:w="3545" w:type="dxa"/>
            <w:tcBorders>
              <w:top w:val="nil"/>
              <w:left w:val="nil"/>
              <w:bottom w:val="nil"/>
              <w:right w:val="nil"/>
            </w:tcBorders>
            <w:shd w:val="clear" w:color="auto" w:fill="auto"/>
            <w:noWrap/>
            <w:vAlign w:val="bottom"/>
            <w:hideMark/>
          </w:tcPr>
          <w:p w14:paraId="501F3BCA" w14:textId="318EE515" w:rsidR="00F826D0" w:rsidRPr="003328EE" w:rsidRDefault="00F826D0" w:rsidP="00D65F93">
            <w:pPr>
              <w:rPr>
                <w:rFonts w:eastAsia="Times New Roman"/>
                <w:color w:val="000000"/>
                <w:sz w:val="18"/>
                <w:szCs w:val="18"/>
              </w:rPr>
            </w:pPr>
            <w:r w:rsidRPr="003328EE">
              <w:rPr>
                <w:rFonts w:eastAsia="Times New Roman"/>
                <w:color w:val="000000"/>
                <w:sz w:val="18"/>
                <w:szCs w:val="18"/>
              </w:rPr>
              <w:t>Targeted Advertisement</w:t>
            </w:r>
          </w:p>
        </w:tc>
        <w:tc>
          <w:tcPr>
            <w:tcW w:w="3183" w:type="dxa"/>
            <w:tcBorders>
              <w:top w:val="nil"/>
              <w:left w:val="nil"/>
              <w:bottom w:val="nil"/>
              <w:right w:val="nil"/>
            </w:tcBorders>
            <w:shd w:val="clear" w:color="auto" w:fill="auto"/>
            <w:noWrap/>
            <w:vAlign w:val="bottom"/>
            <w:hideMark/>
          </w:tcPr>
          <w:p w14:paraId="59459C88" w14:textId="0E81F184"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5E92F9AD" w14:textId="6C585C06"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7814DBF" w14:textId="6EFA5DF8"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6906171" w14:textId="48B5B45B" w:rsidR="00F826D0" w:rsidRPr="003328EE" w:rsidRDefault="00F826D0" w:rsidP="00D65F93">
            <w:pPr>
              <w:rPr>
                <w:rFonts w:eastAsia="Times New Roman"/>
                <w:color w:val="000000"/>
                <w:sz w:val="18"/>
                <w:szCs w:val="18"/>
              </w:rPr>
            </w:pPr>
            <w:r w:rsidRPr="003328EE">
              <w:rPr>
                <w:rFonts w:eastAsia="Times New Roman"/>
                <w:color w:val="000000"/>
                <w:sz w:val="18"/>
                <w:szCs w:val="18"/>
              </w:rPr>
              <w:t>Kim et al., 2016a</w:t>
            </w:r>
          </w:p>
        </w:tc>
        <w:tc>
          <w:tcPr>
            <w:tcW w:w="1156" w:type="dxa"/>
            <w:tcBorders>
              <w:top w:val="nil"/>
              <w:left w:val="nil"/>
              <w:bottom w:val="nil"/>
              <w:right w:val="nil"/>
            </w:tcBorders>
            <w:shd w:val="clear" w:color="auto" w:fill="auto"/>
            <w:noWrap/>
            <w:vAlign w:val="bottom"/>
            <w:hideMark/>
          </w:tcPr>
          <w:p w14:paraId="2BF709B6" w14:textId="6C0F3A5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423A095" w14:textId="77777777" w:rsidTr="00D65F93">
        <w:trPr>
          <w:trHeight w:val="320"/>
        </w:trPr>
        <w:tc>
          <w:tcPr>
            <w:tcW w:w="3545" w:type="dxa"/>
            <w:tcBorders>
              <w:top w:val="nil"/>
              <w:left w:val="nil"/>
              <w:bottom w:val="nil"/>
              <w:right w:val="nil"/>
            </w:tcBorders>
            <w:shd w:val="clear" w:color="auto" w:fill="auto"/>
            <w:noWrap/>
            <w:vAlign w:val="bottom"/>
            <w:hideMark/>
          </w:tcPr>
          <w:p w14:paraId="0B449951" w14:textId="3BE6375B" w:rsidR="00F826D0" w:rsidRPr="003328EE" w:rsidRDefault="00F826D0" w:rsidP="00D65F93">
            <w:pPr>
              <w:rPr>
                <w:rFonts w:eastAsia="Times New Roman"/>
                <w:color w:val="000000"/>
                <w:sz w:val="18"/>
                <w:szCs w:val="18"/>
              </w:rPr>
            </w:pPr>
            <w:r w:rsidRPr="003328EE">
              <w:rPr>
                <w:rFonts w:eastAsia="Times New Roman"/>
                <w:color w:val="000000"/>
                <w:sz w:val="18"/>
                <w:szCs w:val="18"/>
              </w:rPr>
              <w:t>Tenure of Media Coverage</w:t>
            </w:r>
          </w:p>
        </w:tc>
        <w:tc>
          <w:tcPr>
            <w:tcW w:w="3183" w:type="dxa"/>
            <w:tcBorders>
              <w:top w:val="nil"/>
              <w:left w:val="nil"/>
              <w:bottom w:val="nil"/>
              <w:right w:val="nil"/>
            </w:tcBorders>
            <w:shd w:val="clear" w:color="auto" w:fill="auto"/>
            <w:noWrap/>
            <w:vAlign w:val="bottom"/>
            <w:hideMark/>
          </w:tcPr>
          <w:p w14:paraId="61BA7365" w14:textId="6A6FDA44"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48E9C1A8" w14:textId="2DDF62B5"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4AB72D50" w14:textId="72DBFCB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0522363" w14:textId="2591E04D" w:rsidR="00F826D0" w:rsidRPr="003328EE" w:rsidRDefault="00F826D0" w:rsidP="00D65F93">
            <w:pPr>
              <w:rPr>
                <w:rFonts w:eastAsia="Times New Roman"/>
                <w:color w:val="000000"/>
                <w:sz w:val="18"/>
                <w:szCs w:val="18"/>
              </w:rPr>
            </w:pPr>
            <w:r w:rsidRPr="003328EE">
              <w:rPr>
                <w:rFonts w:eastAsia="Times New Roman"/>
                <w:color w:val="000000"/>
                <w:sz w:val="18"/>
                <w:szCs w:val="18"/>
              </w:rPr>
              <w:t>Hopkins, 2015</w:t>
            </w:r>
          </w:p>
        </w:tc>
        <w:tc>
          <w:tcPr>
            <w:tcW w:w="1156" w:type="dxa"/>
            <w:tcBorders>
              <w:top w:val="nil"/>
              <w:left w:val="nil"/>
              <w:bottom w:val="nil"/>
              <w:right w:val="nil"/>
            </w:tcBorders>
            <w:shd w:val="clear" w:color="auto" w:fill="auto"/>
            <w:noWrap/>
            <w:vAlign w:val="bottom"/>
            <w:hideMark/>
          </w:tcPr>
          <w:p w14:paraId="1A247831" w14:textId="5EEB8A8D"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48B2A00" w14:textId="77777777" w:rsidTr="00D65F93">
        <w:trPr>
          <w:trHeight w:val="320"/>
        </w:trPr>
        <w:tc>
          <w:tcPr>
            <w:tcW w:w="3545" w:type="dxa"/>
            <w:tcBorders>
              <w:top w:val="nil"/>
              <w:left w:val="nil"/>
              <w:bottom w:val="nil"/>
              <w:right w:val="nil"/>
            </w:tcBorders>
            <w:shd w:val="clear" w:color="auto" w:fill="auto"/>
            <w:noWrap/>
            <w:vAlign w:val="bottom"/>
            <w:hideMark/>
          </w:tcPr>
          <w:p w14:paraId="65D4311E" w14:textId="6415F980" w:rsidR="00F826D0" w:rsidRPr="003328EE" w:rsidRDefault="00F826D0" w:rsidP="00D65F93">
            <w:pPr>
              <w:rPr>
                <w:rFonts w:eastAsia="Times New Roman"/>
                <w:color w:val="000000"/>
                <w:sz w:val="18"/>
                <w:szCs w:val="18"/>
              </w:rPr>
            </w:pPr>
            <w:r w:rsidRPr="003328EE">
              <w:rPr>
                <w:rFonts w:eastAsia="Times New Roman"/>
                <w:color w:val="000000"/>
                <w:sz w:val="18"/>
                <w:szCs w:val="18"/>
              </w:rPr>
              <w:t>Variety &amp; Placement of Items</w:t>
            </w:r>
          </w:p>
        </w:tc>
        <w:tc>
          <w:tcPr>
            <w:tcW w:w="3183" w:type="dxa"/>
            <w:tcBorders>
              <w:top w:val="nil"/>
              <w:left w:val="nil"/>
              <w:bottom w:val="nil"/>
              <w:right w:val="nil"/>
            </w:tcBorders>
            <w:shd w:val="clear" w:color="auto" w:fill="auto"/>
            <w:noWrap/>
            <w:vAlign w:val="bottom"/>
            <w:hideMark/>
          </w:tcPr>
          <w:p w14:paraId="186D468F" w14:textId="4D1637DD" w:rsidR="00F826D0" w:rsidRPr="003328EE" w:rsidRDefault="00F826D0" w:rsidP="00D65F93">
            <w:pPr>
              <w:rPr>
                <w:rFonts w:eastAsia="Times New Roman"/>
                <w:color w:val="000000"/>
                <w:sz w:val="18"/>
                <w:szCs w:val="18"/>
              </w:rPr>
            </w:pPr>
            <w:r w:rsidRPr="003328EE">
              <w:rPr>
                <w:rFonts w:eastAsia="Times New Roman"/>
                <w:color w:val="000000"/>
                <w:sz w:val="18"/>
                <w:szCs w:val="18"/>
              </w:rPr>
              <w:t>Marketing</w:t>
            </w:r>
          </w:p>
        </w:tc>
        <w:tc>
          <w:tcPr>
            <w:tcW w:w="2061" w:type="dxa"/>
            <w:tcBorders>
              <w:top w:val="nil"/>
              <w:left w:val="nil"/>
              <w:bottom w:val="nil"/>
              <w:right w:val="nil"/>
            </w:tcBorders>
            <w:shd w:val="clear" w:color="auto" w:fill="auto"/>
            <w:noWrap/>
            <w:vAlign w:val="bottom"/>
            <w:hideMark/>
          </w:tcPr>
          <w:p w14:paraId="33389CB0" w14:textId="41C3B9C4" w:rsidR="00F826D0" w:rsidRPr="003328EE" w:rsidRDefault="00F826D0" w:rsidP="00D65F93">
            <w:pPr>
              <w:rPr>
                <w:rFonts w:eastAsia="Times New Roman"/>
                <w:color w:val="000000"/>
                <w:sz w:val="18"/>
                <w:szCs w:val="18"/>
              </w:rPr>
            </w:pPr>
            <w:r w:rsidRPr="003328EE">
              <w:rPr>
                <w:rFonts w:eastAsia="Times New Roman"/>
                <w:color w:val="000000"/>
                <w:sz w:val="18"/>
                <w:szCs w:val="18"/>
              </w:rPr>
              <w:t>Political Economy</w:t>
            </w:r>
          </w:p>
        </w:tc>
        <w:tc>
          <w:tcPr>
            <w:tcW w:w="993" w:type="dxa"/>
            <w:tcBorders>
              <w:top w:val="nil"/>
              <w:left w:val="nil"/>
              <w:bottom w:val="nil"/>
              <w:right w:val="nil"/>
            </w:tcBorders>
            <w:shd w:val="clear" w:color="auto" w:fill="auto"/>
            <w:noWrap/>
            <w:vAlign w:val="bottom"/>
            <w:hideMark/>
          </w:tcPr>
          <w:p w14:paraId="1DDFE362" w14:textId="6613F99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122D91B" w14:textId="436E2729" w:rsidR="00F826D0" w:rsidRPr="003328EE" w:rsidRDefault="00F826D0" w:rsidP="00D65F93">
            <w:pPr>
              <w:rPr>
                <w:rFonts w:eastAsia="Times New Roman"/>
                <w:color w:val="000000"/>
                <w:sz w:val="18"/>
                <w:szCs w:val="18"/>
              </w:rPr>
            </w:pPr>
            <w:r w:rsidRPr="003328EE">
              <w:rPr>
                <w:rFonts w:eastAsia="Times New Roman"/>
                <w:color w:val="000000"/>
                <w:sz w:val="18"/>
                <w:szCs w:val="18"/>
              </w:rPr>
              <w:t>Jahns et al., 2016</w:t>
            </w:r>
          </w:p>
        </w:tc>
        <w:tc>
          <w:tcPr>
            <w:tcW w:w="1156" w:type="dxa"/>
            <w:tcBorders>
              <w:top w:val="nil"/>
              <w:left w:val="nil"/>
              <w:bottom w:val="nil"/>
              <w:right w:val="nil"/>
            </w:tcBorders>
            <w:shd w:val="clear" w:color="auto" w:fill="auto"/>
            <w:noWrap/>
            <w:vAlign w:val="bottom"/>
            <w:hideMark/>
          </w:tcPr>
          <w:p w14:paraId="20EFA49F" w14:textId="207DDDC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D514E42" w14:textId="77777777" w:rsidTr="00D65F93">
        <w:trPr>
          <w:trHeight w:val="320"/>
        </w:trPr>
        <w:tc>
          <w:tcPr>
            <w:tcW w:w="3545" w:type="dxa"/>
            <w:tcBorders>
              <w:top w:val="nil"/>
              <w:left w:val="nil"/>
              <w:bottom w:val="nil"/>
              <w:right w:val="nil"/>
            </w:tcBorders>
            <w:shd w:val="clear" w:color="auto" w:fill="auto"/>
            <w:noWrap/>
            <w:vAlign w:val="bottom"/>
            <w:hideMark/>
          </w:tcPr>
          <w:p w14:paraId="09D70B5C" w14:textId="3C143420" w:rsidR="00F826D0" w:rsidRPr="003328EE" w:rsidRDefault="00F826D0" w:rsidP="00D65F93">
            <w:pPr>
              <w:rPr>
                <w:rFonts w:eastAsia="Times New Roman"/>
                <w:color w:val="000000"/>
                <w:sz w:val="18"/>
                <w:szCs w:val="18"/>
              </w:rPr>
            </w:pPr>
            <w:r w:rsidRPr="003328EE">
              <w:rPr>
                <w:rFonts w:eastAsia="Times New Roman"/>
                <w:color w:val="000000"/>
                <w:sz w:val="18"/>
                <w:szCs w:val="18"/>
              </w:rPr>
              <w:t>Geographic Location</w:t>
            </w:r>
          </w:p>
        </w:tc>
        <w:tc>
          <w:tcPr>
            <w:tcW w:w="3183" w:type="dxa"/>
            <w:tcBorders>
              <w:top w:val="nil"/>
              <w:left w:val="nil"/>
              <w:bottom w:val="nil"/>
              <w:right w:val="nil"/>
            </w:tcBorders>
            <w:shd w:val="clear" w:color="auto" w:fill="auto"/>
            <w:noWrap/>
            <w:vAlign w:val="bottom"/>
            <w:hideMark/>
          </w:tcPr>
          <w:p w14:paraId="19DB753B" w14:textId="6FD0BCB6" w:rsidR="00F826D0" w:rsidRPr="003328EE" w:rsidRDefault="00F826D0" w:rsidP="00D65F93">
            <w:pPr>
              <w:rPr>
                <w:rFonts w:eastAsia="Times New Roman"/>
                <w:color w:val="000000"/>
                <w:sz w:val="18"/>
                <w:szCs w:val="18"/>
              </w:rPr>
            </w:pPr>
            <w:r>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132D23BD" w14:textId="1C8928A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5C0D231" w14:textId="06A90C3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14C750D" w14:textId="20323489" w:rsidR="00F826D0" w:rsidRPr="003328EE" w:rsidRDefault="00F826D0" w:rsidP="00D65F93">
            <w:pPr>
              <w:rPr>
                <w:rFonts w:eastAsia="Times New Roman"/>
                <w:color w:val="000000"/>
                <w:sz w:val="18"/>
                <w:szCs w:val="18"/>
              </w:rPr>
            </w:pPr>
            <w:r w:rsidRPr="003328EE">
              <w:rPr>
                <w:rFonts w:eastAsia="Times New Roman"/>
                <w:color w:val="000000"/>
                <w:sz w:val="18"/>
                <w:szCs w:val="18"/>
              </w:rPr>
              <w:t>Ruby, 2012</w:t>
            </w:r>
          </w:p>
        </w:tc>
        <w:tc>
          <w:tcPr>
            <w:tcW w:w="1156" w:type="dxa"/>
            <w:tcBorders>
              <w:top w:val="nil"/>
              <w:left w:val="nil"/>
              <w:bottom w:val="nil"/>
              <w:right w:val="nil"/>
            </w:tcBorders>
            <w:shd w:val="clear" w:color="auto" w:fill="auto"/>
            <w:noWrap/>
            <w:vAlign w:val="bottom"/>
            <w:hideMark/>
          </w:tcPr>
          <w:p w14:paraId="3D331FA2" w14:textId="0B740623"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55DC9EB" w14:textId="77777777" w:rsidTr="00D65F93">
        <w:trPr>
          <w:trHeight w:val="320"/>
        </w:trPr>
        <w:tc>
          <w:tcPr>
            <w:tcW w:w="3545" w:type="dxa"/>
            <w:tcBorders>
              <w:top w:val="nil"/>
              <w:left w:val="nil"/>
              <w:bottom w:val="nil"/>
              <w:right w:val="nil"/>
            </w:tcBorders>
            <w:shd w:val="clear" w:color="auto" w:fill="auto"/>
            <w:noWrap/>
            <w:vAlign w:val="bottom"/>
            <w:hideMark/>
          </w:tcPr>
          <w:p w14:paraId="633433F5" w14:textId="3A62311B"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64BA331D" w14:textId="52AF8877" w:rsidR="00F826D0" w:rsidRPr="003328EE" w:rsidRDefault="00F826D0" w:rsidP="00D65F93">
            <w:pPr>
              <w:rPr>
                <w:rFonts w:eastAsia="Times New Roman"/>
                <w:color w:val="000000"/>
                <w:sz w:val="18"/>
                <w:szCs w:val="18"/>
              </w:rPr>
            </w:pPr>
            <w:r w:rsidRPr="003328EE">
              <w:rPr>
                <w:rFonts w:eastAsia="Times New Roman"/>
                <w:color w:val="000000"/>
                <w:sz w:val="18"/>
                <w:szCs w:val="18"/>
              </w:rPr>
              <w:t>Modelling</w:t>
            </w:r>
          </w:p>
        </w:tc>
        <w:tc>
          <w:tcPr>
            <w:tcW w:w="2061" w:type="dxa"/>
            <w:tcBorders>
              <w:top w:val="nil"/>
              <w:left w:val="nil"/>
              <w:bottom w:val="nil"/>
              <w:right w:val="nil"/>
            </w:tcBorders>
            <w:shd w:val="clear" w:color="auto" w:fill="auto"/>
            <w:noWrap/>
            <w:vAlign w:val="bottom"/>
            <w:hideMark/>
          </w:tcPr>
          <w:p w14:paraId="5647DC11" w14:textId="7E12A316"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DD24DAC" w14:textId="387758F2"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7FA7CA1" w14:textId="5D801B5D" w:rsidR="00F826D0" w:rsidRPr="003328EE" w:rsidRDefault="00F826D0" w:rsidP="00D65F93">
            <w:pPr>
              <w:rPr>
                <w:rFonts w:eastAsia="Times New Roman"/>
                <w:color w:val="000000"/>
                <w:sz w:val="18"/>
                <w:szCs w:val="18"/>
              </w:rPr>
            </w:pPr>
            <w:r w:rsidRPr="003328EE">
              <w:rPr>
                <w:rFonts w:eastAsia="Times New Roman"/>
                <w:color w:val="000000"/>
                <w:sz w:val="18"/>
                <w:szCs w:val="18"/>
              </w:rPr>
              <w:t>Janda &amp; Trocchia, 2001</w:t>
            </w:r>
          </w:p>
        </w:tc>
        <w:tc>
          <w:tcPr>
            <w:tcW w:w="1156" w:type="dxa"/>
            <w:tcBorders>
              <w:top w:val="nil"/>
              <w:left w:val="nil"/>
              <w:bottom w:val="nil"/>
              <w:right w:val="nil"/>
            </w:tcBorders>
            <w:shd w:val="clear" w:color="auto" w:fill="auto"/>
            <w:noWrap/>
            <w:vAlign w:val="bottom"/>
            <w:hideMark/>
          </w:tcPr>
          <w:p w14:paraId="4F8BE85B" w14:textId="146A339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87E901E" w14:textId="77777777" w:rsidTr="00D65F93">
        <w:trPr>
          <w:trHeight w:val="320"/>
        </w:trPr>
        <w:tc>
          <w:tcPr>
            <w:tcW w:w="3545" w:type="dxa"/>
            <w:tcBorders>
              <w:top w:val="nil"/>
              <w:left w:val="nil"/>
              <w:bottom w:val="nil"/>
              <w:right w:val="nil"/>
            </w:tcBorders>
            <w:shd w:val="clear" w:color="auto" w:fill="auto"/>
            <w:noWrap/>
            <w:vAlign w:val="bottom"/>
            <w:hideMark/>
          </w:tcPr>
          <w:p w14:paraId="3A181490" w14:textId="08BC125C" w:rsidR="00F826D0" w:rsidRPr="003328EE" w:rsidRDefault="00F826D0" w:rsidP="00D65F93">
            <w:pPr>
              <w:rPr>
                <w:rFonts w:eastAsia="Times New Roman"/>
                <w:color w:val="000000"/>
                <w:sz w:val="18"/>
                <w:szCs w:val="18"/>
              </w:rPr>
            </w:pPr>
            <w:r w:rsidRPr="003328EE">
              <w:rPr>
                <w:rFonts w:eastAsia="Times New Roman"/>
                <w:color w:val="000000"/>
                <w:sz w:val="18"/>
                <w:szCs w:val="18"/>
              </w:rPr>
              <w:t>Parental Behavio</w:t>
            </w:r>
            <w:r>
              <w:rPr>
                <w:rFonts w:eastAsia="Times New Roman"/>
                <w:color w:val="000000"/>
                <w:sz w:val="18"/>
                <w:szCs w:val="18"/>
              </w:rPr>
              <w:t>u</w:t>
            </w:r>
            <w:r w:rsidRPr="003328EE">
              <w:rPr>
                <w:rFonts w:eastAsia="Times New Roman"/>
                <w:color w:val="000000"/>
                <w:sz w:val="18"/>
                <w:szCs w:val="18"/>
              </w:rPr>
              <w:t>r</w:t>
            </w:r>
          </w:p>
        </w:tc>
        <w:tc>
          <w:tcPr>
            <w:tcW w:w="3183" w:type="dxa"/>
            <w:tcBorders>
              <w:top w:val="nil"/>
              <w:left w:val="nil"/>
              <w:bottom w:val="nil"/>
              <w:right w:val="nil"/>
            </w:tcBorders>
            <w:shd w:val="clear" w:color="auto" w:fill="auto"/>
            <w:noWrap/>
            <w:vAlign w:val="bottom"/>
            <w:hideMark/>
          </w:tcPr>
          <w:p w14:paraId="48D9AA22" w14:textId="076C3D3C" w:rsidR="00F826D0" w:rsidRPr="003328EE" w:rsidRDefault="00F826D0" w:rsidP="00D65F93">
            <w:pPr>
              <w:rPr>
                <w:rFonts w:eastAsia="Times New Roman"/>
                <w:color w:val="000000"/>
                <w:sz w:val="18"/>
                <w:szCs w:val="18"/>
              </w:rPr>
            </w:pPr>
            <w:r w:rsidRPr="003328EE">
              <w:rPr>
                <w:rFonts w:eastAsia="Times New Roman"/>
                <w:color w:val="000000"/>
                <w:sz w:val="18"/>
                <w:szCs w:val="18"/>
              </w:rPr>
              <w:t>Modelling</w:t>
            </w:r>
          </w:p>
        </w:tc>
        <w:tc>
          <w:tcPr>
            <w:tcW w:w="2061" w:type="dxa"/>
            <w:tcBorders>
              <w:top w:val="nil"/>
              <w:left w:val="nil"/>
              <w:bottom w:val="nil"/>
              <w:right w:val="nil"/>
            </w:tcBorders>
            <w:shd w:val="clear" w:color="auto" w:fill="auto"/>
            <w:noWrap/>
            <w:vAlign w:val="bottom"/>
            <w:hideMark/>
          </w:tcPr>
          <w:p w14:paraId="6160C1AD" w14:textId="6C8B06D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57F2F631" w14:textId="0E36C82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EDBA8AB" w14:textId="676D7DD1" w:rsidR="00F826D0" w:rsidRPr="003328EE" w:rsidRDefault="00F826D0" w:rsidP="00D65F93">
            <w:pPr>
              <w:rPr>
                <w:rFonts w:eastAsia="Times New Roman"/>
                <w:color w:val="000000"/>
                <w:sz w:val="18"/>
                <w:szCs w:val="18"/>
              </w:rPr>
            </w:pPr>
            <w:r w:rsidRPr="003328EE">
              <w:rPr>
                <w:rFonts w:eastAsia="Times New Roman"/>
                <w:color w:val="000000"/>
                <w:sz w:val="18"/>
                <w:szCs w:val="18"/>
              </w:rPr>
              <w:t>Hill, 2002</w:t>
            </w:r>
          </w:p>
        </w:tc>
        <w:tc>
          <w:tcPr>
            <w:tcW w:w="1156" w:type="dxa"/>
            <w:tcBorders>
              <w:top w:val="nil"/>
              <w:left w:val="nil"/>
              <w:bottom w:val="nil"/>
              <w:right w:val="nil"/>
            </w:tcBorders>
            <w:shd w:val="clear" w:color="auto" w:fill="auto"/>
            <w:noWrap/>
            <w:vAlign w:val="bottom"/>
            <w:hideMark/>
          </w:tcPr>
          <w:p w14:paraId="6BE26D0E" w14:textId="5664CE89"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ECEAEE6" w14:textId="77777777" w:rsidTr="00D65F93">
        <w:trPr>
          <w:trHeight w:val="320"/>
        </w:trPr>
        <w:tc>
          <w:tcPr>
            <w:tcW w:w="3545" w:type="dxa"/>
            <w:tcBorders>
              <w:top w:val="nil"/>
              <w:left w:val="nil"/>
              <w:bottom w:val="nil"/>
              <w:right w:val="nil"/>
            </w:tcBorders>
            <w:shd w:val="clear" w:color="auto" w:fill="auto"/>
            <w:noWrap/>
            <w:vAlign w:val="bottom"/>
            <w:hideMark/>
          </w:tcPr>
          <w:p w14:paraId="5A6BCD9A" w14:textId="62137D3C" w:rsidR="00F826D0" w:rsidRPr="003328EE" w:rsidRDefault="00F826D0" w:rsidP="00D65F93">
            <w:pPr>
              <w:rPr>
                <w:rFonts w:eastAsia="Times New Roman"/>
                <w:color w:val="000000"/>
                <w:sz w:val="18"/>
                <w:szCs w:val="18"/>
              </w:rPr>
            </w:pPr>
            <w:r w:rsidRPr="003328EE">
              <w:rPr>
                <w:rFonts w:eastAsia="Times New Roman"/>
                <w:color w:val="000000"/>
                <w:sz w:val="18"/>
                <w:szCs w:val="18"/>
              </w:rPr>
              <w:t>Parental Behavio</w:t>
            </w:r>
            <w:r>
              <w:rPr>
                <w:rFonts w:eastAsia="Times New Roman"/>
                <w:color w:val="000000"/>
                <w:sz w:val="18"/>
                <w:szCs w:val="18"/>
              </w:rPr>
              <w:t>u</w:t>
            </w:r>
            <w:r w:rsidRPr="003328EE">
              <w:rPr>
                <w:rFonts w:eastAsia="Times New Roman"/>
                <w:color w:val="000000"/>
                <w:sz w:val="18"/>
                <w:szCs w:val="18"/>
              </w:rPr>
              <w:t>r</w:t>
            </w:r>
          </w:p>
        </w:tc>
        <w:tc>
          <w:tcPr>
            <w:tcW w:w="3183" w:type="dxa"/>
            <w:tcBorders>
              <w:top w:val="nil"/>
              <w:left w:val="nil"/>
              <w:bottom w:val="nil"/>
              <w:right w:val="nil"/>
            </w:tcBorders>
            <w:shd w:val="clear" w:color="auto" w:fill="auto"/>
            <w:noWrap/>
            <w:vAlign w:val="bottom"/>
            <w:hideMark/>
          </w:tcPr>
          <w:p w14:paraId="74BB6CB3" w14:textId="57C27CD1" w:rsidR="00F826D0" w:rsidRPr="003328EE" w:rsidRDefault="00F826D0" w:rsidP="00D65F93">
            <w:pPr>
              <w:rPr>
                <w:rFonts w:eastAsia="Times New Roman"/>
                <w:color w:val="000000"/>
                <w:sz w:val="18"/>
                <w:szCs w:val="18"/>
              </w:rPr>
            </w:pPr>
            <w:r w:rsidRPr="003328EE">
              <w:rPr>
                <w:rFonts w:eastAsia="Times New Roman"/>
                <w:color w:val="000000"/>
                <w:sz w:val="18"/>
                <w:szCs w:val="18"/>
              </w:rPr>
              <w:t>Modelling</w:t>
            </w:r>
          </w:p>
        </w:tc>
        <w:tc>
          <w:tcPr>
            <w:tcW w:w="2061" w:type="dxa"/>
            <w:tcBorders>
              <w:top w:val="nil"/>
              <w:left w:val="nil"/>
              <w:bottom w:val="nil"/>
              <w:right w:val="nil"/>
            </w:tcBorders>
            <w:shd w:val="clear" w:color="auto" w:fill="auto"/>
            <w:noWrap/>
            <w:vAlign w:val="bottom"/>
            <w:hideMark/>
          </w:tcPr>
          <w:p w14:paraId="55461479" w14:textId="0B63DA08"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7C8C5320" w14:textId="4F95AE6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E5DE56B" w14:textId="027A968D" w:rsidR="00F826D0" w:rsidRPr="003328EE" w:rsidRDefault="00F826D0" w:rsidP="00D65F93">
            <w:pPr>
              <w:rPr>
                <w:rFonts w:eastAsia="Times New Roman"/>
                <w:color w:val="000000"/>
                <w:sz w:val="18"/>
                <w:szCs w:val="18"/>
              </w:rPr>
            </w:pPr>
            <w:r w:rsidRPr="003328EE">
              <w:rPr>
                <w:rFonts w:eastAsia="Times New Roman"/>
                <w:color w:val="000000"/>
                <w:sz w:val="18"/>
                <w:szCs w:val="18"/>
              </w:rPr>
              <w:t>Neumark-Sztainer et al., 1999</w:t>
            </w:r>
          </w:p>
        </w:tc>
        <w:tc>
          <w:tcPr>
            <w:tcW w:w="1156" w:type="dxa"/>
            <w:tcBorders>
              <w:top w:val="nil"/>
              <w:left w:val="nil"/>
              <w:bottom w:val="nil"/>
              <w:right w:val="nil"/>
            </w:tcBorders>
            <w:shd w:val="clear" w:color="auto" w:fill="auto"/>
            <w:noWrap/>
            <w:vAlign w:val="bottom"/>
            <w:hideMark/>
          </w:tcPr>
          <w:p w14:paraId="6336F7D6" w14:textId="587473E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997CD18" w14:textId="77777777" w:rsidTr="00D65F93">
        <w:trPr>
          <w:trHeight w:val="320"/>
        </w:trPr>
        <w:tc>
          <w:tcPr>
            <w:tcW w:w="3545" w:type="dxa"/>
            <w:tcBorders>
              <w:top w:val="nil"/>
              <w:left w:val="nil"/>
              <w:bottom w:val="nil"/>
              <w:right w:val="nil"/>
            </w:tcBorders>
            <w:shd w:val="clear" w:color="auto" w:fill="auto"/>
            <w:noWrap/>
            <w:vAlign w:val="bottom"/>
            <w:hideMark/>
          </w:tcPr>
          <w:p w14:paraId="6A188571" w14:textId="177FA149" w:rsidR="00F826D0" w:rsidRPr="003328EE" w:rsidRDefault="00F826D0" w:rsidP="00D65F93">
            <w:pPr>
              <w:rPr>
                <w:rFonts w:eastAsia="Times New Roman"/>
                <w:color w:val="000000"/>
                <w:sz w:val="18"/>
                <w:szCs w:val="18"/>
              </w:rPr>
            </w:pPr>
            <w:r w:rsidRPr="003328EE">
              <w:rPr>
                <w:rFonts w:eastAsia="Times New Roman"/>
                <w:color w:val="000000"/>
                <w:sz w:val="18"/>
                <w:szCs w:val="18"/>
              </w:rPr>
              <w:t>Parental Behavio</w:t>
            </w:r>
            <w:r>
              <w:rPr>
                <w:rFonts w:eastAsia="Times New Roman"/>
                <w:color w:val="000000"/>
                <w:sz w:val="18"/>
                <w:szCs w:val="18"/>
              </w:rPr>
              <w:t>u</w:t>
            </w:r>
            <w:r w:rsidRPr="003328EE">
              <w:rPr>
                <w:rFonts w:eastAsia="Times New Roman"/>
                <w:color w:val="000000"/>
                <w:sz w:val="18"/>
                <w:szCs w:val="18"/>
              </w:rPr>
              <w:t>r</w:t>
            </w:r>
          </w:p>
        </w:tc>
        <w:tc>
          <w:tcPr>
            <w:tcW w:w="3183" w:type="dxa"/>
            <w:tcBorders>
              <w:top w:val="nil"/>
              <w:left w:val="nil"/>
              <w:bottom w:val="nil"/>
              <w:right w:val="nil"/>
            </w:tcBorders>
            <w:shd w:val="clear" w:color="auto" w:fill="auto"/>
            <w:noWrap/>
            <w:vAlign w:val="bottom"/>
            <w:hideMark/>
          </w:tcPr>
          <w:p w14:paraId="49C442BA" w14:textId="42EDB2B6" w:rsidR="00F826D0" w:rsidRPr="003328EE" w:rsidRDefault="00F826D0" w:rsidP="00D65F93">
            <w:pPr>
              <w:rPr>
                <w:rFonts w:eastAsia="Times New Roman"/>
                <w:color w:val="000000"/>
                <w:sz w:val="18"/>
                <w:szCs w:val="18"/>
              </w:rPr>
            </w:pPr>
            <w:r w:rsidRPr="003328EE">
              <w:rPr>
                <w:rFonts w:eastAsia="Times New Roman"/>
                <w:color w:val="000000"/>
                <w:sz w:val="18"/>
                <w:szCs w:val="18"/>
              </w:rPr>
              <w:t>Modelling</w:t>
            </w:r>
          </w:p>
        </w:tc>
        <w:tc>
          <w:tcPr>
            <w:tcW w:w="2061" w:type="dxa"/>
            <w:tcBorders>
              <w:top w:val="nil"/>
              <w:left w:val="nil"/>
              <w:bottom w:val="nil"/>
              <w:right w:val="nil"/>
            </w:tcBorders>
            <w:shd w:val="clear" w:color="auto" w:fill="auto"/>
            <w:noWrap/>
            <w:vAlign w:val="bottom"/>
            <w:hideMark/>
          </w:tcPr>
          <w:p w14:paraId="0940AB05" w14:textId="44B16A71"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0EDA34E" w14:textId="62FC6A7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79E9B91" w14:textId="1C52617C" w:rsidR="00F826D0" w:rsidRPr="003328EE" w:rsidRDefault="00F826D0" w:rsidP="00D65F93">
            <w:pPr>
              <w:rPr>
                <w:rFonts w:eastAsia="Times New Roman"/>
                <w:color w:val="000000"/>
                <w:sz w:val="18"/>
                <w:szCs w:val="18"/>
              </w:rPr>
            </w:pPr>
            <w:r w:rsidRPr="003328EE">
              <w:rPr>
                <w:rFonts w:eastAsia="Times New Roman"/>
                <w:color w:val="000000"/>
                <w:sz w:val="18"/>
                <w:szCs w:val="18"/>
              </w:rPr>
              <w:t>Yuan et al., 2016</w:t>
            </w:r>
          </w:p>
        </w:tc>
        <w:tc>
          <w:tcPr>
            <w:tcW w:w="1156" w:type="dxa"/>
            <w:tcBorders>
              <w:top w:val="nil"/>
              <w:left w:val="nil"/>
              <w:bottom w:val="nil"/>
              <w:right w:val="nil"/>
            </w:tcBorders>
            <w:shd w:val="clear" w:color="auto" w:fill="auto"/>
            <w:noWrap/>
            <w:vAlign w:val="bottom"/>
            <w:hideMark/>
          </w:tcPr>
          <w:p w14:paraId="6AC2ADF0" w14:textId="09CC3C9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C0168FF" w14:textId="77777777" w:rsidTr="00D65F93">
        <w:trPr>
          <w:trHeight w:val="320"/>
        </w:trPr>
        <w:tc>
          <w:tcPr>
            <w:tcW w:w="3545" w:type="dxa"/>
            <w:tcBorders>
              <w:top w:val="nil"/>
              <w:left w:val="nil"/>
              <w:bottom w:val="nil"/>
              <w:right w:val="nil"/>
            </w:tcBorders>
            <w:shd w:val="clear" w:color="auto" w:fill="auto"/>
            <w:noWrap/>
            <w:vAlign w:val="bottom"/>
            <w:hideMark/>
          </w:tcPr>
          <w:p w14:paraId="5FA3E3B0" w14:textId="6BE16130" w:rsidR="00F826D0" w:rsidRPr="003328EE" w:rsidRDefault="00F826D0" w:rsidP="00D65F93">
            <w:pPr>
              <w:rPr>
                <w:rFonts w:eastAsia="Times New Roman"/>
                <w:color w:val="000000"/>
                <w:sz w:val="18"/>
                <w:szCs w:val="18"/>
              </w:rPr>
            </w:pPr>
            <w:r w:rsidRPr="003328EE">
              <w:rPr>
                <w:rFonts w:eastAsia="Times New Roman"/>
                <w:color w:val="000000"/>
                <w:sz w:val="18"/>
                <w:szCs w:val="18"/>
              </w:rPr>
              <w:t>Parental Behavio</w:t>
            </w:r>
            <w:r>
              <w:rPr>
                <w:rFonts w:eastAsia="Times New Roman"/>
                <w:color w:val="000000"/>
                <w:sz w:val="18"/>
                <w:szCs w:val="18"/>
              </w:rPr>
              <w:t>u</w:t>
            </w:r>
            <w:r w:rsidRPr="003328EE">
              <w:rPr>
                <w:rFonts w:eastAsia="Times New Roman"/>
                <w:color w:val="000000"/>
                <w:sz w:val="18"/>
                <w:szCs w:val="18"/>
              </w:rPr>
              <w:t>r</w:t>
            </w:r>
          </w:p>
        </w:tc>
        <w:tc>
          <w:tcPr>
            <w:tcW w:w="3183" w:type="dxa"/>
            <w:tcBorders>
              <w:top w:val="nil"/>
              <w:left w:val="nil"/>
              <w:bottom w:val="nil"/>
              <w:right w:val="nil"/>
            </w:tcBorders>
            <w:shd w:val="clear" w:color="auto" w:fill="auto"/>
            <w:noWrap/>
            <w:vAlign w:val="bottom"/>
            <w:hideMark/>
          </w:tcPr>
          <w:p w14:paraId="2D62CC34" w14:textId="6636F3A3" w:rsidR="00F826D0" w:rsidRPr="003328EE" w:rsidRDefault="00F826D0" w:rsidP="00D65F93">
            <w:pPr>
              <w:rPr>
                <w:rFonts w:eastAsia="Times New Roman"/>
                <w:color w:val="000000"/>
                <w:sz w:val="18"/>
                <w:szCs w:val="18"/>
              </w:rPr>
            </w:pPr>
            <w:r w:rsidRPr="003328EE">
              <w:rPr>
                <w:rFonts w:eastAsia="Times New Roman"/>
                <w:color w:val="000000"/>
                <w:sz w:val="18"/>
                <w:szCs w:val="18"/>
              </w:rPr>
              <w:t>Modelling</w:t>
            </w:r>
          </w:p>
        </w:tc>
        <w:tc>
          <w:tcPr>
            <w:tcW w:w="2061" w:type="dxa"/>
            <w:tcBorders>
              <w:top w:val="nil"/>
              <w:left w:val="nil"/>
              <w:bottom w:val="nil"/>
              <w:right w:val="nil"/>
            </w:tcBorders>
            <w:shd w:val="clear" w:color="auto" w:fill="auto"/>
            <w:noWrap/>
            <w:vAlign w:val="bottom"/>
            <w:hideMark/>
          </w:tcPr>
          <w:p w14:paraId="4240A4A2" w14:textId="21C90893"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4F8A81A" w14:textId="0D5487C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255D1B4" w14:textId="7B119F77" w:rsidR="00F826D0" w:rsidRPr="003328EE" w:rsidRDefault="00F826D0" w:rsidP="00D65F93">
            <w:pPr>
              <w:rPr>
                <w:rFonts w:eastAsia="Times New Roman"/>
                <w:color w:val="000000"/>
                <w:sz w:val="18"/>
                <w:szCs w:val="18"/>
              </w:rPr>
            </w:pPr>
            <w:r w:rsidRPr="003328EE">
              <w:rPr>
                <w:rFonts w:eastAsia="Times New Roman"/>
                <w:color w:val="000000"/>
                <w:sz w:val="18"/>
                <w:szCs w:val="18"/>
              </w:rPr>
              <w:t>Reisch et al., 2013</w:t>
            </w:r>
          </w:p>
        </w:tc>
        <w:tc>
          <w:tcPr>
            <w:tcW w:w="1156" w:type="dxa"/>
            <w:tcBorders>
              <w:top w:val="nil"/>
              <w:left w:val="nil"/>
              <w:bottom w:val="nil"/>
              <w:right w:val="nil"/>
            </w:tcBorders>
            <w:shd w:val="clear" w:color="auto" w:fill="auto"/>
            <w:noWrap/>
            <w:vAlign w:val="bottom"/>
            <w:hideMark/>
          </w:tcPr>
          <w:p w14:paraId="015A9B38" w14:textId="4EF9571F"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39E18F7A" w14:textId="77777777" w:rsidTr="00D65F93">
        <w:trPr>
          <w:trHeight w:val="320"/>
        </w:trPr>
        <w:tc>
          <w:tcPr>
            <w:tcW w:w="3545" w:type="dxa"/>
            <w:tcBorders>
              <w:top w:val="nil"/>
              <w:left w:val="nil"/>
              <w:bottom w:val="nil"/>
              <w:right w:val="nil"/>
            </w:tcBorders>
            <w:shd w:val="clear" w:color="auto" w:fill="auto"/>
            <w:noWrap/>
            <w:vAlign w:val="bottom"/>
            <w:hideMark/>
          </w:tcPr>
          <w:p w14:paraId="2D25B437" w14:textId="07F2F862" w:rsidR="00F826D0" w:rsidRPr="003328EE" w:rsidRDefault="00F826D0" w:rsidP="00D65F93">
            <w:pPr>
              <w:rPr>
                <w:rFonts w:eastAsia="Times New Roman"/>
                <w:color w:val="000000"/>
                <w:sz w:val="18"/>
                <w:szCs w:val="18"/>
              </w:rPr>
            </w:pPr>
            <w:r w:rsidRPr="003328EE">
              <w:rPr>
                <w:rFonts w:eastAsia="Times New Roman"/>
                <w:color w:val="000000"/>
                <w:sz w:val="18"/>
                <w:szCs w:val="18"/>
              </w:rPr>
              <w:t>Annoyance</w:t>
            </w:r>
          </w:p>
        </w:tc>
        <w:tc>
          <w:tcPr>
            <w:tcW w:w="3183" w:type="dxa"/>
            <w:tcBorders>
              <w:top w:val="nil"/>
              <w:left w:val="nil"/>
              <w:bottom w:val="nil"/>
              <w:right w:val="nil"/>
            </w:tcBorders>
            <w:shd w:val="clear" w:color="auto" w:fill="auto"/>
            <w:noWrap/>
            <w:vAlign w:val="bottom"/>
            <w:hideMark/>
          </w:tcPr>
          <w:p w14:paraId="1A7F5C17" w14:textId="29A3162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22FC9FBC" w14:textId="6478601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5088A20F" w14:textId="6196A29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4BE08D5" w14:textId="0F4E0304" w:rsidR="00F826D0" w:rsidRPr="003328EE" w:rsidRDefault="00F826D0" w:rsidP="00D65F93">
            <w:pPr>
              <w:rPr>
                <w:rFonts w:eastAsia="Times New Roman"/>
                <w:color w:val="000000"/>
                <w:sz w:val="18"/>
                <w:szCs w:val="18"/>
              </w:rPr>
            </w:pPr>
            <w:r w:rsidRPr="003328EE">
              <w:rPr>
                <w:rFonts w:eastAsia="Times New Roman"/>
                <w:color w:val="000000"/>
                <w:sz w:val="18"/>
                <w:szCs w:val="18"/>
              </w:rPr>
              <w:t>Ruby et al., 2016</w:t>
            </w:r>
          </w:p>
        </w:tc>
        <w:tc>
          <w:tcPr>
            <w:tcW w:w="1156" w:type="dxa"/>
            <w:tcBorders>
              <w:top w:val="nil"/>
              <w:left w:val="nil"/>
              <w:bottom w:val="nil"/>
              <w:right w:val="nil"/>
            </w:tcBorders>
            <w:shd w:val="clear" w:color="auto" w:fill="auto"/>
            <w:noWrap/>
            <w:vAlign w:val="bottom"/>
            <w:hideMark/>
          </w:tcPr>
          <w:p w14:paraId="29659A6A" w14:textId="452E4BD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E86A563" w14:textId="77777777" w:rsidTr="00D65F93">
        <w:trPr>
          <w:trHeight w:val="320"/>
        </w:trPr>
        <w:tc>
          <w:tcPr>
            <w:tcW w:w="3545" w:type="dxa"/>
            <w:tcBorders>
              <w:top w:val="nil"/>
              <w:left w:val="nil"/>
              <w:bottom w:val="nil"/>
              <w:right w:val="nil"/>
            </w:tcBorders>
            <w:shd w:val="clear" w:color="auto" w:fill="auto"/>
            <w:noWrap/>
            <w:vAlign w:val="bottom"/>
            <w:hideMark/>
          </w:tcPr>
          <w:p w14:paraId="1D4A134A" w14:textId="7E385CE3" w:rsidR="00F826D0" w:rsidRPr="003328EE" w:rsidRDefault="00F826D0" w:rsidP="00D65F93">
            <w:pPr>
              <w:rPr>
                <w:rFonts w:eastAsia="Times New Roman"/>
                <w:color w:val="000000"/>
                <w:sz w:val="18"/>
                <w:szCs w:val="18"/>
              </w:rPr>
            </w:pPr>
            <w:r w:rsidRPr="003328EE">
              <w:rPr>
                <w:rFonts w:eastAsia="Times New Roman"/>
                <w:color w:val="000000"/>
                <w:sz w:val="18"/>
                <w:szCs w:val="18"/>
              </w:rPr>
              <w:t>Conformity</w:t>
            </w:r>
          </w:p>
        </w:tc>
        <w:tc>
          <w:tcPr>
            <w:tcW w:w="3183" w:type="dxa"/>
            <w:tcBorders>
              <w:top w:val="nil"/>
              <w:left w:val="nil"/>
              <w:bottom w:val="nil"/>
              <w:right w:val="nil"/>
            </w:tcBorders>
            <w:shd w:val="clear" w:color="auto" w:fill="auto"/>
            <w:noWrap/>
            <w:vAlign w:val="bottom"/>
            <w:hideMark/>
          </w:tcPr>
          <w:p w14:paraId="3DD2BACD" w14:textId="4E6CB3F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585517CC" w14:textId="50409471"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537ED855" w14:textId="7F8017C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43E0BF2" w14:textId="29505F81" w:rsidR="00F826D0" w:rsidRPr="003328EE" w:rsidRDefault="00F826D0" w:rsidP="00D65F93">
            <w:pPr>
              <w:rPr>
                <w:rFonts w:eastAsia="Times New Roman"/>
                <w:color w:val="000000"/>
                <w:sz w:val="18"/>
                <w:szCs w:val="18"/>
              </w:rPr>
            </w:pPr>
            <w:r w:rsidRPr="003328EE">
              <w:rPr>
                <w:rFonts w:eastAsia="Times New Roman"/>
                <w:color w:val="000000"/>
                <w:sz w:val="18"/>
                <w:szCs w:val="18"/>
              </w:rPr>
              <w:t>Hirschler, 2011</w:t>
            </w:r>
          </w:p>
        </w:tc>
        <w:tc>
          <w:tcPr>
            <w:tcW w:w="1156" w:type="dxa"/>
            <w:tcBorders>
              <w:top w:val="nil"/>
              <w:left w:val="nil"/>
              <w:bottom w:val="nil"/>
              <w:right w:val="nil"/>
            </w:tcBorders>
            <w:shd w:val="clear" w:color="auto" w:fill="auto"/>
            <w:noWrap/>
            <w:vAlign w:val="bottom"/>
            <w:hideMark/>
          </w:tcPr>
          <w:p w14:paraId="1B5D1F4E" w14:textId="629CA71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B8DE5AA" w14:textId="77777777" w:rsidTr="00D65F93">
        <w:trPr>
          <w:trHeight w:val="320"/>
        </w:trPr>
        <w:tc>
          <w:tcPr>
            <w:tcW w:w="3545" w:type="dxa"/>
            <w:tcBorders>
              <w:top w:val="nil"/>
              <w:left w:val="nil"/>
              <w:bottom w:val="nil"/>
              <w:right w:val="nil"/>
            </w:tcBorders>
            <w:shd w:val="clear" w:color="auto" w:fill="auto"/>
            <w:noWrap/>
            <w:vAlign w:val="bottom"/>
            <w:hideMark/>
          </w:tcPr>
          <w:p w14:paraId="6E83ADB0" w14:textId="62E8FC98"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4CAB3A43" w14:textId="717E577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5FE709F5" w14:textId="7F96F22A"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D75F23E" w14:textId="781DBC4E"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0DB0020" w14:textId="25A89D15" w:rsidR="00F826D0" w:rsidRPr="003328EE" w:rsidRDefault="00F826D0" w:rsidP="00D65F93">
            <w:pPr>
              <w:rPr>
                <w:rFonts w:eastAsia="Times New Roman"/>
                <w:color w:val="000000"/>
                <w:sz w:val="18"/>
                <w:szCs w:val="18"/>
              </w:rPr>
            </w:pPr>
            <w:r w:rsidRPr="003328EE">
              <w:rPr>
                <w:rFonts w:eastAsia="Times New Roman"/>
                <w:color w:val="000000"/>
                <w:sz w:val="18"/>
                <w:szCs w:val="18"/>
              </w:rPr>
              <w:t>Makiniemi &amp; Vinio, 2014</w:t>
            </w:r>
          </w:p>
        </w:tc>
        <w:tc>
          <w:tcPr>
            <w:tcW w:w="1156" w:type="dxa"/>
            <w:tcBorders>
              <w:top w:val="nil"/>
              <w:left w:val="nil"/>
              <w:bottom w:val="nil"/>
              <w:right w:val="nil"/>
            </w:tcBorders>
            <w:shd w:val="clear" w:color="auto" w:fill="auto"/>
            <w:noWrap/>
            <w:vAlign w:val="bottom"/>
            <w:hideMark/>
          </w:tcPr>
          <w:p w14:paraId="1CA0B008" w14:textId="0011D56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BD9A520" w14:textId="77777777" w:rsidTr="00D65F93">
        <w:trPr>
          <w:trHeight w:val="320"/>
        </w:trPr>
        <w:tc>
          <w:tcPr>
            <w:tcW w:w="3545" w:type="dxa"/>
            <w:tcBorders>
              <w:top w:val="nil"/>
              <w:left w:val="nil"/>
              <w:bottom w:val="nil"/>
              <w:right w:val="nil"/>
            </w:tcBorders>
            <w:shd w:val="clear" w:color="auto" w:fill="auto"/>
            <w:noWrap/>
            <w:vAlign w:val="bottom"/>
            <w:hideMark/>
          </w:tcPr>
          <w:p w14:paraId="6DB0A4E3" w14:textId="3F81D5BE"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2CB29B84" w14:textId="3E03D1A8"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5B04E4F4" w14:textId="0BCD1F1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65D041D9" w14:textId="4018CBF8"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17B208A" w14:textId="7FAE1649" w:rsidR="00F826D0" w:rsidRPr="003328EE" w:rsidRDefault="00F826D0" w:rsidP="00D65F93">
            <w:pPr>
              <w:rPr>
                <w:rFonts w:eastAsia="Times New Roman"/>
                <w:color w:val="000000"/>
                <w:sz w:val="18"/>
                <w:szCs w:val="18"/>
              </w:rPr>
            </w:pPr>
            <w:r w:rsidRPr="003328EE">
              <w:rPr>
                <w:rFonts w:eastAsia="Times New Roman"/>
                <w:color w:val="000000"/>
                <w:sz w:val="18"/>
                <w:szCs w:val="18"/>
              </w:rPr>
              <w:t>Ruby, 2012</w:t>
            </w:r>
          </w:p>
        </w:tc>
        <w:tc>
          <w:tcPr>
            <w:tcW w:w="1156" w:type="dxa"/>
            <w:tcBorders>
              <w:top w:val="nil"/>
              <w:left w:val="nil"/>
              <w:bottom w:val="nil"/>
              <w:right w:val="nil"/>
            </w:tcBorders>
            <w:shd w:val="clear" w:color="auto" w:fill="auto"/>
            <w:noWrap/>
            <w:vAlign w:val="bottom"/>
            <w:hideMark/>
          </w:tcPr>
          <w:p w14:paraId="6B9C0787" w14:textId="2F70CC14"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3D46F9B5" w14:textId="77777777" w:rsidTr="00D65F93">
        <w:trPr>
          <w:trHeight w:val="320"/>
        </w:trPr>
        <w:tc>
          <w:tcPr>
            <w:tcW w:w="3545" w:type="dxa"/>
            <w:tcBorders>
              <w:top w:val="nil"/>
              <w:left w:val="nil"/>
              <w:bottom w:val="nil"/>
              <w:right w:val="nil"/>
            </w:tcBorders>
            <w:shd w:val="clear" w:color="auto" w:fill="auto"/>
            <w:noWrap/>
            <w:vAlign w:val="bottom"/>
            <w:hideMark/>
          </w:tcPr>
          <w:p w14:paraId="47A0B556" w14:textId="00CDE5AC"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7B596F9E" w14:textId="2A322FB1"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311BF643" w14:textId="0E4A0E4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8C3378B" w14:textId="6C738159"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43682C0" w14:textId="04D78963" w:rsidR="00F826D0" w:rsidRPr="003328EE" w:rsidRDefault="00F826D0" w:rsidP="00D65F93">
            <w:pPr>
              <w:rPr>
                <w:rFonts w:eastAsia="Times New Roman"/>
                <w:color w:val="000000"/>
                <w:sz w:val="18"/>
                <w:szCs w:val="18"/>
              </w:rPr>
            </w:pPr>
            <w:r w:rsidRPr="003328EE">
              <w:rPr>
                <w:rFonts w:eastAsia="Times New Roman"/>
                <w:color w:val="000000"/>
                <w:sz w:val="18"/>
                <w:szCs w:val="18"/>
              </w:rPr>
              <w:t>Bobic et al., 2012</w:t>
            </w:r>
          </w:p>
        </w:tc>
        <w:tc>
          <w:tcPr>
            <w:tcW w:w="1156" w:type="dxa"/>
            <w:tcBorders>
              <w:top w:val="nil"/>
              <w:left w:val="nil"/>
              <w:bottom w:val="nil"/>
              <w:right w:val="nil"/>
            </w:tcBorders>
            <w:shd w:val="clear" w:color="auto" w:fill="auto"/>
            <w:noWrap/>
            <w:vAlign w:val="bottom"/>
            <w:hideMark/>
          </w:tcPr>
          <w:p w14:paraId="0A42BC85" w14:textId="2F7DAF1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D1D46C9" w14:textId="77777777" w:rsidTr="00D65F93">
        <w:trPr>
          <w:trHeight w:val="320"/>
        </w:trPr>
        <w:tc>
          <w:tcPr>
            <w:tcW w:w="3545" w:type="dxa"/>
            <w:tcBorders>
              <w:top w:val="nil"/>
              <w:left w:val="nil"/>
              <w:bottom w:val="nil"/>
              <w:right w:val="nil"/>
            </w:tcBorders>
            <w:shd w:val="clear" w:color="auto" w:fill="auto"/>
            <w:noWrap/>
            <w:vAlign w:val="bottom"/>
            <w:hideMark/>
          </w:tcPr>
          <w:p w14:paraId="66E661DA" w14:textId="03E687C6"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2F44E4E1" w14:textId="3F84FB1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010D48CF" w14:textId="38DE562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75AEE218" w14:textId="18E3B9C6"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124BC10" w14:textId="77D64A9A" w:rsidR="00F826D0" w:rsidRPr="003328EE" w:rsidRDefault="00F826D0" w:rsidP="00D65F93">
            <w:pPr>
              <w:rPr>
                <w:rFonts w:eastAsia="Times New Roman"/>
                <w:color w:val="000000"/>
                <w:sz w:val="18"/>
                <w:szCs w:val="18"/>
              </w:rPr>
            </w:pPr>
            <w:r w:rsidRPr="003328EE">
              <w:rPr>
                <w:rFonts w:eastAsia="Times New Roman"/>
                <w:color w:val="000000"/>
                <w:sz w:val="18"/>
                <w:szCs w:val="18"/>
              </w:rPr>
              <w:t>Worsley &amp; Skrzypiec, 1998</w:t>
            </w:r>
          </w:p>
        </w:tc>
        <w:tc>
          <w:tcPr>
            <w:tcW w:w="1156" w:type="dxa"/>
            <w:tcBorders>
              <w:top w:val="nil"/>
              <w:left w:val="nil"/>
              <w:bottom w:val="nil"/>
              <w:right w:val="nil"/>
            </w:tcBorders>
            <w:shd w:val="clear" w:color="auto" w:fill="auto"/>
            <w:noWrap/>
            <w:vAlign w:val="bottom"/>
            <w:hideMark/>
          </w:tcPr>
          <w:p w14:paraId="094F953F" w14:textId="5252F53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7F81A3A" w14:textId="77777777" w:rsidTr="00D65F93">
        <w:trPr>
          <w:trHeight w:val="320"/>
        </w:trPr>
        <w:tc>
          <w:tcPr>
            <w:tcW w:w="3545" w:type="dxa"/>
            <w:tcBorders>
              <w:top w:val="nil"/>
              <w:left w:val="nil"/>
              <w:bottom w:val="nil"/>
              <w:right w:val="nil"/>
            </w:tcBorders>
            <w:shd w:val="clear" w:color="auto" w:fill="auto"/>
            <w:noWrap/>
            <w:vAlign w:val="bottom"/>
            <w:hideMark/>
          </w:tcPr>
          <w:p w14:paraId="77316FFF" w14:textId="37A36549"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3EA287D1" w14:textId="23A52BF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7C413244" w14:textId="777E6F4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6C3256A2" w14:textId="62E23FC3"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2326F79" w14:textId="688C1FFD" w:rsidR="00F826D0" w:rsidRPr="003328EE" w:rsidRDefault="00F826D0" w:rsidP="00D65F93">
            <w:pPr>
              <w:rPr>
                <w:rFonts w:eastAsia="Times New Roman"/>
                <w:color w:val="000000"/>
                <w:sz w:val="18"/>
                <w:szCs w:val="18"/>
              </w:rPr>
            </w:pPr>
            <w:r w:rsidRPr="003328EE">
              <w:rPr>
                <w:rFonts w:eastAsia="Times New Roman"/>
                <w:color w:val="000000"/>
                <w:sz w:val="18"/>
                <w:szCs w:val="18"/>
              </w:rPr>
              <w:t>Haverstock &amp; Forgays, 2012</w:t>
            </w:r>
          </w:p>
        </w:tc>
        <w:tc>
          <w:tcPr>
            <w:tcW w:w="1156" w:type="dxa"/>
            <w:tcBorders>
              <w:top w:val="nil"/>
              <w:left w:val="nil"/>
              <w:bottom w:val="nil"/>
              <w:right w:val="nil"/>
            </w:tcBorders>
            <w:shd w:val="clear" w:color="auto" w:fill="auto"/>
            <w:noWrap/>
            <w:vAlign w:val="bottom"/>
            <w:hideMark/>
          </w:tcPr>
          <w:p w14:paraId="43EB6114" w14:textId="3267C36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D874D2C" w14:textId="77777777" w:rsidTr="00D65F93">
        <w:trPr>
          <w:trHeight w:val="320"/>
        </w:trPr>
        <w:tc>
          <w:tcPr>
            <w:tcW w:w="3545" w:type="dxa"/>
            <w:tcBorders>
              <w:top w:val="nil"/>
              <w:left w:val="nil"/>
              <w:bottom w:val="nil"/>
              <w:right w:val="nil"/>
            </w:tcBorders>
            <w:shd w:val="clear" w:color="auto" w:fill="auto"/>
            <w:noWrap/>
            <w:vAlign w:val="bottom"/>
            <w:hideMark/>
          </w:tcPr>
          <w:p w14:paraId="4412F45E" w14:textId="5C9DC2AD"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26359710" w14:textId="2A89F126"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70F0FD47" w14:textId="3DE4A1E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68317D09" w14:textId="3516B176"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D96A001" w14:textId="78B4578A" w:rsidR="00F826D0" w:rsidRPr="003328EE" w:rsidRDefault="00F826D0" w:rsidP="00D65F93">
            <w:pPr>
              <w:rPr>
                <w:rFonts w:eastAsia="Times New Roman"/>
                <w:color w:val="000000"/>
                <w:sz w:val="18"/>
                <w:szCs w:val="18"/>
              </w:rPr>
            </w:pPr>
            <w:r w:rsidRPr="003328EE">
              <w:rPr>
                <w:rFonts w:eastAsia="Times New Roman"/>
                <w:color w:val="000000"/>
                <w:sz w:val="18"/>
                <w:szCs w:val="18"/>
              </w:rPr>
              <w:t>Hill, 2002</w:t>
            </w:r>
          </w:p>
        </w:tc>
        <w:tc>
          <w:tcPr>
            <w:tcW w:w="1156" w:type="dxa"/>
            <w:tcBorders>
              <w:top w:val="nil"/>
              <w:left w:val="nil"/>
              <w:bottom w:val="nil"/>
              <w:right w:val="nil"/>
            </w:tcBorders>
            <w:shd w:val="clear" w:color="auto" w:fill="auto"/>
            <w:noWrap/>
            <w:vAlign w:val="bottom"/>
            <w:hideMark/>
          </w:tcPr>
          <w:p w14:paraId="2685291F" w14:textId="47F1E617"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C32B725" w14:textId="77777777" w:rsidTr="00D65F93">
        <w:trPr>
          <w:trHeight w:val="320"/>
        </w:trPr>
        <w:tc>
          <w:tcPr>
            <w:tcW w:w="3545" w:type="dxa"/>
            <w:tcBorders>
              <w:top w:val="nil"/>
              <w:left w:val="nil"/>
              <w:bottom w:val="nil"/>
              <w:right w:val="nil"/>
            </w:tcBorders>
            <w:shd w:val="clear" w:color="auto" w:fill="auto"/>
            <w:noWrap/>
            <w:vAlign w:val="bottom"/>
            <w:hideMark/>
          </w:tcPr>
          <w:p w14:paraId="2AA872B1" w14:textId="0AFA8B35"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1B44C4BF" w14:textId="4F6D620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383CA210" w14:textId="6CCA69E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9220F04" w14:textId="53B2B70D"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AA6BFB3" w14:textId="52C15649" w:rsidR="00F826D0" w:rsidRPr="003328EE" w:rsidRDefault="00F826D0" w:rsidP="00D65F93">
            <w:pPr>
              <w:rPr>
                <w:rFonts w:eastAsia="Times New Roman"/>
                <w:color w:val="000000"/>
                <w:sz w:val="18"/>
                <w:szCs w:val="18"/>
              </w:rPr>
            </w:pPr>
            <w:r w:rsidRPr="003328EE">
              <w:rPr>
                <w:rFonts w:eastAsia="Times New Roman"/>
                <w:color w:val="000000"/>
                <w:sz w:val="18"/>
                <w:szCs w:val="18"/>
              </w:rPr>
              <w:t>Ruby, 2012</w:t>
            </w:r>
          </w:p>
        </w:tc>
        <w:tc>
          <w:tcPr>
            <w:tcW w:w="1156" w:type="dxa"/>
            <w:tcBorders>
              <w:top w:val="nil"/>
              <w:left w:val="nil"/>
              <w:bottom w:val="nil"/>
              <w:right w:val="nil"/>
            </w:tcBorders>
            <w:shd w:val="clear" w:color="auto" w:fill="auto"/>
            <w:noWrap/>
            <w:vAlign w:val="bottom"/>
            <w:hideMark/>
          </w:tcPr>
          <w:p w14:paraId="6A153F85" w14:textId="5D474919"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2B5A363" w14:textId="77777777" w:rsidTr="00D65F93">
        <w:trPr>
          <w:trHeight w:val="320"/>
        </w:trPr>
        <w:tc>
          <w:tcPr>
            <w:tcW w:w="3545" w:type="dxa"/>
            <w:tcBorders>
              <w:top w:val="nil"/>
              <w:left w:val="nil"/>
              <w:bottom w:val="nil"/>
              <w:right w:val="nil"/>
            </w:tcBorders>
            <w:shd w:val="clear" w:color="auto" w:fill="auto"/>
            <w:noWrap/>
            <w:vAlign w:val="bottom"/>
            <w:hideMark/>
          </w:tcPr>
          <w:p w14:paraId="50A8DA83" w14:textId="3DEC3E27"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78D3A5C8" w14:textId="0291CA6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6A8BF3D2" w14:textId="55CC067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615BD65" w14:textId="2CCB0D7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B0F9A11" w14:textId="378063AB" w:rsidR="00F826D0" w:rsidRPr="003328EE" w:rsidRDefault="00F826D0" w:rsidP="00D65F93">
            <w:pPr>
              <w:rPr>
                <w:rFonts w:eastAsia="Times New Roman"/>
                <w:color w:val="000000"/>
                <w:sz w:val="18"/>
                <w:szCs w:val="18"/>
              </w:rPr>
            </w:pPr>
            <w:r w:rsidRPr="003328EE">
              <w:rPr>
                <w:rFonts w:eastAsia="Times New Roman"/>
                <w:color w:val="000000"/>
                <w:sz w:val="18"/>
                <w:szCs w:val="18"/>
              </w:rPr>
              <w:t>Fleming et al., 1997</w:t>
            </w:r>
          </w:p>
        </w:tc>
        <w:tc>
          <w:tcPr>
            <w:tcW w:w="1156" w:type="dxa"/>
            <w:tcBorders>
              <w:top w:val="nil"/>
              <w:left w:val="nil"/>
              <w:bottom w:val="nil"/>
              <w:right w:val="nil"/>
            </w:tcBorders>
            <w:shd w:val="clear" w:color="auto" w:fill="auto"/>
            <w:noWrap/>
            <w:vAlign w:val="bottom"/>
            <w:hideMark/>
          </w:tcPr>
          <w:p w14:paraId="009657DF" w14:textId="67C1622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8B16CC0" w14:textId="77777777" w:rsidTr="00D65F93">
        <w:trPr>
          <w:trHeight w:val="320"/>
        </w:trPr>
        <w:tc>
          <w:tcPr>
            <w:tcW w:w="3545" w:type="dxa"/>
            <w:tcBorders>
              <w:top w:val="nil"/>
              <w:left w:val="nil"/>
              <w:bottom w:val="nil"/>
              <w:right w:val="nil"/>
            </w:tcBorders>
            <w:shd w:val="clear" w:color="auto" w:fill="auto"/>
            <w:noWrap/>
            <w:vAlign w:val="bottom"/>
            <w:hideMark/>
          </w:tcPr>
          <w:p w14:paraId="2D49C83C" w14:textId="03761B8B"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02937EC7" w14:textId="7E22F67C"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6F73535F" w14:textId="09DE2311"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652591D" w14:textId="11BFBA05"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0318E92" w14:textId="32912145" w:rsidR="00F826D0" w:rsidRPr="003328EE" w:rsidRDefault="00F826D0" w:rsidP="00D65F93">
            <w:pPr>
              <w:rPr>
                <w:rFonts w:eastAsia="Times New Roman"/>
                <w:color w:val="000000"/>
                <w:sz w:val="18"/>
                <w:szCs w:val="18"/>
              </w:rPr>
            </w:pPr>
            <w:r w:rsidRPr="003328EE">
              <w:rPr>
                <w:rFonts w:eastAsia="Times New Roman"/>
                <w:color w:val="000000"/>
                <w:sz w:val="18"/>
                <w:szCs w:val="18"/>
              </w:rPr>
              <w:t>Jabs et al., 2000</w:t>
            </w:r>
          </w:p>
        </w:tc>
        <w:tc>
          <w:tcPr>
            <w:tcW w:w="1156" w:type="dxa"/>
            <w:tcBorders>
              <w:top w:val="nil"/>
              <w:left w:val="nil"/>
              <w:bottom w:val="nil"/>
              <w:right w:val="nil"/>
            </w:tcBorders>
            <w:shd w:val="clear" w:color="auto" w:fill="auto"/>
            <w:noWrap/>
            <w:vAlign w:val="bottom"/>
            <w:hideMark/>
          </w:tcPr>
          <w:p w14:paraId="58373321" w14:textId="5957451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A3B1C31" w14:textId="77777777" w:rsidTr="00D65F93">
        <w:trPr>
          <w:trHeight w:val="320"/>
        </w:trPr>
        <w:tc>
          <w:tcPr>
            <w:tcW w:w="3545" w:type="dxa"/>
            <w:tcBorders>
              <w:top w:val="nil"/>
              <w:left w:val="nil"/>
              <w:bottom w:val="nil"/>
              <w:right w:val="nil"/>
            </w:tcBorders>
            <w:shd w:val="clear" w:color="auto" w:fill="auto"/>
            <w:noWrap/>
            <w:vAlign w:val="bottom"/>
            <w:hideMark/>
          </w:tcPr>
          <w:p w14:paraId="29A5F3F1" w14:textId="1B6ADCB3"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5E8C377F" w14:textId="6A081E9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4439DFE6" w14:textId="012D2E6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7B4F4F72" w14:textId="2AC89452"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CA7C0E6" w14:textId="435EE985" w:rsidR="00F826D0" w:rsidRPr="003328EE" w:rsidRDefault="00F826D0" w:rsidP="00D65F93">
            <w:pPr>
              <w:rPr>
                <w:rFonts w:eastAsia="Times New Roman"/>
                <w:color w:val="000000"/>
                <w:sz w:val="18"/>
                <w:szCs w:val="18"/>
              </w:rPr>
            </w:pPr>
            <w:r w:rsidRPr="003328EE">
              <w:rPr>
                <w:rFonts w:eastAsia="Times New Roman"/>
                <w:color w:val="000000"/>
                <w:sz w:val="18"/>
                <w:szCs w:val="18"/>
              </w:rPr>
              <w:t>Lea &amp; Worsley, 2002</w:t>
            </w:r>
          </w:p>
        </w:tc>
        <w:tc>
          <w:tcPr>
            <w:tcW w:w="1156" w:type="dxa"/>
            <w:tcBorders>
              <w:top w:val="nil"/>
              <w:left w:val="nil"/>
              <w:bottom w:val="nil"/>
              <w:right w:val="nil"/>
            </w:tcBorders>
            <w:shd w:val="clear" w:color="auto" w:fill="auto"/>
            <w:noWrap/>
            <w:vAlign w:val="bottom"/>
            <w:hideMark/>
          </w:tcPr>
          <w:p w14:paraId="3AA01464" w14:textId="2143F41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106B4BA" w14:textId="77777777" w:rsidTr="00D65F93">
        <w:trPr>
          <w:trHeight w:val="320"/>
        </w:trPr>
        <w:tc>
          <w:tcPr>
            <w:tcW w:w="3545" w:type="dxa"/>
            <w:tcBorders>
              <w:top w:val="nil"/>
              <w:left w:val="nil"/>
              <w:bottom w:val="nil"/>
              <w:right w:val="nil"/>
            </w:tcBorders>
            <w:shd w:val="clear" w:color="auto" w:fill="auto"/>
            <w:noWrap/>
            <w:vAlign w:val="bottom"/>
            <w:hideMark/>
          </w:tcPr>
          <w:p w14:paraId="38B551CD" w14:textId="0E594C5A"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1F1002B0" w14:textId="3DE96EE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4443CBEA" w14:textId="0088BC27"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77F2AFC3" w14:textId="50A94946"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44DD14A" w14:textId="30BC9FAB" w:rsidR="00F826D0" w:rsidRPr="003328EE" w:rsidRDefault="00F826D0" w:rsidP="00D65F93">
            <w:pPr>
              <w:rPr>
                <w:rFonts w:eastAsia="Times New Roman"/>
                <w:color w:val="000000"/>
                <w:sz w:val="18"/>
                <w:szCs w:val="18"/>
              </w:rPr>
            </w:pPr>
            <w:r w:rsidRPr="003328EE">
              <w:rPr>
                <w:rFonts w:eastAsia="Times New Roman"/>
                <w:color w:val="000000"/>
                <w:sz w:val="18"/>
                <w:szCs w:val="18"/>
              </w:rPr>
              <w:t>Campbell-Arvai et al., 2014</w:t>
            </w:r>
          </w:p>
        </w:tc>
        <w:tc>
          <w:tcPr>
            <w:tcW w:w="1156" w:type="dxa"/>
            <w:tcBorders>
              <w:top w:val="nil"/>
              <w:left w:val="nil"/>
              <w:bottom w:val="nil"/>
              <w:right w:val="nil"/>
            </w:tcBorders>
            <w:shd w:val="clear" w:color="auto" w:fill="auto"/>
            <w:noWrap/>
            <w:vAlign w:val="bottom"/>
            <w:hideMark/>
          </w:tcPr>
          <w:p w14:paraId="2862CAB1" w14:textId="53AC05E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6488C9E" w14:textId="77777777" w:rsidTr="00D65F93">
        <w:trPr>
          <w:trHeight w:val="320"/>
        </w:trPr>
        <w:tc>
          <w:tcPr>
            <w:tcW w:w="3545" w:type="dxa"/>
            <w:tcBorders>
              <w:top w:val="nil"/>
              <w:left w:val="nil"/>
              <w:bottom w:val="nil"/>
              <w:right w:val="nil"/>
            </w:tcBorders>
            <w:shd w:val="clear" w:color="auto" w:fill="auto"/>
            <w:noWrap/>
            <w:vAlign w:val="bottom"/>
            <w:hideMark/>
          </w:tcPr>
          <w:p w14:paraId="295027E7" w14:textId="73E44B5F"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031784CA" w14:textId="79CD18A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384DF1E1" w14:textId="35A4C416"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21451CEF" w14:textId="53BCBC02"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373BF48" w14:textId="3E074526" w:rsidR="00F826D0" w:rsidRPr="003328EE" w:rsidRDefault="00F826D0" w:rsidP="00D65F93">
            <w:pPr>
              <w:rPr>
                <w:rFonts w:eastAsia="Times New Roman"/>
                <w:color w:val="000000"/>
                <w:sz w:val="18"/>
                <w:szCs w:val="18"/>
              </w:rPr>
            </w:pPr>
            <w:r w:rsidRPr="003328EE">
              <w:rPr>
                <w:rFonts w:eastAsia="Times New Roman"/>
                <w:color w:val="000000"/>
                <w:sz w:val="18"/>
                <w:szCs w:val="18"/>
              </w:rPr>
              <w:t>Leroy &amp; Praet, 2015</w:t>
            </w:r>
          </w:p>
        </w:tc>
        <w:tc>
          <w:tcPr>
            <w:tcW w:w="1156" w:type="dxa"/>
            <w:tcBorders>
              <w:top w:val="nil"/>
              <w:left w:val="nil"/>
              <w:bottom w:val="nil"/>
              <w:right w:val="nil"/>
            </w:tcBorders>
            <w:shd w:val="clear" w:color="auto" w:fill="auto"/>
            <w:noWrap/>
            <w:vAlign w:val="bottom"/>
            <w:hideMark/>
          </w:tcPr>
          <w:p w14:paraId="3A7E31C8" w14:textId="3C726B67"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0D01292" w14:textId="77777777" w:rsidTr="00D65F93">
        <w:trPr>
          <w:trHeight w:val="320"/>
        </w:trPr>
        <w:tc>
          <w:tcPr>
            <w:tcW w:w="3545" w:type="dxa"/>
            <w:tcBorders>
              <w:top w:val="nil"/>
              <w:left w:val="nil"/>
              <w:bottom w:val="nil"/>
              <w:right w:val="nil"/>
            </w:tcBorders>
            <w:shd w:val="clear" w:color="auto" w:fill="auto"/>
            <w:noWrap/>
            <w:vAlign w:val="bottom"/>
            <w:hideMark/>
          </w:tcPr>
          <w:p w14:paraId="78473D65" w14:textId="67B843CC"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600B4E24" w14:textId="65E2291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2CC19E0F" w14:textId="507998B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AD97D45" w14:textId="430A948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4A76F0C" w14:textId="1BF98CA9"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465BF4ED" w14:textId="4435F64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B315B19" w14:textId="77777777" w:rsidTr="00D65F93">
        <w:trPr>
          <w:trHeight w:val="320"/>
        </w:trPr>
        <w:tc>
          <w:tcPr>
            <w:tcW w:w="3545" w:type="dxa"/>
            <w:tcBorders>
              <w:top w:val="nil"/>
              <w:left w:val="nil"/>
              <w:bottom w:val="nil"/>
              <w:right w:val="nil"/>
            </w:tcBorders>
            <w:shd w:val="clear" w:color="auto" w:fill="auto"/>
            <w:noWrap/>
            <w:vAlign w:val="bottom"/>
            <w:hideMark/>
          </w:tcPr>
          <w:p w14:paraId="59654926" w14:textId="790AD290"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1DB4160A" w14:textId="497F8A53"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20BE524E" w14:textId="067A7541"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068378D" w14:textId="0FAC97BB"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928056B" w14:textId="679D6ED7" w:rsidR="00F826D0" w:rsidRPr="003328EE" w:rsidRDefault="00F826D0" w:rsidP="00D65F93">
            <w:pPr>
              <w:rPr>
                <w:rFonts w:eastAsia="Times New Roman"/>
                <w:color w:val="000000"/>
                <w:sz w:val="18"/>
                <w:szCs w:val="18"/>
              </w:rPr>
            </w:pPr>
            <w:r w:rsidRPr="003328EE">
              <w:rPr>
                <w:rFonts w:eastAsia="Times New Roman"/>
                <w:color w:val="000000"/>
                <w:sz w:val="18"/>
                <w:szCs w:val="18"/>
              </w:rPr>
              <w:t>Ruby et al., 2016</w:t>
            </w:r>
          </w:p>
        </w:tc>
        <w:tc>
          <w:tcPr>
            <w:tcW w:w="1156" w:type="dxa"/>
            <w:tcBorders>
              <w:top w:val="nil"/>
              <w:left w:val="nil"/>
              <w:bottom w:val="nil"/>
              <w:right w:val="nil"/>
            </w:tcBorders>
            <w:shd w:val="clear" w:color="auto" w:fill="auto"/>
            <w:noWrap/>
            <w:vAlign w:val="bottom"/>
            <w:hideMark/>
          </w:tcPr>
          <w:p w14:paraId="0F64DAFA" w14:textId="54E43E2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17D64DF" w14:textId="77777777" w:rsidTr="00D65F93">
        <w:trPr>
          <w:trHeight w:val="320"/>
        </w:trPr>
        <w:tc>
          <w:tcPr>
            <w:tcW w:w="3545" w:type="dxa"/>
            <w:tcBorders>
              <w:top w:val="nil"/>
              <w:left w:val="nil"/>
              <w:bottom w:val="nil"/>
              <w:right w:val="nil"/>
            </w:tcBorders>
            <w:shd w:val="clear" w:color="auto" w:fill="auto"/>
            <w:noWrap/>
            <w:vAlign w:val="bottom"/>
            <w:hideMark/>
          </w:tcPr>
          <w:p w14:paraId="1F80A35A" w14:textId="529DC943"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2507824C" w14:textId="2BC08D2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2C1E65D7" w14:textId="73482FC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2535C6D8" w14:textId="540C5C60"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B1A08DD" w14:textId="3F11379D" w:rsidR="00F826D0" w:rsidRPr="003328EE" w:rsidRDefault="00F826D0" w:rsidP="00D65F93">
            <w:pPr>
              <w:rPr>
                <w:rFonts w:eastAsia="Times New Roman"/>
                <w:color w:val="000000"/>
                <w:sz w:val="18"/>
                <w:szCs w:val="18"/>
              </w:rPr>
            </w:pPr>
            <w:r w:rsidRPr="003328EE">
              <w:rPr>
                <w:rFonts w:eastAsia="Times New Roman"/>
                <w:color w:val="000000"/>
                <w:sz w:val="18"/>
                <w:szCs w:val="18"/>
              </w:rPr>
              <w:t>Nederkoorn et al., 2009</w:t>
            </w:r>
          </w:p>
        </w:tc>
        <w:tc>
          <w:tcPr>
            <w:tcW w:w="1156" w:type="dxa"/>
            <w:tcBorders>
              <w:top w:val="nil"/>
              <w:left w:val="nil"/>
              <w:bottom w:val="nil"/>
              <w:right w:val="nil"/>
            </w:tcBorders>
            <w:shd w:val="clear" w:color="auto" w:fill="auto"/>
            <w:noWrap/>
            <w:vAlign w:val="bottom"/>
            <w:hideMark/>
          </w:tcPr>
          <w:p w14:paraId="50D2C932" w14:textId="1DD913A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063F867" w14:textId="77777777" w:rsidTr="00D65F93">
        <w:trPr>
          <w:trHeight w:val="320"/>
        </w:trPr>
        <w:tc>
          <w:tcPr>
            <w:tcW w:w="3545" w:type="dxa"/>
            <w:tcBorders>
              <w:top w:val="nil"/>
              <w:left w:val="nil"/>
              <w:bottom w:val="nil"/>
              <w:right w:val="nil"/>
            </w:tcBorders>
            <w:shd w:val="clear" w:color="auto" w:fill="auto"/>
            <w:noWrap/>
            <w:vAlign w:val="bottom"/>
            <w:hideMark/>
          </w:tcPr>
          <w:p w14:paraId="02939376" w14:textId="12DF9242"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728CBE2D" w14:textId="1DF08FB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1C68B9EA" w14:textId="312136C6"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78B11042" w14:textId="2C0F8572"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3BC9B467" w14:textId="2CFF243D" w:rsidR="00F826D0" w:rsidRPr="003328EE" w:rsidRDefault="00F826D0" w:rsidP="00D65F93">
            <w:pPr>
              <w:rPr>
                <w:rFonts w:eastAsia="Times New Roman"/>
                <w:color w:val="000000"/>
                <w:sz w:val="18"/>
                <w:szCs w:val="18"/>
              </w:rPr>
            </w:pPr>
            <w:r w:rsidRPr="003328EE">
              <w:rPr>
                <w:rFonts w:eastAsia="Times New Roman"/>
                <w:color w:val="000000"/>
                <w:sz w:val="18"/>
                <w:szCs w:val="18"/>
              </w:rPr>
              <w:t>Larsson et al., 2002</w:t>
            </w:r>
          </w:p>
        </w:tc>
        <w:tc>
          <w:tcPr>
            <w:tcW w:w="1156" w:type="dxa"/>
            <w:tcBorders>
              <w:top w:val="nil"/>
              <w:left w:val="nil"/>
              <w:bottom w:val="nil"/>
              <w:right w:val="nil"/>
            </w:tcBorders>
            <w:shd w:val="clear" w:color="auto" w:fill="auto"/>
            <w:noWrap/>
            <w:vAlign w:val="bottom"/>
            <w:hideMark/>
          </w:tcPr>
          <w:p w14:paraId="441ABA25" w14:textId="4024840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D5DD028" w14:textId="77777777" w:rsidTr="00D65F93">
        <w:trPr>
          <w:trHeight w:val="320"/>
        </w:trPr>
        <w:tc>
          <w:tcPr>
            <w:tcW w:w="3545" w:type="dxa"/>
            <w:tcBorders>
              <w:top w:val="nil"/>
              <w:left w:val="nil"/>
              <w:bottom w:val="nil"/>
              <w:right w:val="nil"/>
            </w:tcBorders>
            <w:shd w:val="clear" w:color="auto" w:fill="auto"/>
            <w:noWrap/>
            <w:vAlign w:val="bottom"/>
            <w:hideMark/>
          </w:tcPr>
          <w:p w14:paraId="263D74E4" w14:textId="44D1D656"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1EBA10C4" w14:textId="64C91431"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6322030C" w14:textId="77DAE76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2ADBC704" w14:textId="309BEA6D"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C6EAE42" w14:textId="2146BC41" w:rsidR="00F826D0" w:rsidRPr="003328EE" w:rsidRDefault="00F826D0" w:rsidP="00D65F93">
            <w:pPr>
              <w:rPr>
                <w:rFonts w:eastAsia="Times New Roman"/>
                <w:color w:val="000000"/>
                <w:sz w:val="18"/>
                <w:szCs w:val="18"/>
              </w:rPr>
            </w:pPr>
            <w:r w:rsidRPr="003328EE">
              <w:rPr>
                <w:rFonts w:eastAsia="Times New Roman"/>
                <w:color w:val="000000"/>
                <w:sz w:val="18"/>
                <w:szCs w:val="18"/>
              </w:rPr>
              <w:t>Thompson et al., 1999</w:t>
            </w:r>
          </w:p>
        </w:tc>
        <w:tc>
          <w:tcPr>
            <w:tcW w:w="1156" w:type="dxa"/>
            <w:tcBorders>
              <w:top w:val="nil"/>
              <w:left w:val="nil"/>
              <w:bottom w:val="nil"/>
              <w:right w:val="nil"/>
            </w:tcBorders>
            <w:shd w:val="clear" w:color="auto" w:fill="auto"/>
            <w:noWrap/>
            <w:vAlign w:val="bottom"/>
            <w:hideMark/>
          </w:tcPr>
          <w:p w14:paraId="4D1FF098" w14:textId="69A28FD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4FBAD5D" w14:textId="77777777" w:rsidTr="00D65F93">
        <w:trPr>
          <w:trHeight w:val="320"/>
        </w:trPr>
        <w:tc>
          <w:tcPr>
            <w:tcW w:w="3545" w:type="dxa"/>
            <w:tcBorders>
              <w:top w:val="nil"/>
              <w:left w:val="nil"/>
              <w:bottom w:val="nil"/>
              <w:right w:val="nil"/>
            </w:tcBorders>
            <w:shd w:val="clear" w:color="auto" w:fill="auto"/>
            <w:noWrap/>
            <w:vAlign w:val="bottom"/>
            <w:hideMark/>
          </w:tcPr>
          <w:p w14:paraId="73077FAC" w14:textId="685014F5"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01B9CDF8" w14:textId="4A6B860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501F4689" w14:textId="624049E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5AE1CC63" w14:textId="330A1DC7"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236AE1E9" w14:textId="799CEBBD" w:rsidR="00F826D0" w:rsidRPr="003328EE" w:rsidRDefault="00F826D0" w:rsidP="00D65F93">
            <w:pPr>
              <w:rPr>
                <w:rFonts w:eastAsia="Times New Roman"/>
                <w:color w:val="000000"/>
                <w:sz w:val="18"/>
                <w:szCs w:val="18"/>
              </w:rPr>
            </w:pPr>
            <w:r w:rsidRPr="003328EE">
              <w:rPr>
                <w:rFonts w:eastAsia="Times New Roman"/>
                <w:color w:val="000000"/>
                <w:sz w:val="18"/>
                <w:szCs w:val="18"/>
              </w:rPr>
              <w:t>Chekima et al., 2016</w:t>
            </w:r>
          </w:p>
        </w:tc>
        <w:tc>
          <w:tcPr>
            <w:tcW w:w="1156" w:type="dxa"/>
            <w:tcBorders>
              <w:top w:val="nil"/>
              <w:left w:val="nil"/>
              <w:bottom w:val="nil"/>
              <w:right w:val="nil"/>
            </w:tcBorders>
            <w:shd w:val="clear" w:color="auto" w:fill="auto"/>
            <w:noWrap/>
            <w:vAlign w:val="bottom"/>
            <w:hideMark/>
          </w:tcPr>
          <w:p w14:paraId="5669695B" w14:textId="470491F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EE8C882" w14:textId="77777777" w:rsidTr="00D65F93">
        <w:trPr>
          <w:trHeight w:val="320"/>
        </w:trPr>
        <w:tc>
          <w:tcPr>
            <w:tcW w:w="3545" w:type="dxa"/>
            <w:tcBorders>
              <w:top w:val="nil"/>
              <w:left w:val="nil"/>
              <w:bottom w:val="nil"/>
              <w:right w:val="nil"/>
            </w:tcBorders>
            <w:shd w:val="clear" w:color="auto" w:fill="auto"/>
            <w:noWrap/>
            <w:vAlign w:val="bottom"/>
            <w:hideMark/>
          </w:tcPr>
          <w:p w14:paraId="66369270" w14:textId="32DEFE27"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569CC1BB" w14:textId="4AE521A6"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56C1041D" w14:textId="2992620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5C7BCED" w14:textId="292649FF"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AA7BB9F" w14:textId="1AA43F22" w:rsidR="00F826D0" w:rsidRPr="003328EE" w:rsidRDefault="00F826D0" w:rsidP="00D65F93">
            <w:pPr>
              <w:rPr>
                <w:rFonts w:eastAsia="Times New Roman"/>
                <w:color w:val="000000"/>
                <w:sz w:val="18"/>
                <w:szCs w:val="18"/>
              </w:rPr>
            </w:pPr>
            <w:r w:rsidRPr="003328EE">
              <w:rPr>
                <w:rFonts w:eastAsia="Times New Roman"/>
                <w:color w:val="000000"/>
                <w:sz w:val="18"/>
                <w:szCs w:val="18"/>
              </w:rPr>
              <w:t>Kongsback, 2016</w:t>
            </w:r>
          </w:p>
        </w:tc>
        <w:tc>
          <w:tcPr>
            <w:tcW w:w="1156" w:type="dxa"/>
            <w:tcBorders>
              <w:top w:val="nil"/>
              <w:left w:val="nil"/>
              <w:bottom w:val="nil"/>
              <w:right w:val="nil"/>
            </w:tcBorders>
            <w:shd w:val="clear" w:color="auto" w:fill="auto"/>
            <w:noWrap/>
            <w:vAlign w:val="bottom"/>
            <w:hideMark/>
          </w:tcPr>
          <w:p w14:paraId="2FD58F57" w14:textId="45B0707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ED35A85" w14:textId="77777777" w:rsidTr="00D65F93">
        <w:trPr>
          <w:trHeight w:val="320"/>
        </w:trPr>
        <w:tc>
          <w:tcPr>
            <w:tcW w:w="3545" w:type="dxa"/>
            <w:tcBorders>
              <w:top w:val="nil"/>
              <w:left w:val="nil"/>
              <w:bottom w:val="nil"/>
              <w:right w:val="nil"/>
            </w:tcBorders>
            <w:shd w:val="clear" w:color="auto" w:fill="auto"/>
            <w:noWrap/>
            <w:vAlign w:val="bottom"/>
            <w:hideMark/>
          </w:tcPr>
          <w:p w14:paraId="3360FD24" w14:textId="38EC91F2"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2ADC26B8" w14:textId="4BEC78E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5AC6361C" w14:textId="1719320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116C524" w14:textId="1247B1D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19597F2" w14:textId="74E45327"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42F2FCA7" w14:textId="01E8F8C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325043B" w14:textId="77777777" w:rsidTr="00D65F93">
        <w:trPr>
          <w:trHeight w:val="320"/>
        </w:trPr>
        <w:tc>
          <w:tcPr>
            <w:tcW w:w="3545" w:type="dxa"/>
            <w:tcBorders>
              <w:top w:val="nil"/>
              <w:left w:val="nil"/>
              <w:bottom w:val="nil"/>
              <w:right w:val="nil"/>
            </w:tcBorders>
            <w:shd w:val="clear" w:color="auto" w:fill="auto"/>
            <w:noWrap/>
            <w:vAlign w:val="bottom"/>
            <w:hideMark/>
          </w:tcPr>
          <w:p w14:paraId="0D44A7F1" w14:textId="3BAE8E76"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1DEB7356" w14:textId="27369B4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6CB47937" w14:textId="04D374F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629B1E0D" w14:textId="5BD3C95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3DCC84A" w14:textId="510EC1C2" w:rsidR="00F826D0" w:rsidRPr="003328EE" w:rsidRDefault="00F826D0" w:rsidP="00D65F93">
            <w:pPr>
              <w:rPr>
                <w:rFonts w:eastAsia="Times New Roman"/>
                <w:color w:val="000000"/>
                <w:sz w:val="18"/>
                <w:szCs w:val="18"/>
              </w:rPr>
            </w:pPr>
            <w:r w:rsidRPr="003328EE">
              <w:rPr>
                <w:rFonts w:eastAsia="Times New Roman"/>
                <w:color w:val="000000"/>
                <w:sz w:val="18"/>
                <w:szCs w:val="18"/>
              </w:rPr>
              <w:t>Hoek et al., 2004</w:t>
            </w:r>
          </w:p>
        </w:tc>
        <w:tc>
          <w:tcPr>
            <w:tcW w:w="1156" w:type="dxa"/>
            <w:tcBorders>
              <w:top w:val="nil"/>
              <w:left w:val="nil"/>
              <w:bottom w:val="nil"/>
              <w:right w:val="nil"/>
            </w:tcBorders>
            <w:shd w:val="clear" w:color="auto" w:fill="auto"/>
            <w:noWrap/>
            <w:vAlign w:val="bottom"/>
            <w:hideMark/>
          </w:tcPr>
          <w:p w14:paraId="77FCAA7A" w14:textId="38ADCE4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D296704" w14:textId="77777777" w:rsidTr="00D65F93">
        <w:trPr>
          <w:trHeight w:val="320"/>
        </w:trPr>
        <w:tc>
          <w:tcPr>
            <w:tcW w:w="3545" w:type="dxa"/>
            <w:tcBorders>
              <w:top w:val="nil"/>
              <w:left w:val="nil"/>
              <w:bottom w:val="nil"/>
              <w:right w:val="nil"/>
            </w:tcBorders>
            <w:shd w:val="clear" w:color="auto" w:fill="auto"/>
            <w:noWrap/>
            <w:vAlign w:val="bottom"/>
            <w:hideMark/>
          </w:tcPr>
          <w:p w14:paraId="2E20134B" w14:textId="6B92D28C"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1F90DF24" w14:textId="0AB54BA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13CD3914" w14:textId="5CA8D9C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313754E" w14:textId="4B5E86A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C87FE49" w14:textId="6CBC949F" w:rsidR="00F826D0" w:rsidRPr="003328EE" w:rsidRDefault="00F826D0" w:rsidP="00D65F93">
            <w:pPr>
              <w:rPr>
                <w:rFonts w:eastAsia="Times New Roman"/>
                <w:color w:val="000000"/>
                <w:sz w:val="18"/>
                <w:szCs w:val="18"/>
              </w:rPr>
            </w:pPr>
            <w:r w:rsidRPr="003328EE">
              <w:rPr>
                <w:rFonts w:eastAsia="Times New Roman"/>
                <w:color w:val="000000"/>
                <w:sz w:val="18"/>
                <w:szCs w:val="18"/>
              </w:rPr>
              <w:t>Ponzio et al., 2015</w:t>
            </w:r>
          </w:p>
        </w:tc>
        <w:tc>
          <w:tcPr>
            <w:tcW w:w="1156" w:type="dxa"/>
            <w:tcBorders>
              <w:top w:val="nil"/>
              <w:left w:val="nil"/>
              <w:bottom w:val="nil"/>
              <w:right w:val="nil"/>
            </w:tcBorders>
            <w:shd w:val="clear" w:color="auto" w:fill="auto"/>
            <w:noWrap/>
            <w:vAlign w:val="bottom"/>
            <w:hideMark/>
          </w:tcPr>
          <w:p w14:paraId="68332543" w14:textId="73D6F4D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D301FE0" w14:textId="77777777" w:rsidTr="00D65F93">
        <w:trPr>
          <w:trHeight w:val="320"/>
        </w:trPr>
        <w:tc>
          <w:tcPr>
            <w:tcW w:w="3545" w:type="dxa"/>
            <w:tcBorders>
              <w:top w:val="nil"/>
              <w:left w:val="nil"/>
              <w:bottom w:val="nil"/>
              <w:right w:val="nil"/>
            </w:tcBorders>
            <w:shd w:val="clear" w:color="auto" w:fill="auto"/>
            <w:noWrap/>
            <w:vAlign w:val="bottom"/>
            <w:hideMark/>
          </w:tcPr>
          <w:p w14:paraId="0861B89B" w14:textId="0FB7EE6D"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27F3D5F8" w14:textId="76B5FD38"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506465C2" w14:textId="7257A66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6A09513" w14:textId="2FD1EE1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983CC53" w14:textId="513F8F0D" w:rsidR="00F826D0" w:rsidRPr="003328EE" w:rsidRDefault="00F826D0" w:rsidP="00D65F93">
            <w:pPr>
              <w:rPr>
                <w:rFonts w:eastAsia="Times New Roman"/>
                <w:color w:val="000000"/>
                <w:sz w:val="18"/>
                <w:szCs w:val="18"/>
              </w:rPr>
            </w:pPr>
            <w:r w:rsidRPr="003328EE">
              <w:rPr>
                <w:rFonts w:eastAsia="Times New Roman"/>
                <w:color w:val="000000"/>
                <w:sz w:val="18"/>
                <w:szCs w:val="18"/>
              </w:rPr>
              <w:t>Ruby &amp; Heine, 2011</w:t>
            </w:r>
          </w:p>
        </w:tc>
        <w:tc>
          <w:tcPr>
            <w:tcW w:w="1156" w:type="dxa"/>
            <w:tcBorders>
              <w:top w:val="nil"/>
              <w:left w:val="nil"/>
              <w:bottom w:val="nil"/>
              <w:right w:val="nil"/>
            </w:tcBorders>
            <w:shd w:val="clear" w:color="auto" w:fill="auto"/>
            <w:noWrap/>
            <w:vAlign w:val="bottom"/>
            <w:hideMark/>
          </w:tcPr>
          <w:p w14:paraId="60425E7F" w14:textId="0978B22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945B849" w14:textId="77777777" w:rsidTr="00D65F93">
        <w:trPr>
          <w:trHeight w:val="320"/>
        </w:trPr>
        <w:tc>
          <w:tcPr>
            <w:tcW w:w="3545" w:type="dxa"/>
            <w:tcBorders>
              <w:top w:val="nil"/>
              <w:left w:val="nil"/>
              <w:bottom w:val="nil"/>
              <w:right w:val="nil"/>
            </w:tcBorders>
            <w:shd w:val="clear" w:color="auto" w:fill="auto"/>
            <w:noWrap/>
            <w:vAlign w:val="bottom"/>
            <w:hideMark/>
          </w:tcPr>
          <w:p w14:paraId="6A43CA3C" w14:textId="253A3B05" w:rsidR="00F826D0" w:rsidRPr="003328EE" w:rsidRDefault="00F826D0" w:rsidP="00D65F93">
            <w:pPr>
              <w:rPr>
                <w:rFonts w:eastAsia="Times New Roman"/>
                <w:color w:val="000000"/>
                <w:sz w:val="18"/>
                <w:szCs w:val="18"/>
              </w:rPr>
            </w:pPr>
            <w:r w:rsidRPr="003328EE">
              <w:rPr>
                <w:rFonts w:eastAsia="Times New Roman"/>
                <w:color w:val="000000"/>
                <w:sz w:val="18"/>
                <w:szCs w:val="18"/>
              </w:rPr>
              <w:t>Gender</w:t>
            </w:r>
          </w:p>
        </w:tc>
        <w:tc>
          <w:tcPr>
            <w:tcW w:w="3183" w:type="dxa"/>
            <w:tcBorders>
              <w:top w:val="nil"/>
              <w:left w:val="nil"/>
              <w:bottom w:val="nil"/>
              <w:right w:val="nil"/>
            </w:tcBorders>
            <w:shd w:val="clear" w:color="auto" w:fill="auto"/>
            <w:noWrap/>
            <w:vAlign w:val="bottom"/>
            <w:hideMark/>
          </w:tcPr>
          <w:p w14:paraId="45B2555C" w14:textId="2C345ED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65818409" w14:textId="1DDBAEE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4B33067" w14:textId="5A42AAE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9549ECE" w14:textId="54E532F7" w:rsidR="00F826D0" w:rsidRPr="003328EE" w:rsidRDefault="00F826D0" w:rsidP="00D65F93">
            <w:pPr>
              <w:rPr>
                <w:rFonts w:eastAsia="Times New Roman"/>
                <w:color w:val="000000"/>
                <w:sz w:val="18"/>
                <w:szCs w:val="18"/>
              </w:rPr>
            </w:pPr>
            <w:r w:rsidRPr="003328EE">
              <w:rPr>
                <w:rFonts w:eastAsia="Times New Roman"/>
                <w:color w:val="000000"/>
                <w:sz w:val="18"/>
                <w:szCs w:val="18"/>
              </w:rPr>
              <w:t>Meier et al., 2014</w:t>
            </w:r>
          </w:p>
        </w:tc>
        <w:tc>
          <w:tcPr>
            <w:tcW w:w="1156" w:type="dxa"/>
            <w:tcBorders>
              <w:top w:val="nil"/>
              <w:left w:val="nil"/>
              <w:bottom w:val="nil"/>
              <w:right w:val="nil"/>
            </w:tcBorders>
            <w:shd w:val="clear" w:color="auto" w:fill="auto"/>
            <w:noWrap/>
            <w:vAlign w:val="bottom"/>
            <w:hideMark/>
          </w:tcPr>
          <w:p w14:paraId="1E5D384E" w14:textId="10452E3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1F3C772" w14:textId="77777777" w:rsidTr="00D65F93">
        <w:trPr>
          <w:trHeight w:val="320"/>
        </w:trPr>
        <w:tc>
          <w:tcPr>
            <w:tcW w:w="3545" w:type="dxa"/>
            <w:tcBorders>
              <w:top w:val="nil"/>
              <w:left w:val="nil"/>
              <w:bottom w:val="nil"/>
              <w:right w:val="nil"/>
            </w:tcBorders>
            <w:shd w:val="clear" w:color="auto" w:fill="auto"/>
            <w:noWrap/>
            <w:vAlign w:val="bottom"/>
            <w:hideMark/>
          </w:tcPr>
          <w:p w14:paraId="02BBD251" w14:textId="1C9DC987" w:rsidR="00F826D0" w:rsidRPr="003328EE" w:rsidRDefault="00F826D0" w:rsidP="00D65F93">
            <w:pPr>
              <w:rPr>
                <w:rFonts w:eastAsia="Times New Roman"/>
                <w:color w:val="000000"/>
                <w:sz w:val="18"/>
                <w:szCs w:val="18"/>
              </w:rPr>
            </w:pPr>
            <w:r w:rsidRPr="003328EE">
              <w:rPr>
                <w:rFonts w:eastAsia="Times New Roman"/>
                <w:color w:val="000000"/>
                <w:sz w:val="18"/>
                <w:szCs w:val="18"/>
              </w:rPr>
              <w:t>Modelling</w:t>
            </w:r>
          </w:p>
        </w:tc>
        <w:tc>
          <w:tcPr>
            <w:tcW w:w="3183" w:type="dxa"/>
            <w:tcBorders>
              <w:top w:val="nil"/>
              <w:left w:val="nil"/>
              <w:bottom w:val="nil"/>
              <w:right w:val="nil"/>
            </w:tcBorders>
            <w:shd w:val="clear" w:color="auto" w:fill="auto"/>
            <w:noWrap/>
            <w:vAlign w:val="bottom"/>
            <w:hideMark/>
          </w:tcPr>
          <w:p w14:paraId="7A802266" w14:textId="48032C5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20B48D02" w14:textId="0BE16EF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9924A23" w14:textId="3B6AE9D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C32F457" w14:textId="352F587A" w:rsidR="00F826D0" w:rsidRPr="003328EE" w:rsidRDefault="00F826D0" w:rsidP="00D65F93">
            <w:pPr>
              <w:rPr>
                <w:rFonts w:eastAsia="Times New Roman"/>
                <w:color w:val="000000"/>
                <w:sz w:val="18"/>
                <w:szCs w:val="18"/>
              </w:rPr>
            </w:pPr>
            <w:r w:rsidRPr="003328EE">
              <w:rPr>
                <w:rFonts w:eastAsia="Times New Roman"/>
                <w:color w:val="000000"/>
                <w:sz w:val="18"/>
                <w:szCs w:val="18"/>
              </w:rPr>
              <w:t>Bugge, 2016</w:t>
            </w:r>
          </w:p>
        </w:tc>
        <w:tc>
          <w:tcPr>
            <w:tcW w:w="1156" w:type="dxa"/>
            <w:tcBorders>
              <w:top w:val="nil"/>
              <w:left w:val="nil"/>
              <w:bottom w:val="nil"/>
              <w:right w:val="nil"/>
            </w:tcBorders>
            <w:shd w:val="clear" w:color="auto" w:fill="auto"/>
            <w:noWrap/>
            <w:vAlign w:val="bottom"/>
            <w:hideMark/>
          </w:tcPr>
          <w:p w14:paraId="19D455FF" w14:textId="70A9BE8D"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2AF932B" w14:textId="77777777" w:rsidTr="00D65F93">
        <w:trPr>
          <w:trHeight w:val="320"/>
        </w:trPr>
        <w:tc>
          <w:tcPr>
            <w:tcW w:w="3545" w:type="dxa"/>
            <w:tcBorders>
              <w:top w:val="nil"/>
              <w:left w:val="nil"/>
              <w:bottom w:val="nil"/>
              <w:right w:val="nil"/>
            </w:tcBorders>
            <w:shd w:val="clear" w:color="auto" w:fill="auto"/>
            <w:noWrap/>
            <w:vAlign w:val="bottom"/>
            <w:hideMark/>
          </w:tcPr>
          <w:p w14:paraId="00370F8C" w14:textId="0BA5840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Acceptability</w:t>
            </w:r>
          </w:p>
        </w:tc>
        <w:tc>
          <w:tcPr>
            <w:tcW w:w="3183" w:type="dxa"/>
            <w:tcBorders>
              <w:top w:val="nil"/>
              <w:left w:val="nil"/>
              <w:bottom w:val="nil"/>
              <w:right w:val="nil"/>
            </w:tcBorders>
            <w:shd w:val="clear" w:color="auto" w:fill="auto"/>
            <w:noWrap/>
            <w:vAlign w:val="bottom"/>
            <w:hideMark/>
          </w:tcPr>
          <w:p w14:paraId="5B5C2B00" w14:textId="32A044C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79EA983A" w14:textId="7FC6FC3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7DED4F8" w14:textId="4C2F6A2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A9CF725" w14:textId="48404FEB" w:rsidR="00F826D0" w:rsidRPr="003328EE" w:rsidRDefault="00F826D0" w:rsidP="00D65F93">
            <w:pPr>
              <w:rPr>
                <w:rFonts w:eastAsia="Times New Roman"/>
                <w:color w:val="000000"/>
                <w:sz w:val="18"/>
                <w:szCs w:val="18"/>
              </w:rPr>
            </w:pPr>
            <w:r w:rsidRPr="003328EE">
              <w:rPr>
                <w:rFonts w:eastAsia="Times New Roman"/>
                <w:color w:val="000000"/>
                <w:sz w:val="18"/>
                <w:szCs w:val="18"/>
              </w:rPr>
              <w:t>Ruby, 2012</w:t>
            </w:r>
          </w:p>
        </w:tc>
        <w:tc>
          <w:tcPr>
            <w:tcW w:w="1156" w:type="dxa"/>
            <w:tcBorders>
              <w:top w:val="nil"/>
              <w:left w:val="nil"/>
              <w:bottom w:val="nil"/>
              <w:right w:val="nil"/>
            </w:tcBorders>
            <w:shd w:val="clear" w:color="auto" w:fill="auto"/>
            <w:noWrap/>
            <w:vAlign w:val="bottom"/>
            <w:hideMark/>
          </w:tcPr>
          <w:p w14:paraId="72C24A76" w14:textId="46DBDB05"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BE74BE1" w14:textId="77777777" w:rsidTr="00D65F93">
        <w:trPr>
          <w:trHeight w:val="320"/>
        </w:trPr>
        <w:tc>
          <w:tcPr>
            <w:tcW w:w="3545" w:type="dxa"/>
            <w:tcBorders>
              <w:top w:val="nil"/>
              <w:left w:val="nil"/>
              <w:bottom w:val="nil"/>
              <w:right w:val="nil"/>
            </w:tcBorders>
            <w:shd w:val="clear" w:color="auto" w:fill="auto"/>
            <w:noWrap/>
            <w:vAlign w:val="bottom"/>
            <w:hideMark/>
          </w:tcPr>
          <w:p w14:paraId="44ADADAA" w14:textId="495A4663" w:rsidR="00F826D0" w:rsidRPr="003328EE" w:rsidRDefault="00F826D0" w:rsidP="00D65F93">
            <w:pPr>
              <w:rPr>
                <w:rFonts w:eastAsia="Times New Roman"/>
                <w:color w:val="000000"/>
                <w:sz w:val="18"/>
                <w:szCs w:val="18"/>
              </w:rPr>
            </w:pPr>
            <w:r w:rsidRPr="003328EE">
              <w:rPr>
                <w:rFonts w:eastAsia="Times New Roman"/>
                <w:color w:val="000000"/>
                <w:sz w:val="18"/>
                <w:szCs w:val="18"/>
              </w:rPr>
              <w:t>Social Norms</w:t>
            </w:r>
          </w:p>
        </w:tc>
        <w:tc>
          <w:tcPr>
            <w:tcW w:w="3183" w:type="dxa"/>
            <w:tcBorders>
              <w:top w:val="nil"/>
              <w:left w:val="nil"/>
              <w:bottom w:val="nil"/>
              <w:right w:val="nil"/>
            </w:tcBorders>
            <w:shd w:val="clear" w:color="auto" w:fill="auto"/>
            <w:noWrap/>
            <w:vAlign w:val="bottom"/>
            <w:hideMark/>
          </w:tcPr>
          <w:p w14:paraId="55EC32D1" w14:textId="0989651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61665085" w14:textId="0BD140AA"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2D2BDAEE" w14:textId="26F0DFA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67AA36C" w14:textId="00974B4E"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29DC1A3C" w14:textId="30E5A29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5EBAFC9" w14:textId="77777777" w:rsidTr="00D65F93">
        <w:trPr>
          <w:trHeight w:val="320"/>
        </w:trPr>
        <w:tc>
          <w:tcPr>
            <w:tcW w:w="3545" w:type="dxa"/>
            <w:tcBorders>
              <w:top w:val="nil"/>
              <w:left w:val="nil"/>
              <w:bottom w:val="nil"/>
              <w:right w:val="nil"/>
            </w:tcBorders>
            <w:shd w:val="clear" w:color="auto" w:fill="auto"/>
            <w:noWrap/>
            <w:vAlign w:val="bottom"/>
            <w:hideMark/>
          </w:tcPr>
          <w:p w14:paraId="73570001" w14:textId="096B5B8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Norms</w:t>
            </w:r>
          </w:p>
        </w:tc>
        <w:tc>
          <w:tcPr>
            <w:tcW w:w="3183" w:type="dxa"/>
            <w:tcBorders>
              <w:top w:val="nil"/>
              <w:left w:val="nil"/>
              <w:bottom w:val="nil"/>
              <w:right w:val="nil"/>
            </w:tcBorders>
            <w:shd w:val="clear" w:color="auto" w:fill="auto"/>
            <w:noWrap/>
            <w:vAlign w:val="bottom"/>
            <w:hideMark/>
          </w:tcPr>
          <w:p w14:paraId="6BA81D92" w14:textId="7B8AAFA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2B8369F1" w14:textId="04CCDDF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6B841EC9" w14:textId="30DB430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69DF5DD" w14:textId="5686B53D" w:rsidR="00F826D0" w:rsidRPr="003328EE" w:rsidRDefault="00F826D0" w:rsidP="00D65F93">
            <w:pPr>
              <w:rPr>
                <w:rFonts w:eastAsia="Times New Roman"/>
                <w:color w:val="000000"/>
                <w:sz w:val="18"/>
                <w:szCs w:val="18"/>
              </w:rPr>
            </w:pPr>
            <w:r w:rsidRPr="003328EE">
              <w:rPr>
                <w:rFonts w:eastAsia="Times New Roman"/>
                <w:color w:val="000000"/>
                <w:sz w:val="18"/>
                <w:szCs w:val="18"/>
              </w:rPr>
              <w:t>Vinnari &amp; Vinnari, 2013</w:t>
            </w:r>
          </w:p>
        </w:tc>
        <w:tc>
          <w:tcPr>
            <w:tcW w:w="1156" w:type="dxa"/>
            <w:tcBorders>
              <w:top w:val="nil"/>
              <w:left w:val="nil"/>
              <w:bottom w:val="nil"/>
              <w:right w:val="nil"/>
            </w:tcBorders>
            <w:shd w:val="clear" w:color="auto" w:fill="auto"/>
            <w:noWrap/>
            <w:vAlign w:val="bottom"/>
            <w:hideMark/>
          </w:tcPr>
          <w:p w14:paraId="34EDE80B" w14:textId="2842253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B4AC7A5" w14:textId="77777777" w:rsidTr="00D65F93">
        <w:trPr>
          <w:trHeight w:val="320"/>
        </w:trPr>
        <w:tc>
          <w:tcPr>
            <w:tcW w:w="3545" w:type="dxa"/>
            <w:tcBorders>
              <w:top w:val="nil"/>
              <w:left w:val="nil"/>
              <w:bottom w:val="nil"/>
              <w:right w:val="nil"/>
            </w:tcBorders>
            <w:shd w:val="clear" w:color="auto" w:fill="auto"/>
            <w:noWrap/>
            <w:vAlign w:val="bottom"/>
            <w:hideMark/>
          </w:tcPr>
          <w:p w14:paraId="5DC377ED" w14:textId="173EF10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Norms</w:t>
            </w:r>
          </w:p>
        </w:tc>
        <w:tc>
          <w:tcPr>
            <w:tcW w:w="3183" w:type="dxa"/>
            <w:tcBorders>
              <w:top w:val="nil"/>
              <w:left w:val="nil"/>
              <w:bottom w:val="nil"/>
              <w:right w:val="nil"/>
            </w:tcBorders>
            <w:shd w:val="clear" w:color="auto" w:fill="auto"/>
            <w:noWrap/>
            <w:vAlign w:val="bottom"/>
            <w:hideMark/>
          </w:tcPr>
          <w:p w14:paraId="2EDCAAFF" w14:textId="7511B2AA"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6298C1B1" w14:textId="7808BF2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94B80F7" w14:textId="1BD4BA4E"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09F3929" w14:textId="3FD2AC93" w:rsidR="00F826D0" w:rsidRPr="003328EE" w:rsidRDefault="00F826D0" w:rsidP="00D65F93">
            <w:pPr>
              <w:rPr>
                <w:rFonts w:eastAsia="Times New Roman"/>
                <w:color w:val="000000"/>
                <w:sz w:val="18"/>
                <w:szCs w:val="18"/>
              </w:rPr>
            </w:pPr>
            <w:r w:rsidRPr="003328EE">
              <w:rPr>
                <w:rFonts w:eastAsia="Times New Roman"/>
                <w:color w:val="000000"/>
                <w:sz w:val="18"/>
                <w:szCs w:val="18"/>
              </w:rPr>
              <w:t>Tan et al., 2016</w:t>
            </w:r>
          </w:p>
        </w:tc>
        <w:tc>
          <w:tcPr>
            <w:tcW w:w="1156" w:type="dxa"/>
            <w:tcBorders>
              <w:top w:val="nil"/>
              <w:left w:val="nil"/>
              <w:bottom w:val="nil"/>
              <w:right w:val="nil"/>
            </w:tcBorders>
            <w:shd w:val="clear" w:color="auto" w:fill="auto"/>
            <w:noWrap/>
            <w:vAlign w:val="bottom"/>
            <w:hideMark/>
          </w:tcPr>
          <w:p w14:paraId="77607A8F" w14:textId="1AFD82A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F1AC8A5" w14:textId="77777777" w:rsidTr="00D65F93">
        <w:trPr>
          <w:trHeight w:val="320"/>
        </w:trPr>
        <w:tc>
          <w:tcPr>
            <w:tcW w:w="3545" w:type="dxa"/>
            <w:tcBorders>
              <w:top w:val="nil"/>
              <w:left w:val="nil"/>
              <w:bottom w:val="nil"/>
              <w:right w:val="nil"/>
            </w:tcBorders>
            <w:shd w:val="clear" w:color="auto" w:fill="auto"/>
            <w:noWrap/>
            <w:vAlign w:val="bottom"/>
            <w:hideMark/>
          </w:tcPr>
          <w:p w14:paraId="0ED9E886" w14:textId="1A290F9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Norms</w:t>
            </w:r>
          </w:p>
        </w:tc>
        <w:tc>
          <w:tcPr>
            <w:tcW w:w="3183" w:type="dxa"/>
            <w:tcBorders>
              <w:top w:val="nil"/>
              <w:left w:val="nil"/>
              <w:bottom w:val="nil"/>
              <w:right w:val="nil"/>
            </w:tcBorders>
            <w:shd w:val="clear" w:color="auto" w:fill="auto"/>
            <w:noWrap/>
            <w:vAlign w:val="bottom"/>
            <w:hideMark/>
          </w:tcPr>
          <w:p w14:paraId="58BA1F84" w14:textId="387338BC"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7757E5B0" w14:textId="3AF6F306"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2138FDF" w14:textId="64F78F8E"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3830619" w14:textId="44C59AF9" w:rsidR="00F826D0" w:rsidRPr="003328EE" w:rsidRDefault="00F826D0" w:rsidP="00D65F93">
            <w:pPr>
              <w:rPr>
                <w:rFonts w:eastAsia="Times New Roman"/>
                <w:color w:val="000000"/>
                <w:sz w:val="18"/>
                <w:szCs w:val="18"/>
              </w:rPr>
            </w:pPr>
            <w:r w:rsidRPr="003328EE">
              <w:rPr>
                <w:rFonts w:eastAsia="Times New Roman"/>
                <w:color w:val="000000"/>
                <w:sz w:val="18"/>
                <w:szCs w:val="18"/>
              </w:rPr>
              <w:t>Larsson et al., 2002</w:t>
            </w:r>
          </w:p>
        </w:tc>
        <w:tc>
          <w:tcPr>
            <w:tcW w:w="1156" w:type="dxa"/>
            <w:tcBorders>
              <w:top w:val="nil"/>
              <w:left w:val="nil"/>
              <w:bottom w:val="nil"/>
              <w:right w:val="nil"/>
            </w:tcBorders>
            <w:shd w:val="clear" w:color="auto" w:fill="auto"/>
            <w:noWrap/>
            <w:vAlign w:val="bottom"/>
            <w:hideMark/>
          </w:tcPr>
          <w:p w14:paraId="148DCDBF" w14:textId="3900434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7365E0B" w14:textId="77777777" w:rsidTr="00D65F93">
        <w:trPr>
          <w:trHeight w:val="320"/>
        </w:trPr>
        <w:tc>
          <w:tcPr>
            <w:tcW w:w="3545" w:type="dxa"/>
            <w:tcBorders>
              <w:top w:val="nil"/>
              <w:left w:val="nil"/>
              <w:bottom w:val="nil"/>
              <w:right w:val="nil"/>
            </w:tcBorders>
            <w:shd w:val="clear" w:color="auto" w:fill="auto"/>
            <w:noWrap/>
            <w:vAlign w:val="bottom"/>
            <w:hideMark/>
          </w:tcPr>
          <w:p w14:paraId="61901484" w14:textId="5F4E97D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Support</w:t>
            </w:r>
          </w:p>
        </w:tc>
        <w:tc>
          <w:tcPr>
            <w:tcW w:w="3183" w:type="dxa"/>
            <w:tcBorders>
              <w:top w:val="nil"/>
              <w:left w:val="nil"/>
              <w:bottom w:val="nil"/>
              <w:right w:val="nil"/>
            </w:tcBorders>
            <w:shd w:val="clear" w:color="auto" w:fill="auto"/>
            <w:noWrap/>
            <w:vAlign w:val="bottom"/>
            <w:hideMark/>
          </w:tcPr>
          <w:p w14:paraId="6F6FFD18" w14:textId="57363A1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364D6633" w14:textId="7D522F9C"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52567C55" w14:textId="0088EE0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AEC9F7F" w14:textId="6E8882C8" w:rsidR="00F826D0" w:rsidRPr="003328EE" w:rsidRDefault="00F826D0" w:rsidP="00D65F93">
            <w:pPr>
              <w:rPr>
                <w:rFonts w:eastAsia="Times New Roman"/>
                <w:color w:val="000000"/>
                <w:sz w:val="18"/>
                <w:szCs w:val="18"/>
              </w:rPr>
            </w:pPr>
            <w:r w:rsidRPr="003328EE">
              <w:rPr>
                <w:rFonts w:eastAsia="Times New Roman"/>
                <w:color w:val="000000"/>
                <w:sz w:val="18"/>
                <w:szCs w:val="18"/>
              </w:rPr>
              <w:t>de Boer et al., 2016</w:t>
            </w:r>
          </w:p>
        </w:tc>
        <w:tc>
          <w:tcPr>
            <w:tcW w:w="1156" w:type="dxa"/>
            <w:tcBorders>
              <w:top w:val="nil"/>
              <w:left w:val="nil"/>
              <w:bottom w:val="nil"/>
              <w:right w:val="nil"/>
            </w:tcBorders>
            <w:shd w:val="clear" w:color="auto" w:fill="auto"/>
            <w:noWrap/>
            <w:vAlign w:val="bottom"/>
            <w:hideMark/>
          </w:tcPr>
          <w:p w14:paraId="42AFA414" w14:textId="6802F7B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AD083DB" w14:textId="77777777" w:rsidTr="00D65F93">
        <w:trPr>
          <w:trHeight w:val="320"/>
        </w:trPr>
        <w:tc>
          <w:tcPr>
            <w:tcW w:w="3545" w:type="dxa"/>
            <w:tcBorders>
              <w:top w:val="nil"/>
              <w:left w:val="nil"/>
              <w:bottom w:val="nil"/>
              <w:right w:val="nil"/>
            </w:tcBorders>
            <w:shd w:val="clear" w:color="auto" w:fill="auto"/>
            <w:noWrap/>
            <w:vAlign w:val="bottom"/>
            <w:hideMark/>
          </w:tcPr>
          <w:p w14:paraId="2BC2B07A" w14:textId="3DCC9750" w:rsidR="00F826D0" w:rsidRPr="003328EE" w:rsidRDefault="00F826D0" w:rsidP="00D65F93">
            <w:pPr>
              <w:rPr>
                <w:rFonts w:eastAsia="Times New Roman"/>
                <w:color w:val="000000"/>
                <w:sz w:val="18"/>
                <w:szCs w:val="18"/>
              </w:rPr>
            </w:pPr>
            <w:r w:rsidRPr="003328EE">
              <w:rPr>
                <w:rFonts w:eastAsia="Times New Roman"/>
                <w:color w:val="000000"/>
                <w:sz w:val="18"/>
                <w:szCs w:val="18"/>
              </w:rPr>
              <w:t>Stereotyped</w:t>
            </w:r>
          </w:p>
        </w:tc>
        <w:tc>
          <w:tcPr>
            <w:tcW w:w="3183" w:type="dxa"/>
            <w:tcBorders>
              <w:top w:val="nil"/>
              <w:left w:val="nil"/>
              <w:bottom w:val="nil"/>
              <w:right w:val="nil"/>
            </w:tcBorders>
            <w:shd w:val="clear" w:color="auto" w:fill="auto"/>
            <w:noWrap/>
            <w:vAlign w:val="bottom"/>
            <w:hideMark/>
          </w:tcPr>
          <w:p w14:paraId="66F9020C" w14:textId="5C956268"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79D07C5E" w14:textId="4A53F3DC"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E402592" w14:textId="692BD94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DEE42F6" w14:textId="4282EBB9" w:rsidR="00F826D0" w:rsidRPr="003328EE" w:rsidRDefault="00F826D0" w:rsidP="00D65F93">
            <w:pPr>
              <w:rPr>
                <w:rFonts w:eastAsia="Times New Roman"/>
                <w:color w:val="000000"/>
                <w:sz w:val="18"/>
                <w:szCs w:val="18"/>
              </w:rPr>
            </w:pPr>
            <w:r w:rsidRPr="003328EE">
              <w:rPr>
                <w:rFonts w:eastAsia="Times New Roman"/>
                <w:color w:val="000000"/>
                <w:sz w:val="18"/>
                <w:szCs w:val="18"/>
              </w:rPr>
              <w:t>Lea &amp; Worsley, 2002</w:t>
            </w:r>
          </w:p>
        </w:tc>
        <w:tc>
          <w:tcPr>
            <w:tcW w:w="1156" w:type="dxa"/>
            <w:tcBorders>
              <w:top w:val="nil"/>
              <w:left w:val="nil"/>
              <w:bottom w:val="nil"/>
              <w:right w:val="nil"/>
            </w:tcBorders>
            <w:shd w:val="clear" w:color="auto" w:fill="auto"/>
            <w:noWrap/>
            <w:vAlign w:val="bottom"/>
            <w:hideMark/>
          </w:tcPr>
          <w:p w14:paraId="088B8095" w14:textId="32B1160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E545BF7" w14:textId="77777777" w:rsidTr="00D65F93">
        <w:trPr>
          <w:trHeight w:val="320"/>
        </w:trPr>
        <w:tc>
          <w:tcPr>
            <w:tcW w:w="3545" w:type="dxa"/>
            <w:tcBorders>
              <w:top w:val="nil"/>
              <w:left w:val="nil"/>
              <w:bottom w:val="nil"/>
              <w:right w:val="nil"/>
            </w:tcBorders>
            <w:shd w:val="clear" w:color="auto" w:fill="auto"/>
            <w:noWrap/>
            <w:vAlign w:val="bottom"/>
            <w:hideMark/>
          </w:tcPr>
          <w:p w14:paraId="5C5F5D72" w14:textId="48FA7FEF" w:rsidR="00F826D0" w:rsidRPr="003328EE" w:rsidRDefault="00F826D0" w:rsidP="00D65F93">
            <w:pPr>
              <w:rPr>
                <w:rFonts w:eastAsia="Times New Roman"/>
                <w:color w:val="000000"/>
                <w:sz w:val="18"/>
                <w:szCs w:val="18"/>
              </w:rPr>
            </w:pPr>
            <w:r w:rsidRPr="003328EE">
              <w:rPr>
                <w:rFonts w:eastAsia="Times New Roman"/>
                <w:color w:val="000000"/>
                <w:sz w:val="18"/>
                <w:szCs w:val="18"/>
              </w:rPr>
              <w:t>Stereotyped</w:t>
            </w:r>
          </w:p>
        </w:tc>
        <w:tc>
          <w:tcPr>
            <w:tcW w:w="3183" w:type="dxa"/>
            <w:tcBorders>
              <w:top w:val="nil"/>
              <w:left w:val="nil"/>
              <w:bottom w:val="nil"/>
              <w:right w:val="nil"/>
            </w:tcBorders>
            <w:shd w:val="clear" w:color="auto" w:fill="auto"/>
            <w:noWrap/>
            <w:vAlign w:val="bottom"/>
            <w:hideMark/>
          </w:tcPr>
          <w:p w14:paraId="5190C60A" w14:textId="35A5A038"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3A0A4F7D" w14:textId="5EA5C8B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89850CB" w14:textId="42CA613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660422E" w14:textId="296FA4D2" w:rsidR="00F826D0" w:rsidRPr="003328EE" w:rsidRDefault="00F826D0" w:rsidP="00D65F93">
            <w:pPr>
              <w:rPr>
                <w:rFonts w:eastAsia="Times New Roman"/>
                <w:color w:val="000000"/>
                <w:sz w:val="18"/>
                <w:szCs w:val="18"/>
              </w:rPr>
            </w:pPr>
            <w:r w:rsidRPr="003328EE">
              <w:rPr>
                <w:rFonts w:eastAsia="Times New Roman"/>
                <w:color w:val="000000"/>
                <w:sz w:val="18"/>
                <w:szCs w:val="18"/>
              </w:rPr>
              <w:t>Lea et al., 2006</w:t>
            </w:r>
          </w:p>
        </w:tc>
        <w:tc>
          <w:tcPr>
            <w:tcW w:w="1156" w:type="dxa"/>
            <w:tcBorders>
              <w:top w:val="nil"/>
              <w:left w:val="nil"/>
              <w:bottom w:val="nil"/>
              <w:right w:val="nil"/>
            </w:tcBorders>
            <w:shd w:val="clear" w:color="auto" w:fill="auto"/>
            <w:noWrap/>
            <w:vAlign w:val="bottom"/>
            <w:hideMark/>
          </w:tcPr>
          <w:p w14:paraId="75D7AEA8" w14:textId="5EB755C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91B1300" w14:textId="77777777" w:rsidTr="00D65F93">
        <w:trPr>
          <w:trHeight w:val="320"/>
        </w:trPr>
        <w:tc>
          <w:tcPr>
            <w:tcW w:w="3545" w:type="dxa"/>
            <w:tcBorders>
              <w:top w:val="nil"/>
              <w:left w:val="nil"/>
              <w:bottom w:val="nil"/>
              <w:right w:val="nil"/>
            </w:tcBorders>
            <w:shd w:val="clear" w:color="auto" w:fill="auto"/>
            <w:noWrap/>
            <w:vAlign w:val="bottom"/>
            <w:hideMark/>
          </w:tcPr>
          <w:p w14:paraId="3558F32A" w14:textId="10FE7BC2" w:rsidR="00F826D0" w:rsidRPr="003328EE" w:rsidRDefault="00F826D0" w:rsidP="00D65F93">
            <w:pPr>
              <w:rPr>
                <w:rFonts w:eastAsia="Times New Roman"/>
                <w:color w:val="000000"/>
                <w:sz w:val="18"/>
                <w:szCs w:val="18"/>
              </w:rPr>
            </w:pPr>
            <w:r w:rsidRPr="003328EE">
              <w:rPr>
                <w:rFonts w:eastAsia="Times New Roman"/>
                <w:color w:val="000000"/>
                <w:sz w:val="18"/>
                <w:szCs w:val="18"/>
              </w:rPr>
              <w:t>Stereotyped</w:t>
            </w:r>
          </w:p>
        </w:tc>
        <w:tc>
          <w:tcPr>
            <w:tcW w:w="3183" w:type="dxa"/>
            <w:tcBorders>
              <w:top w:val="nil"/>
              <w:left w:val="nil"/>
              <w:bottom w:val="nil"/>
              <w:right w:val="nil"/>
            </w:tcBorders>
            <w:shd w:val="clear" w:color="auto" w:fill="auto"/>
            <w:noWrap/>
            <w:vAlign w:val="bottom"/>
            <w:hideMark/>
          </w:tcPr>
          <w:p w14:paraId="30756368" w14:textId="2D80E08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Desirability</w:t>
            </w:r>
          </w:p>
        </w:tc>
        <w:tc>
          <w:tcPr>
            <w:tcW w:w="2061" w:type="dxa"/>
            <w:tcBorders>
              <w:top w:val="nil"/>
              <w:left w:val="nil"/>
              <w:bottom w:val="nil"/>
              <w:right w:val="nil"/>
            </w:tcBorders>
            <w:shd w:val="clear" w:color="auto" w:fill="auto"/>
            <w:noWrap/>
            <w:vAlign w:val="bottom"/>
            <w:hideMark/>
          </w:tcPr>
          <w:p w14:paraId="22735BC2" w14:textId="7F0B9F9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E93E630" w14:textId="18ADBBA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AF28891" w14:textId="3D7198BB"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556E074E" w14:textId="0B4CB23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7D1793C" w14:textId="77777777" w:rsidTr="00D65F93">
        <w:trPr>
          <w:trHeight w:val="320"/>
        </w:trPr>
        <w:tc>
          <w:tcPr>
            <w:tcW w:w="3545" w:type="dxa"/>
            <w:tcBorders>
              <w:top w:val="nil"/>
              <w:left w:val="nil"/>
              <w:bottom w:val="nil"/>
              <w:right w:val="nil"/>
            </w:tcBorders>
            <w:shd w:val="clear" w:color="auto" w:fill="auto"/>
            <w:noWrap/>
            <w:vAlign w:val="bottom"/>
            <w:hideMark/>
          </w:tcPr>
          <w:p w14:paraId="1EB4D4C6" w14:textId="55DD5A52" w:rsidR="00F826D0" w:rsidRPr="003328EE" w:rsidRDefault="00F826D0" w:rsidP="00D65F93">
            <w:pPr>
              <w:rPr>
                <w:rFonts w:eastAsia="Times New Roman"/>
                <w:color w:val="000000"/>
                <w:sz w:val="18"/>
                <w:szCs w:val="18"/>
              </w:rPr>
            </w:pPr>
            <w:r w:rsidRPr="003328EE">
              <w:rPr>
                <w:rFonts w:eastAsia="Times New Roman"/>
                <w:color w:val="000000"/>
                <w:sz w:val="18"/>
                <w:szCs w:val="18"/>
              </w:rPr>
              <w:t>Status Quo Bias</w:t>
            </w:r>
          </w:p>
        </w:tc>
        <w:tc>
          <w:tcPr>
            <w:tcW w:w="3183" w:type="dxa"/>
            <w:tcBorders>
              <w:top w:val="nil"/>
              <w:left w:val="nil"/>
              <w:bottom w:val="nil"/>
              <w:right w:val="nil"/>
            </w:tcBorders>
            <w:shd w:val="clear" w:color="auto" w:fill="auto"/>
            <w:noWrap/>
            <w:vAlign w:val="bottom"/>
            <w:hideMark/>
          </w:tcPr>
          <w:p w14:paraId="1A536774" w14:textId="299C9FD6" w:rsidR="00F826D0" w:rsidRPr="003328EE" w:rsidRDefault="00F826D0" w:rsidP="00D65F93">
            <w:pPr>
              <w:rPr>
                <w:rFonts w:eastAsia="Times New Roman"/>
                <w:color w:val="000000"/>
                <w:sz w:val="18"/>
                <w:szCs w:val="18"/>
              </w:rPr>
            </w:pPr>
            <w:r w:rsidRPr="003328EE">
              <w:rPr>
                <w:rFonts w:eastAsia="Times New Roman"/>
                <w:color w:val="000000"/>
                <w:sz w:val="18"/>
                <w:szCs w:val="18"/>
              </w:rPr>
              <w:t xml:space="preserve">Social Desirability </w:t>
            </w:r>
          </w:p>
        </w:tc>
        <w:tc>
          <w:tcPr>
            <w:tcW w:w="2061" w:type="dxa"/>
            <w:tcBorders>
              <w:top w:val="nil"/>
              <w:left w:val="nil"/>
              <w:bottom w:val="nil"/>
              <w:right w:val="nil"/>
            </w:tcBorders>
            <w:shd w:val="clear" w:color="auto" w:fill="auto"/>
            <w:noWrap/>
            <w:vAlign w:val="bottom"/>
            <w:hideMark/>
          </w:tcPr>
          <w:p w14:paraId="0CB49779" w14:textId="10E97BE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723B7A1" w14:textId="48D819F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0485796" w14:textId="473CD08E" w:rsidR="00F826D0" w:rsidRPr="003328EE" w:rsidRDefault="00F826D0" w:rsidP="00D65F93">
            <w:pPr>
              <w:rPr>
                <w:rFonts w:eastAsia="Times New Roman"/>
                <w:color w:val="000000"/>
                <w:sz w:val="18"/>
                <w:szCs w:val="18"/>
              </w:rPr>
            </w:pPr>
            <w:r w:rsidRPr="003328EE">
              <w:rPr>
                <w:rFonts w:eastAsia="Times New Roman"/>
                <w:color w:val="000000"/>
                <w:sz w:val="18"/>
                <w:szCs w:val="18"/>
              </w:rPr>
              <w:t>Campbell-Arvai et al., 2014</w:t>
            </w:r>
          </w:p>
        </w:tc>
        <w:tc>
          <w:tcPr>
            <w:tcW w:w="1156" w:type="dxa"/>
            <w:tcBorders>
              <w:top w:val="nil"/>
              <w:left w:val="nil"/>
              <w:bottom w:val="nil"/>
              <w:right w:val="nil"/>
            </w:tcBorders>
            <w:shd w:val="clear" w:color="auto" w:fill="auto"/>
            <w:noWrap/>
            <w:vAlign w:val="bottom"/>
            <w:hideMark/>
          </w:tcPr>
          <w:p w14:paraId="7254BC87" w14:textId="0B177B8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907828C" w14:textId="77777777" w:rsidTr="00D65F93">
        <w:trPr>
          <w:trHeight w:val="320"/>
        </w:trPr>
        <w:tc>
          <w:tcPr>
            <w:tcW w:w="3545" w:type="dxa"/>
            <w:tcBorders>
              <w:top w:val="nil"/>
              <w:left w:val="nil"/>
              <w:bottom w:val="nil"/>
              <w:right w:val="nil"/>
            </w:tcBorders>
            <w:shd w:val="clear" w:color="auto" w:fill="auto"/>
            <w:noWrap/>
            <w:vAlign w:val="bottom"/>
            <w:hideMark/>
          </w:tcPr>
          <w:p w14:paraId="7A24D420" w14:textId="1870665F" w:rsidR="00F826D0" w:rsidRPr="003328EE" w:rsidRDefault="00F826D0" w:rsidP="00D65F93">
            <w:pPr>
              <w:rPr>
                <w:rFonts w:eastAsia="Times New Roman"/>
                <w:color w:val="000000"/>
                <w:sz w:val="18"/>
                <w:szCs w:val="18"/>
              </w:rPr>
            </w:pPr>
            <w:r w:rsidRPr="003328EE">
              <w:rPr>
                <w:rFonts w:eastAsia="Times New Roman"/>
                <w:color w:val="000000"/>
                <w:sz w:val="18"/>
                <w:szCs w:val="18"/>
              </w:rPr>
              <w:t>Change in Living Situation</w:t>
            </w:r>
          </w:p>
        </w:tc>
        <w:tc>
          <w:tcPr>
            <w:tcW w:w="3183" w:type="dxa"/>
            <w:tcBorders>
              <w:top w:val="nil"/>
              <w:left w:val="nil"/>
              <w:bottom w:val="nil"/>
              <w:right w:val="nil"/>
            </w:tcBorders>
            <w:shd w:val="clear" w:color="auto" w:fill="auto"/>
            <w:noWrap/>
            <w:vAlign w:val="bottom"/>
            <w:hideMark/>
          </w:tcPr>
          <w:p w14:paraId="71EACDF4" w14:textId="39D12B56"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57EBED12" w14:textId="2B56401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0F2A6E1" w14:textId="3C0CC8F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7F8C953" w14:textId="4BA64DD9" w:rsidR="00F826D0" w:rsidRPr="003328EE" w:rsidRDefault="00F826D0" w:rsidP="00D65F93">
            <w:pPr>
              <w:rPr>
                <w:rFonts w:eastAsia="Times New Roman"/>
                <w:color w:val="000000"/>
                <w:sz w:val="18"/>
                <w:szCs w:val="18"/>
              </w:rPr>
            </w:pPr>
            <w:r w:rsidRPr="003328EE">
              <w:rPr>
                <w:rFonts w:eastAsia="Times New Roman"/>
                <w:color w:val="000000"/>
                <w:sz w:val="18"/>
                <w:szCs w:val="18"/>
              </w:rPr>
              <w:t>Haverstock &amp; Forgays, 2012</w:t>
            </w:r>
          </w:p>
        </w:tc>
        <w:tc>
          <w:tcPr>
            <w:tcW w:w="1156" w:type="dxa"/>
            <w:tcBorders>
              <w:top w:val="nil"/>
              <w:left w:val="nil"/>
              <w:bottom w:val="nil"/>
              <w:right w:val="nil"/>
            </w:tcBorders>
            <w:shd w:val="clear" w:color="auto" w:fill="auto"/>
            <w:noWrap/>
            <w:vAlign w:val="bottom"/>
            <w:hideMark/>
          </w:tcPr>
          <w:p w14:paraId="2E5048D9" w14:textId="53BC8D47"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F0B7706" w14:textId="77777777" w:rsidTr="00D65F93">
        <w:trPr>
          <w:trHeight w:val="320"/>
        </w:trPr>
        <w:tc>
          <w:tcPr>
            <w:tcW w:w="3545" w:type="dxa"/>
            <w:tcBorders>
              <w:top w:val="nil"/>
              <w:left w:val="nil"/>
              <w:bottom w:val="nil"/>
              <w:right w:val="nil"/>
            </w:tcBorders>
            <w:shd w:val="clear" w:color="auto" w:fill="auto"/>
            <w:noWrap/>
            <w:vAlign w:val="bottom"/>
            <w:hideMark/>
          </w:tcPr>
          <w:p w14:paraId="10282D46" w14:textId="19530901" w:rsidR="00F826D0" w:rsidRPr="003328EE" w:rsidRDefault="00F826D0" w:rsidP="00D65F93">
            <w:pPr>
              <w:rPr>
                <w:rFonts w:eastAsia="Times New Roman"/>
                <w:color w:val="000000"/>
                <w:sz w:val="18"/>
                <w:szCs w:val="18"/>
              </w:rPr>
            </w:pPr>
            <w:r w:rsidRPr="003328EE">
              <w:rPr>
                <w:rFonts w:eastAsia="Times New Roman"/>
                <w:color w:val="000000"/>
                <w:sz w:val="18"/>
                <w:szCs w:val="18"/>
              </w:rPr>
              <w:t>Collective Action</w:t>
            </w:r>
          </w:p>
        </w:tc>
        <w:tc>
          <w:tcPr>
            <w:tcW w:w="3183" w:type="dxa"/>
            <w:tcBorders>
              <w:top w:val="nil"/>
              <w:left w:val="nil"/>
              <w:bottom w:val="nil"/>
              <w:right w:val="nil"/>
            </w:tcBorders>
            <w:shd w:val="clear" w:color="auto" w:fill="auto"/>
            <w:noWrap/>
            <w:vAlign w:val="bottom"/>
            <w:hideMark/>
          </w:tcPr>
          <w:p w14:paraId="705D85EE" w14:textId="3EE7A423"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4EE801CF" w14:textId="6610000C"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59A2FE7" w14:textId="10BCEBA1"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72C7241" w14:textId="650AD91F" w:rsidR="00F826D0" w:rsidRPr="003328EE" w:rsidRDefault="00F826D0" w:rsidP="00D65F93">
            <w:pPr>
              <w:rPr>
                <w:rFonts w:eastAsia="Times New Roman"/>
                <w:color w:val="000000"/>
                <w:sz w:val="18"/>
                <w:szCs w:val="18"/>
              </w:rPr>
            </w:pPr>
            <w:r w:rsidRPr="003328EE">
              <w:rPr>
                <w:rFonts w:eastAsia="Times New Roman"/>
                <w:color w:val="000000"/>
                <w:sz w:val="18"/>
                <w:szCs w:val="18"/>
              </w:rPr>
              <w:t>Cherry, 2015</w:t>
            </w:r>
          </w:p>
        </w:tc>
        <w:tc>
          <w:tcPr>
            <w:tcW w:w="1156" w:type="dxa"/>
            <w:tcBorders>
              <w:top w:val="nil"/>
              <w:left w:val="nil"/>
              <w:bottom w:val="nil"/>
              <w:right w:val="nil"/>
            </w:tcBorders>
            <w:shd w:val="clear" w:color="auto" w:fill="auto"/>
            <w:noWrap/>
            <w:vAlign w:val="bottom"/>
            <w:hideMark/>
          </w:tcPr>
          <w:p w14:paraId="7F28106F" w14:textId="4918EE7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3798E7D" w14:textId="77777777" w:rsidTr="00D65F93">
        <w:trPr>
          <w:trHeight w:val="320"/>
        </w:trPr>
        <w:tc>
          <w:tcPr>
            <w:tcW w:w="3545" w:type="dxa"/>
            <w:tcBorders>
              <w:top w:val="nil"/>
              <w:left w:val="nil"/>
              <w:bottom w:val="nil"/>
              <w:right w:val="nil"/>
            </w:tcBorders>
            <w:shd w:val="clear" w:color="auto" w:fill="auto"/>
            <w:noWrap/>
            <w:vAlign w:val="bottom"/>
            <w:hideMark/>
          </w:tcPr>
          <w:p w14:paraId="35E1EF08" w14:textId="419FE3FB" w:rsidR="00F826D0" w:rsidRPr="003328EE" w:rsidRDefault="00F826D0" w:rsidP="00D65F93">
            <w:pPr>
              <w:rPr>
                <w:rFonts w:eastAsia="Times New Roman"/>
                <w:color w:val="000000"/>
                <w:sz w:val="18"/>
                <w:szCs w:val="18"/>
              </w:rPr>
            </w:pPr>
            <w:r w:rsidRPr="003328EE">
              <w:rPr>
                <w:rFonts w:eastAsia="Times New Roman"/>
                <w:color w:val="000000"/>
                <w:sz w:val="18"/>
                <w:szCs w:val="18"/>
              </w:rPr>
              <w:t>Comparison</w:t>
            </w:r>
          </w:p>
        </w:tc>
        <w:tc>
          <w:tcPr>
            <w:tcW w:w="3183" w:type="dxa"/>
            <w:tcBorders>
              <w:top w:val="nil"/>
              <w:left w:val="nil"/>
              <w:bottom w:val="nil"/>
              <w:right w:val="nil"/>
            </w:tcBorders>
            <w:shd w:val="clear" w:color="auto" w:fill="auto"/>
            <w:noWrap/>
            <w:vAlign w:val="bottom"/>
            <w:hideMark/>
          </w:tcPr>
          <w:p w14:paraId="379BD52E" w14:textId="661685E7"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704E264A" w14:textId="0F834C0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11FEA42" w14:textId="2C511BF6"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06AA5BE" w14:textId="2F80EA34" w:rsidR="00F826D0" w:rsidRPr="003328EE" w:rsidRDefault="00F826D0" w:rsidP="00D65F93">
            <w:pPr>
              <w:rPr>
                <w:rFonts w:eastAsia="Times New Roman"/>
                <w:color w:val="000000"/>
                <w:sz w:val="18"/>
                <w:szCs w:val="18"/>
              </w:rPr>
            </w:pPr>
            <w:r w:rsidRPr="003328EE">
              <w:rPr>
                <w:rFonts w:eastAsia="Times New Roman"/>
                <w:color w:val="000000"/>
                <w:sz w:val="18"/>
                <w:szCs w:val="18"/>
              </w:rPr>
              <w:t>Hill, 2002</w:t>
            </w:r>
          </w:p>
        </w:tc>
        <w:tc>
          <w:tcPr>
            <w:tcW w:w="1156" w:type="dxa"/>
            <w:tcBorders>
              <w:top w:val="nil"/>
              <w:left w:val="nil"/>
              <w:bottom w:val="nil"/>
              <w:right w:val="nil"/>
            </w:tcBorders>
            <w:shd w:val="clear" w:color="auto" w:fill="auto"/>
            <w:noWrap/>
            <w:vAlign w:val="bottom"/>
            <w:hideMark/>
          </w:tcPr>
          <w:p w14:paraId="5665339A" w14:textId="0D8A8D2F"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45717985" w14:textId="77777777" w:rsidTr="00D65F93">
        <w:trPr>
          <w:trHeight w:val="320"/>
        </w:trPr>
        <w:tc>
          <w:tcPr>
            <w:tcW w:w="3545" w:type="dxa"/>
            <w:tcBorders>
              <w:top w:val="nil"/>
              <w:left w:val="nil"/>
              <w:bottom w:val="nil"/>
              <w:right w:val="nil"/>
            </w:tcBorders>
            <w:shd w:val="clear" w:color="auto" w:fill="auto"/>
            <w:noWrap/>
            <w:vAlign w:val="bottom"/>
            <w:hideMark/>
          </w:tcPr>
          <w:p w14:paraId="695C0855" w14:textId="7D94B734" w:rsidR="00F826D0" w:rsidRPr="003328EE" w:rsidRDefault="00F826D0" w:rsidP="00D65F93">
            <w:pPr>
              <w:rPr>
                <w:rFonts w:eastAsia="Times New Roman"/>
                <w:color w:val="000000"/>
                <w:sz w:val="18"/>
                <w:szCs w:val="18"/>
              </w:rPr>
            </w:pPr>
            <w:r w:rsidRPr="003328EE">
              <w:rPr>
                <w:rFonts w:eastAsia="Times New Roman"/>
                <w:color w:val="000000"/>
                <w:sz w:val="18"/>
                <w:szCs w:val="18"/>
              </w:rPr>
              <w:t>Critical</w:t>
            </w:r>
          </w:p>
        </w:tc>
        <w:tc>
          <w:tcPr>
            <w:tcW w:w="3183" w:type="dxa"/>
            <w:tcBorders>
              <w:top w:val="nil"/>
              <w:left w:val="nil"/>
              <w:bottom w:val="nil"/>
              <w:right w:val="nil"/>
            </w:tcBorders>
            <w:shd w:val="clear" w:color="auto" w:fill="auto"/>
            <w:noWrap/>
            <w:vAlign w:val="bottom"/>
            <w:hideMark/>
          </w:tcPr>
          <w:p w14:paraId="0AB88431" w14:textId="7406AAD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63B40113" w14:textId="7704472A"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B9A155D" w14:textId="602F340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13253FF" w14:textId="2A32DE1A" w:rsidR="00F826D0" w:rsidRPr="003328EE" w:rsidRDefault="00F826D0" w:rsidP="00D65F93">
            <w:pPr>
              <w:rPr>
                <w:rFonts w:eastAsia="Times New Roman"/>
                <w:color w:val="000000"/>
                <w:sz w:val="18"/>
                <w:szCs w:val="18"/>
              </w:rPr>
            </w:pPr>
            <w:r w:rsidRPr="003328EE">
              <w:rPr>
                <w:rFonts w:eastAsia="Times New Roman"/>
                <w:color w:val="000000"/>
                <w:sz w:val="18"/>
                <w:szCs w:val="18"/>
              </w:rPr>
              <w:t>Chin et al., 2002</w:t>
            </w:r>
          </w:p>
        </w:tc>
        <w:tc>
          <w:tcPr>
            <w:tcW w:w="1156" w:type="dxa"/>
            <w:tcBorders>
              <w:top w:val="nil"/>
              <w:left w:val="nil"/>
              <w:bottom w:val="nil"/>
              <w:right w:val="nil"/>
            </w:tcBorders>
            <w:shd w:val="clear" w:color="auto" w:fill="auto"/>
            <w:noWrap/>
            <w:vAlign w:val="bottom"/>
            <w:hideMark/>
          </w:tcPr>
          <w:p w14:paraId="72CD34DA" w14:textId="3C9747A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DB4ED61" w14:textId="77777777" w:rsidTr="00D65F93">
        <w:trPr>
          <w:trHeight w:val="320"/>
        </w:trPr>
        <w:tc>
          <w:tcPr>
            <w:tcW w:w="3545" w:type="dxa"/>
            <w:tcBorders>
              <w:top w:val="nil"/>
              <w:left w:val="nil"/>
              <w:bottom w:val="nil"/>
              <w:right w:val="nil"/>
            </w:tcBorders>
            <w:shd w:val="clear" w:color="auto" w:fill="auto"/>
            <w:noWrap/>
            <w:vAlign w:val="bottom"/>
            <w:hideMark/>
          </w:tcPr>
          <w:p w14:paraId="2D4FB391" w14:textId="29DCBDFE"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65A889C1" w14:textId="5F2F0A5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0DB9A747" w14:textId="6278498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2653136E" w14:textId="0CB0EE35"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C1D251F" w14:textId="2E16A1C6" w:rsidR="00F826D0" w:rsidRPr="003328EE" w:rsidRDefault="00F826D0" w:rsidP="00D65F93">
            <w:pPr>
              <w:rPr>
                <w:rFonts w:eastAsia="Times New Roman"/>
                <w:color w:val="000000"/>
                <w:sz w:val="18"/>
                <w:szCs w:val="18"/>
              </w:rPr>
            </w:pPr>
            <w:r w:rsidRPr="003328EE">
              <w:rPr>
                <w:rFonts w:eastAsia="Times New Roman"/>
                <w:color w:val="000000"/>
                <w:sz w:val="18"/>
                <w:szCs w:val="18"/>
              </w:rPr>
              <w:t>Cherry, 2015</w:t>
            </w:r>
          </w:p>
        </w:tc>
        <w:tc>
          <w:tcPr>
            <w:tcW w:w="1156" w:type="dxa"/>
            <w:tcBorders>
              <w:top w:val="nil"/>
              <w:left w:val="nil"/>
              <w:bottom w:val="nil"/>
              <w:right w:val="nil"/>
            </w:tcBorders>
            <w:shd w:val="clear" w:color="auto" w:fill="auto"/>
            <w:noWrap/>
            <w:vAlign w:val="bottom"/>
            <w:hideMark/>
          </w:tcPr>
          <w:p w14:paraId="6525FF02" w14:textId="4C72177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CBD568C" w14:textId="77777777" w:rsidTr="00D65F93">
        <w:trPr>
          <w:trHeight w:val="320"/>
        </w:trPr>
        <w:tc>
          <w:tcPr>
            <w:tcW w:w="3545" w:type="dxa"/>
            <w:tcBorders>
              <w:top w:val="nil"/>
              <w:left w:val="nil"/>
              <w:bottom w:val="nil"/>
              <w:right w:val="nil"/>
            </w:tcBorders>
            <w:shd w:val="clear" w:color="auto" w:fill="auto"/>
            <w:noWrap/>
            <w:vAlign w:val="bottom"/>
            <w:hideMark/>
          </w:tcPr>
          <w:p w14:paraId="21039388" w14:textId="50D427B7"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213F9476" w14:textId="23B5A5E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1F2F345B" w14:textId="1D5D860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70F85774" w14:textId="6902F07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23FF987" w14:textId="204BCF69" w:rsidR="00F826D0" w:rsidRPr="003328EE" w:rsidRDefault="00F826D0" w:rsidP="00D65F93">
            <w:pPr>
              <w:rPr>
                <w:rFonts w:eastAsia="Times New Roman"/>
                <w:color w:val="000000"/>
                <w:sz w:val="18"/>
                <w:szCs w:val="18"/>
              </w:rPr>
            </w:pPr>
            <w:r w:rsidRPr="003328EE">
              <w:rPr>
                <w:rFonts w:eastAsia="Times New Roman"/>
                <w:color w:val="000000"/>
                <w:sz w:val="18"/>
                <w:szCs w:val="18"/>
              </w:rPr>
              <w:t>Chin et al., 2002</w:t>
            </w:r>
          </w:p>
        </w:tc>
        <w:tc>
          <w:tcPr>
            <w:tcW w:w="1156" w:type="dxa"/>
            <w:tcBorders>
              <w:top w:val="nil"/>
              <w:left w:val="nil"/>
              <w:bottom w:val="nil"/>
              <w:right w:val="nil"/>
            </w:tcBorders>
            <w:shd w:val="clear" w:color="auto" w:fill="auto"/>
            <w:noWrap/>
            <w:vAlign w:val="bottom"/>
            <w:hideMark/>
          </w:tcPr>
          <w:p w14:paraId="6B54513C" w14:textId="72E3AD1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60B0C2D" w14:textId="77777777" w:rsidTr="00D65F93">
        <w:trPr>
          <w:trHeight w:val="320"/>
        </w:trPr>
        <w:tc>
          <w:tcPr>
            <w:tcW w:w="3545" w:type="dxa"/>
            <w:tcBorders>
              <w:top w:val="nil"/>
              <w:left w:val="nil"/>
              <w:bottom w:val="nil"/>
              <w:right w:val="nil"/>
            </w:tcBorders>
            <w:shd w:val="clear" w:color="auto" w:fill="auto"/>
            <w:noWrap/>
            <w:vAlign w:val="bottom"/>
            <w:hideMark/>
          </w:tcPr>
          <w:p w14:paraId="26AE0B0F" w14:textId="1B7E1D93"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7DEAFBE3" w14:textId="7750CCC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3ACE3192" w14:textId="06DF57E7"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3507C7E" w14:textId="32F42FD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1C4A812" w14:textId="0D780263" w:rsidR="00F826D0" w:rsidRPr="003328EE" w:rsidRDefault="00F826D0" w:rsidP="00D65F93">
            <w:pPr>
              <w:rPr>
                <w:rFonts w:eastAsia="Times New Roman"/>
                <w:color w:val="000000"/>
                <w:sz w:val="18"/>
                <w:szCs w:val="18"/>
              </w:rPr>
            </w:pPr>
            <w:r w:rsidRPr="003328EE">
              <w:rPr>
                <w:rFonts w:eastAsia="Times New Roman"/>
                <w:color w:val="000000"/>
                <w:sz w:val="18"/>
                <w:szCs w:val="18"/>
              </w:rPr>
              <w:t>Jabs et al., 2000</w:t>
            </w:r>
          </w:p>
        </w:tc>
        <w:tc>
          <w:tcPr>
            <w:tcW w:w="1156" w:type="dxa"/>
            <w:tcBorders>
              <w:top w:val="nil"/>
              <w:left w:val="nil"/>
              <w:bottom w:val="nil"/>
              <w:right w:val="nil"/>
            </w:tcBorders>
            <w:shd w:val="clear" w:color="auto" w:fill="auto"/>
            <w:noWrap/>
            <w:vAlign w:val="bottom"/>
            <w:hideMark/>
          </w:tcPr>
          <w:p w14:paraId="40707A27" w14:textId="36AF062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7C0C02F" w14:textId="77777777" w:rsidTr="00D65F93">
        <w:trPr>
          <w:trHeight w:val="320"/>
        </w:trPr>
        <w:tc>
          <w:tcPr>
            <w:tcW w:w="3545" w:type="dxa"/>
            <w:tcBorders>
              <w:top w:val="nil"/>
              <w:left w:val="nil"/>
              <w:bottom w:val="nil"/>
              <w:right w:val="nil"/>
            </w:tcBorders>
            <w:shd w:val="clear" w:color="auto" w:fill="auto"/>
            <w:noWrap/>
            <w:vAlign w:val="bottom"/>
            <w:hideMark/>
          </w:tcPr>
          <w:p w14:paraId="60DEE44D" w14:textId="3D8C7062"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61E94286" w14:textId="1D42EBE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4CAA05BE" w14:textId="30997238"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1AB158D" w14:textId="16A9FB8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B669FA9" w14:textId="509618D5" w:rsidR="00F826D0" w:rsidRPr="003328EE" w:rsidRDefault="00F826D0" w:rsidP="00D65F93">
            <w:pPr>
              <w:rPr>
                <w:rFonts w:eastAsia="Times New Roman"/>
                <w:color w:val="000000"/>
                <w:sz w:val="18"/>
                <w:szCs w:val="18"/>
              </w:rPr>
            </w:pPr>
            <w:r w:rsidRPr="003328EE">
              <w:rPr>
                <w:rFonts w:eastAsia="Times New Roman"/>
                <w:color w:val="000000"/>
                <w:sz w:val="18"/>
                <w:szCs w:val="18"/>
              </w:rPr>
              <w:t>Lea &amp; Worsley, 2003</w:t>
            </w:r>
          </w:p>
        </w:tc>
        <w:tc>
          <w:tcPr>
            <w:tcW w:w="1156" w:type="dxa"/>
            <w:tcBorders>
              <w:top w:val="nil"/>
              <w:left w:val="nil"/>
              <w:bottom w:val="nil"/>
              <w:right w:val="nil"/>
            </w:tcBorders>
            <w:shd w:val="clear" w:color="auto" w:fill="auto"/>
            <w:noWrap/>
            <w:vAlign w:val="bottom"/>
            <w:hideMark/>
          </w:tcPr>
          <w:p w14:paraId="7B07DD46" w14:textId="1BF12CFC"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F52B5F8" w14:textId="77777777" w:rsidTr="00D65F93">
        <w:trPr>
          <w:trHeight w:val="320"/>
        </w:trPr>
        <w:tc>
          <w:tcPr>
            <w:tcW w:w="3545" w:type="dxa"/>
            <w:tcBorders>
              <w:top w:val="nil"/>
              <w:left w:val="nil"/>
              <w:bottom w:val="nil"/>
              <w:right w:val="nil"/>
            </w:tcBorders>
            <w:shd w:val="clear" w:color="auto" w:fill="auto"/>
            <w:noWrap/>
            <w:vAlign w:val="bottom"/>
            <w:hideMark/>
          </w:tcPr>
          <w:p w14:paraId="3899D1B9" w14:textId="4F4897CB"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000F696C" w14:textId="69B7C7F3"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6A4C0516" w14:textId="7980C74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16C0752" w14:textId="091975C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8618C3D" w14:textId="6270B011" w:rsidR="00F826D0" w:rsidRPr="003328EE" w:rsidRDefault="00F826D0" w:rsidP="00D65F93">
            <w:pPr>
              <w:rPr>
                <w:rFonts w:eastAsia="Times New Roman"/>
                <w:color w:val="000000"/>
                <w:sz w:val="18"/>
                <w:szCs w:val="18"/>
              </w:rPr>
            </w:pPr>
            <w:r w:rsidRPr="003328EE">
              <w:rPr>
                <w:rFonts w:eastAsia="Times New Roman"/>
                <w:color w:val="000000"/>
                <w:sz w:val="18"/>
                <w:szCs w:val="18"/>
              </w:rPr>
              <w:t>Lea et al., 2006</w:t>
            </w:r>
          </w:p>
        </w:tc>
        <w:tc>
          <w:tcPr>
            <w:tcW w:w="1156" w:type="dxa"/>
            <w:tcBorders>
              <w:top w:val="nil"/>
              <w:left w:val="nil"/>
              <w:bottom w:val="nil"/>
              <w:right w:val="nil"/>
            </w:tcBorders>
            <w:shd w:val="clear" w:color="auto" w:fill="auto"/>
            <w:noWrap/>
            <w:vAlign w:val="bottom"/>
            <w:hideMark/>
          </w:tcPr>
          <w:p w14:paraId="414DC386" w14:textId="0AA5CA6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5F390F1" w14:textId="77777777" w:rsidTr="00D65F93">
        <w:trPr>
          <w:trHeight w:val="320"/>
        </w:trPr>
        <w:tc>
          <w:tcPr>
            <w:tcW w:w="3545" w:type="dxa"/>
            <w:tcBorders>
              <w:top w:val="nil"/>
              <w:left w:val="nil"/>
              <w:bottom w:val="nil"/>
              <w:right w:val="nil"/>
            </w:tcBorders>
            <w:shd w:val="clear" w:color="auto" w:fill="auto"/>
            <w:noWrap/>
            <w:vAlign w:val="bottom"/>
            <w:hideMark/>
          </w:tcPr>
          <w:p w14:paraId="031BDBCA" w14:textId="1EDCFC06" w:rsidR="00F826D0" w:rsidRPr="003328EE" w:rsidRDefault="00F826D0" w:rsidP="00D65F93">
            <w:pPr>
              <w:rPr>
                <w:rFonts w:eastAsia="Times New Roman"/>
                <w:color w:val="000000"/>
                <w:sz w:val="18"/>
                <w:szCs w:val="18"/>
              </w:rPr>
            </w:pPr>
            <w:r w:rsidRPr="003328EE">
              <w:rPr>
                <w:rFonts w:eastAsia="Times New Roman"/>
                <w:color w:val="000000"/>
                <w:sz w:val="18"/>
                <w:szCs w:val="18"/>
              </w:rPr>
              <w:t>Judicial Treatment</w:t>
            </w:r>
          </w:p>
        </w:tc>
        <w:tc>
          <w:tcPr>
            <w:tcW w:w="3183" w:type="dxa"/>
            <w:tcBorders>
              <w:top w:val="nil"/>
              <w:left w:val="nil"/>
              <w:bottom w:val="nil"/>
              <w:right w:val="nil"/>
            </w:tcBorders>
            <w:shd w:val="clear" w:color="auto" w:fill="auto"/>
            <w:noWrap/>
            <w:vAlign w:val="bottom"/>
            <w:hideMark/>
          </w:tcPr>
          <w:p w14:paraId="5ECB8F0D" w14:textId="59FE485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423BC82E" w14:textId="5AC0137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A7B711E" w14:textId="1914173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CAF4EA9" w14:textId="30909CCE" w:rsidR="00F826D0" w:rsidRPr="003328EE" w:rsidRDefault="00F826D0" w:rsidP="00D65F93">
            <w:pPr>
              <w:rPr>
                <w:rFonts w:eastAsia="Times New Roman"/>
                <w:color w:val="000000"/>
                <w:sz w:val="18"/>
                <w:szCs w:val="18"/>
              </w:rPr>
            </w:pPr>
            <w:r w:rsidRPr="003328EE">
              <w:rPr>
                <w:rFonts w:eastAsia="Times New Roman"/>
                <w:color w:val="000000"/>
                <w:sz w:val="18"/>
                <w:szCs w:val="18"/>
              </w:rPr>
              <w:t>Chin et al., 2002</w:t>
            </w:r>
          </w:p>
        </w:tc>
        <w:tc>
          <w:tcPr>
            <w:tcW w:w="1156" w:type="dxa"/>
            <w:tcBorders>
              <w:top w:val="nil"/>
              <w:left w:val="nil"/>
              <w:bottom w:val="nil"/>
              <w:right w:val="nil"/>
            </w:tcBorders>
            <w:shd w:val="clear" w:color="auto" w:fill="auto"/>
            <w:noWrap/>
            <w:vAlign w:val="bottom"/>
            <w:hideMark/>
          </w:tcPr>
          <w:p w14:paraId="2C697D2A" w14:textId="3EFDFEC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198378A" w14:textId="77777777" w:rsidTr="00D65F93">
        <w:trPr>
          <w:trHeight w:val="320"/>
        </w:trPr>
        <w:tc>
          <w:tcPr>
            <w:tcW w:w="3545" w:type="dxa"/>
            <w:tcBorders>
              <w:top w:val="nil"/>
              <w:left w:val="nil"/>
              <w:bottom w:val="nil"/>
              <w:right w:val="nil"/>
            </w:tcBorders>
            <w:shd w:val="clear" w:color="auto" w:fill="auto"/>
            <w:noWrap/>
            <w:vAlign w:val="bottom"/>
            <w:hideMark/>
          </w:tcPr>
          <w:p w14:paraId="4C0C61D7" w14:textId="746797B7" w:rsidR="00F826D0" w:rsidRPr="003328EE" w:rsidRDefault="00F826D0" w:rsidP="00D65F93">
            <w:pPr>
              <w:rPr>
                <w:rFonts w:eastAsia="Times New Roman"/>
                <w:color w:val="000000"/>
                <w:sz w:val="18"/>
                <w:szCs w:val="18"/>
              </w:rPr>
            </w:pPr>
            <w:r w:rsidRPr="003328EE">
              <w:rPr>
                <w:rFonts w:eastAsia="Times New Roman"/>
                <w:color w:val="000000"/>
                <w:sz w:val="18"/>
                <w:szCs w:val="18"/>
              </w:rPr>
              <w:t>Justification Requirement</w:t>
            </w:r>
          </w:p>
        </w:tc>
        <w:tc>
          <w:tcPr>
            <w:tcW w:w="3183" w:type="dxa"/>
            <w:tcBorders>
              <w:top w:val="nil"/>
              <w:left w:val="nil"/>
              <w:bottom w:val="nil"/>
              <w:right w:val="nil"/>
            </w:tcBorders>
            <w:shd w:val="clear" w:color="auto" w:fill="auto"/>
            <w:noWrap/>
            <w:vAlign w:val="bottom"/>
            <w:hideMark/>
          </w:tcPr>
          <w:p w14:paraId="12124B5A" w14:textId="7DF7610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62E171CB" w14:textId="0DC4A70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7DD75820" w14:textId="3BAD27C4"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95CCC98" w14:textId="07D628F5" w:rsidR="00F826D0" w:rsidRPr="003328EE" w:rsidRDefault="00F826D0" w:rsidP="00D65F93">
            <w:pPr>
              <w:rPr>
                <w:rFonts w:eastAsia="Times New Roman"/>
                <w:color w:val="000000"/>
                <w:sz w:val="18"/>
                <w:szCs w:val="18"/>
              </w:rPr>
            </w:pPr>
            <w:r w:rsidRPr="003328EE">
              <w:rPr>
                <w:rFonts w:eastAsia="Times New Roman"/>
                <w:color w:val="000000"/>
                <w:sz w:val="18"/>
                <w:szCs w:val="18"/>
              </w:rPr>
              <w:t>Wilson et al., 2004</w:t>
            </w:r>
          </w:p>
        </w:tc>
        <w:tc>
          <w:tcPr>
            <w:tcW w:w="1156" w:type="dxa"/>
            <w:tcBorders>
              <w:top w:val="nil"/>
              <w:left w:val="nil"/>
              <w:bottom w:val="nil"/>
              <w:right w:val="nil"/>
            </w:tcBorders>
            <w:shd w:val="clear" w:color="auto" w:fill="auto"/>
            <w:noWrap/>
            <w:vAlign w:val="bottom"/>
            <w:hideMark/>
          </w:tcPr>
          <w:p w14:paraId="0821BE8F" w14:textId="6AF53BF1"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1CD1A98" w14:textId="77777777" w:rsidTr="00D65F93">
        <w:trPr>
          <w:trHeight w:val="320"/>
        </w:trPr>
        <w:tc>
          <w:tcPr>
            <w:tcW w:w="3545" w:type="dxa"/>
            <w:tcBorders>
              <w:top w:val="nil"/>
              <w:left w:val="nil"/>
              <w:bottom w:val="nil"/>
              <w:right w:val="nil"/>
            </w:tcBorders>
            <w:shd w:val="clear" w:color="auto" w:fill="auto"/>
            <w:noWrap/>
            <w:vAlign w:val="bottom"/>
            <w:hideMark/>
          </w:tcPr>
          <w:p w14:paraId="17975678" w14:textId="50197480" w:rsidR="00F826D0" w:rsidRPr="003328EE" w:rsidRDefault="00F826D0" w:rsidP="00D65F93">
            <w:pPr>
              <w:rPr>
                <w:rFonts w:eastAsia="Times New Roman"/>
                <w:color w:val="000000"/>
                <w:sz w:val="18"/>
                <w:szCs w:val="18"/>
              </w:rPr>
            </w:pPr>
            <w:r w:rsidRPr="003328EE">
              <w:rPr>
                <w:rFonts w:eastAsia="Times New Roman"/>
                <w:color w:val="000000"/>
                <w:sz w:val="18"/>
                <w:szCs w:val="18"/>
              </w:rPr>
              <w:t>Justification Requirement</w:t>
            </w:r>
          </w:p>
        </w:tc>
        <w:tc>
          <w:tcPr>
            <w:tcW w:w="3183" w:type="dxa"/>
            <w:tcBorders>
              <w:top w:val="nil"/>
              <w:left w:val="nil"/>
              <w:bottom w:val="nil"/>
              <w:right w:val="nil"/>
            </w:tcBorders>
            <w:shd w:val="clear" w:color="auto" w:fill="auto"/>
            <w:noWrap/>
            <w:vAlign w:val="bottom"/>
            <w:hideMark/>
          </w:tcPr>
          <w:p w14:paraId="23DCE8F3" w14:textId="7344A37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6CE18452" w14:textId="7318E04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229E3A06" w14:textId="3DB29C7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B24B1F3" w14:textId="4677F0D6"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39CB92D7" w14:textId="1302F3B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F48FDA4" w14:textId="77777777" w:rsidTr="00D65F93">
        <w:trPr>
          <w:trHeight w:val="320"/>
        </w:trPr>
        <w:tc>
          <w:tcPr>
            <w:tcW w:w="3545" w:type="dxa"/>
            <w:tcBorders>
              <w:top w:val="nil"/>
              <w:left w:val="nil"/>
              <w:bottom w:val="nil"/>
              <w:right w:val="nil"/>
            </w:tcBorders>
            <w:shd w:val="clear" w:color="auto" w:fill="auto"/>
            <w:noWrap/>
            <w:vAlign w:val="bottom"/>
            <w:hideMark/>
          </w:tcPr>
          <w:p w14:paraId="448226EA" w14:textId="5325640D" w:rsidR="00F826D0" w:rsidRPr="003328EE" w:rsidRDefault="00F826D0" w:rsidP="00D65F93">
            <w:pPr>
              <w:rPr>
                <w:rFonts w:eastAsia="Times New Roman"/>
                <w:color w:val="000000"/>
                <w:sz w:val="18"/>
                <w:szCs w:val="18"/>
              </w:rPr>
            </w:pPr>
            <w:r w:rsidRPr="003328EE">
              <w:rPr>
                <w:rFonts w:eastAsia="Times New Roman"/>
                <w:color w:val="000000"/>
                <w:sz w:val="18"/>
                <w:szCs w:val="18"/>
              </w:rPr>
              <w:t>Poor Goal Orientation</w:t>
            </w:r>
          </w:p>
        </w:tc>
        <w:tc>
          <w:tcPr>
            <w:tcW w:w="3183" w:type="dxa"/>
            <w:tcBorders>
              <w:top w:val="nil"/>
              <w:left w:val="nil"/>
              <w:bottom w:val="nil"/>
              <w:right w:val="nil"/>
            </w:tcBorders>
            <w:shd w:val="clear" w:color="auto" w:fill="auto"/>
            <w:noWrap/>
            <w:vAlign w:val="bottom"/>
            <w:hideMark/>
          </w:tcPr>
          <w:p w14:paraId="501BB5D9" w14:textId="22E86FB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521C33AD" w14:textId="6C00414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EF758A1" w14:textId="7AC4CE4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20FD7BB" w14:textId="72F9E208" w:rsidR="00F826D0" w:rsidRPr="003328EE" w:rsidRDefault="00F826D0" w:rsidP="00D65F93">
            <w:pPr>
              <w:rPr>
                <w:rFonts w:eastAsia="Times New Roman"/>
                <w:color w:val="000000"/>
                <w:sz w:val="18"/>
                <w:szCs w:val="18"/>
              </w:rPr>
            </w:pPr>
            <w:r w:rsidRPr="003328EE">
              <w:rPr>
                <w:rFonts w:eastAsia="Times New Roman"/>
                <w:color w:val="000000"/>
                <w:sz w:val="18"/>
                <w:szCs w:val="18"/>
              </w:rPr>
              <w:t>Cherry, 2015</w:t>
            </w:r>
          </w:p>
        </w:tc>
        <w:tc>
          <w:tcPr>
            <w:tcW w:w="1156" w:type="dxa"/>
            <w:tcBorders>
              <w:top w:val="nil"/>
              <w:left w:val="nil"/>
              <w:bottom w:val="nil"/>
              <w:right w:val="nil"/>
            </w:tcBorders>
            <w:shd w:val="clear" w:color="auto" w:fill="auto"/>
            <w:noWrap/>
            <w:vAlign w:val="bottom"/>
            <w:hideMark/>
          </w:tcPr>
          <w:p w14:paraId="04D3E01A" w14:textId="671DA7DA"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C2BB505" w14:textId="77777777" w:rsidTr="00D65F93">
        <w:trPr>
          <w:trHeight w:val="320"/>
        </w:trPr>
        <w:tc>
          <w:tcPr>
            <w:tcW w:w="3545" w:type="dxa"/>
            <w:tcBorders>
              <w:top w:val="nil"/>
              <w:left w:val="nil"/>
              <w:bottom w:val="nil"/>
              <w:right w:val="nil"/>
            </w:tcBorders>
            <w:shd w:val="clear" w:color="auto" w:fill="auto"/>
            <w:noWrap/>
            <w:vAlign w:val="bottom"/>
            <w:hideMark/>
          </w:tcPr>
          <w:p w14:paraId="3E375F42" w14:textId="34B6E397" w:rsidR="00F826D0" w:rsidRPr="003328EE" w:rsidRDefault="00F826D0" w:rsidP="00D65F93">
            <w:pPr>
              <w:rPr>
                <w:rFonts w:eastAsia="Times New Roman"/>
                <w:color w:val="000000"/>
                <w:sz w:val="18"/>
                <w:szCs w:val="18"/>
              </w:rPr>
            </w:pPr>
            <w:r w:rsidRPr="003328EE">
              <w:rPr>
                <w:rFonts w:eastAsia="Times New Roman"/>
                <w:color w:val="000000"/>
                <w:sz w:val="18"/>
                <w:szCs w:val="18"/>
              </w:rPr>
              <w:t>Poor Social Organization</w:t>
            </w:r>
          </w:p>
        </w:tc>
        <w:tc>
          <w:tcPr>
            <w:tcW w:w="3183" w:type="dxa"/>
            <w:tcBorders>
              <w:top w:val="nil"/>
              <w:left w:val="nil"/>
              <w:bottom w:val="nil"/>
              <w:right w:val="nil"/>
            </w:tcBorders>
            <w:shd w:val="clear" w:color="auto" w:fill="auto"/>
            <w:noWrap/>
            <w:vAlign w:val="bottom"/>
            <w:hideMark/>
          </w:tcPr>
          <w:p w14:paraId="6D4E4948" w14:textId="016D0A4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6F5E34FB" w14:textId="277685B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C237BB2" w14:textId="14815243"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84D0E8A" w14:textId="145C456B" w:rsidR="00F826D0" w:rsidRPr="003328EE" w:rsidRDefault="00F826D0" w:rsidP="00D65F93">
            <w:pPr>
              <w:rPr>
                <w:rFonts w:eastAsia="Times New Roman"/>
                <w:color w:val="000000"/>
                <w:sz w:val="18"/>
                <w:szCs w:val="18"/>
              </w:rPr>
            </w:pPr>
            <w:r w:rsidRPr="003328EE">
              <w:rPr>
                <w:rFonts w:eastAsia="Times New Roman"/>
                <w:color w:val="000000"/>
                <w:sz w:val="18"/>
                <w:szCs w:val="18"/>
              </w:rPr>
              <w:t>Cherry, 2015</w:t>
            </w:r>
          </w:p>
        </w:tc>
        <w:tc>
          <w:tcPr>
            <w:tcW w:w="1156" w:type="dxa"/>
            <w:tcBorders>
              <w:top w:val="nil"/>
              <w:left w:val="nil"/>
              <w:bottom w:val="nil"/>
              <w:right w:val="nil"/>
            </w:tcBorders>
            <w:shd w:val="clear" w:color="auto" w:fill="auto"/>
            <w:noWrap/>
            <w:vAlign w:val="bottom"/>
            <w:hideMark/>
          </w:tcPr>
          <w:p w14:paraId="4F33AAC9" w14:textId="50E9691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369B574" w14:textId="77777777" w:rsidTr="00D65F93">
        <w:trPr>
          <w:trHeight w:val="320"/>
        </w:trPr>
        <w:tc>
          <w:tcPr>
            <w:tcW w:w="3545" w:type="dxa"/>
            <w:tcBorders>
              <w:top w:val="nil"/>
              <w:left w:val="nil"/>
              <w:bottom w:val="nil"/>
              <w:right w:val="nil"/>
            </w:tcBorders>
            <w:shd w:val="clear" w:color="auto" w:fill="auto"/>
            <w:noWrap/>
            <w:vAlign w:val="bottom"/>
            <w:hideMark/>
          </w:tcPr>
          <w:p w14:paraId="03CC25AF" w14:textId="7B7ABBD9" w:rsidR="00F826D0" w:rsidRPr="003328EE" w:rsidRDefault="00F826D0" w:rsidP="00D65F93">
            <w:pPr>
              <w:rPr>
                <w:rFonts w:eastAsia="Times New Roman"/>
                <w:color w:val="000000"/>
                <w:sz w:val="18"/>
                <w:szCs w:val="18"/>
              </w:rPr>
            </w:pPr>
            <w:r w:rsidRPr="003328EE">
              <w:rPr>
                <w:rFonts w:eastAsia="Times New Roman"/>
                <w:color w:val="000000"/>
                <w:sz w:val="18"/>
                <w:szCs w:val="18"/>
              </w:rPr>
              <w:t>Potential Alienation</w:t>
            </w:r>
          </w:p>
        </w:tc>
        <w:tc>
          <w:tcPr>
            <w:tcW w:w="3183" w:type="dxa"/>
            <w:tcBorders>
              <w:top w:val="nil"/>
              <w:left w:val="nil"/>
              <w:bottom w:val="nil"/>
              <w:right w:val="nil"/>
            </w:tcBorders>
            <w:shd w:val="clear" w:color="auto" w:fill="auto"/>
            <w:noWrap/>
            <w:vAlign w:val="bottom"/>
            <w:hideMark/>
          </w:tcPr>
          <w:p w14:paraId="49CE6C23" w14:textId="4EBEC617"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0F175216" w14:textId="427E737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CB4C187" w14:textId="77BC3515"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D711FFA" w14:textId="533B900F" w:rsidR="00F826D0" w:rsidRPr="003328EE" w:rsidRDefault="00F826D0" w:rsidP="00D65F93">
            <w:pPr>
              <w:rPr>
                <w:rFonts w:eastAsia="Times New Roman"/>
                <w:color w:val="000000"/>
                <w:sz w:val="18"/>
                <w:szCs w:val="18"/>
              </w:rPr>
            </w:pPr>
            <w:r w:rsidRPr="003328EE">
              <w:rPr>
                <w:rFonts w:eastAsia="Times New Roman"/>
                <w:color w:val="000000"/>
                <w:sz w:val="18"/>
                <w:szCs w:val="18"/>
              </w:rPr>
              <w:t>Janda &amp; Trocchia, 2001</w:t>
            </w:r>
          </w:p>
        </w:tc>
        <w:tc>
          <w:tcPr>
            <w:tcW w:w="1156" w:type="dxa"/>
            <w:tcBorders>
              <w:top w:val="nil"/>
              <w:left w:val="nil"/>
              <w:bottom w:val="nil"/>
              <w:right w:val="nil"/>
            </w:tcBorders>
            <w:shd w:val="clear" w:color="auto" w:fill="auto"/>
            <w:noWrap/>
            <w:vAlign w:val="bottom"/>
            <w:hideMark/>
          </w:tcPr>
          <w:p w14:paraId="47E47BAF" w14:textId="702D2FC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A03FA67" w14:textId="77777777" w:rsidTr="00D65F93">
        <w:trPr>
          <w:trHeight w:val="320"/>
        </w:trPr>
        <w:tc>
          <w:tcPr>
            <w:tcW w:w="3545" w:type="dxa"/>
            <w:tcBorders>
              <w:top w:val="nil"/>
              <w:left w:val="nil"/>
              <w:bottom w:val="nil"/>
              <w:right w:val="nil"/>
            </w:tcBorders>
            <w:shd w:val="clear" w:color="auto" w:fill="auto"/>
            <w:noWrap/>
            <w:vAlign w:val="bottom"/>
            <w:hideMark/>
          </w:tcPr>
          <w:p w14:paraId="2962E48E" w14:textId="2BB7C69A" w:rsidR="00F826D0" w:rsidRPr="003328EE" w:rsidRDefault="00F826D0" w:rsidP="00D65F93">
            <w:pPr>
              <w:rPr>
                <w:rFonts w:eastAsia="Times New Roman"/>
                <w:color w:val="000000"/>
                <w:sz w:val="18"/>
                <w:szCs w:val="18"/>
              </w:rPr>
            </w:pPr>
            <w:r w:rsidRPr="003328EE">
              <w:rPr>
                <w:rFonts w:eastAsia="Times New Roman"/>
                <w:color w:val="000000"/>
                <w:sz w:val="18"/>
                <w:szCs w:val="18"/>
              </w:rPr>
              <w:t>Restaurant Difficulty</w:t>
            </w:r>
          </w:p>
        </w:tc>
        <w:tc>
          <w:tcPr>
            <w:tcW w:w="3183" w:type="dxa"/>
            <w:tcBorders>
              <w:top w:val="nil"/>
              <w:left w:val="nil"/>
              <w:bottom w:val="nil"/>
              <w:right w:val="nil"/>
            </w:tcBorders>
            <w:shd w:val="clear" w:color="auto" w:fill="auto"/>
            <w:noWrap/>
            <w:vAlign w:val="bottom"/>
            <w:hideMark/>
          </w:tcPr>
          <w:p w14:paraId="51E6E504" w14:textId="023B551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21ECA498" w14:textId="67E62AC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E732267" w14:textId="32279206"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1FB9252" w14:textId="7FA170E6" w:rsidR="00F826D0" w:rsidRPr="003328EE" w:rsidRDefault="00F826D0" w:rsidP="00D65F93">
            <w:pPr>
              <w:rPr>
                <w:rFonts w:eastAsia="Times New Roman"/>
                <w:color w:val="000000"/>
                <w:sz w:val="18"/>
                <w:szCs w:val="18"/>
              </w:rPr>
            </w:pPr>
            <w:r w:rsidRPr="003328EE">
              <w:rPr>
                <w:rFonts w:eastAsia="Times New Roman"/>
                <w:color w:val="000000"/>
                <w:sz w:val="18"/>
                <w:szCs w:val="18"/>
              </w:rPr>
              <w:t>Jones et al., 2004</w:t>
            </w:r>
          </w:p>
        </w:tc>
        <w:tc>
          <w:tcPr>
            <w:tcW w:w="1156" w:type="dxa"/>
            <w:tcBorders>
              <w:top w:val="nil"/>
              <w:left w:val="nil"/>
              <w:bottom w:val="nil"/>
              <w:right w:val="nil"/>
            </w:tcBorders>
            <w:shd w:val="clear" w:color="auto" w:fill="auto"/>
            <w:noWrap/>
            <w:vAlign w:val="bottom"/>
            <w:hideMark/>
          </w:tcPr>
          <w:p w14:paraId="5B2949E0" w14:textId="7B9759D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C7E395B" w14:textId="77777777" w:rsidTr="00D65F93">
        <w:trPr>
          <w:trHeight w:val="320"/>
        </w:trPr>
        <w:tc>
          <w:tcPr>
            <w:tcW w:w="3545" w:type="dxa"/>
            <w:tcBorders>
              <w:top w:val="nil"/>
              <w:left w:val="nil"/>
              <w:bottom w:val="nil"/>
              <w:right w:val="nil"/>
            </w:tcBorders>
            <w:shd w:val="clear" w:color="auto" w:fill="auto"/>
            <w:noWrap/>
            <w:vAlign w:val="bottom"/>
            <w:hideMark/>
          </w:tcPr>
          <w:p w14:paraId="65AA2E10" w14:textId="47442B99" w:rsidR="00F826D0" w:rsidRPr="003328EE" w:rsidRDefault="00F826D0" w:rsidP="00D65F93">
            <w:pPr>
              <w:rPr>
                <w:rFonts w:eastAsia="Times New Roman"/>
                <w:color w:val="000000"/>
                <w:sz w:val="18"/>
                <w:szCs w:val="18"/>
              </w:rPr>
            </w:pPr>
            <w:r w:rsidRPr="003328EE">
              <w:rPr>
                <w:rFonts w:eastAsia="Times New Roman"/>
                <w:color w:val="000000"/>
                <w:sz w:val="18"/>
                <w:szCs w:val="18"/>
              </w:rPr>
              <w:t>Restaurant Difficulty</w:t>
            </w:r>
          </w:p>
        </w:tc>
        <w:tc>
          <w:tcPr>
            <w:tcW w:w="3183" w:type="dxa"/>
            <w:tcBorders>
              <w:top w:val="nil"/>
              <w:left w:val="nil"/>
              <w:bottom w:val="nil"/>
              <w:right w:val="nil"/>
            </w:tcBorders>
            <w:shd w:val="clear" w:color="auto" w:fill="auto"/>
            <w:noWrap/>
            <w:vAlign w:val="bottom"/>
            <w:hideMark/>
          </w:tcPr>
          <w:p w14:paraId="4CB60430" w14:textId="25553E9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7DCB803F" w14:textId="5B34154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303F6CA" w14:textId="0D44053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A1F4746" w14:textId="5B480493" w:rsidR="00F826D0" w:rsidRPr="003328EE" w:rsidRDefault="00F826D0" w:rsidP="00D65F93">
            <w:pPr>
              <w:rPr>
                <w:rFonts w:eastAsia="Times New Roman"/>
                <w:color w:val="000000"/>
                <w:sz w:val="18"/>
                <w:szCs w:val="18"/>
              </w:rPr>
            </w:pPr>
            <w:r w:rsidRPr="003328EE">
              <w:rPr>
                <w:rFonts w:eastAsia="Times New Roman"/>
                <w:color w:val="000000"/>
                <w:sz w:val="18"/>
                <w:szCs w:val="18"/>
              </w:rPr>
              <w:t>Katcher et al., 2010</w:t>
            </w:r>
          </w:p>
        </w:tc>
        <w:tc>
          <w:tcPr>
            <w:tcW w:w="1156" w:type="dxa"/>
            <w:tcBorders>
              <w:top w:val="nil"/>
              <w:left w:val="nil"/>
              <w:bottom w:val="nil"/>
              <w:right w:val="nil"/>
            </w:tcBorders>
            <w:shd w:val="clear" w:color="auto" w:fill="auto"/>
            <w:noWrap/>
            <w:vAlign w:val="bottom"/>
            <w:hideMark/>
          </w:tcPr>
          <w:p w14:paraId="2CFE227F" w14:textId="79981B4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19B0B4E" w14:textId="77777777" w:rsidTr="00D65F93">
        <w:trPr>
          <w:trHeight w:val="320"/>
        </w:trPr>
        <w:tc>
          <w:tcPr>
            <w:tcW w:w="3545" w:type="dxa"/>
            <w:tcBorders>
              <w:top w:val="nil"/>
              <w:left w:val="nil"/>
              <w:bottom w:val="nil"/>
              <w:right w:val="nil"/>
            </w:tcBorders>
            <w:shd w:val="clear" w:color="auto" w:fill="auto"/>
            <w:noWrap/>
            <w:vAlign w:val="bottom"/>
            <w:hideMark/>
          </w:tcPr>
          <w:p w14:paraId="016B1C06" w14:textId="0B6F6B04" w:rsidR="00F826D0" w:rsidRPr="003328EE" w:rsidRDefault="00F826D0" w:rsidP="00D65F93">
            <w:pPr>
              <w:rPr>
                <w:rFonts w:eastAsia="Times New Roman"/>
                <w:color w:val="000000"/>
                <w:sz w:val="18"/>
                <w:szCs w:val="18"/>
              </w:rPr>
            </w:pPr>
            <w:r w:rsidRPr="003328EE">
              <w:rPr>
                <w:rFonts w:eastAsia="Times New Roman"/>
                <w:color w:val="000000"/>
                <w:sz w:val="18"/>
                <w:szCs w:val="18"/>
              </w:rPr>
              <w:t>Restaurant Difficulty</w:t>
            </w:r>
          </w:p>
        </w:tc>
        <w:tc>
          <w:tcPr>
            <w:tcW w:w="3183" w:type="dxa"/>
            <w:tcBorders>
              <w:top w:val="nil"/>
              <w:left w:val="nil"/>
              <w:bottom w:val="nil"/>
              <w:right w:val="nil"/>
            </w:tcBorders>
            <w:shd w:val="clear" w:color="auto" w:fill="auto"/>
            <w:noWrap/>
            <w:vAlign w:val="bottom"/>
            <w:hideMark/>
          </w:tcPr>
          <w:p w14:paraId="051EBBFE" w14:textId="786B4AC7"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071EC064" w14:textId="4CA51EB7"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1C77562" w14:textId="686AC8A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BEEFBE3" w14:textId="2DB95E1B" w:rsidR="00F826D0" w:rsidRPr="003328EE" w:rsidRDefault="00F826D0" w:rsidP="00D65F93">
            <w:pPr>
              <w:rPr>
                <w:rFonts w:eastAsia="Times New Roman"/>
                <w:color w:val="000000"/>
                <w:sz w:val="18"/>
                <w:szCs w:val="18"/>
              </w:rPr>
            </w:pPr>
            <w:r w:rsidRPr="003328EE">
              <w:rPr>
                <w:rFonts w:eastAsia="Times New Roman"/>
                <w:color w:val="000000"/>
                <w:sz w:val="18"/>
                <w:szCs w:val="18"/>
              </w:rPr>
              <w:t>Chin et al., 2002</w:t>
            </w:r>
          </w:p>
        </w:tc>
        <w:tc>
          <w:tcPr>
            <w:tcW w:w="1156" w:type="dxa"/>
            <w:tcBorders>
              <w:top w:val="nil"/>
              <w:left w:val="nil"/>
              <w:bottom w:val="nil"/>
              <w:right w:val="nil"/>
            </w:tcBorders>
            <w:shd w:val="clear" w:color="auto" w:fill="auto"/>
            <w:noWrap/>
            <w:vAlign w:val="bottom"/>
            <w:hideMark/>
          </w:tcPr>
          <w:p w14:paraId="3A4203DD" w14:textId="53B0C29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133D7F3" w14:textId="77777777" w:rsidTr="00D65F93">
        <w:trPr>
          <w:trHeight w:val="320"/>
        </w:trPr>
        <w:tc>
          <w:tcPr>
            <w:tcW w:w="3545" w:type="dxa"/>
            <w:tcBorders>
              <w:top w:val="nil"/>
              <w:left w:val="nil"/>
              <w:bottom w:val="nil"/>
              <w:right w:val="nil"/>
            </w:tcBorders>
            <w:shd w:val="clear" w:color="auto" w:fill="auto"/>
            <w:noWrap/>
            <w:vAlign w:val="bottom"/>
            <w:hideMark/>
          </w:tcPr>
          <w:p w14:paraId="040D76E5" w14:textId="095A8A45" w:rsidR="00F826D0" w:rsidRPr="003328EE" w:rsidRDefault="00F826D0" w:rsidP="00D65F93">
            <w:pPr>
              <w:rPr>
                <w:rFonts w:eastAsia="Times New Roman"/>
                <w:color w:val="000000"/>
                <w:sz w:val="18"/>
                <w:szCs w:val="18"/>
              </w:rPr>
            </w:pPr>
            <w:r w:rsidRPr="003328EE">
              <w:rPr>
                <w:rFonts w:eastAsia="Times New Roman"/>
                <w:color w:val="000000"/>
                <w:sz w:val="18"/>
                <w:szCs w:val="18"/>
              </w:rPr>
              <w:t>Restaurant Difficulty</w:t>
            </w:r>
          </w:p>
        </w:tc>
        <w:tc>
          <w:tcPr>
            <w:tcW w:w="3183" w:type="dxa"/>
            <w:tcBorders>
              <w:top w:val="nil"/>
              <w:left w:val="nil"/>
              <w:bottom w:val="nil"/>
              <w:right w:val="nil"/>
            </w:tcBorders>
            <w:shd w:val="clear" w:color="auto" w:fill="auto"/>
            <w:noWrap/>
            <w:vAlign w:val="bottom"/>
            <w:hideMark/>
          </w:tcPr>
          <w:p w14:paraId="1396F494" w14:textId="04A11A6A"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21318CE3" w14:textId="28C73E3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4F6A002" w14:textId="7D70947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4652168" w14:textId="206EC716" w:rsidR="00F826D0" w:rsidRPr="003328EE" w:rsidRDefault="00F826D0" w:rsidP="00D65F93">
            <w:pPr>
              <w:rPr>
                <w:rFonts w:eastAsia="Times New Roman"/>
                <w:color w:val="000000"/>
                <w:sz w:val="18"/>
                <w:szCs w:val="18"/>
              </w:rPr>
            </w:pPr>
            <w:r w:rsidRPr="003328EE">
              <w:rPr>
                <w:rFonts w:eastAsia="Times New Roman"/>
                <w:color w:val="000000"/>
                <w:sz w:val="18"/>
                <w:szCs w:val="18"/>
              </w:rPr>
              <w:t>Beardsworth &amp; Keil</w:t>
            </w:r>
            <w:r>
              <w:rPr>
                <w:rFonts w:eastAsia="Times New Roman"/>
                <w:color w:val="000000"/>
                <w:sz w:val="18"/>
                <w:szCs w:val="18"/>
              </w:rPr>
              <w:t>, 1993</w:t>
            </w:r>
          </w:p>
        </w:tc>
        <w:tc>
          <w:tcPr>
            <w:tcW w:w="1156" w:type="dxa"/>
            <w:tcBorders>
              <w:top w:val="nil"/>
              <w:left w:val="nil"/>
              <w:bottom w:val="nil"/>
              <w:right w:val="nil"/>
            </w:tcBorders>
            <w:shd w:val="clear" w:color="auto" w:fill="auto"/>
            <w:noWrap/>
            <w:vAlign w:val="bottom"/>
            <w:hideMark/>
          </w:tcPr>
          <w:p w14:paraId="36BF3A7F" w14:textId="08E44CD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996B5AC" w14:textId="77777777" w:rsidTr="00D65F93">
        <w:trPr>
          <w:trHeight w:val="320"/>
        </w:trPr>
        <w:tc>
          <w:tcPr>
            <w:tcW w:w="3545" w:type="dxa"/>
            <w:tcBorders>
              <w:top w:val="nil"/>
              <w:left w:val="nil"/>
              <w:bottom w:val="nil"/>
              <w:right w:val="nil"/>
            </w:tcBorders>
            <w:shd w:val="clear" w:color="auto" w:fill="auto"/>
            <w:noWrap/>
            <w:vAlign w:val="bottom"/>
            <w:hideMark/>
          </w:tcPr>
          <w:p w14:paraId="1CF07FDD" w14:textId="382663CC" w:rsidR="00F826D0" w:rsidRPr="003328EE" w:rsidRDefault="00F826D0" w:rsidP="00D65F93">
            <w:pPr>
              <w:rPr>
                <w:rFonts w:eastAsia="Times New Roman"/>
                <w:color w:val="000000"/>
                <w:sz w:val="18"/>
                <w:szCs w:val="18"/>
              </w:rPr>
            </w:pPr>
            <w:r w:rsidRPr="003328EE">
              <w:rPr>
                <w:rFonts w:eastAsia="Times New Roman"/>
                <w:color w:val="000000"/>
                <w:sz w:val="18"/>
                <w:szCs w:val="18"/>
              </w:rPr>
              <w:t>Restaurant Difficulty</w:t>
            </w:r>
          </w:p>
        </w:tc>
        <w:tc>
          <w:tcPr>
            <w:tcW w:w="3183" w:type="dxa"/>
            <w:tcBorders>
              <w:top w:val="nil"/>
              <w:left w:val="nil"/>
              <w:bottom w:val="nil"/>
              <w:right w:val="nil"/>
            </w:tcBorders>
            <w:shd w:val="clear" w:color="auto" w:fill="auto"/>
            <w:noWrap/>
            <w:vAlign w:val="bottom"/>
            <w:hideMark/>
          </w:tcPr>
          <w:p w14:paraId="5165FB0E" w14:textId="356FFD5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505D23A6" w14:textId="14D326C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202D6FCC" w14:textId="766A1E4D"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A26AC72" w14:textId="477EC7B9" w:rsidR="00F826D0" w:rsidRPr="003328EE" w:rsidRDefault="00F826D0" w:rsidP="00D65F93">
            <w:pPr>
              <w:rPr>
                <w:rFonts w:eastAsia="Times New Roman"/>
                <w:color w:val="000000"/>
                <w:sz w:val="18"/>
                <w:szCs w:val="18"/>
              </w:rPr>
            </w:pPr>
            <w:r w:rsidRPr="003328EE">
              <w:rPr>
                <w:rFonts w:eastAsia="Times New Roman"/>
                <w:color w:val="000000"/>
                <w:sz w:val="18"/>
                <w:szCs w:val="18"/>
              </w:rPr>
              <w:t>Erinosho et al., 2015</w:t>
            </w:r>
          </w:p>
        </w:tc>
        <w:tc>
          <w:tcPr>
            <w:tcW w:w="1156" w:type="dxa"/>
            <w:tcBorders>
              <w:top w:val="nil"/>
              <w:left w:val="nil"/>
              <w:bottom w:val="nil"/>
              <w:right w:val="nil"/>
            </w:tcBorders>
            <w:shd w:val="clear" w:color="auto" w:fill="auto"/>
            <w:noWrap/>
            <w:vAlign w:val="bottom"/>
            <w:hideMark/>
          </w:tcPr>
          <w:p w14:paraId="08B241E5" w14:textId="32E2663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1088FE8" w14:textId="77777777" w:rsidTr="00D65F93">
        <w:trPr>
          <w:trHeight w:val="320"/>
        </w:trPr>
        <w:tc>
          <w:tcPr>
            <w:tcW w:w="3545" w:type="dxa"/>
            <w:tcBorders>
              <w:top w:val="nil"/>
              <w:left w:val="nil"/>
              <w:bottom w:val="nil"/>
              <w:right w:val="nil"/>
            </w:tcBorders>
            <w:shd w:val="clear" w:color="auto" w:fill="auto"/>
            <w:noWrap/>
            <w:vAlign w:val="bottom"/>
            <w:hideMark/>
          </w:tcPr>
          <w:p w14:paraId="65C46C43" w14:textId="5C3D9E63" w:rsidR="00F826D0" w:rsidRPr="003328EE" w:rsidRDefault="00F826D0" w:rsidP="00D65F93">
            <w:pPr>
              <w:rPr>
                <w:rFonts w:eastAsia="Times New Roman"/>
                <w:color w:val="000000"/>
                <w:sz w:val="18"/>
                <w:szCs w:val="18"/>
              </w:rPr>
            </w:pPr>
            <w:r w:rsidRPr="003328EE">
              <w:rPr>
                <w:rFonts w:eastAsia="Times New Roman"/>
                <w:color w:val="000000"/>
                <w:sz w:val="18"/>
                <w:szCs w:val="18"/>
              </w:rPr>
              <w:t>Restaurant Difficulty</w:t>
            </w:r>
          </w:p>
        </w:tc>
        <w:tc>
          <w:tcPr>
            <w:tcW w:w="3183" w:type="dxa"/>
            <w:tcBorders>
              <w:top w:val="nil"/>
              <w:left w:val="nil"/>
              <w:bottom w:val="nil"/>
              <w:right w:val="nil"/>
            </w:tcBorders>
            <w:shd w:val="clear" w:color="auto" w:fill="auto"/>
            <w:noWrap/>
            <w:vAlign w:val="bottom"/>
            <w:hideMark/>
          </w:tcPr>
          <w:p w14:paraId="3B7A2BF1" w14:textId="5D57E4B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58F4A214" w14:textId="2D3D9CB3"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BFAB7D3" w14:textId="3F0D4C7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C6AFC56" w14:textId="789668B0" w:rsidR="00F826D0" w:rsidRPr="003328EE" w:rsidRDefault="00F826D0" w:rsidP="00D65F93">
            <w:pPr>
              <w:rPr>
                <w:rFonts w:eastAsia="Times New Roman"/>
                <w:color w:val="000000"/>
                <w:sz w:val="18"/>
                <w:szCs w:val="18"/>
              </w:rPr>
            </w:pPr>
            <w:r w:rsidRPr="003328EE">
              <w:rPr>
                <w:rFonts w:eastAsia="Times New Roman"/>
                <w:color w:val="000000"/>
                <w:sz w:val="18"/>
                <w:szCs w:val="18"/>
              </w:rPr>
              <w:t>Hirschler, 2011</w:t>
            </w:r>
          </w:p>
        </w:tc>
        <w:tc>
          <w:tcPr>
            <w:tcW w:w="1156" w:type="dxa"/>
            <w:tcBorders>
              <w:top w:val="nil"/>
              <w:left w:val="nil"/>
              <w:bottom w:val="nil"/>
              <w:right w:val="nil"/>
            </w:tcBorders>
            <w:shd w:val="clear" w:color="auto" w:fill="auto"/>
            <w:noWrap/>
            <w:vAlign w:val="bottom"/>
            <w:hideMark/>
          </w:tcPr>
          <w:p w14:paraId="4F5F2B2F" w14:textId="21A23D4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92A090A" w14:textId="77777777" w:rsidTr="00D65F93">
        <w:trPr>
          <w:trHeight w:val="320"/>
        </w:trPr>
        <w:tc>
          <w:tcPr>
            <w:tcW w:w="3545" w:type="dxa"/>
            <w:tcBorders>
              <w:top w:val="nil"/>
              <w:left w:val="nil"/>
              <w:bottom w:val="nil"/>
              <w:right w:val="nil"/>
            </w:tcBorders>
            <w:shd w:val="clear" w:color="auto" w:fill="auto"/>
            <w:noWrap/>
            <w:vAlign w:val="bottom"/>
            <w:hideMark/>
          </w:tcPr>
          <w:p w14:paraId="108564FE" w14:textId="1B3750A1" w:rsidR="00F826D0" w:rsidRPr="003328EE" w:rsidRDefault="00F826D0" w:rsidP="00D65F93">
            <w:pPr>
              <w:rPr>
                <w:rFonts w:eastAsia="Times New Roman"/>
                <w:color w:val="000000"/>
                <w:sz w:val="18"/>
                <w:szCs w:val="18"/>
              </w:rPr>
            </w:pPr>
            <w:r w:rsidRPr="003328EE">
              <w:rPr>
                <w:rFonts w:eastAsia="Times New Roman"/>
                <w:color w:val="000000"/>
                <w:sz w:val="18"/>
                <w:szCs w:val="18"/>
              </w:rPr>
              <w:t>Restaurant Difficulty</w:t>
            </w:r>
          </w:p>
        </w:tc>
        <w:tc>
          <w:tcPr>
            <w:tcW w:w="3183" w:type="dxa"/>
            <w:tcBorders>
              <w:top w:val="nil"/>
              <w:left w:val="nil"/>
              <w:bottom w:val="nil"/>
              <w:right w:val="nil"/>
            </w:tcBorders>
            <w:shd w:val="clear" w:color="auto" w:fill="auto"/>
            <w:noWrap/>
            <w:vAlign w:val="bottom"/>
            <w:hideMark/>
          </w:tcPr>
          <w:p w14:paraId="6880101B" w14:textId="567E889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13F6BF9E" w14:textId="76FE6F96"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7C21C1C6" w14:textId="530CC9C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613BDAB" w14:textId="4D1E355E" w:rsidR="00F826D0" w:rsidRPr="003328EE" w:rsidRDefault="00F826D0" w:rsidP="00D65F93">
            <w:pPr>
              <w:rPr>
                <w:rFonts w:eastAsia="Times New Roman"/>
                <w:color w:val="000000"/>
                <w:sz w:val="18"/>
                <w:szCs w:val="18"/>
              </w:rPr>
            </w:pPr>
            <w:r w:rsidRPr="003328EE">
              <w:rPr>
                <w:rFonts w:eastAsia="Times New Roman"/>
                <w:color w:val="000000"/>
                <w:sz w:val="18"/>
                <w:szCs w:val="18"/>
              </w:rPr>
              <w:t>Janda &amp; Trocchia, 2001</w:t>
            </w:r>
          </w:p>
        </w:tc>
        <w:tc>
          <w:tcPr>
            <w:tcW w:w="1156" w:type="dxa"/>
            <w:tcBorders>
              <w:top w:val="nil"/>
              <w:left w:val="nil"/>
              <w:bottom w:val="nil"/>
              <w:right w:val="nil"/>
            </w:tcBorders>
            <w:shd w:val="clear" w:color="auto" w:fill="auto"/>
            <w:noWrap/>
            <w:vAlign w:val="bottom"/>
            <w:hideMark/>
          </w:tcPr>
          <w:p w14:paraId="2E6022F6" w14:textId="58458BF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7865123" w14:textId="77777777" w:rsidTr="00D65F93">
        <w:trPr>
          <w:trHeight w:val="320"/>
        </w:trPr>
        <w:tc>
          <w:tcPr>
            <w:tcW w:w="3545" w:type="dxa"/>
            <w:tcBorders>
              <w:top w:val="nil"/>
              <w:left w:val="nil"/>
              <w:bottom w:val="nil"/>
              <w:right w:val="nil"/>
            </w:tcBorders>
            <w:shd w:val="clear" w:color="auto" w:fill="auto"/>
            <w:noWrap/>
            <w:vAlign w:val="bottom"/>
            <w:hideMark/>
          </w:tcPr>
          <w:p w14:paraId="1CA99E06" w14:textId="45CFE7EF" w:rsidR="00F826D0" w:rsidRPr="003328EE" w:rsidRDefault="00F826D0" w:rsidP="00D65F93">
            <w:pPr>
              <w:rPr>
                <w:rFonts w:eastAsia="Times New Roman"/>
                <w:color w:val="000000"/>
                <w:sz w:val="18"/>
                <w:szCs w:val="18"/>
              </w:rPr>
            </w:pPr>
            <w:r w:rsidRPr="003328EE">
              <w:rPr>
                <w:rFonts w:eastAsia="Times New Roman"/>
                <w:color w:val="000000"/>
                <w:sz w:val="18"/>
                <w:szCs w:val="18"/>
              </w:rPr>
              <w:t>Restaurant Difficulty</w:t>
            </w:r>
          </w:p>
        </w:tc>
        <w:tc>
          <w:tcPr>
            <w:tcW w:w="3183" w:type="dxa"/>
            <w:tcBorders>
              <w:top w:val="nil"/>
              <w:left w:val="nil"/>
              <w:bottom w:val="nil"/>
              <w:right w:val="nil"/>
            </w:tcBorders>
            <w:shd w:val="clear" w:color="auto" w:fill="auto"/>
            <w:noWrap/>
            <w:vAlign w:val="bottom"/>
            <w:hideMark/>
          </w:tcPr>
          <w:p w14:paraId="32201A68" w14:textId="5B533261"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14A1D389" w14:textId="72898E97"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F3CFAC0" w14:textId="2DE855C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16C5246" w14:textId="3BB641C8" w:rsidR="00F826D0" w:rsidRPr="003328EE" w:rsidRDefault="00F826D0" w:rsidP="00D65F93">
            <w:pPr>
              <w:rPr>
                <w:rFonts w:eastAsia="Times New Roman"/>
                <w:color w:val="000000"/>
                <w:sz w:val="18"/>
                <w:szCs w:val="18"/>
              </w:rPr>
            </w:pPr>
            <w:r w:rsidRPr="003328EE">
              <w:rPr>
                <w:rFonts w:eastAsia="Times New Roman"/>
                <w:color w:val="000000"/>
                <w:sz w:val="18"/>
                <w:szCs w:val="18"/>
              </w:rPr>
              <w:t>Lea et al., 2006</w:t>
            </w:r>
          </w:p>
        </w:tc>
        <w:tc>
          <w:tcPr>
            <w:tcW w:w="1156" w:type="dxa"/>
            <w:tcBorders>
              <w:top w:val="nil"/>
              <w:left w:val="nil"/>
              <w:bottom w:val="nil"/>
              <w:right w:val="nil"/>
            </w:tcBorders>
            <w:shd w:val="clear" w:color="auto" w:fill="auto"/>
            <w:noWrap/>
            <w:vAlign w:val="bottom"/>
            <w:hideMark/>
          </w:tcPr>
          <w:p w14:paraId="339CF596" w14:textId="40B1722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89E3814" w14:textId="77777777" w:rsidTr="00D65F93">
        <w:trPr>
          <w:trHeight w:val="320"/>
        </w:trPr>
        <w:tc>
          <w:tcPr>
            <w:tcW w:w="3545" w:type="dxa"/>
            <w:tcBorders>
              <w:top w:val="nil"/>
              <w:left w:val="nil"/>
              <w:bottom w:val="nil"/>
              <w:right w:val="nil"/>
            </w:tcBorders>
            <w:shd w:val="clear" w:color="auto" w:fill="auto"/>
            <w:noWrap/>
            <w:vAlign w:val="bottom"/>
            <w:hideMark/>
          </w:tcPr>
          <w:p w14:paraId="66E3824B" w14:textId="3FEF167B" w:rsidR="00F826D0" w:rsidRPr="003328EE" w:rsidRDefault="00F826D0" w:rsidP="00D65F93">
            <w:pPr>
              <w:rPr>
                <w:rFonts w:eastAsia="Times New Roman"/>
                <w:color w:val="000000"/>
                <w:sz w:val="18"/>
                <w:szCs w:val="18"/>
              </w:rPr>
            </w:pPr>
            <w:r w:rsidRPr="003328EE">
              <w:rPr>
                <w:rFonts w:eastAsia="Times New Roman"/>
                <w:color w:val="000000"/>
                <w:sz w:val="18"/>
                <w:szCs w:val="18"/>
              </w:rPr>
              <w:t>Restaurant Difficulty</w:t>
            </w:r>
          </w:p>
        </w:tc>
        <w:tc>
          <w:tcPr>
            <w:tcW w:w="3183" w:type="dxa"/>
            <w:tcBorders>
              <w:top w:val="nil"/>
              <w:left w:val="nil"/>
              <w:bottom w:val="nil"/>
              <w:right w:val="nil"/>
            </w:tcBorders>
            <w:shd w:val="clear" w:color="auto" w:fill="auto"/>
            <w:noWrap/>
            <w:vAlign w:val="bottom"/>
            <w:hideMark/>
          </w:tcPr>
          <w:p w14:paraId="410A5FE2" w14:textId="3B15C97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460D4129" w14:textId="15F99D41"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589967E" w14:textId="736F9B3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A5F1606" w14:textId="2AF40E04" w:rsidR="00F826D0" w:rsidRPr="003328EE" w:rsidRDefault="00F826D0" w:rsidP="00D65F93">
            <w:pPr>
              <w:rPr>
                <w:rFonts w:eastAsia="Times New Roman"/>
                <w:color w:val="000000"/>
                <w:sz w:val="18"/>
                <w:szCs w:val="18"/>
              </w:rPr>
            </w:pPr>
            <w:r w:rsidRPr="003328EE">
              <w:rPr>
                <w:rFonts w:eastAsia="Times New Roman"/>
                <w:color w:val="000000"/>
                <w:sz w:val="18"/>
                <w:szCs w:val="18"/>
              </w:rPr>
              <w:t>Pohjolainen et al., 2014</w:t>
            </w:r>
          </w:p>
        </w:tc>
        <w:tc>
          <w:tcPr>
            <w:tcW w:w="1156" w:type="dxa"/>
            <w:tcBorders>
              <w:top w:val="nil"/>
              <w:left w:val="nil"/>
              <w:bottom w:val="nil"/>
              <w:right w:val="nil"/>
            </w:tcBorders>
            <w:shd w:val="clear" w:color="auto" w:fill="auto"/>
            <w:noWrap/>
            <w:vAlign w:val="bottom"/>
            <w:hideMark/>
          </w:tcPr>
          <w:p w14:paraId="7CDCAB22" w14:textId="450DD5EE"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5AA6C8D3" w14:textId="77777777" w:rsidTr="00D65F93">
        <w:trPr>
          <w:trHeight w:val="320"/>
        </w:trPr>
        <w:tc>
          <w:tcPr>
            <w:tcW w:w="3545" w:type="dxa"/>
            <w:tcBorders>
              <w:top w:val="nil"/>
              <w:left w:val="nil"/>
              <w:bottom w:val="nil"/>
              <w:right w:val="nil"/>
            </w:tcBorders>
            <w:shd w:val="clear" w:color="auto" w:fill="auto"/>
            <w:noWrap/>
            <w:vAlign w:val="bottom"/>
            <w:hideMark/>
          </w:tcPr>
          <w:p w14:paraId="28DA3381" w14:textId="09D1FC9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Acceptability</w:t>
            </w:r>
          </w:p>
        </w:tc>
        <w:tc>
          <w:tcPr>
            <w:tcW w:w="3183" w:type="dxa"/>
            <w:tcBorders>
              <w:top w:val="nil"/>
              <w:left w:val="nil"/>
              <w:bottom w:val="nil"/>
              <w:right w:val="nil"/>
            </w:tcBorders>
            <w:shd w:val="clear" w:color="auto" w:fill="auto"/>
            <w:noWrap/>
            <w:vAlign w:val="bottom"/>
            <w:hideMark/>
          </w:tcPr>
          <w:p w14:paraId="55F6A657" w14:textId="16E7B74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72584692" w14:textId="59B731B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F984F9E" w14:textId="0B41823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1332E8C" w14:textId="1BBE0E3A" w:rsidR="00F826D0" w:rsidRPr="003328EE" w:rsidRDefault="00F826D0" w:rsidP="00D65F93">
            <w:pPr>
              <w:rPr>
                <w:rFonts w:eastAsia="Times New Roman"/>
                <w:color w:val="000000"/>
                <w:sz w:val="18"/>
                <w:szCs w:val="18"/>
              </w:rPr>
            </w:pPr>
            <w:r w:rsidRPr="003328EE">
              <w:rPr>
                <w:rFonts w:eastAsia="Times New Roman"/>
                <w:color w:val="000000"/>
                <w:sz w:val="18"/>
                <w:szCs w:val="18"/>
              </w:rPr>
              <w:t>Jabs et al., 2000</w:t>
            </w:r>
          </w:p>
        </w:tc>
        <w:tc>
          <w:tcPr>
            <w:tcW w:w="1156" w:type="dxa"/>
            <w:tcBorders>
              <w:top w:val="nil"/>
              <w:left w:val="nil"/>
              <w:bottom w:val="nil"/>
              <w:right w:val="nil"/>
            </w:tcBorders>
            <w:shd w:val="clear" w:color="auto" w:fill="auto"/>
            <w:noWrap/>
            <w:vAlign w:val="bottom"/>
            <w:hideMark/>
          </w:tcPr>
          <w:p w14:paraId="338D9C02" w14:textId="2BD2019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8246260" w14:textId="77777777" w:rsidTr="00D65F93">
        <w:trPr>
          <w:trHeight w:val="320"/>
        </w:trPr>
        <w:tc>
          <w:tcPr>
            <w:tcW w:w="3545" w:type="dxa"/>
            <w:tcBorders>
              <w:top w:val="nil"/>
              <w:left w:val="nil"/>
              <w:bottom w:val="nil"/>
              <w:right w:val="nil"/>
            </w:tcBorders>
            <w:shd w:val="clear" w:color="auto" w:fill="auto"/>
            <w:noWrap/>
            <w:vAlign w:val="bottom"/>
            <w:hideMark/>
          </w:tcPr>
          <w:p w14:paraId="4B732729" w14:textId="441B2DC1" w:rsidR="00F826D0" w:rsidRPr="003328EE" w:rsidRDefault="00F826D0" w:rsidP="00D65F93">
            <w:pPr>
              <w:rPr>
                <w:rFonts w:eastAsia="Times New Roman"/>
                <w:color w:val="000000"/>
                <w:sz w:val="18"/>
                <w:szCs w:val="18"/>
              </w:rPr>
            </w:pPr>
            <w:r w:rsidRPr="003328EE">
              <w:rPr>
                <w:rFonts w:eastAsia="Times New Roman"/>
                <w:color w:val="000000"/>
                <w:sz w:val="18"/>
                <w:szCs w:val="18"/>
              </w:rPr>
              <w:t>Social Accommodation</w:t>
            </w:r>
          </w:p>
        </w:tc>
        <w:tc>
          <w:tcPr>
            <w:tcW w:w="3183" w:type="dxa"/>
            <w:tcBorders>
              <w:top w:val="nil"/>
              <w:left w:val="nil"/>
              <w:bottom w:val="nil"/>
              <w:right w:val="nil"/>
            </w:tcBorders>
            <w:shd w:val="clear" w:color="auto" w:fill="auto"/>
            <w:noWrap/>
            <w:vAlign w:val="bottom"/>
            <w:hideMark/>
          </w:tcPr>
          <w:p w14:paraId="1BB227F0" w14:textId="4992C3A8"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1CB2E613" w14:textId="38C6BDA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631301C" w14:textId="7AD8358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80F6767" w14:textId="7CB754BA"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01FED455" w14:textId="77947CD2"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C923CCF" w14:textId="77777777" w:rsidTr="00D65F93">
        <w:trPr>
          <w:trHeight w:val="320"/>
        </w:trPr>
        <w:tc>
          <w:tcPr>
            <w:tcW w:w="3545" w:type="dxa"/>
            <w:tcBorders>
              <w:top w:val="nil"/>
              <w:left w:val="nil"/>
              <w:bottom w:val="nil"/>
              <w:right w:val="nil"/>
            </w:tcBorders>
            <w:shd w:val="clear" w:color="auto" w:fill="auto"/>
            <w:noWrap/>
            <w:vAlign w:val="bottom"/>
            <w:hideMark/>
          </w:tcPr>
          <w:p w14:paraId="16DEB7C6" w14:textId="17C06F8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Norms</w:t>
            </w:r>
          </w:p>
        </w:tc>
        <w:tc>
          <w:tcPr>
            <w:tcW w:w="3183" w:type="dxa"/>
            <w:tcBorders>
              <w:top w:val="nil"/>
              <w:left w:val="nil"/>
              <w:bottom w:val="nil"/>
              <w:right w:val="nil"/>
            </w:tcBorders>
            <w:shd w:val="clear" w:color="auto" w:fill="auto"/>
            <w:noWrap/>
            <w:vAlign w:val="bottom"/>
            <w:hideMark/>
          </w:tcPr>
          <w:p w14:paraId="793CE890" w14:textId="13954731"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30B2E103" w14:textId="79BB124C"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596EFDF0" w14:textId="3004B4F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210D5D4" w14:textId="56DDA6AC" w:rsidR="00F826D0" w:rsidRPr="003328EE" w:rsidRDefault="00F826D0" w:rsidP="00D65F93">
            <w:pPr>
              <w:rPr>
                <w:rFonts w:eastAsia="Times New Roman"/>
                <w:color w:val="000000"/>
                <w:sz w:val="18"/>
                <w:szCs w:val="18"/>
              </w:rPr>
            </w:pPr>
            <w:r w:rsidRPr="003328EE">
              <w:rPr>
                <w:rFonts w:eastAsia="Times New Roman"/>
                <w:color w:val="000000"/>
                <w:sz w:val="18"/>
                <w:szCs w:val="18"/>
              </w:rPr>
              <w:t>Lorenzoni et al., 2007</w:t>
            </w:r>
          </w:p>
        </w:tc>
        <w:tc>
          <w:tcPr>
            <w:tcW w:w="1156" w:type="dxa"/>
            <w:tcBorders>
              <w:top w:val="nil"/>
              <w:left w:val="nil"/>
              <w:bottom w:val="nil"/>
              <w:right w:val="nil"/>
            </w:tcBorders>
            <w:shd w:val="clear" w:color="auto" w:fill="auto"/>
            <w:noWrap/>
            <w:vAlign w:val="bottom"/>
            <w:hideMark/>
          </w:tcPr>
          <w:p w14:paraId="2AE7E03D" w14:textId="69286D4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8D3A678" w14:textId="77777777" w:rsidTr="00D65F93">
        <w:trPr>
          <w:trHeight w:val="320"/>
        </w:trPr>
        <w:tc>
          <w:tcPr>
            <w:tcW w:w="3545" w:type="dxa"/>
            <w:tcBorders>
              <w:top w:val="nil"/>
              <w:left w:val="nil"/>
              <w:bottom w:val="nil"/>
              <w:right w:val="nil"/>
            </w:tcBorders>
            <w:shd w:val="clear" w:color="auto" w:fill="auto"/>
            <w:noWrap/>
            <w:vAlign w:val="bottom"/>
            <w:hideMark/>
          </w:tcPr>
          <w:p w14:paraId="313390F7" w14:textId="2969CDE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Support</w:t>
            </w:r>
          </w:p>
        </w:tc>
        <w:tc>
          <w:tcPr>
            <w:tcW w:w="3183" w:type="dxa"/>
            <w:tcBorders>
              <w:top w:val="nil"/>
              <w:left w:val="nil"/>
              <w:bottom w:val="nil"/>
              <w:right w:val="nil"/>
            </w:tcBorders>
            <w:shd w:val="clear" w:color="auto" w:fill="auto"/>
            <w:noWrap/>
            <w:vAlign w:val="bottom"/>
            <w:hideMark/>
          </w:tcPr>
          <w:p w14:paraId="224D1D50" w14:textId="4536881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036A47C7" w14:textId="46AF92EA"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F505C3C" w14:textId="26F1C39D"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8EF3373" w14:textId="6B48FFBA" w:rsidR="00F826D0" w:rsidRPr="003328EE" w:rsidRDefault="00F826D0" w:rsidP="00D65F93">
            <w:pPr>
              <w:rPr>
                <w:rFonts w:eastAsia="Times New Roman"/>
                <w:color w:val="000000"/>
                <w:sz w:val="18"/>
                <w:szCs w:val="18"/>
              </w:rPr>
            </w:pPr>
            <w:r w:rsidRPr="003328EE">
              <w:rPr>
                <w:rFonts w:eastAsia="Times New Roman"/>
                <w:color w:val="000000"/>
                <w:sz w:val="18"/>
                <w:szCs w:val="18"/>
              </w:rPr>
              <w:t>Erinosho et al., 2015</w:t>
            </w:r>
          </w:p>
        </w:tc>
        <w:tc>
          <w:tcPr>
            <w:tcW w:w="1156" w:type="dxa"/>
            <w:tcBorders>
              <w:top w:val="nil"/>
              <w:left w:val="nil"/>
              <w:bottom w:val="nil"/>
              <w:right w:val="nil"/>
            </w:tcBorders>
            <w:shd w:val="clear" w:color="auto" w:fill="auto"/>
            <w:noWrap/>
            <w:vAlign w:val="bottom"/>
            <w:hideMark/>
          </w:tcPr>
          <w:p w14:paraId="3B95B1D2" w14:textId="68274056"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52E14DB" w14:textId="77777777" w:rsidTr="00D65F93">
        <w:trPr>
          <w:trHeight w:val="320"/>
        </w:trPr>
        <w:tc>
          <w:tcPr>
            <w:tcW w:w="3545" w:type="dxa"/>
            <w:tcBorders>
              <w:top w:val="nil"/>
              <w:left w:val="nil"/>
              <w:bottom w:val="nil"/>
              <w:right w:val="nil"/>
            </w:tcBorders>
            <w:shd w:val="clear" w:color="auto" w:fill="auto"/>
            <w:noWrap/>
            <w:vAlign w:val="bottom"/>
            <w:hideMark/>
          </w:tcPr>
          <w:p w14:paraId="6AA639FC" w14:textId="4B48C998" w:rsidR="00F826D0" w:rsidRPr="003328EE" w:rsidRDefault="00F826D0" w:rsidP="00D65F93">
            <w:pPr>
              <w:rPr>
                <w:rFonts w:eastAsia="Times New Roman"/>
                <w:color w:val="000000"/>
                <w:sz w:val="18"/>
                <w:szCs w:val="18"/>
              </w:rPr>
            </w:pPr>
            <w:r w:rsidRPr="003328EE">
              <w:rPr>
                <w:rFonts w:eastAsia="Times New Roman"/>
                <w:color w:val="000000"/>
                <w:sz w:val="18"/>
                <w:szCs w:val="18"/>
              </w:rPr>
              <w:t>Social Support</w:t>
            </w:r>
          </w:p>
        </w:tc>
        <w:tc>
          <w:tcPr>
            <w:tcW w:w="3183" w:type="dxa"/>
            <w:tcBorders>
              <w:top w:val="nil"/>
              <w:left w:val="nil"/>
              <w:bottom w:val="nil"/>
              <w:right w:val="nil"/>
            </w:tcBorders>
            <w:shd w:val="clear" w:color="auto" w:fill="auto"/>
            <w:noWrap/>
            <w:vAlign w:val="bottom"/>
            <w:hideMark/>
          </w:tcPr>
          <w:p w14:paraId="060B6413" w14:textId="13991AC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7E0AD31D" w14:textId="251F3AD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051F1CE" w14:textId="517F0579"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62B61F76" w14:textId="0BEF8D3C" w:rsidR="00F826D0" w:rsidRPr="003328EE" w:rsidRDefault="00F826D0" w:rsidP="00D65F93">
            <w:pPr>
              <w:rPr>
                <w:rFonts w:eastAsia="Times New Roman"/>
                <w:color w:val="000000"/>
                <w:sz w:val="18"/>
                <w:szCs w:val="18"/>
              </w:rPr>
            </w:pPr>
            <w:r w:rsidRPr="003328EE">
              <w:rPr>
                <w:rFonts w:eastAsia="Times New Roman"/>
                <w:color w:val="000000"/>
                <w:sz w:val="18"/>
                <w:szCs w:val="18"/>
              </w:rPr>
              <w:t>Haverstock &amp; Forgays, 2012</w:t>
            </w:r>
          </w:p>
        </w:tc>
        <w:tc>
          <w:tcPr>
            <w:tcW w:w="1156" w:type="dxa"/>
            <w:tcBorders>
              <w:top w:val="nil"/>
              <w:left w:val="nil"/>
              <w:bottom w:val="nil"/>
              <w:right w:val="nil"/>
            </w:tcBorders>
            <w:shd w:val="clear" w:color="auto" w:fill="auto"/>
            <w:noWrap/>
            <w:vAlign w:val="bottom"/>
            <w:hideMark/>
          </w:tcPr>
          <w:p w14:paraId="7FE1D179" w14:textId="1859068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6A12915" w14:textId="77777777" w:rsidTr="00D65F93">
        <w:trPr>
          <w:trHeight w:val="320"/>
        </w:trPr>
        <w:tc>
          <w:tcPr>
            <w:tcW w:w="3545" w:type="dxa"/>
            <w:tcBorders>
              <w:top w:val="nil"/>
              <w:left w:val="nil"/>
              <w:bottom w:val="nil"/>
              <w:right w:val="nil"/>
            </w:tcBorders>
            <w:shd w:val="clear" w:color="auto" w:fill="auto"/>
            <w:noWrap/>
            <w:vAlign w:val="bottom"/>
            <w:hideMark/>
          </w:tcPr>
          <w:p w14:paraId="23E2DFD1" w14:textId="03893D41" w:rsidR="00F826D0" w:rsidRPr="003328EE" w:rsidRDefault="00F826D0" w:rsidP="00D65F93">
            <w:pPr>
              <w:rPr>
                <w:rFonts w:eastAsia="Times New Roman"/>
                <w:color w:val="000000"/>
                <w:sz w:val="18"/>
                <w:szCs w:val="18"/>
              </w:rPr>
            </w:pPr>
            <w:r w:rsidRPr="003328EE">
              <w:rPr>
                <w:rFonts w:eastAsia="Times New Roman"/>
                <w:color w:val="000000"/>
                <w:sz w:val="18"/>
                <w:szCs w:val="18"/>
              </w:rPr>
              <w:t>Strained Relationships</w:t>
            </w:r>
          </w:p>
        </w:tc>
        <w:tc>
          <w:tcPr>
            <w:tcW w:w="3183" w:type="dxa"/>
            <w:tcBorders>
              <w:top w:val="nil"/>
              <w:left w:val="nil"/>
              <w:bottom w:val="nil"/>
              <w:right w:val="nil"/>
            </w:tcBorders>
            <w:shd w:val="clear" w:color="auto" w:fill="auto"/>
            <w:noWrap/>
            <w:vAlign w:val="bottom"/>
            <w:hideMark/>
          </w:tcPr>
          <w:p w14:paraId="51B108A0" w14:textId="628AD8B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0FA4C8B5" w14:textId="253FA1C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FB46E6B" w14:textId="3B65034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7FCCE39" w14:textId="4BABBAE8" w:rsidR="00F826D0" w:rsidRPr="003328EE" w:rsidRDefault="00F826D0" w:rsidP="00D65F93">
            <w:pPr>
              <w:rPr>
                <w:rFonts w:eastAsia="Times New Roman"/>
                <w:color w:val="000000"/>
                <w:sz w:val="18"/>
                <w:szCs w:val="18"/>
              </w:rPr>
            </w:pPr>
            <w:r w:rsidRPr="003328EE">
              <w:rPr>
                <w:rFonts w:eastAsia="Times New Roman"/>
                <w:color w:val="000000"/>
                <w:sz w:val="18"/>
                <w:szCs w:val="18"/>
              </w:rPr>
              <w:t>Hirschler, 2011</w:t>
            </w:r>
          </w:p>
        </w:tc>
        <w:tc>
          <w:tcPr>
            <w:tcW w:w="1156" w:type="dxa"/>
            <w:tcBorders>
              <w:top w:val="nil"/>
              <w:left w:val="nil"/>
              <w:bottom w:val="nil"/>
              <w:right w:val="nil"/>
            </w:tcBorders>
            <w:shd w:val="clear" w:color="auto" w:fill="auto"/>
            <w:noWrap/>
            <w:vAlign w:val="bottom"/>
            <w:hideMark/>
          </w:tcPr>
          <w:p w14:paraId="088021E6" w14:textId="069F73ED"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775E630F" w14:textId="77777777" w:rsidTr="00D65F93">
        <w:trPr>
          <w:trHeight w:val="320"/>
        </w:trPr>
        <w:tc>
          <w:tcPr>
            <w:tcW w:w="3545" w:type="dxa"/>
            <w:tcBorders>
              <w:top w:val="nil"/>
              <w:left w:val="nil"/>
              <w:bottom w:val="nil"/>
              <w:right w:val="nil"/>
            </w:tcBorders>
            <w:shd w:val="clear" w:color="auto" w:fill="auto"/>
            <w:noWrap/>
            <w:vAlign w:val="bottom"/>
            <w:hideMark/>
          </w:tcPr>
          <w:p w14:paraId="5FB1CAC4" w14:textId="5D0B7203" w:rsidR="00F826D0" w:rsidRPr="003328EE" w:rsidRDefault="00F826D0" w:rsidP="00D65F93">
            <w:pPr>
              <w:rPr>
                <w:rFonts w:eastAsia="Times New Roman"/>
                <w:color w:val="000000"/>
                <w:sz w:val="18"/>
                <w:szCs w:val="18"/>
              </w:rPr>
            </w:pPr>
            <w:r w:rsidRPr="003328EE">
              <w:rPr>
                <w:rFonts w:eastAsia="Times New Roman"/>
                <w:color w:val="000000"/>
                <w:sz w:val="18"/>
                <w:szCs w:val="18"/>
              </w:rPr>
              <w:t>Teasing/Hostility</w:t>
            </w:r>
          </w:p>
        </w:tc>
        <w:tc>
          <w:tcPr>
            <w:tcW w:w="3183" w:type="dxa"/>
            <w:tcBorders>
              <w:top w:val="nil"/>
              <w:left w:val="nil"/>
              <w:bottom w:val="nil"/>
              <w:right w:val="nil"/>
            </w:tcBorders>
            <w:shd w:val="clear" w:color="auto" w:fill="auto"/>
            <w:noWrap/>
            <w:vAlign w:val="bottom"/>
            <w:hideMark/>
          </w:tcPr>
          <w:p w14:paraId="42BCADA0" w14:textId="783FB0F3"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5B5DA698" w14:textId="0D13FCA6"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2CCFC65" w14:textId="1609A5B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CFB8D19" w14:textId="61809678" w:rsidR="00F826D0" w:rsidRPr="003328EE" w:rsidRDefault="00F826D0" w:rsidP="00D65F93">
            <w:pPr>
              <w:rPr>
                <w:rFonts w:eastAsia="Times New Roman"/>
                <w:color w:val="000000"/>
                <w:sz w:val="18"/>
                <w:szCs w:val="18"/>
              </w:rPr>
            </w:pPr>
            <w:r w:rsidRPr="003328EE">
              <w:rPr>
                <w:rFonts w:eastAsia="Times New Roman"/>
                <w:color w:val="000000"/>
                <w:sz w:val="18"/>
                <w:szCs w:val="18"/>
              </w:rPr>
              <w:t>Chin et al., 2002</w:t>
            </w:r>
          </w:p>
        </w:tc>
        <w:tc>
          <w:tcPr>
            <w:tcW w:w="1156" w:type="dxa"/>
            <w:tcBorders>
              <w:top w:val="nil"/>
              <w:left w:val="nil"/>
              <w:bottom w:val="nil"/>
              <w:right w:val="nil"/>
            </w:tcBorders>
            <w:shd w:val="clear" w:color="auto" w:fill="auto"/>
            <w:noWrap/>
            <w:vAlign w:val="bottom"/>
            <w:hideMark/>
          </w:tcPr>
          <w:p w14:paraId="5960F330" w14:textId="70E1ACA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B01D265" w14:textId="77777777" w:rsidTr="00D65F93">
        <w:trPr>
          <w:trHeight w:val="320"/>
        </w:trPr>
        <w:tc>
          <w:tcPr>
            <w:tcW w:w="3545" w:type="dxa"/>
            <w:tcBorders>
              <w:top w:val="nil"/>
              <w:left w:val="nil"/>
              <w:bottom w:val="nil"/>
              <w:right w:val="nil"/>
            </w:tcBorders>
            <w:shd w:val="clear" w:color="auto" w:fill="auto"/>
            <w:noWrap/>
            <w:vAlign w:val="bottom"/>
            <w:hideMark/>
          </w:tcPr>
          <w:p w14:paraId="7B0B227E" w14:textId="176E5B47" w:rsidR="00F826D0" w:rsidRPr="003328EE" w:rsidRDefault="00F826D0" w:rsidP="00D65F93">
            <w:pPr>
              <w:rPr>
                <w:rFonts w:eastAsia="Times New Roman"/>
                <w:color w:val="000000"/>
                <w:sz w:val="18"/>
                <w:szCs w:val="18"/>
              </w:rPr>
            </w:pPr>
            <w:r w:rsidRPr="003328EE">
              <w:rPr>
                <w:rFonts w:eastAsia="Times New Roman"/>
                <w:color w:val="000000"/>
                <w:sz w:val="18"/>
                <w:szCs w:val="18"/>
              </w:rPr>
              <w:t>Unorthodox</w:t>
            </w:r>
          </w:p>
        </w:tc>
        <w:tc>
          <w:tcPr>
            <w:tcW w:w="3183" w:type="dxa"/>
            <w:tcBorders>
              <w:top w:val="nil"/>
              <w:left w:val="nil"/>
              <w:bottom w:val="nil"/>
              <w:right w:val="nil"/>
            </w:tcBorders>
            <w:shd w:val="clear" w:color="auto" w:fill="auto"/>
            <w:noWrap/>
            <w:vAlign w:val="bottom"/>
            <w:hideMark/>
          </w:tcPr>
          <w:p w14:paraId="75373947" w14:textId="2FDCB96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Difficulties</w:t>
            </w:r>
          </w:p>
        </w:tc>
        <w:tc>
          <w:tcPr>
            <w:tcW w:w="2061" w:type="dxa"/>
            <w:tcBorders>
              <w:top w:val="nil"/>
              <w:left w:val="nil"/>
              <w:bottom w:val="nil"/>
              <w:right w:val="nil"/>
            </w:tcBorders>
            <w:shd w:val="clear" w:color="auto" w:fill="auto"/>
            <w:noWrap/>
            <w:vAlign w:val="bottom"/>
            <w:hideMark/>
          </w:tcPr>
          <w:p w14:paraId="629D3C39" w14:textId="181220D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51C320B" w14:textId="5CA4F2D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5B8B9F1" w14:textId="49C47484" w:rsidR="00F826D0" w:rsidRPr="003328EE" w:rsidRDefault="00F826D0" w:rsidP="00D65F93">
            <w:pPr>
              <w:rPr>
                <w:rFonts w:eastAsia="Times New Roman"/>
                <w:color w:val="000000"/>
                <w:sz w:val="18"/>
                <w:szCs w:val="18"/>
              </w:rPr>
            </w:pPr>
            <w:r w:rsidRPr="003328EE">
              <w:rPr>
                <w:rFonts w:eastAsia="Times New Roman"/>
                <w:color w:val="000000"/>
                <w:sz w:val="18"/>
                <w:szCs w:val="18"/>
              </w:rPr>
              <w:t>Chin et al., 2002</w:t>
            </w:r>
          </w:p>
        </w:tc>
        <w:tc>
          <w:tcPr>
            <w:tcW w:w="1156" w:type="dxa"/>
            <w:tcBorders>
              <w:top w:val="nil"/>
              <w:left w:val="nil"/>
              <w:bottom w:val="nil"/>
              <w:right w:val="nil"/>
            </w:tcBorders>
            <w:shd w:val="clear" w:color="auto" w:fill="auto"/>
            <w:noWrap/>
            <w:vAlign w:val="bottom"/>
            <w:hideMark/>
          </w:tcPr>
          <w:p w14:paraId="7AC24C9B" w14:textId="50A6393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E6B0C61" w14:textId="77777777" w:rsidTr="00D65F93">
        <w:trPr>
          <w:trHeight w:val="320"/>
        </w:trPr>
        <w:tc>
          <w:tcPr>
            <w:tcW w:w="3545" w:type="dxa"/>
            <w:tcBorders>
              <w:top w:val="nil"/>
              <w:left w:val="nil"/>
              <w:bottom w:val="nil"/>
              <w:right w:val="nil"/>
            </w:tcBorders>
            <w:shd w:val="clear" w:color="auto" w:fill="auto"/>
            <w:noWrap/>
            <w:vAlign w:val="bottom"/>
            <w:hideMark/>
          </w:tcPr>
          <w:p w14:paraId="5FF1185F" w14:textId="1B7A11D2" w:rsidR="00F826D0" w:rsidRPr="003328EE" w:rsidRDefault="00F826D0" w:rsidP="00D65F93">
            <w:pPr>
              <w:rPr>
                <w:rFonts w:eastAsia="Times New Roman"/>
                <w:color w:val="000000"/>
                <w:sz w:val="18"/>
                <w:szCs w:val="18"/>
              </w:rPr>
            </w:pPr>
            <w:r w:rsidRPr="003328EE">
              <w:rPr>
                <w:rFonts w:eastAsia="Times New Roman"/>
                <w:color w:val="000000"/>
                <w:sz w:val="18"/>
                <w:szCs w:val="18"/>
              </w:rPr>
              <w:t>Behavio</w:t>
            </w:r>
            <w:r>
              <w:rPr>
                <w:rFonts w:eastAsia="Times New Roman"/>
                <w:color w:val="000000"/>
                <w:sz w:val="18"/>
                <w:szCs w:val="18"/>
              </w:rPr>
              <w:t>u</w:t>
            </w:r>
            <w:r w:rsidRPr="003328EE">
              <w:rPr>
                <w:rFonts w:eastAsia="Times New Roman"/>
                <w:color w:val="000000"/>
                <w:sz w:val="18"/>
                <w:szCs w:val="18"/>
              </w:rPr>
              <w:t>r-Attitude Gap</w:t>
            </w:r>
          </w:p>
        </w:tc>
        <w:tc>
          <w:tcPr>
            <w:tcW w:w="3183" w:type="dxa"/>
            <w:tcBorders>
              <w:top w:val="nil"/>
              <w:left w:val="nil"/>
              <w:bottom w:val="nil"/>
              <w:right w:val="nil"/>
            </w:tcBorders>
            <w:shd w:val="clear" w:color="auto" w:fill="auto"/>
            <w:noWrap/>
            <w:vAlign w:val="bottom"/>
            <w:hideMark/>
          </w:tcPr>
          <w:p w14:paraId="3F40F0BE" w14:textId="6C4F0298"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39608902" w14:textId="1E82D386"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774DF5A" w14:textId="4EDBD8A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69A9606D" w14:textId="7BEEBA17"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21E5228C" w14:textId="3185394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698F750" w14:textId="77777777" w:rsidTr="00D65F93">
        <w:trPr>
          <w:trHeight w:val="320"/>
        </w:trPr>
        <w:tc>
          <w:tcPr>
            <w:tcW w:w="3545" w:type="dxa"/>
            <w:tcBorders>
              <w:top w:val="nil"/>
              <w:left w:val="nil"/>
              <w:bottom w:val="nil"/>
              <w:right w:val="nil"/>
            </w:tcBorders>
            <w:shd w:val="clear" w:color="auto" w:fill="auto"/>
            <w:noWrap/>
            <w:vAlign w:val="bottom"/>
            <w:hideMark/>
          </w:tcPr>
          <w:p w14:paraId="1BC6D5EF" w14:textId="11D8DF64" w:rsidR="00F826D0" w:rsidRPr="003328EE" w:rsidRDefault="00F826D0" w:rsidP="00D65F93">
            <w:pPr>
              <w:rPr>
                <w:rFonts w:eastAsia="Times New Roman"/>
                <w:color w:val="000000"/>
                <w:sz w:val="18"/>
                <w:szCs w:val="18"/>
              </w:rPr>
            </w:pPr>
            <w:r w:rsidRPr="003328EE">
              <w:rPr>
                <w:rFonts w:eastAsia="Times New Roman"/>
                <w:color w:val="000000"/>
                <w:sz w:val="18"/>
                <w:szCs w:val="18"/>
              </w:rPr>
              <w:t>Breastfeeding Duration</w:t>
            </w:r>
          </w:p>
        </w:tc>
        <w:tc>
          <w:tcPr>
            <w:tcW w:w="3183" w:type="dxa"/>
            <w:tcBorders>
              <w:top w:val="nil"/>
              <w:left w:val="nil"/>
              <w:bottom w:val="nil"/>
              <w:right w:val="nil"/>
            </w:tcBorders>
            <w:shd w:val="clear" w:color="auto" w:fill="auto"/>
            <w:noWrap/>
            <w:vAlign w:val="bottom"/>
            <w:hideMark/>
          </w:tcPr>
          <w:p w14:paraId="3609EC7E" w14:textId="131B239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35C2803B" w14:textId="09651D8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1BE24D7" w14:textId="742F0827"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697F191" w14:textId="25D8F9D8" w:rsidR="00F826D0" w:rsidRPr="003328EE" w:rsidRDefault="00F826D0" w:rsidP="00D65F93">
            <w:pPr>
              <w:rPr>
                <w:rFonts w:eastAsia="Times New Roman"/>
                <w:color w:val="000000"/>
                <w:sz w:val="18"/>
                <w:szCs w:val="18"/>
              </w:rPr>
            </w:pPr>
            <w:r w:rsidRPr="003328EE">
              <w:rPr>
                <w:rFonts w:eastAsia="Times New Roman"/>
                <w:color w:val="000000"/>
                <w:sz w:val="18"/>
                <w:szCs w:val="18"/>
              </w:rPr>
              <w:t>Soldateli et al., 2016</w:t>
            </w:r>
          </w:p>
        </w:tc>
        <w:tc>
          <w:tcPr>
            <w:tcW w:w="1156" w:type="dxa"/>
            <w:tcBorders>
              <w:top w:val="nil"/>
              <w:left w:val="nil"/>
              <w:bottom w:val="nil"/>
              <w:right w:val="nil"/>
            </w:tcBorders>
            <w:shd w:val="clear" w:color="auto" w:fill="auto"/>
            <w:noWrap/>
            <w:vAlign w:val="bottom"/>
            <w:hideMark/>
          </w:tcPr>
          <w:p w14:paraId="3E1B40FD" w14:textId="5E85273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07B9AED" w14:textId="77777777" w:rsidTr="00D65F93">
        <w:trPr>
          <w:trHeight w:val="320"/>
        </w:trPr>
        <w:tc>
          <w:tcPr>
            <w:tcW w:w="3545" w:type="dxa"/>
            <w:tcBorders>
              <w:top w:val="nil"/>
              <w:left w:val="nil"/>
              <w:bottom w:val="nil"/>
              <w:right w:val="nil"/>
            </w:tcBorders>
            <w:shd w:val="clear" w:color="auto" w:fill="auto"/>
            <w:noWrap/>
            <w:vAlign w:val="bottom"/>
            <w:hideMark/>
          </w:tcPr>
          <w:p w14:paraId="255483E4" w14:textId="0D123D06" w:rsidR="00F826D0" w:rsidRPr="003328EE" w:rsidRDefault="00F826D0" w:rsidP="00D65F93">
            <w:pPr>
              <w:rPr>
                <w:rFonts w:eastAsia="Times New Roman"/>
                <w:color w:val="000000"/>
                <w:sz w:val="18"/>
                <w:szCs w:val="18"/>
              </w:rPr>
            </w:pPr>
            <w:r w:rsidRPr="003328EE">
              <w:rPr>
                <w:rFonts w:eastAsia="Times New Roman"/>
                <w:color w:val="000000"/>
                <w:sz w:val="18"/>
                <w:szCs w:val="18"/>
              </w:rPr>
              <w:t>Change in Living Situation</w:t>
            </w:r>
          </w:p>
        </w:tc>
        <w:tc>
          <w:tcPr>
            <w:tcW w:w="3183" w:type="dxa"/>
            <w:tcBorders>
              <w:top w:val="nil"/>
              <w:left w:val="nil"/>
              <w:bottom w:val="nil"/>
              <w:right w:val="nil"/>
            </w:tcBorders>
            <w:shd w:val="clear" w:color="auto" w:fill="auto"/>
            <w:noWrap/>
            <w:vAlign w:val="bottom"/>
            <w:hideMark/>
          </w:tcPr>
          <w:p w14:paraId="365494C6" w14:textId="2FCBA85A"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65DC4CB0" w14:textId="1651605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F76F732" w14:textId="0EFCEAD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1F60B4A" w14:textId="5700417E" w:rsidR="00F826D0" w:rsidRPr="003328EE" w:rsidRDefault="00F826D0" w:rsidP="00D65F93">
            <w:pPr>
              <w:rPr>
                <w:rFonts w:eastAsia="Times New Roman"/>
                <w:color w:val="000000"/>
                <w:sz w:val="18"/>
                <w:szCs w:val="18"/>
              </w:rPr>
            </w:pPr>
            <w:r w:rsidRPr="003328EE">
              <w:rPr>
                <w:rFonts w:eastAsia="Times New Roman"/>
                <w:color w:val="000000"/>
                <w:sz w:val="18"/>
                <w:szCs w:val="18"/>
              </w:rPr>
              <w:t>Barr &amp; Chapman, 2002</w:t>
            </w:r>
          </w:p>
        </w:tc>
        <w:tc>
          <w:tcPr>
            <w:tcW w:w="1156" w:type="dxa"/>
            <w:tcBorders>
              <w:top w:val="nil"/>
              <w:left w:val="nil"/>
              <w:bottom w:val="nil"/>
              <w:right w:val="nil"/>
            </w:tcBorders>
            <w:shd w:val="clear" w:color="auto" w:fill="auto"/>
            <w:noWrap/>
            <w:vAlign w:val="bottom"/>
            <w:hideMark/>
          </w:tcPr>
          <w:p w14:paraId="771BCC5A" w14:textId="28B47B2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2A7C797" w14:textId="77777777" w:rsidTr="00D65F93">
        <w:trPr>
          <w:trHeight w:val="320"/>
        </w:trPr>
        <w:tc>
          <w:tcPr>
            <w:tcW w:w="3545" w:type="dxa"/>
            <w:tcBorders>
              <w:top w:val="nil"/>
              <w:left w:val="nil"/>
              <w:bottom w:val="nil"/>
              <w:right w:val="nil"/>
            </w:tcBorders>
            <w:shd w:val="clear" w:color="auto" w:fill="auto"/>
            <w:noWrap/>
            <w:vAlign w:val="bottom"/>
            <w:hideMark/>
          </w:tcPr>
          <w:p w14:paraId="20F31DE3" w14:textId="5CFC3E3E" w:rsidR="00F826D0" w:rsidRPr="003328EE" w:rsidRDefault="00F826D0" w:rsidP="00D65F93">
            <w:pPr>
              <w:rPr>
                <w:rFonts w:eastAsia="Times New Roman"/>
                <w:color w:val="000000"/>
                <w:sz w:val="18"/>
                <w:szCs w:val="18"/>
              </w:rPr>
            </w:pPr>
            <w:r w:rsidRPr="003328EE">
              <w:rPr>
                <w:rFonts w:eastAsia="Times New Roman"/>
                <w:color w:val="000000"/>
                <w:sz w:val="18"/>
                <w:szCs w:val="18"/>
              </w:rPr>
              <w:t>Change in Living Situation</w:t>
            </w:r>
          </w:p>
        </w:tc>
        <w:tc>
          <w:tcPr>
            <w:tcW w:w="3183" w:type="dxa"/>
            <w:tcBorders>
              <w:top w:val="nil"/>
              <w:left w:val="nil"/>
              <w:bottom w:val="nil"/>
              <w:right w:val="nil"/>
            </w:tcBorders>
            <w:shd w:val="clear" w:color="auto" w:fill="auto"/>
            <w:noWrap/>
            <w:vAlign w:val="bottom"/>
            <w:hideMark/>
          </w:tcPr>
          <w:p w14:paraId="29CE5240" w14:textId="39B51EE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6B363CD9" w14:textId="18FB2E8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AC93FFE" w14:textId="2AC5FEB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5A8A567" w14:textId="1EE38E4A" w:rsidR="00F826D0" w:rsidRPr="003328EE" w:rsidRDefault="00F826D0" w:rsidP="00D65F93">
            <w:pPr>
              <w:rPr>
                <w:rFonts w:eastAsia="Times New Roman"/>
                <w:color w:val="000000"/>
                <w:sz w:val="18"/>
                <w:szCs w:val="18"/>
              </w:rPr>
            </w:pPr>
            <w:r w:rsidRPr="003328EE">
              <w:rPr>
                <w:rFonts w:eastAsia="Times New Roman"/>
                <w:color w:val="000000"/>
                <w:sz w:val="18"/>
                <w:szCs w:val="18"/>
              </w:rPr>
              <w:t>Ruby, 2012</w:t>
            </w:r>
          </w:p>
        </w:tc>
        <w:tc>
          <w:tcPr>
            <w:tcW w:w="1156" w:type="dxa"/>
            <w:tcBorders>
              <w:top w:val="nil"/>
              <w:left w:val="nil"/>
              <w:bottom w:val="nil"/>
              <w:right w:val="nil"/>
            </w:tcBorders>
            <w:shd w:val="clear" w:color="auto" w:fill="auto"/>
            <w:noWrap/>
            <w:vAlign w:val="bottom"/>
            <w:hideMark/>
          </w:tcPr>
          <w:p w14:paraId="21DE27C0" w14:textId="309F940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94B1F9B" w14:textId="77777777" w:rsidTr="00D65F93">
        <w:trPr>
          <w:trHeight w:val="320"/>
        </w:trPr>
        <w:tc>
          <w:tcPr>
            <w:tcW w:w="3545" w:type="dxa"/>
            <w:tcBorders>
              <w:top w:val="nil"/>
              <w:left w:val="nil"/>
              <w:bottom w:val="nil"/>
              <w:right w:val="nil"/>
            </w:tcBorders>
            <w:shd w:val="clear" w:color="auto" w:fill="auto"/>
            <w:noWrap/>
            <w:vAlign w:val="bottom"/>
            <w:hideMark/>
          </w:tcPr>
          <w:p w14:paraId="59A0D9B3" w14:textId="777F9AA1" w:rsidR="00F826D0" w:rsidRPr="003328EE" w:rsidRDefault="00F826D0" w:rsidP="00D65F93">
            <w:pPr>
              <w:rPr>
                <w:rFonts w:eastAsia="Times New Roman"/>
                <w:color w:val="000000"/>
                <w:sz w:val="18"/>
                <w:szCs w:val="18"/>
              </w:rPr>
            </w:pPr>
            <w:r w:rsidRPr="003328EE">
              <w:rPr>
                <w:rFonts w:eastAsia="Times New Roman"/>
                <w:color w:val="000000"/>
                <w:sz w:val="18"/>
                <w:szCs w:val="18"/>
              </w:rPr>
              <w:t>Early Exposure</w:t>
            </w:r>
          </w:p>
        </w:tc>
        <w:tc>
          <w:tcPr>
            <w:tcW w:w="3183" w:type="dxa"/>
            <w:tcBorders>
              <w:top w:val="nil"/>
              <w:left w:val="nil"/>
              <w:bottom w:val="nil"/>
              <w:right w:val="nil"/>
            </w:tcBorders>
            <w:shd w:val="clear" w:color="auto" w:fill="auto"/>
            <w:noWrap/>
            <w:vAlign w:val="bottom"/>
            <w:hideMark/>
          </w:tcPr>
          <w:p w14:paraId="0ACC8CCF" w14:textId="67C767BC"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6442A070" w14:textId="20A261E6"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6B11CE37" w14:textId="5EFAE68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520F28B" w14:textId="728B9F5E" w:rsidR="00F826D0" w:rsidRPr="003328EE" w:rsidRDefault="00F826D0" w:rsidP="00D65F93">
            <w:pPr>
              <w:rPr>
                <w:rFonts w:eastAsia="Times New Roman"/>
                <w:color w:val="000000"/>
                <w:sz w:val="18"/>
                <w:szCs w:val="18"/>
              </w:rPr>
            </w:pPr>
            <w:r w:rsidRPr="003328EE">
              <w:rPr>
                <w:rFonts w:eastAsia="Times New Roman"/>
                <w:color w:val="000000"/>
                <w:sz w:val="18"/>
                <w:szCs w:val="18"/>
              </w:rPr>
              <w:t>Hill, 2002</w:t>
            </w:r>
          </w:p>
        </w:tc>
        <w:tc>
          <w:tcPr>
            <w:tcW w:w="1156" w:type="dxa"/>
            <w:tcBorders>
              <w:top w:val="nil"/>
              <w:left w:val="nil"/>
              <w:bottom w:val="nil"/>
              <w:right w:val="nil"/>
            </w:tcBorders>
            <w:shd w:val="clear" w:color="auto" w:fill="auto"/>
            <w:noWrap/>
            <w:vAlign w:val="bottom"/>
            <w:hideMark/>
          </w:tcPr>
          <w:p w14:paraId="7C057AF6" w14:textId="1C2CFAFB"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64E04F9" w14:textId="77777777" w:rsidTr="00D65F93">
        <w:trPr>
          <w:trHeight w:val="320"/>
        </w:trPr>
        <w:tc>
          <w:tcPr>
            <w:tcW w:w="3545" w:type="dxa"/>
            <w:tcBorders>
              <w:top w:val="nil"/>
              <w:left w:val="nil"/>
              <w:bottom w:val="nil"/>
              <w:right w:val="nil"/>
            </w:tcBorders>
            <w:shd w:val="clear" w:color="auto" w:fill="auto"/>
            <w:noWrap/>
            <w:vAlign w:val="bottom"/>
            <w:hideMark/>
          </w:tcPr>
          <w:p w14:paraId="52088168" w14:textId="52570F37" w:rsidR="00F826D0" w:rsidRPr="003328EE" w:rsidRDefault="00F826D0" w:rsidP="00D65F93">
            <w:pPr>
              <w:rPr>
                <w:rFonts w:eastAsia="Times New Roman"/>
                <w:color w:val="000000"/>
                <w:sz w:val="18"/>
                <w:szCs w:val="18"/>
              </w:rPr>
            </w:pPr>
            <w:r w:rsidRPr="003328EE">
              <w:rPr>
                <w:rFonts w:eastAsia="Times New Roman"/>
                <w:color w:val="000000"/>
                <w:sz w:val="18"/>
                <w:szCs w:val="18"/>
              </w:rPr>
              <w:t>Early Exposure</w:t>
            </w:r>
          </w:p>
        </w:tc>
        <w:tc>
          <w:tcPr>
            <w:tcW w:w="3183" w:type="dxa"/>
            <w:tcBorders>
              <w:top w:val="nil"/>
              <w:left w:val="nil"/>
              <w:bottom w:val="nil"/>
              <w:right w:val="nil"/>
            </w:tcBorders>
            <w:shd w:val="clear" w:color="auto" w:fill="auto"/>
            <w:noWrap/>
            <w:vAlign w:val="bottom"/>
            <w:hideMark/>
          </w:tcPr>
          <w:p w14:paraId="2B59559D" w14:textId="3211DBE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1D3631EB" w14:textId="0B619A97"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325BB98" w14:textId="19F479F8"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99A8B0A" w14:textId="076A4752" w:rsidR="00F826D0" w:rsidRPr="003328EE" w:rsidRDefault="00F826D0" w:rsidP="00D65F93">
            <w:pPr>
              <w:rPr>
                <w:rFonts w:eastAsia="Times New Roman"/>
                <w:color w:val="000000"/>
                <w:sz w:val="18"/>
                <w:szCs w:val="18"/>
              </w:rPr>
            </w:pPr>
            <w:r w:rsidRPr="003328EE">
              <w:rPr>
                <w:rFonts w:eastAsia="Times New Roman"/>
                <w:color w:val="000000"/>
                <w:sz w:val="18"/>
                <w:szCs w:val="18"/>
              </w:rPr>
              <w:t>Yuan et al., 2016</w:t>
            </w:r>
          </w:p>
        </w:tc>
        <w:tc>
          <w:tcPr>
            <w:tcW w:w="1156" w:type="dxa"/>
            <w:tcBorders>
              <w:top w:val="nil"/>
              <w:left w:val="nil"/>
              <w:bottom w:val="nil"/>
              <w:right w:val="nil"/>
            </w:tcBorders>
            <w:shd w:val="clear" w:color="auto" w:fill="auto"/>
            <w:noWrap/>
            <w:vAlign w:val="bottom"/>
            <w:hideMark/>
          </w:tcPr>
          <w:p w14:paraId="58D4C9C9" w14:textId="696AB7D3"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CE45320" w14:textId="77777777" w:rsidTr="00D65F93">
        <w:trPr>
          <w:trHeight w:val="320"/>
        </w:trPr>
        <w:tc>
          <w:tcPr>
            <w:tcW w:w="3545" w:type="dxa"/>
            <w:tcBorders>
              <w:top w:val="nil"/>
              <w:left w:val="nil"/>
              <w:bottom w:val="nil"/>
              <w:right w:val="nil"/>
            </w:tcBorders>
            <w:shd w:val="clear" w:color="auto" w:fill="auto"/>
            <w:noWrap/>
            <w:vAlign w:val="bottom"/>
            <w:hideMark/>
          </w:tcPr>
          <w:p w14:paraId="2A21C64F" w14:textId="2BE7AFD8" w:rsidR="00F826D0" w:rsidRPr="003328EE" w:rsidRDefault="00F826D0" w:rsidP="00D65F93">
            <w:pPr>
              <w:rPr>
                <w:rFonts w:eastAsia="Times New Roman"/>
                <w:color w:val="000000"/>
                <w:sz w:val="18"/>
                <w:szCs w:val="18"/>
              </w:rPr>
            </w:pPr>
            <w:r w:rsidRPr="003328EE">
              <w:rPr>
                <w:rFonts w:eastAsia="Times New Roman"/>
                <w:color w:val="000000"/>
                <w:sz w:val="18"/>
                <w:szCs w:val="18"/>
              </w:rPr>
              <w:t>Early Exposure</w:t>
            </w:r>
          </w:p>
        </w:tc>
        <w:tc>
          <w:tcPr>
            <w:tcW w:w="3183" w:type="dxa"/>
            <w:tcBorders>
              <w:top w:val="nil"/>
              <w:left w:val="nil"/>
              <w:bottom w:val="nil"/>
              <w:right w:val="nil"/>
            </w:tcBorders>
            <w:shd w:val="clear" w:color="auto" w:fill="auto"/>
            <w:noWrap/>
            <w:vAlign w:val="bottom"/>
            <w:hideMark/>
          </w:tcPr>
          <w:p w14:paraId="6CC1964B" w14:textId="423A1DB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59AFB407" w14:textId="558B16B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49A6941" w14:textId="41E80CD8"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72C4ADFD" w14:textId="31F80DFF" w:rsidR="00F826D0" w:rsidRPr="003328EE" w:rsidRDefault="00F826D0" w:rsidP="00D65F93">
            <w:pPr>
              <w:rPr>
                <w:rFonts w:eastAsia="Times New Roman"/>
                <w:color w:val="000000"/>
                <w:sz w:val="18"/>
                <w:szCs w:val="18"/>
              </w:rPr>
            </w:pPr>
            <w:r w:rsidRPr="003328EE">
              <w:rPr>
                <w:rFonts w:eastAsia="Times New Roman"/>
                <w:color w:val="000000"/>
                <w:sz w:val="18"/>
                <w:szCs w:val="18"/>
              </w:rPr>
              <w:t>Thompson et al., 1999</w:t>
            </w:r>
          </w:p>
        </w:tc>
        <w:tc>
          <w:tcPr>
            <w:tcW w:w="1156" w:type="dxa"/>
            <w:tcBorders>
              <w:top w:val="nil"/>
              <w:left w:val="nil"/>
              <w:bottom w:val="nil"/>
              <w:right w:val="nil"/>
            </w:tcBorders>
            <w:shd w:val="clear" w:color="auto" w:fill="auto"/>
            <w:noWrap/>
            <w:vAlign w:val="bottom"/>
            <w:hideMark/>
          </w:tcPr>
          <w:p w14:paraId="7E53B8C5" w14:textId="20F4242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02B2B70" w14:textId="77777777" w:rsidTr="00D65F93">
        <w:trPr>
          <w:trHeight w:val="320"/>
        </w:trPr>
        <w:tc>
          <w:tcPr>
            <w:tcW w:w="3545" w:type="dxa"/>
            <w:tcBorders>
              <w:top w:val="nil"/>
              <w:left w:val="nil"/>
              <w:bottom w:val="nil"/>
              <w:right w:val="nil"/>
            </w:tcBorders>
            <w:shd w:val="clear" w:color="auto" w:fill="auto"/>
            <w:noWrap/>
            <w:vAlign w:val="bottom"/>
            <w:hideMark/>
          </w:tcPr>
          <w:p w14:paraId="0E55F2AE" w14:textId="446AF2DF" w:rsidR="00F826D0" w:rsidRPr="003328EE" w:rsidRDefault="00F826D0" w:rsidP="00D65F93">
            <w:pPr>
              <w:rPr>
                <w:rFonts w:eastAsia="Times New Roman"/>
                <w:color w:val="000000"/>
                <w:sz w:val="18"/>
                <w:szCs w:val="18"/>
              </w:rPr>
            </w:pPr>
            <w:r w:rsidRPr="003328EE">
              <w:rPr>
                <w:rFonts w:eastAsia="Times New Roman"/>
                <w:color w:val="000000"/>
                <w:sz w:val="18"/>
                <w:szCs w:val="18"/>
              </w:rPr>
              <w:t>Exclusion by Plant-Based Eaters</w:t>
            </w:r>
          </w:p>
        </w:tc>
        <w:tc>
          <w:tcPr>
            <w:tcW w:w="3183" w:type="dxa"/>
            <w:tcBorders>
              <w:top w:val="nil"/>
              <w:left w:val="nil"/>
              <w:bottom w:val="nil"/>
              <w:right w:val="nil"/>
            </w:tcBorders>
            <w:shd w:val="clear" w:color="auto" w:fill="auto"/>
            <w:noWrap/>
            <w:vAlign w:val="bottom"/>
            <w:hideMark/>
          </w:tcPr>
          <w:p w14:paraId="124BC106" w14:textId="15769EB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7F38C56A" w14:textId="20BB557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FFA633A" w14:textId="1350493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3BD7B52" w14:textId="146BA7BB" w:rsidR="00F826D0" w:rsidRPr="003328EE" w:rsidRDefault="00F826D0" w:rsidP="00D65F93">
            <w:pPr>
              <w:rPr>
                <w:rFonts w:eastAsia="Times New Roman"/>
                <w:color w:val="000000"/>
                <w:sz w:val="18"/>
                <w:szCs w:val="18"/>
              </w:rPr>
            </w:pPr>
            <w:r w:rsidRPr="003328EE">
              <w:rPr>
                <w:rFonts w:eastAsia="Times New Roman"/>
                <w:color w:val="000000"/>
                <w:sz w:val="18"/>
                <w:szCs w:val="18"/>
              </w:rPr>
              <w:t>White et al., 2006</w:t>
            </w:r>
          </w:p>
        </w:tc>
        <w:tc>
          <w:tcPr>
            <w:tcW w:w="1156" w:type="dxa"/>
            <w:tcBorders>
              <w:top w:val="nil"/>
              <w:left w:val="nil"/>
              <w:bottom w:val="nil"/>
              <w:right w:val="nil"/>
            </w:tcBorders>
            <w:shd w:val="clear" w:color="auto" w:fill="auto"/>
            <w:noWrap/>
            <w:vAlign w:val="bottom"/>
            <w:hideMark/>
          </w:tcPr>
          <w:p w14:paraId="1730A4B3" w14:textId="1FDB859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7FDD19D" w14:textId="77777777" w:rsidTr="00D65F93">
        <w:trPr>
          <w:trHeight w:val="320"/>
        </w:trPr>
        <w:tc>
          <w:tcPr>
            <w:tcW w:w="3545" w:type="dxa"/>
            <w:tcBorders>
              <w:top w:val="nil"/>
              <w:left w:val="nil"/>
              <w:bottom w:val="nil"/>
              <w:right w:val="nil"/>
            </w:tcBorders>
            <w:shd w:val="clear" w:color="auto" w:fill="auto"/>
            <w:noWrap/>
            <w:vAlign w:val="bottom"/>
            <w:hideMark/>
          </w:tcPr>
          <w:p w14:paraId="532E3B4E" w14:textId="68CD2F45" w:rsidR="00F826D0" w:rsidRPr="003328EE" w:rsidRDefault="00F826D0" w:rsidP="00D65F93">
            <w:pPr>
              <w:rPr>
                <w:rFonts w:eastAsia="Times New Roman"/>
                <w:color w:val="000000"/>
                <w:sz w:val="18"/>
                <w:szCs w:val="18"/>
              </w:rPr>
            </w:pPr>
            <w:r w:rsidRPr="003328EE">
              <w:rPr>
                <w:rFonts w:eastAsia="Times New Roman"/>
                <w:color w:val="000000"/>
                <w:sz w:val="18"/>
                <w:szCs w:val="18"/>
              </w:rPr>
              <w:t>Fad Diets</w:t>
            </w:r>
          </w:p>
        </w:tc>
        <w:tc>
          <w:tcPr>
            <w:tcW w:w="3183" w:type="dxa"/>
            <w:tcBorders>
              <w:top w:val="nil"/>
              <w:left w:val="nil"/>
              <w:bottom w:val="nil"/>
              <w:right w:val="nil"/>
            </w:tcBorders>
            <w:shd w:val="clear" w:color="auto" w:fill="auto"/>
            <w:noWrap/>
            <w:vAlign w:val="bottom"/>
            <w:hideMark/>
          </w:tcPr>
          <w:p w14:paraId="2FA61473" w14:textId="3D6E601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116B55F3" w14:textId="20EB857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5DCCFA68" w14:textId="1F44E353"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BAF4B4A" w14:textId="74E0BBC0" w:rsidR="00F826D0" w:rsidRPr="003328EE" w:rsidRDefault="00F826D0" w:rsidP="00D65F93">
            <w:pPr>
              <w:rPr>
                <w:rFonts w:eastAsia="Times New Roman"/>
                <w:color w:val="000000"/>
                <w:sz w:val="18"/>
                <w:szCs w:val="18"/>
              </w:rPr>
            </w:pPr>
            <w:r w:rsidRPr="003328EE">
              <w:rPr>
                <w:rFonts w:eastAsia="Times New Roman"/>
                <w:color w:val="000000"/>
                <w:sz w:val="18"/>
                <w:szCs w:val="18"/>
              </w:rPr>
              <w:t>Palaniswamy, 2003</w:t>
            </w:r>
          </w:p>
        </w:tc>
        <w:tc>
          <w:tcPr>
            <w:tcW w:w="1156" w:type="dxa"/>
            <w:tcBorders>
              <w:top w:val="nil"/>
              <w:left w:val="nil"/>
              <w:bottom w:val="nil"/>
              <w:right w:val="nil"/>
            </w:tcBorders>
            <w:shd w:val="clear" w:color="auto" w:fill="auto"/>
            <w:noWrap/>
            <w:vAlign w:val="bottom"/>
            <w:hideMark/>
          </w:tcPr>
          <w:p w14:paraId="2EE811C0" w14:textId="60266613"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784E3BA5" w14:textId="77777777" w:rsidTr="00D65F93">
        <w:trPr>
          <w:trHeight w:val="320"/>
        </w:trPr>
        <w:tc>
          <w:tcPr>
            <w:tcW w:w="3545" w:type="dxa"/>
            <w:tcBorders>
              <w:top w:val="nil"/>
              <w:left w:val="nil"/>
              <w:bottom w:val="nil"/>
              <w:right w:val="nil"/>
            </w:tcBorders>
            <w:shd w:val="clear" w:color="auto" w:fill="auto"/>
            <w:noWrap/>
            <w:vAlign w:val="bottom"/>
            <w:hideMark/>
          </w:tcPr>
          <w:p w14:paraId="7F5F25DC" w14:textId="35EB08A1"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003C611C" w14:textId="42E2728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27663023" w14:textId="48501B68"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65174B4" w14:textId="3C936DC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DF6D1EA" w14:textId="71E2090E" w:rsidR="00F826D0" w:rsidRPr="003328EE" w:rsidRDefault="00F826D0" w:rsidP="00D65F93">
            <w:pPr>
              <w:rPr>
                <w:rFonts w:eastAsia="Times New Roman"/>
                <w:color w:val="000000"/>
                <w:sz w:val="18"/>
                <w:szCs w:val="18"/>
              </w:rPr>
            </w:pPr>
            <w:r w:rsidRPr="003328EE">
              <w:rPr>
                <w:rFonts w:eastAsia="Times New Roman"/>
                <w:color w:val="000000"/>
                <w:sz w:val="18"/>
                <w:szCs w:val="18"/>
              </w:rPr>
              <w:t>Hoek et al., 2011</w:t>
            </w:r>
          </w:p>
        </w:tc>
        <w:tc>
          <w:tcPr>
            <w:tcW w:w="1156" w:type="dxa"/>
            <w:tcBorders>
              <w:top w:val="nil"/>
              <w:left w:val="nil"/>
              <w:bottom w:val="nil"/>
              <w:right w:val="nil"/>
            </w:tcBorders>
            <w:shd w:val="clear" w:color="auto" w:fill="auto"/>
            <w:noWrap/>
            <w:vAlign w:val="bottom"/>
            <w:hideMark/>
          </w:tcPr>
          <w:p w14:paraId="10DFE483" w14:textId="2B51BDB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722ACE9" w14:textId="77777777" w:rsidTr="00D65F93">
        <w:trPr>
          <w:trHeight w:val="320"/>
        </w:trPr>
        <w:tc>
          <w:tcPr>
            <w:tcW w:w="3545" w:type="dxa"/>
            <w:tcBorders>
              <w:top w:val="nil"/>
              <w:left w:val="nil"/>
              <w:bottom w:val="nil"/>
              <w:right w:val="nil"/>
            </w:tcBorders>
            <w:shd w:val="clear" w:color="auto" w:fill="auto"/>
            <w:noWrap/>
            <w:vAlign w:val="bottom"/>
            <w:hideMark/>
          </w:tcPr>
          <w:p w14:paraId="6C5322C6" w14:textId="42254321"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4C69ED41" w14:textId="03D42CD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16BFC30A" w14:textId="75D1EFD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55AA03BD" w14:textId="63B27A47"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765E50D5" w14:textId="03F8C2CA" w:rsidR="00F826D0" w:rsidRPr="003328EE" w:rsidRDefault="00F826D0" w:rsidP="00D65F93">
            <w:pPr>
              <w:rPr>
                <w:rFonts w:eastAsia="Times New Roman"/>
                <w:color w:val="000000"/>
                <w:sz w:val="18"/>
                <w:szCs w:val="18"/>
              </w:rPr>
            </w:pPr>
            <w:r w:rsidRPr="003328EE">
              <w:rPr>
                <w:rFonts w:eastAsia="Times New Roman"/>
                <w:color w:val="000000"/>
                <w:sz w:val="18"/>
                <w:szCs w:val="18"/>
              </w:rPr>
              <w:t>Fleming et al., 1997</w:t>
            </w:r>
          </w:p>
        </w:tc>
        <w:tc>
          <w:tcPr>
            <w:tcW w:w="1156" w:type="dxa"/>
            <w:tcBorders>
              <w:top w:val="nil"/>
              <w:left w:val="nil"/>
              <w:bottom w:val="nil"/>
              <w:right w:val="nil"/>
            </w:tcBorders>
            <w:shd w:val="clear" w:color="auto" w:fill="auto"/>
            <w:noWrap/>
            <w:vAlign w:val="bottom"/>
            <w:hideMark/>
          </w:tcPr>
          <w:p w14:paraId="1B500028" w14:textId="5F0189A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793368A" w14:textId="77777777" w:rsidTr="00D65F93">
        <w:trPr>
          <w:trHeight w:val="320"/>
        </w:trPr>
        <w:tc>
          <w:tcPr>
            <w:tcW w:w="3545" w:type="dxa"/>
            <w:tcBorders>
              <w:top w:val="nil"/>
              <w:left w:val="nil"/>
              <w:bottom w:val="nil"/>
              <w:right w:val="nil"/>
            </w:tcBorders>
            <w:shd w:val="clear" w:color="auto" w:fill="auto"/>
            <w:noWrap/>
            <w:vAlign w:val="bottom"/>
            <w:hideMark/>
          </w:tcPr>
          <w:p w14:paraId="38505131" w14:textId="6FDF5961"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7C47A9E0" w14:textId="29674AC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644CF7D9" w14:textId="20C82D5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77CD3B3C" w14:textId="544DEED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17667339" w14:textId="1F06936A" w:rsidR="00F826D0" w:rsidRPr="003328EE" w:rsidRDefault="00F826D0" w:rsidP="00D65F93">
            <w:pPr>
              <w:rPr>
                <w:rFonts w:eastAsia="Times New Roman"/>
                <w:color w:val="000000"/>
                <w:sz w:val="18"/>
                <w:szCs w:val="18"/>
              </w:rPr>
            </w:pPr>
            <w:r w:rsidRPr="003328EE">
              <w:rPr>
                <w:rFonts w:eastAsia="Times New Roman"/>
                <w:color w:val="000000"/>
                <w:sz w:val="18"/>
                <w:szCs w:val="18"/>
              </w:rPr>
              <w:t>Pohjolainen et al., 2014</w:t>
            </w:r>
          </w:p>
        </w:tc>
        <w:tc>
          <w:tcPr>
            <w:tcW w:w="1156" w:type="dxa"/>
            <w:tcBorders>
              <w:top w:val="nil"/>
              <w:left w:val="nil"/>
              <w:bottom w:val="nil"/>
              <w:right w:val="nil"/>
            </w:tcBorders>
            <w:shd w:val="clear" w:color="auto" w:fill="auto"/>
            <w:noWrap/>
            <w:vAlign w:val="bottom"/>
            <w:hideMark/>
          </w:tcPr>
          <w:p w14:paraId="505F0016" w14:textId="15F02665"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BD6A4BB" w14:textId="77777777" w:rsidTr="00D65F93">
        <w:trPr>
          <w:trHeight w:val="320"/>
        </w:trPr>
        <w:tc>
          <w:tcPr>
            <w:tcW w:w="3545" w:type="dxa"/>
            <w:tcBorders>
              <w:top w:val="nil"/>
              <w:left w:val="nil"/>
              <w:bottom w:val="nil"/>
              <w:right w:val="nil"/>
            </w:tcBorders>
            <w:shd w:val="clear" w:color="auto" w:fill="auto"/>
            <w:noWrap/>
            <w:vAlign w:val="bottom"/>
            <w:hideMark/>
          </w:tcPr>
          <w:p w14:paraId="15A03137" w14:textId="77338469"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3D8CBFBB" w14:textId="5059C61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5BA43DFA" w14:textId="1D8F170C"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6EA7FE1" w14:textId="1A796014"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D38AF55" w14:textId="4AF9633C" w:rsidR="00F826D0" w:rsidRPr="003328EE" w:rsidRDefault="00F826D0" w:rsidP="00D65F93">
            <w:pPr>
              <w:rPr>
                <w:rFonts w:eastAsia="Times New Roman"/>
                <w:color w:val="000000"/>
                <w:sz w:val="18"/>
                <w:szCs w:val="18"/>
              </w:rPr>
            </w:pPr>
            <w:r w:rsidRPr="003328EE">
              <w:rPr>
                <w:rFonts w:eastAsia="Times New Roman"/>
                <w:color w:val="000000"/>
                <w:sz w:val="18"/>
                <w:szCs w:val="18"/>
              </w:rPr>
              <w:t>Wnsink et al., 2014</w:t>
            </w:r>
          </w:p>
        </w:tc>
        <w:tc>
          <w:tcPr>
            <w:tcW w:w="1156" w:type="dxa"/>
            <w:tcBorders>
              <w:top w:val="nil"/>
              <w:left w:val="nil"/>
              <w:bottom w:val="nil"/>
              <w:right w:val="nil"/>
            </w:tcBorders>
            <w:shd w:val="clear" w:color="auto" w:fill="auto"/>
            <w:noWrap/>
            <w:vAlign w:val="bottom"/>
            <w:hideMark/>
          </w:tcPr>
          <w:p w14:paraId="72AB2C7D" w14:textId="0BAFD4B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05D37D1" w14:textId="77777777" w:rsidTr="00D65F93">
        <w:trPr>
          <w:trHeight w:val="320"/>
        </w:trPr>
        <w:tc>
          <w:tcPr>
            <w:tcW w:w="3545" w:type="dxa"/>
            <w:tcBorders>
              <w:top w:val="nil"/>
              <w:left w:val="nil"/>
              <w:bottom w:val="nil"/>
              <w:right w:val="nil"/>
            </w:tcBorders>
            <w:shd w:val="clear" w:color="auto" w:fill="auto"/>
            <w:noWrap/>
            <w:vAlign w:val="bottom"/>
            <w:hideMark/>
          </w:tcPr>
          <w:p w14:paraId="647A745F" w14:textId="6F139F45" w:rsidR="00F826D0" w:rsidRPr="003328EE" w:rsidRDefault="00F826D0" w:rsidP="00D65F93">
            <w:pPr>
              <w:rPr>
                <w:rFonts w:eastAsia="Times New Roman"/>
                <w:color w:val="000000"/>
                <w:sz w:val="18"/>
                <w:szCs w:val="18"/>
              </w:rPr>
            </w:pPr>
            <w:r w:rsidRPr="003328EE">
              <w:rPr>
                <w:rFonts w:eastAsia="Times New Roman"/>
                <w:color w:val="000000"/>
                <w:sz w:val="18"/>
                <w:szCs w:val="18"/>
              </w:rPr>
              <w:t>Friends/Family</w:t>
            </w:r>
          </w:p>
        </w:tc>
        <w:tc>
          <w:tcPr>
            <w:tcW w:w="3183" w:type="dxa"/>
            <w:tcBorders>
              <w:top w:val="nil"/>
              <w:left w:val="nil"/>
              <w:bottom w:val="nil"/>
              <w:right w:val="nil"/>
            </w:tcBorders>
            <w:shd w:val="clear" w:color="auto" w:fill="auto"/>
            <w:noWrap/>
            <w:vAlign w:val="bottom"/>
            <w:hideMark/>
          </w:tcPr>
          <w:p w14:paraId="48CF4391" w14:textId="3BFEE98F"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525FF076" w14:textId="2DF759B9"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598B017" w14:textId="1A25FEEC"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0DA8384D" w14:textId="34E15EFD" w:rsidR="00F826D0" w:rsidRPr="003328EE" w:rsidRDefault="00F826D0" w:rsidP="00D65F93">
            <w:pPr>
              <w:rPr>
                <w:rFonts w:eastAsia="Times New Roman"/>
                <w:color w:val="000000"/>
                <w:sz w:val="18"/>
                <w:szCs w:val="18"/>
              </w:rPr>
            </w:pPr>
            <w:r w:rsidRPr="003328EE">
              <w:rPr>
                <w:rFonts w:eastAsia="Times New Roman"/>
                <w:color w:val="000000"/>
                <w:sz w:val="18"/>
                <w:szCs w:val="18"/>
              </w:rPr>
              <w:t>Cho et al., 2015</w:t>
            </w:r>
          </w:p>
        </w:tc>
        <w:tc>
          <w:tcPr>
            <w:tcW w:w="1156" w:type="dxa"/>
            <w:tcBorders>
              <w:top w:val="nil"/>
              <w:left w:val="nil"/>
              <w:bottom w:val="nil"/>
              <w:right w:val="nil"/>
            </w:tcBorders>
            <w:shd w:val="clear" w:color="auto" w:fill="auto"/>
            <w:noWrap/>
            <w:vAlign w:val="bottom"/>
            <w:hideMark/>
          </w:tcPr>
          <w:p w14:paraId="0984A291" w14:textId="0C80F7F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6E0EAAA" w14:textId="77777777" w:rsidTr="00D65F93">
        <w:trPr>
          <w:trHeight w:val="320"/>
        </w:trPr>
        <w:tc>
          <w:tcPr>
            <w:tcW w:w="3545" w:type="dxa"/>
            <w:tcBorders>
              <w:top w:val="nil"/>
              <w:left w:val="nil"/>
              <w:bottom w:val="nil"/>
              <w:right w:val="nil"/>
            </w:tcBorders>
            <w:shd w:val="clear" w:color="auto" w:fill="auto"/>
            <w:noWrap/>
            <w:vAlign w:val="bottom"/>
            <w:hideMark/>
          </w:tcPr>
          <w:p w14:paraId="53332E08" w14:textId="38AA1129" w:rsidR="00F826D0" w:rsidRPr="003328EE" w:rsidRDefault="00F826D0" w:rsidP="00D65F93">
            <w:pPr>
              <w:rPr>
                <w:rFonts w:eastAsia="Times New Roman"/>
                <w:color w:val="000000"/>
                <w:sz w:val="18"/>
                <w:szCs w:val="18"/>
              </w:rPr>
            </w:pPr>
            <w:r w:rsidRPr="003328EE">
              <w:rPr>
                <w:rFonts w:eastAsia="Times New Roman"/>
                <w:color w:val="000000"/>
                <w:sz w:val="18"/>
                <w:szCs w:val="18"/>
              </w:rPr>
              <w:t>Geographic Location</w:t>
            </w:r>
          </w:p>
        </w:tc>
        <w:tc>
          <w:tcPr>
            <w:tcW w:w="3183" w:type="dxa"/>
            <w:tcBorders>
              <w:top w:val="nil"/>
              <w:left w:val="nil"/>
              <w:bottom w:val="nil"/>
              <w:right w:val="nil"/>
            </w:tcBorders>
            <w:shd w:val="clear" w:color="auto" w:fill="auto"/>
            <w:noWrap/>
            <w:vAlign w:val="bottom"/>
            <w:hideMark/>
          </w:tcPr>
          <w:p w14:paraId="6D79D254" w14:textId="7EE8B0AE"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7586D028" w14:textId="0286997C"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FEC813F" w14:textId="1BBD1043"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F272B53" w14:textId="20B24C97" w:rsidR="00F826D0" w:rsidRPr="003328EE" w:rsidRDefault="00F826D0" w:rsidP="00D65F93">
            <w:pPr>
              <w:rPr>
                <w:rFonts w:eastAsia="Times New Roman"/>
                <w:color w:val="000000"/>
                <w:sz w:val="18"/>
                <w:szCs w:val="18"/>
              </w:rPr>
            </w:pPr>
            <w:r w:rsidRPr="003328EE">
              <w:rPr>
                <w:rFonts w:eastAsia="Times New Roman"/>
                <w:color w:val="000000"/>
                <w:sz w:val="18"/>
                <w:szCs w:val="18"/>
              </w:rPr>
              <w:t>Hoek et al., 2004</w:t>
            </w:r>
          </w:p>
        </w:tc>
        <w:tc>
          <w:tcPr>
            <w:tcW w:w="1156" w:type="dxa"/>
            <w:tcBorders>
              <w:top w:val="nil"/>
              <w:left w:val="nil"/>
              <w:bottom w:val="nil"/>
              <w:right w:val="nil"/>
            </w:tcBorders>
            <w:shd w:val="clear" w:color="auto" w:fill="auto"/>
            <w:noWrap/>
            <w:vAlign w:val="bottom"/>
            <w:hideMark/>
          </w:tcPr>
          <w:p w14:paraId="5CB5D608" w14:textId="39BCC4D1"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6E2021B8" w14:textId="77777777" w:rsidTr="00D65F93">
        <w:trPr>
          <w:trHeight w:val="320"/>
        </w:trPr>
        <w:tc>
          <w:tcPr>
            <w:tcW w:w="3545" w:type="dxa"/>
            <w:tcBorders>
              <w:top w:val="nil"/>
              <w:left w:val="nil"/>
              <w:bottom w:val="nil"/>
              <w:right w:val="nil"/>
            </w:tcBorders>
            <w:shd w:val="clear" w:color="auto" w:fill="auto"/>
            <w:noWrap/>
            <w:vAlign w:val="bottom"/>
            <w:hideMark/>
          </w:tcPr>
          <w:p w14:paraId="3D975BF7" w14:textId="74488D7B" w:rsidR="00F826D0" w:rsidRPr="003328EE" w:rsidRDefault="00F826D0" w:rsidP="00D65F93">
            <w:pPr>
              <w:rPr>
                <w:rFonts w:eastAsia="Times New Roman"/>
                <w:color w:val="000000"/>
                <w:sz w:val="18"/>
                <w:szCs w:val="18"/>
              </w:rPr>
            </w:pPr>
            <w:r w:rsidRPr="003328EE">
              <w:rPr>
                <w:rFonts w:eastAsia="Times New Roman"/>
                <w:color w:val="000000"/>
                <w:sz w:val="18"/>
                <w:szCs w:val="18"/>
              </w:rPr>
              <w:t>Life-Course Trajectory</w:t>
            </w:r>
          </w:p>
        </w:tc>
        <w:tc>
          <w:tcPr>
            <w:tcW w:w="3183" w:type="dxa"/>
            <w:tcBorders>
              <w:top w:val="nil"/>
              <w:left w:val="nil"/>
              <w:bottom w:val="nil"/>
              <w:right w:val="nil"/>
            </w:tcBorders>
            <w:shd w:val="clear" w:color="auto" w:fill="auto"/>
            <w:noWrap/>
            <w:vAlign w:val="bottom"/>
            <w:hideMark/>
          </w:tcPr>
          <w:p w14:paraId="72AFF542" w14:textId="2BB9325B"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6360DFB5" w14:textId="3E7A37E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67310FA" w14:textId="2DAC7CF3"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75F01B6" w14:textId="03F1619C" w:rsidR="00F826D0" w:rsidRPr="003328EE" w:rsidRDefault="00F826D0" w:rsidP="00D65F93">
            <w:pPr>
              <w:rPr>
                <w:rFonts w:eastAsia="Times New Roman"/>
                <w:color w:val="000000"/>
                <w:sz w:val="18"/>
                <w:szCs w:val="18"/>
              </w:rPr>
            </w:pPr>
            <w:r w:rsidRPr="003328EE">
              <w:rPr>
                <w:rFonts w:eastAsia="Times New Roman"/>
                <w:color w:val="000000"/>
                <w:sz w:val="18"/>
                <w:szCs w:val="18"/>
              </w:rPr>
              <w:t>Fox &amp; Ward, 2008</w:t>
            </w:r>
          </w:p>
        </w:tc>
        <w:tc>
          <w:tcPr>
            <w:tcW w:w="1156" w:type="dxa"/>
            <w:tcBorders>
              <w:top w:val="nil"/>
              <w:left w:val="nil"/>
              <w:bottom w:val="nil"/>
              <w:right w:val="nil"/>
            </w:tcBorders>
            <w:shd w:val="clear" w:color="auto" w:fill="auto"/>
            <w:noWrap/>
            <w:vAlign w:val="bottom"/>
            <w:hideMark/>
          </w:tcPr>
          <w:p w14:paraId="72D19A7A" w14:textId="7D67BA8F"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70C7A09" w14:textId="77777777" w:rsidTr="00D65F93">
        <w:trPr>
          <w:trHeight w:val="320"/>
        </w:trPr>
        <w:tc>
          <w:tcPr>
            <w:tcW w:w="3545" w:type="dxa"/>
            <w:tcBorders>
              <w:top w:val="nil"/>
              <w:left w:val="nil"/>
              <w:bottom w:val="nil"/>
              <w:right w:val="nil"/>
            </w:tcBorders>
            <w:shd w:val="clear" w:color="auto" w:fill="auto"/>
            <w:noWrap/>
            <w:vAlign w:val="bottom"/>
            <w:hideMark/>
          </w:tcPr>
          <w:p w14:paraId="61BA8328" w14:textId="65C81199" w:rsidR="00F826D0" w:rsidRPr="003328EE" w:rsidRDefault="00F826D0" w:rsidP="00D65F93">
            <w:pPr>
              <w:rPr>
                <w:rFonts w:eastAsia="Times New Roman"/>
                <w:color w:val="000000"/>
                <w:sz w:val="18"/>
                <w:szCs w:val="18"/>
              </w:rPr>
            </w:pPr>
            <w:r w:rsidRPr="003328EE">
              <w:rPr>
                <w:rFonts w:eastAsia="Times New Roman"/>
                <w:color w:val="000000"/>
                <w:sz w:val="18"/>
                <w:szCs w:val="18"/>
              </w:rPr>
              <w:t>Over-Control</w:t>
            </w:r>
          </w:p>
        </w:tc>
        <w:tc>
          <w:tcPr>
            <w:tcW w:w="3183" w:type="dxa"/>
            <w:tcBorders>
              <w:top w:val="nil"/>
              <w:left w:val="nil"/>
              <w:bottom w:val="nil"/>
              <w:right w:val="nil"/>
            </w:tcBorders>
            <w:shd w:val="clear" w:color="auto" w:fill="auto"/>
            <w:noWrap/>
            <w:vAlign w:val="bottom"/>
            <w:hideMark/>
          </w:tcPr>
          <w:p w14:paraId="4B46845A" w14:textId="19E3046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6B503CF8" w14:textId="649DB6E3"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003FF2DB" w14:textId="2E04F74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054594E" w14:textId="2A229EE5" w:rsidR="00F826D0" w:rsidRPr="003328EE" w:rsidRDefault="00F826D0" w:rsidP="00D65F93">
            <w:pPr>
              <w:rPr>
                <w:rFonts w:eastAsia="Times New Roman"/>
                <w:color w:val="000000"/>
                <w:sz w:val="18"/>
                <w:szCs w:val="18"/>
              </w:rPr>
            </w:pPr>
            <w:r w:rsidRPr="003328EE">
              <w:rPr>
                <w:rFonts w:eastAsia="Times New Roman"/>
                <w:color w:val="000000"/>
                <w:sz w:val="18"/>
                <w:szCs w:val="18"/>
              </w:rPr>
              <w:t>Hill, 2002</w:t>
            </w:r>
          </w:p>
        </w:tc>
        <w:tc>
          <w:tcPr>
            <w:tcW w:w="1156" w:type="dxa"/>
            <w:tcBorders>
              <w:top w:val="nil"/>
              <w:left w:val="nil"/>
              <w:bottom w:val="nil"/>
              <w:right w:val="nil"/>
            </w:tcBorders>
            <w:shd w:val="clear" w:color="auto" w:fill="auto"/>
            <w:noWrap/>
            <w:vAlign w:val="bottom"/>
            <w:hideMark/>
          </w:tcPr>
          <w:p w14:paraId="2EF2E373" w14:textId="00445EA5"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2D1A1B03" w14:textId="77777777" w:rsidTr="00D65F93">
        <w:trPr>
          <w:trHeight w:val="320"/>
        </w:trPr>
        <w:tc>
          <w:tcPr>
            <w:tcW w:w="3545" w:type="dxa"/>
            <w:tcBorders>
              <w:top w:val="nil"/>
              <w:left w:val="nil"/>
              <w:bottom w:val="nil"/>
              <w:right w:val="nil"/>
            </w:tcBorders>
            <w:shd w:val="clear" w:color="auto" w:fill="auto"/>
            <w:noWrap/>
            <w:vAlign w:val="bottom"/>
            <w:hideMark/>
          </w:tcPr>
          <w:p w14:paraId="74B27B24" w14:textId="5608AC47" w:rsidR="00F826D0" w:rsidRPr="003328EE" w:rsidRDefault="00F826D0" w:rsidP="00D65F93">
            <w:pPr>
              <w:rPr>
                <w:rFonts w:eastAsia="Times New Roman"/>
                <w:color w:val="000000"/>
                <w:sz w:val="18"/>
                <w:szCs w:val="18"/>
              </w:rPr>
            </w:pPr>
            <w:r w:rsidRPr="003328EE">
              <w:rPr>
                <w:rFonts w:eastAsia="Times New Roman"/>
                <w:color w:val="000000"/>
                <w:sz w:val="18"/>
                <w:szCs w:val="18"/>
              </w:rPr>
              <w:t>Prenatal Exposure</w:t>
            </w:r>
          </w:p>
        </w:tc>
        <w:tc>
          <w:tcPr>
            <w:tcW w:w="3183" w:type="dxa"/>
            <w:tcBorders>
              <w:top w:val="nil"/>
              <w:left w:val="nil"/>
              <w:bottom w:val="nil"/>
              <w:right w:val="nil"/>
            </w:tcBorders>
            <w:shd w:val="clear" w:color="auto" w:fill="auto"/>
            <w:noWrap/>
            <w:vAlign w:val="bottom"/>
            <w:hideMark/>
          </w:tcPr>
          <w:p w14:paraId="7E2B060A" w14:textId="38A19B08"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5393B879" w14:textId="6E3878C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6518EA1F" w14:textId="783267C0"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7DAA43F" w14:textId="188511A2" w:rsidR="00F826D0" w:rsidRPr="003328EE" w:rsidRDefault="00F826D0" w:rsidP="00D65F93">
            <w:pPr>
              <w:rPr>
                <w:rFonts w:eastAsia="Times New Roman"/>
                <w:color w:val="000000"/>
                <w:sz w:val="18"/>
                <w:szCs w:val="18"/>
              </w:rPr>
            </w:pPr>
            <w:r w:rsidRPr="003328EE">
              <w:rPr>
                <w:rFonts w:eastAsia="Times New Roman"/>
                <w:color w:val="000000"/>
                <w:sz w:val="18"/>
                <w:szCs w:val="18"/>
              </w:rPr>
              <w:t>Yuan et al., 2016</w:t>
            </w:r>
          </w:p>
        </w:tc>
        <w:tc>
          <w:tcPr>
            <w:tcW w:w="1156" w:type="dxa"/>
            <w:tcBorders>
              <w:top w:val="nil"/>
              <w:left w:val="nil"/>
              <w:bottom w:val="nil"/>
              <w:right w:val="nil"/>
            </w:tcBorders>
            <w:shd w:val="clear" w:color="auto" w:fill="auto"/>
            <w:noWrap/>
            <w:vAlign w:val="bottom"/>
            <w:hideMark/>
          </w:tcPr>
          <w:p w14:paraId="69DBB776" w14:textId="230D2348"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BC26957" w14:textId="77777777" w:rsidTr="00D65F93">
        <w:trPr>
          <w:trHeight w:val="320"/>
        </w:trPr>
        <w:tc>
          <w:tcPr>
            <w:tcW w:w="3545" w:type="dxa"/>
            <w:tcBorders>
              <w:top w:val="nil"/>
              <w:left w:val="nil"/>
              <w:bottom w:val="nil"/>
              <w:right w:val="nil"/>
            </w:tcBorders>
            <w:shd w:val="clear" w:color="auto" w:fill="auto"/>
            <w:noWrap/>
            <w:vAlign w:val="bottom"/>
            <w:hideMark/>
          </w:tcPr>
          <w:p w14:paraId="5D8B0034" w14:textId="48D8292E" w:rsidR="00F826D0" w:rsidRPr="003328EE" w:rsidRDefault="00F826D0" w:rsidP="00D65F93">
            <w:pPr>
              <w:rPr>
                <w:rFonts w:eastAsia="Times New Roman"/>
                <w:color w:val="000000"/>
                <w:sz w:val="18"/>
                <w:szCs w:val="18"/>
              </w:rPr>
            </w:pPr>
            <w:r w:rsidRPr="003328EE">
              <w:rPr>
                <w:rFonts w:eastAsia="Times New Roman"/>
                <w:color w:val="000000"/>
                <w:sz w:val="18"/>
                <w:szCs w:val="18"/>
              </w:rPr>
              <w:t>Reliance on Others</w:t>
            </w:r>
          </w:p>
        </w:tc>
        <w:tc>
          <w:tcPr>
            <w:tcW w:w="3183" w:type="dxa"/>
            <w:tcBorders>
              <w:top w:val="nil"/>
              <w:left w:val="nil"/>
              <w:bottom w:val="nil"/>
              <w:right w:val="nil"/>
            </w:tcBorders>
            <w:shd w:val="clear" w:color="auto" w:fill="auto"/>
            <w:noWrap/>
            <w:vAlign w:val="bottom"/>
            <w:hideMark/>
          </w:tcPr>
          <w:p w14:paraId="3893BAFC" w14:textId="40763343"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16792533" w14:textId="46C868D7"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094CC3A" w14:textId="48BCA72B"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76B977A" w14:textId="491D5084" w:rsidR="00F826D0" w:rsidRPr="003328EE" w:rsidRDefault="00F826D0" w:rsidP="00D65F93">
            <w:pPr>
              <w:rPr>
                <w:rFonts w:eastAsia="Times New Roman"/>
                <w:color w:val="000000"/>
                <w:sz w:val="18"/>
                <w:szCs w:val="18"/>
              </w:rPr>
            </w:pPr>
            <w:r w:rsidRPr="003328EE">
              <w:rPr>
                <w:rFonts w:eastAsia="Times New Roman"/>
                <w:color w:val="000000"/>
                <w:sz w:val="18"/>
                <w:szCs w:val="18"/>
              </w:rPr>
              <w:t>Grace et al., 2016</w:t>
            </w:r>
          </w:p>
        </w:tc>
        <w:tc>
          <w:tcPr>
            <w:tcW w:w="1156" w:type="dxa"/>
            <w:tcBorders>
              <w:top w:val="nil"/>
              <w:left w:val="nil"/>
              <w:bottom w:val="nil"/>
              <w:right w:val="nil"/>
            </w:tcBorders>
            <w:shd w:val="clear" w:color="auto" w:fill="auto"/>
            <w:noWrap/>
            <w:vAlign w:val="bottom"/>
            <w:hideMark/>
          </w:tcPr>
          <w:p w14:paraId="659EE4F5" w14:textId="0989AFB9"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9ADA283" w14:textId="77777777" w:rsidTr="00D65F93">
        <w:trPr>
          <w:trHeight w:val="320"/>
        </w:trPr>
        <w:tc>
          <w:tcPr>
            <w:tcW w:w="3545" w:type="dxa"/>
            <w:tcBorders>
              <w:top w:val="nil"/>
              <w:left w:val="nil"/>
              <w:bottom w:val="nil"/>
              <w:right w:val="nil"/>
            </w:tcBorders>
            <w:shd w:val="clear" w:color="auto" w:fill="auto"/>
            <w:noWrap/>
            <w:vAlign w:val="bottom"/>
            <w:hideMark/>
          </w:tcPr>
          <w:p w14:paraId="0C4FFC62" w14:textId="2F6D7441" w:rsidR="00F826D0" w:rsidRPr="003328EE" w:rsidRDefault="00F826D0" w:rsidP="00D65F93">
            <w:pPr>
              <w:rPr>
                <w:rFonts w:eastAsia="Times New Roman"/>
                <w:color w:val="000000"/>
                <w:sz w:val="18"/>
                <w:szCs w:val="18"/>
              </w:rPr>
            </w:pPr>
            <w:r w:rsidRPr="003328EE">
              <w:rPr>
                <w:rFonts w:eastAsia="Times New Roman"/>
                <w:color w:val="000000"/>
                <w:sz w:val="18"/>
                <w:szCs w:val="18"/>
              </w:rPr>
              <w:t>Religious</w:t>
            </w:r>
          </w:p>
        </w:tc>
        <w:tc>
          <w:tcPr>
            <w:tcW w:w="3183" w:type="dxa"/>
            <w:tcBorders>
              <w:top w:val="nil"/>
              <w:left w:val="nil"/>
              <w:bottom w:val="nil"/>
              <w:right w:val="nil"/>
            </w:tcBorders>
            <w:shd w:val="clear" w:color="auto" w:fill="auto"/>
            <w:noWrap/>
            <w:vAlign w:val="bottom"/>
            <w:hideMark/>
          </w:tcPr>
          <w:p w14:paraId="739203E8" w14:textId="60D901C7"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43ACBFFC" w14:textId="4DE8B2A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554E052E" w14:textId="50BB41F9"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D299F5C" w14:textId="10037B1D" w:rsidR="00F826D0" w:rsidRPr="003328EE" w:rsidRDefault="00F826D0" w:rsidP="00D65F93">
            <w:pPr>
              <w:rPr>
                <w:rFonts w:eastAsia="Times New Roman"/>
                <w:color w:val="000000"/>
                <w:sz w:val="18"/>
                <w:szCs w:val="18"/>
              </w:rPr>
            </w:pPr>
            <w:r w:rsidRPr="003328EE">
              <w:rPr>
                <w:rFonts w:eastAsia="Times New Roman"/>
                <w:color w:val="000000"/>
                <w:sz w:val="18"/>
                <w:szCs w:val="18"/>
              </w:rPr>
              <w:t>Rothgerber, 2013</w:t>
            </w:r>
          </w:p>
        </w:tc>
        <w:tc>
          <w:tcPr>
            <w:tcW w:w="1156" w:type="dxa"/>
            <w:tcBorders>
              <w:top w:val="nil"/>
              <w:left w:val="nil"/>
              <w:bottom w:val="nil"/>
              <w:right w:val="nil"/>
            </w:tcBorders>
            <w:shd w:val="clear" w:color="auto" w:fill="auto"/>
            <w:noWrap/>
            <w:vAlign w:val="bottom"/>
            <w:hideMark/>
          </w:tcPr>
          <w:p w14:paraId="30D36A9C" w14:textId="5FCB083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309DACD6" w14:textId="77777777" w:rsidTr="00D65F93">
        <w:trPr>
          <w:trHeight w:val="320"/>
        </w:trPr>
        <w:tc>
          <w:tcPr>
            <w:tcW w:w="3545" w:type="dxa"/>
            <w:tcBorders>
              <w:top w:val="nil"/>
              <w:left w:val="nil"/>
              <w:bottom w:val="nil"/>
              <w:right w:val="nil"/>
            </w:tcBorders>
            <w:shd w:val="clear" w:color="auto" w:fill="auto"/>
            <w:noWrap/>
            <w:vAlign w:val="bottom"/>
            <w:hideMark/>
          </w:tcPr>
          <w:p w14:paraId="55404C23" w14:textId="0998BAA0" w:rsidR="00F826D0" w:rsidRPr="003328EE" w:rsidRDefault="00F826D0" w:rsidP="00D65F93">
            <w:pPr>
              <w:rPr>
                <w:rFonts w:eastAsia="Times New Roman"/>
                <w:color w:val="000000"/>
                <w:sz w:val="18"/>
                <w:szCs w:val="18"/>
              </w:rPr>
            </w:pPr>
            <w:r w:rsidRPr="003328EE">
              <w:rPr>
                <w:rFonts w:eastAsia="Times New Roman"/>
                <w:color w:val="000000"/>
                <w:sz w:val="18"/>
                <w:szCs w:val="18"/>
              </w:rPr>
              <w:t>Reward-Related Impulsivity</w:t>
            </w:r>
          </w:p>
        </w:tc>
        <w:tc>
          <w:tcPr>
            <w:tcW w:w="3183" w:type="dxa"/>
            <w:tcBorders>
              <w:top w:val="nil"/>
              <w:left w:val="nil"/>
              <w:bottom w:val="nil"/>
              <w:right w:val="nil"/>
            </w:tcBorders>
            <w:shd w:val="clear" w:color="auto" w:fill="auto"/>
            <w:noWrap/>
            <w:vAlign w:val="bottom"/>
            <w:hideMark/>
          </w:tcPr>
          <w:p w14:paraId="1EB5BEAC" w14:textId="7A29FF9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3D608BCD" w14:textId="42D6B7E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BDFFD9B" w14:textId="69C0A3E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1B10FDC0" w14:textId="796C0B06" w:rsidR="00F826D0" w:rsidRPr="003328EE" w:rsidRDefault="00F826D0" w:rsidP="00D65F93">
            <w:pPr>
              <w:rPr>
                <w:rFonts w:eastAsia="Times New Roman"/>
                <w:color w:val="000000"/>
                <w:sz w:val="18"/>
                <w:szCs w:val="18"/>
              </w:rPr>
            </w:pPr>
            <w:r w:rsidRPr="003328EE">
              <w:rPr>
                <w:rFonts w:eastAsia="Times New Roman"/>
                <w:color w:val="000000"/>
                <w:sz w:val="18"/>
                <w:szCs w:val="18"/>
              </w:rPr>
              <w:t>Nederkoorn et al., 2009</w:t>
            </w:r>
          </w:p>
        </w:tc>
        <w:tc>
          <w:tcPr>
            <w:tcW w:w="1156" w:type="dxa"/>
            <w:tcBorders>
              <w:top w:val="nil"/>
              <w:left w:val="nil"/>
              <w:bottom w:val="nil"/>
              <w:right w:val="nil"/>
            </w:tcBorders>
            <w:shd w:val="clear" w:color="auto" w:fill="auto"/>
            <w:noWrap/>
            <w:vAlign w:val="bottom"/>
            <w:hideMark/>
          </w:tcPr>
          <w:p w14:paraId="75E36B70" w14:textId="4A997C74"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48CDA430" w14:textId="77777777" w:rsidTr="00D65F93">
        <w:trPr>
          <w:trHeight w:val="320"/>
        </w:trPr>
        <w:tc>
          <w:tcPr>
            <w:tcW w:w="3545" w:type="dxa"/>
            <w:tcBorders>
              <w:top w:val="nil"/>
              <w:left w:val="nil"/>
              <w:bottom w:val="nil"/>
              <w:right w:val="nil"/>
            </w:tcBorders>
            <w:shd w:val="clear" w:color="auto" w:fill="auto"/>
            <w:noWrap/>
            <w:vAlign w:val="bottom"/>
            <w:hideMark/>
          </w:tcPr>
          <w:p w14:paraId="2BFC5F0A" w14:textId="5A824865" w:rsidR="00F826D0" w:rsidRPr="003328EE" w:rsidRDefault="00F826D0" w:rsidP="00D65F93">
            <w:pPr>
              <w:rPr>
                <w:rFonts w:eastAsia="Times New Roman"/>
                <w:color w:val="000000"/>
                <w:sz w:val="18"/>
                <w:szCs w:val="18"/>
              </w:rPr>
            </w:pPr>
            <w:r w:rsidRPr="003328EE">
              <w:rPr>
                <w:rFonts w:eastAsia="Times New Roman"/>
                <w:color w:val="000000"/>
                <w:sz w:val="18"/>
                <w:szCs w:val="18"/>
              </w:rPr>
              <w:t>Social Norms</w:t>
            </w:r>
          </w:p>
        </w:tc>
        <w:tc>
          <w:tcPr>
            <w:tcW w:w="3183" w:type="dxa"/>
            <w:tcBorders>
              <w:top w:val="nil"/>
              <w:left w:val="nil"/>
              <w:bottom w:val="nil"/>
              <w:right w:val="nil"/>
            </w:tcBorders>
            <w:shd w:val="clear" w:color="auto" w:fill="auto"/>
            <w:noWrap/>
            <w:vAlign w:val="bottom"/>
            <w:hideMark/>
          </w:tcPr>
          <w:p w14:paraId="0BD6DF8C" w14:textId="15F4E6C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4D4ABA53" w14:textId="46F684F3"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6DAF265" w14:textId="7D44BD42"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891EA47" w14:textId="76C6638F" w:rsidR="00F826D0" w:rsidRPr="003328EE" w:rsidRDefault="00F826D0" w:rsidP="00D65F93">
            <w:pPr>
              <w:rPr>
                <w:rFonts w:eastAsia="Times New Roman"/>
                <w:color w:val="000000"/>
                <w:sz w:val="18"/>
                <w:szCs w:val="18"/>
              </w:rPr>
            </w:pPr>
            <w:r w:rsidRPr="003328EE">
              <w:rPr>
                <w:rFonts w:eastAsia="Times New Roman"/>
                <w:color w:val="000000"/>
                <w:sz w:val="18"/>
                <w:szCs w:val="18"/>
              </w:rPr>
              <w:t>Vermeir &amp; Verbeke, 2006</w:t>
            </w:r>
          </w:p>
        </w:tc>
        <w:tc>
          <w:tcPr>
            <w:tcW w:w="1156" w:type="dxa"/>
            <w:tcBorders>
              <w:top w:val="nil"/>
              <w:left w:val="nil"/>
              <w:bottom w:val="nil"/>
              <w:right w:val="nil"/>
            </w:tcBorders>
            <w:shd w:val="clear" w:color="auto" w:fill="auto"/>
            <w:noWrap/>
            <w:vAlign w:val="bottom"/>
            <w:hideMark/>
          </w:tcPr>
          <w:p w14:paraId="70D57A9C" w14:textId="24AA2A3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0175502" w14:textId="77777777" w:rsidTr="00D65F93">
        <w:trPr>
          <w:trHeight w:val="320"/>
        </w:trPr>
        <w:tc>
          <w:tcPr>
            <w:tcW w:w="3545" w:type="dxa"/>
            <w:tcBorders>
              <w:top w:val="nil"/>
              <w:left w:val="nil"/>
              <w:bottom w:val="nil"/>
              <w:right w:val="nil"/>
            </w:tcBorders>
            <w:shd w:val="clear" w:color="auto" w:fill="auto"/>
            <w:noWrap/>
            <w:vAlign w:val="bottom"/>
            <w:hideMark/>
          </w:tcPr>
          <w:p w14:paraId="1420A679" w14:textId="34972722" w:rsidR="00F826D0" w:rsidRPr="003328EE" w:rsidRDefault="00F826D0" w:rsidP="00D65F93">
            <w:pPr>
              <w:rPr>
                <w:rFonts w:eastAsia="Times New Roman"/>
                <w:color w:val="000000"/>
                <w:sz w:val="18"/>
                <w:szCs w:val="18"/>
              </w:rPr>
            </w:pPr>
            <w:r w:rsidRPr="003328EE">
              <w:rPr>
                <w:rFonts w:eastAsia="Times New Roman"/>
                <w:color w:val="000000"/>
                <w:sz w:val="18"/>
                <w:szCs w:val="18"/>
              </w:rPr>
              <w:t>Social Relations</w:t>
            </w:r>
          </w:p>
        </w:tc>
        <w:tc>
          <w:tcPr>
            <w:tcW w:w="3183" w:type="dxa"/>
            <w:tcBorders>
              <w:top w:val="nil"/>
              <w:left w:val="nil"/>
              <w:bottom w:val="nil"/>
              <w:right w:val="nil"/>
            </w:tcBorders>
            <w:shd w:val="clear" w:color="auto" w:fill="auto"/>
            <w:noWrap/>
            <w:vAlign w:val="bottom"/>
            <w:hideMark/>
          </w:tcPr>
          <w:p w14:paraId="439F2C0D" w14:textId="16E68800"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2061" w:type="dxa"/>
            <w:tcBorders>
              <w:top w:val="nil"/>
              <w:left w:val="nil"/>
              <w:bottom w:val="nil"/>
              <w:right w:val="nil"/>
            </w:tcBorders>
            <w:shd w:val="clear" w:color="auto" w:fill="auto"/>
            <w:noWrap/>
            <w:vAlign w:val="bottom"/>
            <w:hideMark/>
          </w:tcPr>
          <w:p w14:paraId="4C69BC20" w14:textId="785D75FA" w:rsidR="00F826D0" w:rsidRPr="003328EE" w:rsidRDefault="00F826D0" w:rsidP="00D65F93">
            <w:pPr>
              <w:rPr>
                <w:rFonts w:eastAsia="Times New Roman"/>
                <w:color w:val="000000"/>
                <w:sz w:val="18"/>
                <w:szCs w:val="18"/>
              </w:rPr>
            </w:pPr>
            <w:bookmarkStart w:id="1" w:name="OLE_LINK5"/>
            <w:r w:rsidRPr="003328EE">
              <w:rPr>
                <w:rFonts w:eastAsia="Times New Roman"/>
                <w:color w:val="000000"/>
                <w:sz w:val="18"/>
                <w:szCs w:val="18"/>
              </w:rPr>
              <w:t>Social Influence</w:t>
            </w:r>
            <w:bookmarkEnd w:id="1"/>
          </w:p>
        </w:tc>
        <w:tc>
          <w:tcPr>
            <w:tcW w:w="993" w:type="dxa"/>
            <w:tcBorders>
              <w:top w:val="nil"/>
              <w:left w:val="nil"/>
              <w:bottom w:val="nil"/>
              <w:right w:val="nil"/>
            </w:tcBorders>
            <w:shd w:val="clear" w:color="auto" w:fill="auto"/>
            <w:noWrap/>
            <w:vAlign w:val="bottom"/>
            <w:hideMark/>
          </w:tcPr>
          <w:p w14:paraId="0F62E375" w14:textId="46F122CA"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5FBCAC16" w14:textId="78936832" w:rsidR="00F826D0" w:rsidRPr="003328EE" w:rsidRDefault="00F826D0" w:rsidP="00D65F93">
            <w:pPr>
              <w:rPr>
                <w:rFonts w:eastAsia="Times New Roman"/>
                <w:color w:val="000000"/>
                <w:sz w:val="18"/>
                <w:szCs w:val="18"/>
              </w:rPr>
            </w:pPr>
            <w:r w:rsidRPr="003328EE">
              <w:rPr>
                <w:rFonts w:eastAsia="Times New Roman"/>
                <w:color w:val="000000"/>
                <w:sz w:val="18"/>
                <w:szCs w:val="18"/>
              </w:rPr>
              <w:t>Curran &amp; Sherbinin, 2004</w:t>
            </w:r>
          </w:p>
        </w:tc>
        <w:tc>
          <w:tcPr>
            <w:tcW w:w="1156" w:type="dxa"/>
            <w:tcBorders>
              <w:top w:val="nil"/>
              <w:left w:val="nil"/>
              <w:bottom w:val="nil"/>
              <w:right w:val="nil"/>
            </w:tcBorders>
            <w:shd w:val="clear" w:color="auto" w:fill="auto"/>
            <w:noWrap/>
            <w:vAlign w:val="bottom"/>
            <w:hideMark/>
          </w:tcPr>
          <w:p w14:paraId="6422A4C0" w14:textId="1019601D"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52D8AF63" w14:textId="77777777" w:rsidTr="00D65F93">
        <w:trPr>
          <w:trHeight w:val="320"/>
        </w:trPr>
        <w:tc>
          <w:tcPr>
            <w:tcW w:w="3545" w:type="dxa"/>
            <w:tcBorders>
              <w:top w:val="nil"/>
              <w:left w:val="nil"/>
              <w:bottom w:val="nil"/>
              <w:right w:val="nil"/>
            </w:tcBorders>
            <w:shd w:val="clear" w:color="auto" w:fill="auto"/>
            <w:noWrap/>
            <w:vAlign w:val="bottom"/>
            <w:hideMark/>
          </w:tcPr>
          <w:p w14:paraId="3A24FFD9" w14:textId="787C9921" w:rsidR="00F826D0" w:rsidRPr="003328EE" w:rsidRDefault="00F826D0" w:rsidP="00D65F93">
            <w:pPr>
              <w:rPr>
                <w:rFonts w:eastAsia="Times New Roman"/>
                <w:color w:val="000000"/>
                <w:sz w:val="18"/>
                <w:szCs w:val="18"/>
              </w:rPr>
            </w:pPr>
            <w:r w:rsidRPr="003328EE">
              <w:rPr>
                <w:rFonts w:eastAsia="Times New Roman"/>
                <w:color w:val="000000"/>
                <w:sz w:val="18"/>
                <w:szCs w:val="18"/>
              </w:rPr>
              <w:t>Luxury/Power Image</w:t>
            </w:r>
          </w:p>
        </w:tc>
        <w:tc>
          <w:tcPr>
            <w:tcW w:w="3183" w:type="dxa"/>
            <w:tcBorders>
              <w:top w:val="nil"/>
              <w:left w:val="nil"/>
              <w:bottom w:val="nil"/>
              <w:right w:val="nil"/>
            </w:tcBorders>
            <w:shd w:val="clear" w:color="auto" w:fill="auto"/>
            <w:noWrap/>
            <w:vAlign w:val="bottom"/>
            <w:hideMark/>
          </w:tcPr>
          <w:p w14:paraId="387804AB" w14:textId="564BAB9F" w:rsidR="00F826D0" w:rsidRPr="003328EE" w:rsidRDefault="00F826D0" w:rsidP="00D65F93">
            <w:pPr>
              <w:rPr>
                <w:rFonts w:eastAsia="Times New Roman"/>
                <w:color w:val="000000"/>
                <w:sz w:val="18"/>
                <w:szCs w:val="18"/>
              </w:rPr>
            </w:pPr>
            <w:r w:rsidRPr="003328EE">
              <w:rPr>
                <w:rFonts w:eastAsia="Times New Roman"/>
                <w:color w:val="000000"/>
                <w:sz w:val="18"/>
                <w:szCs w:val="18"/>
              </w:rPr>
              <w:t>Status</w:t>
            </w:r>
          </w:p>
        </w:tc>
        <w:tc>
          <w:tcPr>
            <w:tcW w:w="2061" w:type="dxa"/>
            <w:tcBorders>
              <w:top w:val="nil"/>
              <w:left w:val="nil"/>
              <w:bottom w:val="nil"/>
              <w:right w:val="nil"/>
            </w:tcBorders>
            <w:shd w:val="clear" w:color="auto" w:fill="auto"/>
            <w:noWrap/>
            <w:vAlign w:val="bottom"/>
            <w:hideMark/>
          </w:tcPr>
          <w:p w14:paraId="6F57EFFB" w14:textId="1E0C1344"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B9E648D" w14:textId="071D511E"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26842C26" w14:textId="2A247A31" w:rsidR="00F826D0" w:rsidRPr="003328EE" w:rsidRDefault="00F826D0" w:rsidP="00D65F93">
            <w:pPr>
              <w:rPr>
                <w:rFonts w:eastAsia="Times New Roman"/>
                <w:color w:val="000000"/>
                <w:sz w:val="18"/>
                <w:szCs w:val="18"/>
              </w:rPr>
            </w:pPr>
            <w:r w:rsidRPr="003328EE">
              <w:rPr>
                <w:rFonts w:eastAsia="Times New Roman"/>
                <w:color w:val="000000"/>
                <w:sz w:val="18"/>
                <w:szCs w:val="18"/>
              </w:rPr>
              <w:t>Hoek et al., 2011</w:t>
            </w:r>
          </w:p>
        </w:tc>
        <w:tc>
          <w:tcPr>
            <w:tcW w:w="1156" w:type="dxa"/>
            <w:tcBorders>
              <w:top w:val="nil"/>
              <w:left w:val="nil"/>
              <w:bottom w:val="nil"/>
              <w:right w:val="nil"/>
            </w:tcBorders>
            <w:shd w:val="clear" w:color="auto" w:fill="auto"/>
            <w:noWrap/>
            <w:vAlign w:val="bottom"/>
            <w:hideMark/>
          </w:tcPr>
          <w:p w14:paraId="379E66C0" w14:textId="792F768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074039F3" w14:textId="77777777" w:rsidTr="00D65F93">
        <w:trPr>
          <w:trHeight w:val="320"/>
        </w:trPr>
        <w:tc>
          <w:tcPr>
            <w:tcW w:w="3545" w:type="dxa"/>
            <w:tcBorders>
              <w:top w:val="nil"/>
              <w:left w:val="nil"/>
              <w:bottom w:val="nil"/>
              <w:right w:val="nil"/>
            </w:tcBorders>
            <w:shd w:val="clear" w:color="auto" w:fill="auto"/>
            <w:noWrap/>
            <w:vAlign w:val="bottom"/>
            <w:hideMark/>
          </w:tcPr>
          <w:p w14:paraId="5DCD486C" w14:textId="75E054CA" w:rsidR="00F826D0" w:rsidRPr="003328EE" w:rsidRDefault="00F826D0" w:rsidP="00D65F93">
            <w:pPr>
              <w:rPr>
                <w:rFonts w:eastAsia="Times New Roman"/>
                <w:color w:val="000000"/>
                <w:sz w:val="18"/>
                <w:szCs w:val="18"/>
              </w:rPr>
            </w:pPr>
            <w:r w:rsidRPr="003328EE">
              <w:rPr>
                <w:rFonts w:eastAsia="Times New Roman"/>
                <w:color w:val="000000"/>
                <w:sz w:val="18"/>
                <w:szCs w:val="18"/>
              </w:rPr>
              <w:t>Luxury/Power Image</w:t>
            </w:r>
          </w:p>
        </w:tc>
        <w:tc>
          <w:tcPr>
            <w:tcW w:w="3183" w:type="dxa"/>
            <w:tcBorders>
              <w:top w:val="nil"/>
              <w:left w:val="nil"/>
              <w:bottom w:val="nil"/>
              <w:right w:val="nil"/>
            </w:tcBorders>
            <w:shd w:val="clear" w:color="auto" w:fill="auto"/>
            <w:noWrap/>
            <w:vAlign w:val="bottom"/>
            <w:hideMark/>
          </w:tcPr>
          <w:p w14:paraId="276040CF" w14:textId="3B2009C2" w:rsidR="00F826D0" w:rsidRPr="003328EE" w:rsidRDefault="00F826D0" w:rsidP="00D65F93">
            <w:pPr>
              <w:rPr>
                <w:rFonts w:eastAsia="Times New Roman"/>
                <w:color w:val="000000"/>
                <w:sz w:val="18"/>
                <w:szCs w:val="18"/>
              </w:rPr>
            </w:pPr>
            <w:r w:rsidRPr="003328EE">
              <w:rPr>
                <w:rFonts w:eastAsia="Times New Roman"/>
                <w:color w:val="000000"/>
                <w:sz w:val="18"/>
                <w:szCs w:val="18"/>
              </w:rPr>
              <w:t>Status</w:t>
            </w:r>
          </w:p>
        </w:tc>
        <w:tc>
          <w:tcPr>
            <w:tcW w:w="2061" w:type="dxa"/>
            <w:tcBorders>
              <w:top w:val="nil"/>
              <w:left w:val="nil"/>
              <w:bottom w:val="nil"/>
              <w:right w:val="nil"/>
            </w:tcBorders>
            <w:shd w:val="clear" w:color="auto" w:fill="auto"/>
            <w:noWrap/>
            <w:vAlign w:val="bottom"/>
            <w:hideMark/>
          </w:tcPr>
          <w:p w14:paraId="32A31C6B" w14:textId="7A2AF8FC"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3685F8D5" w14:textId="3264064B" w:rsidR="00F826D0" w:rsidRPr="003328EE" w:rsidRDefault="00F826D0" w:rsidP="00D65F93">
            <w:pPr>
              <w:rPr>
                <w:rFonts w:eastAsia="Times New Roman"/>
                <w:color w:val="000000"/>
                <w:sz w:val="18"/>
                <w:szCs w:val="18"/>
              </w:rPr>
            </w:pPr>
            <w:r w:rsidRPr="003328EE">
              <w:rPr>
                <w:rFonts w:eastAsia="Times New Roman"/>
                <w:color w:val="000000"/>
                <w:sz w:val="18"/>
                <w:szCs w:val="18"/>
              </w:rPr>
              <w:t>Implicit</w:t>
            </w:r>
          </w:p>
        </w:tc>
        <w:tc>
          <w:tcPr>
            <w:tcW w:w="2835" w:type="dxa"/>
            <w:tcBorders>
              <w:top w:val="nil"/>
              <w:left w:val="nil"/>
              <w:bottom w:val="nil"/>
              <w:right w:val="nil"/>
            </w:tcBorders>
            <w:shd w:val="clear" w:color="auto" w:fill="auto"/>
            <w:noWrap/>
            <w:vAlign w:val="bottom"/>
            <w:hideMark/>
          </w:tcPr>
          <w:p w14:paraId="4CA7D38D" w14:textId="6881D68D" w:rsidR="00F826D0" w:rsidRPr="003328EE" w:rsidRDefault="00F826D0" w:rsidP="00D65F93">
            <w:pPr>
              <w:rPr>
                <w:rFonts w:eastAsia="Times New Roman"/>
                <w:color w:val="000000"/>
                <w:sz w:val="18"/>
                <w:szCs w:val="18"/>
              </w:rPr>
            </w:pPr>
            <w:r w:rsidRPr="003328EE">
              <w:rPr>
                <w:rFonts w:eastAsia="Times New Roman"/>
                <w:color w:val="000000"/>
                <w:sz w:val="18"/>
                <w:szCs w:val="18"/>
              </w:rPr>
              <w:t>Ruby, 2012</w:t>
            </w:r>
          </w:p>
        </w:tc>
        <w:tc>
          <w:tcPr>
            <w:tcW w:w="1156" w:type="dxa"/>
            <w:tcBorders>
              <w:top w:val="nil"/>
              <w:left w:val="nil"/>
              <w:bottom w:val="nil"/>
              <w:right w:val="nil"/>
            </w:tcBorders>
            <w:shd w:val="clear" w:color="auto" w:fill="auto"/>
            <w:noWrap/>
            <w:vAlign w:val="bottom"/>
            <w:hideMark/>
          </w:tcPr>
          <w:p w14:paraId="5D6BAFB2" w14:textId="17B4A8AA"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1C60DFE6" w14:textId="77777777" w:rsidTr="00D65F93">
        <w:trPr>
          <w:trHeight w:val="320"/>
        </w:trPr>
        <w:tc>
          <w:tcPr>
            <w:tcW w:w="3545" w:type="dxa"/>
            <w:tcBorders>
              <w:top w:val="nil"/>
              <w:left w:val="nil"/>
              <w:bottom w:val="nil"/>
              <w:right w:val="nil"/>
            </w:tcBorders>
            <w:shd w:val="clear" w:color="auto" w:fill="auto"/>
            <w:noWrap/>
            <w:vAlign w:val="bottom"/>
            <w:hideMark/>
          </w:tcPr>
          <w:p w14:paraId="45FBE389" w14:textId="78D82113" w:rsidR="00F826D0" w:rsidRPr="003328EE" w:rsidRDefault="00F826D0" w:rsidP="00D65F93">
            <w:pPr>
              <w:rPr>
                <w:rFonts w:eastAsia="Times New Roman"/>
                <w:color w:val="000000"/>
                <w:sz w:val="18"/>
                <w:szCs w:val="18"/>
              </w:rPr>
            </w:pPr>
            <w:r w:rsidRPr="003328EE">
              <w:rPr>
                <w:rFonts w:eastAsia="Times New Roman"/>
                <w:color w:val="000000"/>
                <w:sz w:val="18"/>
                <w:szCs w:val="18"/>
              </w:rPr>
              <w:t>Luxury/Power Image</w:t>
            </w:r>
          </w:p>
        </w:tc>
        <w:tc>
          <w:tcPr>
            <w:tcW w:w="3183" w:type="dxa"/>
            <w:tcBorders>
              <w:top w:val="nil"/>
              <w:left w:val="nil"/>
              <w:bottom w:val="nil"/>
              <w:right w:val="nil"/>
            </w:tcBorders>
            <w:shd w:val="clear" w:color="auto" w:fill="auto"/>
            <w:noWrap/>
            <w:vAlign w:val="bottom"/>
            <w:hideMark/>
          </w:tcPr>
          <w:p w14:paraId="6B54EAD0" w14:textId="5C456DE6" w:rsidR="00F826D0" w:rsidRPr="003328EE" w:rsidRDefault="00F826D0" w:rsidP="00D65F93">
            <w:pPr>
              <w:rPr>
                <w:rFonts w:eastAsia="Times New Roman"/>
                <w:color w:val="000000"/>
                <w:sz w:val="18"/>
                <w:szCs w:val="18"/>
              </w:rPr>
            </w:pPr>
            <w:r w:rsidRPr="003328EE">
              <w:rPr>
                <w:rFonts w:eastAsia="Times New Roman"/>
                <w:color w:val="000000"/>
                <w:sz w:val="18"/>
                <w:szCs w:val="18"/>
              </w:rPr>
              <w:t>Status</w:t>
            </w:r>
          </w:p>
        </w:tc>
        <w:tc>
          <w:tcPr>
            <w:tcW w:w="2061" w:type="dxa"/>
            <w:tcBorders>
              <w:top w:val="nil"/>
              <w:left w:val="nil"/>
              <w:bottom w:val="nil"/>
              <w:right w:val="nil"/>
            </w:tcBorders>
            <w:shd w:val="clear" w:color="auto" w:fill="auto"/>
            <w:noWrap/>
            <w:vAlign w:val="bottom"/>
            <w:hideMark/>
          </w:tcPr>
          <w:p w14:paraId="33C12AEB" w14:textId="0C61676C"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14984EDE" w14:textId="38B1510C"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321657CB" w14:textId="783B4FBF" w:rsidR="00F826D0" w:rsidRPr="003328EE" w:rsidRDefault="00F826D0" w:rsidP="00D65F93">
            <w:pPr>
              <w:rPr>
                <w:rFonts w:eastAsia="Times New Roman"/>
                <w:color w:val="000000"/>
                <w:sz w:val="18"/>
                <w:szCs w:val="18"/>
              </w:rPr>
            </w:pPr>
            <w:r w:rsidRPr="003328EE">
              <w:rPr>
                <w:rFonts w:eastAsia="Times New Roman"/>
                <w:color w:val="000000"/>
                <w:sz w:val="18"/>
                <w:szCs w:val="18"/>
              </w:rPr>
              <w:t>Beverland, 2014</w:t>
            </w:r>
          </w:p>
        </w:tc>
        <w:tc>
          <w:tcPr>
            <w:tcW w:w="1156" w:type="dxa"/>
            <w:tcBorders>
              <w:top w:val="nil"/>
              <w:left w:val="nil"/>
              <w:bottom w:val="nil"/>
              <w:right w:val="nil"/>
            </w:tcBorders>
            <w:shd w:val="clear" w:color="auto" w:fill="auto"/>
            <w:noWrap/>
            <w:vAlign w:val="bottom"/>
            <w:hideMark/>
          </w:tcPr>
          <w:p w14:paraId="1E32C29E" w14:textId="46B208C2" w:rsidR="00F826D0" w:rsidRPr="003328EE" w:rsidRDefault="00F826D0" w:rsidP="00D65F93">
            <w:pPr>
              <w:rPr>
                <w:rFonts w:eastAsia="Times New Roman"/>
                <w:color w:val="000000"/>
                <w:sz w:val="18"/>
                <w:szCs w:val="18"/>
              </w:rPr>
            </w:pPr>
            <w:r w:rsidRPr="003328EE">
              <w:rPr>
                <w:rFonts w:eastAsia="Times New Roman"/>
                <w:color w:val="000000"/>
                <w:sz w:val="18"/>
                <w:szCs w:val="18"/>
              </w:rPr>
              <w:t>Synthesis</w:t>
            </w:r>
          </w:p>
        </w:tc>
      </w:tr>
      <w:tr w:rsidR="00F826D0" w:rsidRPr="003328EE" w14:paraId="068783A2" w14:textId="77777777" w:rsidTr="00D65F93">
        <w:trPr>
          <w:trHeight w:val="320"/>
        </w:trPr>
        <w:tc>
          <w:tcPr>
            <w:tcW w:w="3545" w:type="dxa"/>
            <w:tcBorders>
              <w:top w:val="nil"/>
              <w:left w:val="nil"/>
              <w:bottom w:val="nil"/>
              <w:right w:val="nil"/>
            </w:tcBorders>
            <w:shd w:val="clear" w:color="auto" w:fill="auto"/>
            <w:noWrap/>
            <w:vAlign w:val="bottom"/>
            <w:hideMark/>
          </w:tcPr>
          <w:p w14:paraId="4B7A2C62" w14:textId="1D95C762" w:rsidR="00F826D0" w:rsidRPr="003328EE" w:rsidRDefault="00F826D0" w:rsidP="00D65F93">
            <w:pPr>
              <w:rPr>
                <w:rFonts w:eastAsia="Times New Roman"/>
                <w:color w:val="000000"/>
                <w:sz w:val="18"/>
                <w:szCs w:val="18"/>
              </w:rPr>
            </w:pPr>
            <w:r w:rsidRPr="003328EE">
              <w:rPr>
                <w:rFonts w:eastAsia="Times New Roman"/>
                <w:color w:val="000000"/>
                <w:sz w:val="18"/>
                <w:szCs w:val="18"/>
              </w:rPr>
              <w:t>Luxury/Power Image</w:t>
            </w:r>
          </w:p>
        </w:tc>
        <w:tc>
          <w:tcPr>
            <w:tcW w:w="3183" w:type="dxa"/>
            <w:tcBorders>
              <w:top w:val="nil"/>
              <w:left w:val="nil"/>
              <w:bottom w:val="nil"/>
              <w:right w:val="nil"/>
            </w:tcBorders>
            <w:shd w:val="clear" w:color="auto" w:fill="auto"/>
            <w:noWrap/>
            <w:vAlign w:val="bottom"/>
            <w:hideMark/>
          </w:tcPr>
          <w:p w14:paraId="29057D6D" w14:textId="4DC894F6" w:rsidR="00F826D0" w:rsidRPr="003328EE" w:rsidRDefault="00F826D0" w:rsidP="00D65F93">
            <w:pPr>
              <w:rPr>
                <w:rFonts w:eastAsia="Times New Roman"/>
                <w:color w:val="000000"/>
                <w:sz w:val="18"/>
                <w:szCs w:val="18"/>
              </w:rPr>
            </w:pPr>
            <w:r w:rsidRPr="003328EE">
              <w:rPr>
                <w:rFonts w:eastAsia="Times New Roman"/>
                <w:color w:val="000000"/>
                <w:sz w:val="18"/>
                <w:szCs w:val="18"/>
              </w:rPr>
              <w:t>Status</w:t>
            </w:r>
          </w:p>
        </w:tc>
        <w:tc>
          <w:tcPr>
            <w:tcW w:w="2061" w:type="dxa"/>
            <w:tcBorders>
              <w:top w:val="nil"/>
              <w:left w:val="nil"/>
              <w:bottom w:val="nil"/>
              <w:right w:val="nil"/>
            </w:tcBorders>
            <w:shd w:val="clear" w:color="auto" w:fill="auto"/>
            <w:noWrap/>
            <w:vAlign w:val="bottom"/>
            <w:hideMark/>
          </w:tcPr>
          <w:p w14:paraId="52A97F8F" w14:textId="7161CE2C"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B8F7D4C" w14:textId="45E821AA"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5AC6991C" w14:textId="0CEC5925" w:rsidR="00F826D0" w:rsidRPr="003328EE" w:rsidRDefault="00F826D0" w:rsidP="00D65F93">
            <w:pPr>
              <w:rPr>
                <w:rFonts w:eastAsia="Times New Roman"/>
                <w:color w:val="000000"/>
                <w:sz w:val="18"/>
                <w:szCs w:val="18"/>
              </w:rPr>
            </w:pPr>
            <w:r w:rsidRPr="003328EE">
              <w:rPr>
                <w:rFonts w:eastAsia="Times New Roman"/>
                <w:color w:val="000000"/>
                <w:sz w:val="18"/>
                <w:szCs w:val="18"/>
              </w:rPr>
              <w:t>Ruby et al., 2016</w:t>
            </w:r>
          </w:p>
        </w:tc>
        <w:tc>
          <w:tcPr>
            <w:tcW w:w="1156" w:type="dxa"/>
            <w:tcBorders>
              <w:top w:val="nil"/>
              <w:left w:val="nil"/>
              <w:bottom w:val="nil"/>
              <w:right w:val="nil"/>
            </w:tcBorders>
            <w:shd w:val="clear" w:color="auto" w:fill="auto"/>
            <w:noWrap/>
            <w:vAlign w:val="bottom"/>
            <w:hideMark/>
          </w:tcPr>
          <w:p w14:paraId="0FECB279" w14:textId="2E1DC922"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D5475F3" w14:textId="77777777" w:rsidTr="00D65F93">
        <w:trPr>
          <w:trHeight w:val="320"/>
        </w:trPr>
        <w:tc>
          <w:tcPr>
            <w:tcW w:w="3545" w:type="dxa"/>
            <w:tcBorders>
              <w:top w:val="nil"/>
              <w:left w:val="nil"/>
              <w:bottom w:val="nil"/>
              <w:right w:val="nil"/>
            </w:tcBorders>
            <w:shd w:val="clear" w:color="auto" w:fill="auto"/>
            <w:noWrap/>
            <w:vAlign w:val="bottom"/>
            <w:hideMark/>
          </w:tcPr>
          <w:p w14:paraId="17D18FC2" w14:textId="434FEFDA" w:rsidR="00F826D0" w:rsidRPr="003328EE" w:rsidRDefault="00F826D0" w:rsidP="00D65F93">
            <w:pPr>
              <w:rPr>
                <w:rFonts w:eastAsia="Times New Roman"/>
                <w:color w:val="000000"/>
                <w:sz w:val="18"/>
                <w:szCs w:val="18"/>
              </w:rPr>
            </w:pPr>
            <w:r w:rsidRPr="003328EE">
              <w:rPr>
                <w:rFonts w:eastAsia="Times New Roman"/>
                <w:color w:val="000000"/>
                <w:sz w:val="18"/>
                <w:szCs w:val="18"/>
              </w:rPr>
              <w:t>Luxury/Power Image</w:t>
            </w:r>
          </w:p>
        </w:tc>
        <w:tc>
          <w:tcPr>
            <w:tcW w:w="3183" w:type="dxa"/>
            <w:tcBorders>
              <w:top w:val="nil"/>
              <w:left w:val="nil"/>
              <w:bottom w:val="nil"/>
              <w:right w:val="nil"/>
            </w:tcBorders>
            <w:shd w:val="clear" w:color="auto" w:fill="auto"/>
            <w:noWrap/>
            <w:vAlign w:val="bottom"/>
            <w:hideMark/>
          </w:tcPr>
          <w:p w14:paraId="5D84B7E7" w14:textId="6D14C5B6" w:rsidR="00F826D0" w:rsidRPr="003328EE" w:rsidRDefault="00F826D0" w:rsidP="00D65F93">
            <w:pPr>
              <w:rPr>
                <w:rFonts w:eastAsia="Times New Roman"/>
                <w:color w:val="000000"/>
                <w:sz w:val="18"/>
                <w:szCs w:val="18"/>
              </w:rPr>
            </w:pPr>
            <w:r w:rsidRPr="003328EE">
              <w:rPr>
                <w:rFonts w:eastAsia="Times New Roman"/>
                <w:color w:val="000000"/>
                <w:sz w:val="18"/>
                <w:szCs w:val="18"/>
              </w:rPr>
              <w:t>Status</w:t>
            </w:r>
          </w:p>
        </w:tc>
        <w:tc>
          <w:tcPr>
            <w:tcW w:w="2061" w:type="dxa"/>
            <w:tcBorders>
              <w:top w:val="nil"/>
              <w:left w:val="nil"/>
              <w:bottom w:val="nil"/>
              <w:right w:val="nil"/>
            </w:tcBorders>
            <w:shd w:val="clear" w:color="auto" w:fill="auto"/>
            <w:noWrap/>
            <w:vAlign w:val="bottom"/>
            <w:hideMark/>
          </w:tcPr>
          <w:p w14:paraId="478FFC1F" w14:textId="6734C9AD"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79C81DFB" w14:textId="31DC8C16"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0D331588" w14:textId="3EA18D01" w:rsidR="00F826D0" w:rsidRPr="003328EE" w:rsidRDefault="00F826D0" w:rsidP="00D65F93">
            <w:pPr>
              <w:rPr>
                <w:rFonts w:eastAsia="Times New Roman"/>
                <w:color w:val="000000"/>
                <w:sz w:val="18"/>
                <w:szCs w:val="18"/>
              </w:rPr>
            </w:pPr>
            <w:r w:rsidRPr="003328EE">
              <w:rPr>
                <w:rFonts w:eastAsia="Times New Roman"/>
                <w:color w:val="000000"/>
                <w:sz w:val="18"/>
                <w:szCs w:val="18"/>
              </w:rPr>
              <w:t>Grace et al., 2016</w:t>
            </w:r>
          </w:p>
        </w:tc>
        <w:tc>
          <w:tcPr>
            <w:tcW w:w="1156" w:type="dxa"/>
            <w:tcBorders>
              <w:top w:val="nil"/>
              <w:left w:val="nil"/>
              <w:bottom w:val="nil"/>
              <w:right w:val="nil"/>
            </w:tcBorders>
            <w:shd w:val="clear" w:color="auto" w:fill="auto"/>
            <w:noWrap/>
            <w:vAlign w:val="bottom"/>
            <w:hideMark/>
          </w:tcPr>
          <w:p w14:paraId="7BCDB2E2" w14:textId="038A3CE0"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2064C028" w14:textId="77777777" w:rsidTr="00D65F93">
        <w:trPr>
          <w:trHeight w:val="320"/>
        </w:trPr>
        <w:tc>
          <w:tcPr>
            <w:tcW w:w="3545" w:type="dxa"/>
            <w:tcBorders>
              <w:top w:val="nil"/>
              <w:left w:val="nil"/>
              <w:bottom w:val="nil"/>
              <w:right w:val="nil"/>
            </w:tcBorders>
            <w:shd w:val="clear" w:color="auto" w:fill="auto"/>
            <w:noWrap/>
            <w:vAlign w:val="bottom"/>
            <w:hideMark/>
          </w:tcPr>
          <w:p w14:paraId="4C3DA9D8" w14:textId="71C41A0E" w:rsidR="00F826D0" w:rsidRPr="003328EE" w:rsidRDefault="00F826D0" w:rsidP="00D65F93">
            <w:pPr>
              <w:rPr>
                <w:rFonts w:eastAsia="Times New Roman"/>
                <w:color w:val="000000"/>
                <w:sz w:val="18"/>
                <w:szCs w:val="18"/>
              </w:rPr>
            </w:pPr>
            <w:r w:rsidRPr="003328EE">
              <w:rPr>
                <w:rFonts w:eastAsia="Times New Roman"/>
                <w:color w:val="000000"/>
                <w:sz w:val="18"/>
                <w:szCs w:val="18"/>
              </w:rPr>
              <w:t>Luxury/Power Image</w:t>
            </w:r>
          </w:p>
        </w:tc>
        <w:tc>
          <w:tcPr>
            <w:tcW w:w="3183" w:type="dxa"/>
            <w:tcBorders>
              <w:top w:val="nil"/>
              <w:left w:val="nil"/>
              <w:bottom w:val="nil"/>
              <w:right w:val="nil"/>
            </w:tcBorders>
            <w:shd w:val="clear" w:color="auto" w:fill="auto"/>
            <w:noWrap/>
            <w:vAlign w:val="bottom"/>
            <w:hideMark/>
          </w:tcPr>
          <w:p w14:paraId="74A990A4" w14:textId="2D23EB41" w:rsidR="00F826D0" w:rsidRPr="003328EE" w:rsidRDefault="00F826D0" w:rsidP="00D65F93">
            <w:pPr>
              <w:rPr>
                <w:rFonts w:eastAsia="Times New Roman"/>
                <w:color w:val="000000"/>
                <w:sz w:val="18"/>
                <w:szCs w:val="18"/>
              </w:rPr>
            </w:pPr>
            <w:r w:rsidRPr="003328EE">
              <w:rPr>
                <w:rFonts w:eastAsia="Times New Roman"/>
                <w:color w:val="000000"/>
                <w:sz w:val="18"/>
                <w:szCs w:val="18"/>
              </w:rPr>
              <w:t>Status</w:t>
            </w:r>
          </w:p>
        </w:tc>
        <w:tc>
          <w:tcPr>
            <w:tcW w:w="2061" w:type="dxa"/>
            <w:tcBorders>
              <w:top w:val="nil"/>
              <w:left w:val="nil"/>
              <w:bottom w:val="nil"/>
              <w:right w:val="nil"/>
            </w:tcBorders>
            <w:shd w:val="clear" w:color="auto" w:fill="auto"/>
            <w:noWrap/>
            <w:vAlign w:val="bottom"/>
            <w:hideMark/>
          </w:tcPr>
          <w:p w14:paraId="281EE73B" w14:textId="12B56843" w:rsidR="00F826D0" w:rsidRPr="003328EE" w:rsidRDefault="00F826D0" w:rsidP="00D65F93">
            <w:pPr>
              <w:rPr>
                <w:rFonts w:eastAsia="Times New Roman"/>
                <w:color w:val="000000"/>
                <w:sz w:val="18"/>
                <w:szCs w:val="18"/>
              </w:rPr>
            </w:pPr>
            <w:r w:rsidRPr="003328EE">
              <w:rPr>
                <w:rFonts w:eastAsia="Times New Roman"/>
                <w:color w:val="000000"/>
                <w:sz w:val="18"/>
                <w:szCs w:val="18"/>
              </w:rPr>
              <w:t>Social Influence</w:t>
            </w:r>
          </w:p>
        </w:tc>
        <w:tc>
          <w:tcPr>
            <w:tcW w:w="993" w:type="dxa"/>
            <w:tcBorders>
              <w:top w:val="nil"/>
              <w:left w:val="nil"/>
              <w:bottom w:val="nil"/>
              <w:right w:val="nil"/>
            </w:tcBorders>
            <w:shd w:val="clear" w:color="auto" w:fill="auto"/>
            <w:noWrap/>
            <w:vAlign w:val="bottom"/>
            <w:hideMark/>
          </w:tcPr>
          <w:p w14:paraId="44997B74" w14:textId="09ECC681" w:rsidR="00F826D0" w:rsidRPr="003328EE" w:rsidRDefault="00F826D0" w:rsidP="00D65F93">
            <w:pPr>
              <w:rPr>
                <w:rFonts w:eastAsia="Times New Roman"/>
                <w:color w:val="000000"/>
                <w:sz w:val="18"/>
                <w:szCs w:val="18"/>
              </w:rPr>
            </w:pPr>
            <w:r w:rsidRPr="003328EE">
              <w:rPr>
                <w:rFonts w:eastAsia="Times New Roman"/>
                <w:color w:val="000000"/>
                <w:sz w:val="18"/>
                <w:szCs w:val="18"/>
              </w:rPr>
              <w:t>Explicit</w:t>
            </w:r>
          </w:p>
        </w:tc>
        <w:tc>
          <w:tcPr>
            <w:tcW w:w="2835" w:type="dxa"/>
            <w:tcBorders>
              <w:top w:val="nil"/>
              <w:left w:val="nil"/>
              <w:bottom w:val="nil"/>
              <w:right w:val="nil"/>
            </w:tcBorders>
            <w:shd w:val="clear" w:color="auto" w:fill="auto"/>
            <w:noWrap/>
            <w:vAlign w:val="bottom"/>
            <w:hideMark/>
          </w:tcPr>
          <w:p w14:paraId="4F21F3BF" w14:textId="0B9D46CA" w:rsidR="00F826D0" w:rsidRPr="003328EE" w:rsidRDefault="00F826D0" w:rsidP="00D65F93">
            <w:pPr>
              <w:rPr>
                <w:rFonts w:eastAsia="Times New Roman"/>
                <w:color w:val="000000"/>
                <w:sz w:val="18"/>
                <w:szCs w:val="18"/>
              </w:rPr>
            </w:pPr>
            <w:r w:rsidRPr="003328EE">
              <w:rPr>
                <w:rFonts w:eastAsia="Times New Roman"/>
                <w:color w:val="000000"/>
                <w:sz w:val="18"/>
                <w:szCs w:val="18"/>
              </w:rPr>
              <w:t>Graca et al., 2015</w:t>
            </w:r>
          </w:p>
        </w:tc>
        <w:tc>
          <w:tcPr>
            <w:tcW w:w="1156" w:type="dxa"/>
            <w:tcBorders>
              <w:top w:val="nil"/>
              <w:left w:val="nil"/>
              <w:bottom w:val="nil"/>
              <w:right w:val="nil"/>
            </w:tcBorders>
            <w:shd w:val="clear" w:color="auto" w:fill="auto"/>
            <w:noWrap/>
            <w:vAlign w:val="bottom"/>
            <w:hideMark/>
          </w:tcPr>
          <w:p w14:paraId="6490C1B9" w14:textId="4D9ED04B" w:rsidR="00F826D0" w:rsidRPr="003328EE" w:rsidRDefault="00F826D0" w:rsidP="00D65F93">
            <w:pPr>
              <w:rPr>
                <w:rFonts w:eastAsia="Times New Roman"/>
                <w:color w:val="000000"/>
                <w:sz w:val="18"/>
                <w:szCs w:val="18"/>
              </w:rPr>
            </w:pPr>
            <w:r w:rsidRPr="003328EE">
              <w:rPr>
                <w:rFonts w:eastAsia="Times New Roman"/>
                <w:color w:val="000000"/>
                <w:sz w:val="18"/>
                <w:szCs w:val="18"/>
              </w:rPr>
              <w:t>Primary</w:t>
            </w:r>
          </w:p>
        </w:tc>
      </w:tr>
      <w:tr w:rsidR="00F826D0" w:rsidRPr="003328EE" w14:paraId="10B08CDC" w14:textId="77777777" w:rsidTr="00F826D0">
        <w:trPr>
          <w:trHeight w:val="320"/>
        </w:trPr>
        <w:tc>
          <w:tcPr>
            <w:tcW w:w="3545" w:type="dxa"/>
            <w:tcBorders>
              <w:top w:val="nil"/>
              <w:left w:val="nil"/>
              <w:bottom w:val="nil"/>
              <w:right w:val="nil"/>
            </w:tcBorders>
            <w:shd w:val="clear" w:color="auto" w:fill="auto"/>
            <w:noWrap/>
            <w:vAlign w:val="bottom"/>
          </w:tcPr>
          <w:p w14:paraId="542C923A" w14:textId="74963382" w:rsidR="00F826D0" w:rsidRPr="003328EE" w:rsidRDefault="00F826D0" w:rsidP="00D65F93">
            <w:pPr>
              <w:rPr>
                <w:rFonts w:eastAsia="Times New Roman"/>
                <w:color w:val="000000"/>
                <w:sz w:val="18"/>
                <w:szCs w:val="18"/>
              </w:rPr>
            </w:pPr>
          </w:p>
        </w:tc>
        <w:tc>
          <w:tcPr>
            <w:tcW w:w="3183" w:type="dxa"/>
            <w:tcBorders>
              <w:top w:val="nil"/>
              <w:left w:val="nil"/>
              <w:bottom w:val="nil"/>
              <w:right w:val="nil"/>
            </w:tcBorders>
            <w:shd w:val="clear" w:color="auto" w:fill="auto"/>
            <w:noWrap/>
            <w:vAlign w:val="bottom"/>
          </w:tcPr>
          <w:p w14:paraId="4CF290CA" w14:textId="4324C494" w:rsidR="00F826D0" w:rsidRPr="003328EE" w:rsidRDefault="00F826D0" w:rsidP="00D65F93">
            <w:pPr>
              <w:rPr>
                <w:rFonts w:eastAsia="Times New Roman"/>
                <w:color w:val="000000"/>
                <w:sz w:val="18"/>
                <w:szCs w:val="18"/>
              </w:rPr>
            </w:pPr>
          </w:p>
        </w:tc>
        <w:tc>
          <w:tcPr>
            <w:tcW w:w="2061" w:type="dxa"/>
            <w:tcBorders>
              <w:top w:val="nil"/>
              <w:left w:val="nil"/>
              <w:bottom w:val="nil"/>
              <w:right w:val="nil"/>
            </w:tcBorders>
            <w:shd w:val="clear" w:color="auto" w:fill="auto"/>
            <w:noWrap/>
            <w:vAlign w:val="bottom"/>
          </w:tcPr>
          <w:p w14:paraId="10A9676F" w14:textId="3ECFC0D0" w:rsidR="00F826D0" w:rsidRPr="003328EE" w:rsidRDefault="00F826D0" w:rsidP="00D65F93">
            <w:pPr>
              <w:rPr>
                <w:rFonts w:eastAsia="Times New Roman"/>
                <w:color w:val="000000"/>
                <w:sz w:val="18"/>
                <w:szCs w:val="18"/>
              </w:rPr>
            </w:pPr>
          </w:p>
        </w:tc>
        <w:tc>
          <w:tcPr>
            <w:tcW w:w="993" w:type="dxa"/>
            <w:tcBorders>
              <w:top w:val="nil"/>
              <w:left w:val="nil"/>
              <w:bottom w:val="nil"/>
              <w:right w:val="nil"/>
            </w:tcBorders>
            <w:shd w:val="clear" w:color="auto" w:fill="auto"/>
            <w:noWrap/>
            <w:vAlign w:val="bottom"/>
          </w:tcPr>
          <w:p w14:paraId="4DF1BCD4" w14:textId="2CD33CC9" w:rsidR="00F826D0" w:rsidRPr="003328EE" w:rsidRDefault="00F826D0" w:rsidP="00D65F93">
            <w:pPr>
              <w:rPr>
                <w:rFonts w:eastAsia="Times New Roman"/>
                <w:color w:val="000000"/>
                <w:sz w:val="18"/>
                <w:szCs w:val="18"/>
              </w:rPr>
            </w:pPr>
          </w:p>
        </w:tc>
        <w:tc>
          <w:tcPr>
            <w:tcW w:w="2835" w:type="dxa"/>
            <w:tcBorders>
              <w:top w:val="nil"/>
              <w:left w:val="nil"/>
              <w:bottom w:val="nil"/>
              <w:right w:val="nil"/>
            </w:tcBorders>
            <w:shd w:val="clear" w:color="auto" w:fill="auto"/>
            <w:noWrap/>
            <w:vAlign w:val="bottom"/>
          </w:tcPr>
          <w:p w14:paraId="4DE5F100" w14:textId="40FC5EF2" w:rsidR="00F826D0" w:rsidRPr="003328EE" w:rsidRDefault="00F826D0" w:rsidP="00D65F93">
            <w:pPr>
              <w:rPr>
                <w:rFonts w:eastAsia="Times New Roman"/>
                <w:color w:val="000000"/>
                <w:sz w:val="18"/>
                <w:szCs w:val="18"/>
              </w:rPr>
            </w:pPr>
          </w:p>
        </w:tc>
        <w:tc>
          <w:tcPr>
            <w:tcW w:w="1156" w:type="dxa"/>
            <w:tcBorders>
              <w:top w:val="nil"/>
              <w:left w:val="nil"/>
              <w:bottom w:val="nil"/>
              <w:right w:val="nil"/>
            </w:tcBorders>
            <w:shd w:val="clear" w:color="auto" w:fill="auto"/>
            <w:noWrap/>
            <w:vAlign w:val="bottom"/>
          </w:tcPr>
          <w:p w14:paraId="095B5AA1" w14:textId="047CC0C8" w:rsidR="00F826D0" w:rsidRPr="003328EE" w:rsidRDefault="00F826D0" w:rsidP="00D65F93">
            <w:pPr>
              <w:rPr>
                <w:rFonts w:eastAsia="Times New Roman"/>
                <w:color w:val="000000"/>
                <w:sz w:val="18"/>
                <w:szCs w:val="18"/>
              </w:rPr>
            </w:pPr>
          </w:p>
        </w:tc>
      </w:tr>
    </w:tbl>
    <w:p w14:paraId="0E4C7900" w14:textId="77777777" w:rsidR="005D62B7" w:rsidRDefault="005D62B7">
      <w:pPr>
        <w:rPr>
          <w:sz w:val="22"/>
          <w:szCs w:val="22"/>
        </w:rPr>
      </w:pPr>
    </w:p>
    <w:sectPr w:rsidR="005D62B7" w:rsidSect="00A11404">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E0264D" w14:textId="77777777" w:rsidR="000D7209" w:rsidRDefault="000D7209" w:rsidP="00A5344F">
      <w:r>
        <w:separator/>
      </w:r>
    </w:p>
  </w:endnote>
  <w:endnote w:type="continuationSeparator" w:id="0">
    <w:p w14:paraId="0F39731B" w14:textId="77777777" w:rsidR="000D7209" w:rsidRDefault="000D7209" w:rsidP="00A534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Arial Narrow">
    <w:panose1 w:val="020B0606020202030204"/>
    <w:charset w:val="00"/>
    <w:family w:val="auto"/>
    <w:pitch w:val="variable"/>
    <w:sig w:usb0="00000287" w:usb1="00000800" w:usb2="00000000" w:usb3="00000000" w:csb0="0000009F" w:csb1="00000000"/>
  </w:font>
  <w:font w:name="Helvetica">
    <w:panose1 w:val="00000000000000000000"/>
    <w:charset w:val="00"/>
    <w:family w:val="auto"/>
    <w:pitch w:val="variable"/>
    <w:sig w:usb0="E00002FF" w:usb1="5000785B" w:usb2="00000000" w:usb3="00000000" w:csb0="0000019F"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82D598" w14:textId="77777777" w:rsidR="004B598C" w:rsidRDefault="004B598C" w:rsidP="00B53FF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14:paraId="6E2FA967" w14:textId="77777777" w:rsidR="004B598C" w:rsidRDefault="004B598C" w:rsidP="00072518">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4907C0" w14:textId="77777777" w:rsidR="004B598C" w:rsidRDefault="004B598C" w:rsidP="00E06D5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12CF3">
      <w:rPr>
        <w:rStyle w:val="PageNumber"/>
        <w:noProof/>
      </w:rPr>
      <w:t>xii</w:t>
    </w:r>
    <w:r>
      <w:rPr>
        <w:rStyle w:val="PageNumber"/>
      </w:rPr>
      <w:fldChar w:fldCharType="end"/>
    </w:r>
  </w:p>
  <w:p w14:paraId="7DE9EADF" w14:textId="333C63AD" w:rsidR="004B598C" w:rsidRPr="00072518" w:rsidRDefault="004B598C" w:rsidP="00072518">
    <w:pPr>
      <w:pStyle w:val="Footer"/>
      <w:ind w:right="360"/>
      <w:rPr>
        <w:sz w:val="20"/>
        <w:szCs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7C477" w14:textId="77777777" w:rsidR="004B598C" w:rsidRDefault="004B598C" w:rsidP="00E06D5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12CF3">
      <w:rPr>
        <w:rStyle w:val="PageNumber"/>
        <w:noProof/>
      </w:rPr>
      <w:t>7</w:t>
    </w:r>
    <w:r>
      <w:rPr>
        <w:rStyle w:val="PageNumber"/>
      </w:rPr>
      <w:fldChar w:fldCharType="end"/>
    </w:r>
  </w:p>
  <w:p w14:paraId="092319B4" w14:textId="229DBDF9" w:rsidR="004B598C" w:rsidRPr="00072518" w:rsidRDefault="004B598C" w:rsidP="00072518">
    <w:pPr>
      <w:pStyle w:val="Footer"/>
      <w:ind w:right="360"/>
      <w:rPr>
        <w:sz w:val="20"/>
        <w:szCs w:val="20"/>
      </w:rP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935E96" w14:textId="77777777" w:rsidR="004B598C" w:rsidRDefault="004B598C" w:rsidP="00E06D5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12CF3">
      <w:rPr>
        <w:rStyle w:val="PageNumber"/>
        <w:noProof/>
      </w:rPr>
      <w:t>8</w:t>
    </w:r>
    <w:r>
      <w:rPr>
        <w:rStyle w:val="PageNumber"/>
      </w:rPr>
      <w:fldChar w:fldCharType="end"/>
    </w:r>
  </w:p>
  <w:p w14:paraId="57A0844C" w14:textId="77777777" w:rsidR="004B598C" w:rsidRPr="00072518" w:rsidRDefault="004B598C" w:rsidP="00B53FFA">
    <w:pPr>
      <w:pStyle w:val="Footer"/>
      <w:ind w:right="360"/>
      <w:rPr>
        <w:sz w:val="20"/>
        <w:szCs w:val="20"/>
      </w:rPr>
    </w:pPr>
    <w:r w:rsidRPr="00072518">
      <w:rPr>
        <w:sz w:val="20"/>
        <w:szCs w:val="20"/>
        <w:vertAlign w:val="superscript"/>
      </w:rPr>
      <w:t>1</w:t>
    </w:r>
    <w:r w:rsidRPr="00072518">
      <w:rPr>
        <w:sz w:val="20"/>
        <w:szCs w:val="20"/>
      </w:rPr>
      <w:t>For the purpose of this research, vegetarian encompasses a predominantly plant-based diet. As veganism is considered to be the truest form of vegetarianism, it is also incorporated into this term.</w:t>
    </w:r>
  </w:p>
  <w:p w14:paraId="44002F5A" w14:textId="77777777" w:rsidR="004B598C" w:rsidRPr="00072518" w:rsidRDefault="004B598C" w:rsidP="00072518">
    <w:pPr>
      <w:pStyle w:val="Footer"/>
      <w:ind w:right="360"/>
      <w:rPr>
        <w:sz w:val="20"/>
        <w:szCs w:val="20"/>
      </w:rPr>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18C899" w14:textId="77777777" w:rsidR="004B598C" w:rsidRDefault="004B598C" w:rsidP="009160A8">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12CF3">
      <w:rPr>
        <w:rStyle w:val="PageNumber"/>
        <w:noProof/>
      </w:rPr>
      <w:t>87</w:t>
    </w:r>
    <w:r>
      <w:rPr>
        <w:rStyle w:val="PageNumber"/>
      </w:rPr>
      <w:fldChar w:fldCharType="end"/>
    </w:r>
  </w:p>
  <w:p w14:paraId="6C67028C" w14:textId="77777777" w:rsidR="004B598C" w:rsidRPr="00072518" w:rsidRDefault="004B598C" w:rsidP="00072518">
    <w:pPr>
      <w:pStyle w:val="Footer"/>
      <w:ind w:right="360"/>
      <w:rPr>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07A535" w14:textId="77777777" w:rsidR="000D7209" w:rsidRDefault="000D7209" w:rsidP="00A5344F">
      <w:r>
        <w:separator/>
      </w:r>
    </w:p>
  </w:footnote>
  <w:footnote w:type="continuationSeparator" w:id="0">
    <w:p w14:paraId="0E62092A" w14:textId="77777777" w:rsidR="000D7209" w:rsidRDefault="000D7209" w:rsidP="00A5344F">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7C3452"/>
    <w:multiLevelType w:val="hybridMultilevel"/>
    <w:tmpl w:val="D916D7A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nsid w:val="43BE2557"/>
    <w:multiLevelType w:val="multilevel"/>
    <w:tmpl w:val="79067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CB03A18"/>
    <w:multiLevelType w:val="hybridMultilevel"/>
    <w:tmpl w:val="BACA52E8"/>
    <w:lvl w:ilvl="0" w:tplc="1B7CC538">
      <w:start w:val="1"/>
      <w:numFmt w:val="bullet"/>
      <w:lvlText w:val=""/>
      <w:lvlJc w:val="left"/>
      <w:pPr>
        <w:ind w:left="113" w:hanging="113"/>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D42"/>
    <w:rsid w:val="00002039"/>
    <w:rsid w:val="000101A0"/>
    <w:rsid w:val="0001039C"/>
    <w:rsid w:val="00012ED8"/>
    <w:rsid w:val="00014E4F"/>
    <w:rsid w:val="00022019"/>
    <w:rsid w:val="000233E9"/>
    <w:rsid w:val="000269BD"/>
    <w:rsid w:val="00027DDD"/>
    <w:rsid w:val="00032321"/>
    <w:rsid w:val="00033CC5"/>
    <w:rsid w:val="000363C3"/>
    <w:rsid w:val="000378EF"/>
    <w:rsid w:val="00040968"/>
    <w:rsid w:val="00041E00"/>
    <w:rsid w:val="0004375B"/>
    <w:rsid w:val="00046C52"/>
    <w:rsid w:val="0005026F"/>
    <w:rsid w:val="000508E6"/>
    <w:rsid w:val="00050E3C"/>
    <w:rsid w:val="0005109E"/>
    <w:rsid w:val="00051857"/>
    <w:rsid w:val="00051923"/>
    <w:rsid w:val="00054FF9"/>
    <w:rsid w:val="00055AA2"/>
    <w:rsid w:val="00066CC4"/>
    <w:rsid w:val="0006708F"/>
    <w:rsid w:val="00070113"/>
    <w:rsid w:val="00072518"/>
    <w:rsid w:val="00072999"/>
    <w:rsid w:val="0007714E"/>
    <w:rsid w:val="00081F43"/>
    <w:rsid w:val="00082AAC"/>
    <w:rsid w:val="00083F96"/>
    <w:rsid w:val="00087190"/>
    <w:rsid w:val="00087968"/>
    <w:rsid w:val="00095007"/>
    <w:rsid w:val="00097C1E"/>
    <w:rsid w:val="000A3732"/>
    <w:rsid w:val="000A3DE7"/>
    <w:rsid w:val="000A5B69"/>
    <w:rsid w:val="000A7480"/>
    <w:rsid w:val="000B27B4"/>
    <w:rsid w:val="000B51EE"/>
    <w:rsid w:val="000B53DB"/>
    <w:rsid w:val="000C38D0"/>
    <w:rsid w:val="000C505C"/>
    <w:rsid w:val="000C5BD7"/>
    <w:rsid w:val="000C65EB"/>
    <w:rsid w:val="000C740C"/>
    <w:rsid w:val="000C79C8"/>
    <w:rsid w:val="000D0668"/>
    <w:rsid w:val="000D239C"/>
    <w:rsid w:val="000D7209"/>
    <w:rsid w:val="000E7D37"/>
    <w:rsid w:val="000F1E00"/>
    <w:rsid w:val="000F3A73"/>
    <w:rsid w:val="000F6619"/>
    <w:rsid w:val="000F7CDE"/>
    <w:rsid w:val="001009C7"/>
    <w:rsid w:val="001030B1"/>
    <w:rsid w:val="001033E2"/>
    <w:rsid w:val="0011083C"/>
    <w:rsid w:val="0011121B"/>
    <w:rsid w:val="0011203F"/>
    <w:rsid w:val="001138D8"/>
    <w:rsid w:val="00116951"/>
    <w:rsid w:val="00121AC8"/>
    <w:rsid w:val="00122529"/>
    <w:rsid w:val="00123458"/>
    <w:rsid w:val="00133ED7"/>
    <w:rsid w:val="0013488E"/>
    <w:rsid w:val="0014798E"/>
    <w:rsid w:val="00152810"/>
    <w:rsid w:val="00152BBF"/>
    <w:rsid w:val="00153115"/>
    <w:rsid w:val="001605DB"/>
    <w:rsid w:val="0016217A"/>
    <w:rsid w:val="001659EE"/>
    <w:rsid w:val="001719EF"/>
    <w:rsid w:val="00174C8C"/>
    <w:rsid w:val="0017596E"/>
    <w:rsid w:val="00182647"/>
    <w:rsid w:val="00185561"/>
    <w:rsid w:val="00186109"/>
    <w:rsid w:val="0019692A"/>
    <w:rsid w:val="001A029E"/>
    <w:rsid w:val="001A496F"/>
    <w:rsid w:val="001C32EC"/>
    <w:rsid w:val="001C4473"/>
    <w:rsid w:val="001C5A18"/>
    <w:rsid w:val="001D0C27"/>
    <w:rsid w:val="001E07BD"/>
    <w:rsid w:val="001E1B54"/>
    <w:rsid w:val="001E2577"/>
    <w:rsid w:val="001F2EDA"/>
    <w:rsid w:val="001F3E97"/>
    <w:rsid w:val="001F4D15"/>
    <w:rsid w:val="001F5EC2"/>
    <w:rsid w:val="00204B21"/>
    <w:rsid w:val="00210E45"/>
    <w:rsid w:val="00211F55"/>
    <w:rsid w:val="00213FCA"/>
    <w:rsid w:val="00214779"/>
    <w:rsid w:val="00216FD2"/>
    <w:rsid w:val="00222177"/>
    <w:rsid w:val="002221A4"/>
    <w:rsid w:val="002255C7"/>
    <w:rsid w:val="00227240"/>
    <w:rsid w:val="00227615"/>
    <w:rsid w:val="0023194D"/>
    <w:rsid w:val="00232543"/>
    <w:rsid w:val="00233503"/>
    <w:rsid w:val="00233B97"/>
    <w:rsid w:val="002351E8"/>
    <w:rsid w:val="002424FC"/>
    <w:rsid w:val="002449A8"/>
    <w:rsid w:val="00246B59"/>
    <w:rsid w:val="00252057"/>
    <w:rsid w:val="0025559B"/>
    <w:rsid w:val="00257DE9"/>
    <w:rsid w:val="00261AD7"/>
    <w:rsid w:val="00264897"/>
    <w:rsid w:val="00272FAB"/>
    <w:rsid w:val="00275DF9"/>
    <w:rsid w:val="002841C8"/>
    <w:rsid w:val="00284D54"/>
    <w:rsid w:val="002860B2"/>
    <w:rsid w:val="002861BE"/>
    <w:rsid w:val="002902EB"/>
    <w:rsid w:val="00290FED"/>
    <w:rsid w:val="00291B56"/>
    <w:rsid w:val="00294E00"/>
    <w:rsid w:val="002A200A"/>
    <w:rsid w:val="002A2284"/>
    <w:rsid w:val="002A45A6"/>
    <w:rsid w:val="002A75BB"/>
    <w:rsid w:val="002B299F"/>
    <w:rsid w:val="002B73B7"/>
    <w:rsid w:val="002C22DD"/>
    <w:rsid w:val="002D02C4"/>
    <w:rsid w:val="002D089B"/>
    <w:rsid w:val="002D2CB8"/>
    <w:rsid w:val="002D2FCD"/>
    <w:rsid w:val="002D39D6"/>
    <w:rsid w:val="002D63DD"/>
    <w:rsid w:val="002E5E9B"/>
    <w:rsid w:val="002E7E00"/>
    <w:rsid w:val="002F19B4"/>
    <w:rsid w:val="002F1A51"/>
    <w:rsid w:val="002F6B1D"/>
    <w:rsid w:val="00301116"/>
    <w:rsid w:val="00305722"/>
    <w:rsid w:val="0030633F"/>
    <w:rsid w:val="003175FA"/>
    <w:rsid w:val="00320E69"/>
    <w:rsid w:val="00321A4C"/>
    <w:rsid w:val="00324742"/>
    <w:rsid w:val="0032743E"/>
    <w:rsid w:val="0032766F"/>
    <w:rsid w:val="00331848"/>
    <w:rsid w:val="00340043"/>
    <w:rsid w:val="00342AB4"/>
    <w:rsid w:val="00344CDB"/>
    <w:rsid w:val="00344D36"/>
    <w:rsid w:val="00357B50"/>
    <w:rsid w:val="00364E85"/>
    <w:rsid w:val="00374452"/>
    <w:rsid w:val="00374D27"/>
    <w:rsid w:val="00374D29"/>
    <w:rsid w:val="00374D42"/>
    <w:rsid w:val="00377BCC"/>
    <w:rsid w:val="00381EB5"/>
    <w:rsid w:val="00382651"/>
    <w:rsid w:val="00386F31"/>
    <w:rsid w:val="0039350E"/>
    <w:rsid w:val="003939B3"/>
    <w:rsid w:val="003958B2"/>
    <w:rsid w:val="003A0224"/>
    <w:rsid w:val="003A161E"/>
    <w:rsid w:val="003A4D74"/>
    <w:rsid w:val="003A57C3"/>
    <w:rsid w:val="003A5AB0"/>
    <w:rsid w:val="003B152C"/>
    <w:rsid w:val="003B78C4"/>
    <w:rsid w:val="003C1B07"/>
    <w:rsid w:val="003C1D3F"/>
    <w:rsid w:val="003C1DF2"/>
    <w:rsid w:val="003D3B2B"/>
    <w:rsid w:val="003D3D13"/>
    <w:rsid w:val="003D7920"/>
    <w:rsid w:val="003E1F1A"/>
    <w:rsid w:val="003E48FD"/>
    <w:rsid w:val="003E4F5C"/>
    <w:rsid w:val="003E5305"/>
    <w:rsid w:val="003E5803"/>
    <w:rsid w:val="003E778D"/>
    <w:rsid w:val="003F0806"/>
    <w:rsid w:val="003F3E19"/>
    <w:rsid w:val="003F571A"/>
    <w:rsid w:val="003F6B92"/>
    <w:rsid w:val="00407C13"/>
    <w:rsid w:val="00410727"/>
    <w:rsid w:val="004115E9"/>
    <w:rsid w:val="00411843"/>
    <w:rsid w:val="0041390C"/>
    <w:rsid w:val="004210F6"/>
    <w:rsid w:val="00423159"/>
    <w:rsid w:val="00423601"/>
    <w:rsid w:val="00423A8D"/>
    <w:rsid w:val="00423DC5"/>
    <w:rsid w:val="00424EF3"/>
    <w:rsid w:val="00426143"/>
    <w:rsid w:val="00427D2D"/>
    <w:rsid w:val="00430F06"/>
    <w:rsid w:val="00431AFD"/>
    <w:rsid w:val="00433407"/>
    <w:rsid w:val="00434603"/>
    <w:rsid w:val="00443999"/>
    <w:rsid w:val="00443BA1"/>
    <w:rsid w:val="00443FF2"/>
    <w:rsid w:val="00446D90"/>
    <w:rsid w:val="00456B02"/>
    <w:rsid w:val="00463DAA"/>
    <w:rsid w:val="00464F55"/>
    <w:rsid w:val="00465FCD"/>
    <w:rsid w:val="00466065"/>
    <w:rsid w:val="00473536"/>
    <w:rsid w:val="004751C2"/>
    <w:rsid w:val="00475400"/>
    <w:rsid w:val="00476EE3"/>
    <w:rsid w:val="00477F7A"/>
    <w:rsid w:val="004821BC"/>
    <w:rsid w:val="0049123A"/>
    <w:rsid w:val="00493F18"/>
    <w:rsid w:val="0049584D"/>
    <w:rsid w:val="004A2150"/>
    <w:rsid w:val="004A5C3F"/>
    <w:rsid w:val="004A7D3C"/>
    <w:rsid w:val="004B1D38"/>
    <w:rsid w:val="004B223C"/>
    <w:rsid w:val="004B464C"/>
    <w:rsid w:val="004B598C"/>
    <w:rsid w:val="004B6210"/>
    <w:rsid w:val="004B6D26"/>
    <w:rsid w:val="004C2F27"/>
    <w:rsid w:val="004C3909"/>
    <w:rsid w:val="004D3EF3"/>
    <w:rsid w:val="004D5563"/>
    <w:rsid w:val="004D5CE5"/>
    <w:rsid w:val="004E0E0A"/>
    <w:rsid w:val="004E2CDE"/>
    <w:rsid w:val="004E3791"/>
    <w:rsid w:val="004E4C4B"/>
    <w:rsid w:val="004F4580"/>
    <w:rsid w:val="004F55A7"/>
    <w:rsid w:val="004F5C07"/>
    <w:rsid w:val="00502E77"/>
    <w:rsid w:val="00505388"/>
    <w:rsid w:val="005057A9"/>
    <w:rsid w:val="00513581"/>
    <w:rsid w:val="0051431E"/>
    <w:rsid w:val="005179B2"/>
    <w:rsid w:val="005222D6"/>
    <w:rsid w:val="00534C26"/>
    <w:rsid w:val="00537A26"/>
    <w:rsid w:val="0054596E"/>
    <w:rsid w:val="00545ECA"/>
    <w:rsid w:val="005527E4"/>
    <w:rsid w:val="0055417D"/>
    <w:rsid w:val="005545F5"/>
    <w:rsid w:val="00555509"/>
    <w:rsid w:val="00555AAE"/>
    <w:rsid w:val="00567F59"/>
    <w:rsid w:val="00592151"/>
    <w:rsid w:val="0059444C"/>
    <w:rsid w:val="00597D34"/>
    <w:rsid w:val="005A12CB"/>
    <w:rsid w:val="005A3795"/>
    <w:rsid w:val="005A3934"/>
    <w:rsid w:val="005A76DF"/>
    <w:rsid w:val="005B1B3D"/>
    <w:rsid w:val="005C51DF"/>
    <w:rsid w:val="005D3862"/>
    <w:rsid w:val="005D3E67"/>
    <w:rsid w:val="005D4ED4"/>
    <w:rsid w:val="005D62B7"/>
    <w:rsid w:val="005E35C7"/>
    <w:rsid w:val="005E541C"/>
    <w:rsid w:val="005E604A"/>
    <w:rsid w:val="005E71D0"/>
    <w:rsid w:val="005F379D"/>
    <w:rsid w:val="005F784E"/>
    <w:rsid w:val="00603071"/>
    <w:rsid w:val="006145DF"/>
    <w:rsid w:val="00617EFC"/>
    <w:rsid w:val="00620ADE"/>
    <w:rsid w:val="006237FD"/>
    <w:rsid w:val="00623F31"/>
    <w:rsid w:val="00634C36"/>
    <w:rsid w:val="00636F98"/>
    <w:rsid w:val="00637928"/>
    <w:rsid w:val="00641E7E"/>
    <w:rsid w:val="00642E70"/>
    <w:rsid w:val="00642FB5"/>
    <w:rsid w:val="006434EE"/>
    <w:rsid w:val="00643600"/>
    <w:rsid w:val="00645244"/>
    <w:rsid w:val="0064773C"/>
    <w:rsid w:val="00650FE0"/>
    <w:rsid w:val="0065375F"/>
    <w:rsid w:val="00653EFE"/>
    <w:rsid w:val="00656FA6"/>
    <w:rsid w:val="00660FD1"/>
    <w:rsid w:val="0066402D"/>
    <w:rsid w:val="006647D0"/>
    <w:rsid w:val="00664CC8"/>
    <w:rsid w:val="006650FB"/>
    <w:rsid w:val="00673177"/>
    <w:rsid w:val="00673918"/>
    <w:rsid w:val="00673B22"/>
    <w:rsid w:val="00680BD7"/>
    <w:rsid w:val="00682648"/>
    <w:rsid w:val="0068278D"/>
    <w:rsid w:val="00686C45"/>
    <w:rsid w:val="00687D96"/>
    <w:rsid w:val="00691638"/>
    <w:rsid w:val="00694406"/>
    <w:rsid w:val="0069672C"/>
    <w:rsid w:val="00696D5B"/>
    <w:rsid w:val="00697156"/>
    <w:rsid w:val="00697226"/>
    <w:rsid w:val="00697EFA"/>
    <w:rsid w:val="006A2AFF"/>
    <w:rsid w:val="006A382C"/>
    <w:rsid w:val="006A3B04"/>
    <w:rsid w:val="006A40EC"/>
    <w:rsid w:val="006A66DF"/>
    <w:rsid w:val="006B0504"/>
    <w:rsid w:val="006B0F67"/>
    <w:rsid w:val="006B4772"/>
    <w:rsid w:val="006B5D0F"/>
    <w:rsid w:val="006C0720"/>
    <w:rsid w:val="006C189C"/>
    <w:rsid w:val="006C3523"/>
    <w:rsid w:val="006C390D"/>
    <w:rsid w:val="006C5135"/>
    <w:rsid w:val="006D1606"/>
    <w:rsid w:val="006D2E14"/>
    <w:rsid w:val="006D33AD"/>
    <w:rsid w:val="006E329E"/>
    <w:rsid w:val="006E3634"/>
    <w:rsid w:val="006E4C79"/>
    <w:rsid w:val="006E5481"/>
    <w:rsid w:val="006F2AAC"/>
    <w:rsid w:val="006F405D"/>
    <w:rsid w:val="00700705"/>
    <w:rsid w:val="00700B39"/>
    <w:rsid w:val="007059E5"/>
    <w:rsid w:val="00710A0C"/>
    <w:rsid w:val="00712CF3"/>
    <w:rsid w:val="0073275E"/>
    <w:rsid w:val="007341A7"/>
    <w:rsid w:val="007359C4"/>
    <w:rsid w:val="00736B42"/>
    <w:rsid w:val="00737DCD"/>
    <w:rsid w:val="007410B0"/>
    <w:rsid w:val="00741B3C"/>
    <w:rsid w:val="00745445"/>
    <w:rsid w:val="007465EC"/>
    <w:rsid w:val="00750705"/>
    <w:rsid w:val="00752DBC"/>
    <w:rsid w:val="0075416C"/>
    <w:rsid w:val="007550E8"/>
    <w:rsid w:val="00755F0A"/>
    <w:rsid w:val="00756A4B"/>
    <w:rsid w:val="007600AE"/>
    <w:rsid w:val="007635BD"/>
    <w:rsid w:val="007645A2"/>
    <w:rsid w:val="007755A2"/>
    <w:rsid w:val="00775747"/>
    <w:rsid w:val="0077676C"/>
    <w:rsid w:val="00781713"/>
    <w:rsid w:val="007829CB"/>
    <w:rsid w:val="00783E11"/>
    <w:rsid w:val="0079064A"/>
    <w:rsid w:val="00790A8F"/>
    <w:rsid w:val="00792D7B"/>
    <w:rsid w:val="00793A5A"/>
    <w:rsid w:val="00793D7D"/>
    <w:rsid w:val="00793FC8"/>
    <w:rsid w:val="00795985"/>
    <w:rsid w:val="007969CC"/>
    <w:rsid w:val="007A348E"/>
    <w:rsid w:val="007A51F8"/>
    <w:rsid w:val="007B0AC7"/>
    <w:rsid w:val="007B2923"/>
    <w:rsid w:val="007B36DF"/>
    <w:rsid w:val="007B4DE4"/>
    <w:rsid w:val="007B53D8"/>
    <w:rsid w:val="007C007C"/>
    <w:rsid w:val="007C4FF7"/>
    <w:rsid w:val="007C72E6"/>
    <w:rsid w:val="007D084B"/>
    <w:rsid w:val="007D4DE3"/>
    <w:rsid w:val="007D6AF0"/>
    <w:rsid w:val="007E03CA"/>
    <w:rsid w:val="007E2792"/>
    <w:rsid w:val="007E3BAF"/>
    <w:rsid w:val="007E74C6"/>
    <w:rsid w:val="007E7FEA"/>
    <w:rsid w:val="007F1A83"/>
    <w:rsid w:val="007F65CB"/>
    <w:rsid w:val="007F7004"/>
    <w:rsid w:val="008050AF"/>
    <w:rsid w:val="00812A2D"/>
    <w:rsid w:val="00813495"/>
    <w:rsid w:val="00813FC3"/>
    <w:rsid w:val="0081462F"/>
    <w:rsid w:val="00815EC9"/>
    <w:rsid w:val="0082018F"/>
    <w:rsid w:val="00820A76"/>
    <w:rsid w:val="0082292D"/>
    <w:rsid w:val="00822C73"/>
    <w:rsid w:val="0082526A"/>
    <w:rsid w:val="00832FCA"/>
    <w:rsid w:val="00835F25"/>
    <w:rsid w:val="008369F7"/>
    <w:rsid w:val="00836FBC"/>
    <w:rsid w:val="00837FD2"/>
    <w:rsid w:val="0084107D"/>
    <w:rsid w:val="008413B9"/>
    <w:rsid w:val="00845574"/>
    <w:rsid w:val="008509A6"/>
    <w:rsid w:val="008512C9"/>
    <w:rsid w:val="00851C73"/>
    <w:rsid w:val="00852A29"/>
    <w:rsid w:val="00853C39"/>
    <w:rsid w:val="008606C0"/>
    <w:rsid w:val="0086155E"/>
    <w:rsid w:val="00865A93"/>
    <w:rsid w:val="0086681F"/>
    <w:rsid w:val="00871036"/>
    <w:rsid w:val="00873133"/>
    <w:rsid w:val="0087478F"/>
    <w:rsid w:val="00875463"/>
    <w:rsid w:val="00880149"/>
    <w:rsid w:val="00881EAF"/>
    <w:rsid w:val="008860DE"/>
    <w:rsid w:val="008A007B"/>
    <w:rsid w:val="008A285F"/>
    <w:rsid w:val="008A48FE"/>
    <w:rsid w:val="008A7C9D"/>
    <w:rsid w:val="008B07B1"/>
    <w:rsid w:val="008B0923"/>
    <w:rsid w:val="008B0B22"/>
    <w:rsid w:val="008B0FE1"/>
    <w:rsid w:val="008B1764"/>
    <w:rsid w:val="008B5763"/>
    <w:rsid w:val="008C0AFD"/>
    <w:rsid w:val="008C1E5E"/>
    <w:rsid w:val="008C3667"/>
    <w:rsid w:val="008C5507"/>
    <w:rsid w:val="008C681D"/>
    <w:rsid w:val="008C6863"/>
    <w:rsid w:val="008D6F6A"/>
    <w:rsid w:val="008E3778"/>
    <w:rsid w:val="008E51E7"/>
    <w:rsid w:val="008E5285"/>
    <w:rsid w:val="008E5A26"/>
    <w:rsid w:val="008F10C9"/>
    <w:rsid w:val="008F2895"/>
    <w:rsid w:val="008F3869"/>
    <w:rsid w:val="008F4491"/>
    <w:rsid w:val="008F7E99"/>
    <w:rsid w:val="00902FF7"/>
    <w:rsid w:val="0091011F"/>
    <w:rsid w:val="00912D48"/>
    <w:rsid w:val="00915D89"/>
    <w:rsid w:val="009160A8"/>
    <w:rsid w:val="0091637F"/>
    <w:rsid w:val="0091707E"/>
    <w:rsid w:val="009226D5"/>
    <w:rsid w:val="009227B8"/>
    <w:rsid w:val="00923E37"/>
    <w:rsid w:val="00925B36"/>
    <w:rsid w:val="009308E0"/>
    <w:rsid w:val="00931ADE"/>
    <w:rsid w:val="00933BB7"/>
    <w:rsid w:val="00934259"/>
    <w:rsid w:val="00941B6D"/>
    <w:rsid w:val="009448A6"/>
    <w:rsid w:val="00951B64"/>
    <w:rsid w:val="009560C3"/>
    <w:rsid w:val="00960B3F"/>
    <w:rsid w:val="00965DE9"/>
    <w:rsid w:val="00971934"/>
    <w:rsid w:val="0098077C"/>
    <w:rsid w:val="009809A2"/>
    <w:rsid w:val="00986613"/>
    <w:rsid w:val="0099354B"/>
    <w:rsid w:val="009947FE"/>
    <w:rsid w:val="0099665D"/>
    <w:rsid w:val="0099770C"/>
    <w:rsid w:val="00997ABC"/>
    <w:rsid w:val="009A1665"/>
    <w:rsid w:val="009A3EC4"/>
    <w:rsid w:val="009A49FA"/>
    <w:rsid w:val="009A5196"/>
    <w:rsid w:val="009B0334"/>
    <w:rsid w:val="009B0F9F"/>
    <w:rsid w:val="009B1877"/>
    <w:rsid w:val="009B31EE"/>
    <w:rsid w:val="009B43BE"/>
    <w:rsid w:val="009B44FF"/>
    <w:rsid w:val="009C2416"/>
    <w:rsid w:val="009C6057"/>
    <w:rsid w:val="009C6CDC"/>
    <w:rsid w:val="009D0573"/>
    <w:rsid w:val="009D15D6"/>
    <w:rsid w:val="009D1C29"/>
    <w:rsid w:val="009D76B5"/>
    <w:rsid w:val="009E066F"/>
    <w:rsid w:val="009E2087"/>
    <w:rsid w:val="009E2D81"/>
    <w:rsid w:val="009E51AC"/>
    <w:rsid w:val="009E54A7"/>
    <w:rsid w:val="009F0DBF"/>
    <w:rsid w:val="009F6CD9"/>
    <w:rsid w:val="009F7B6F"/>
    <w:rsid w:val="00A019BB"/>
    <w:rsid w:val="00A029AB"/>
    <w:rsid w:val="00A034E3"/>
    <w:rsid w:val="00A105F4"/>
    <w:rsid w:val="00A11404"/>
    <w:rsid w:val="00A21CEE"/>
    <w:rsid w:val="00A2258B"/>
    <w:rsid w:val="00A22A56"/>
    <w:rsid w:val="00A239F1"/>
    <w:rsid w:val="00A240F3"/>
    <w:rsid w:val="00A30742"/>
    <w:rsid w:val="00A411A6"/>
    <w:rsid w:val="00A41E0E"/>
    <w:rsid w:val="00A43436"/>
    <w:rsid w:val="00A45D76"/>
    <w:rsid w:val="00A5344F"/>
    <w:rsid w:val="00A54B98"/>
    <w:rsid w:val="00A57625"/>
    <w:rsid w:val="00A61947"/>
    <w:rsid w:val="00A65CA3"/>
    <w:rsid w:val="00A66DD4"/>
    <w:rsid w:val="00A75DD2"/>
    <w:rsid w:val="00A75F4D"/>
    <w:rsid w:val="00A77B53"/>
    <w:rsid w:val="00A824CA"/>
    <w:rsid w:val="00A8536E"/>
    <w:rsid w:val="00A86A63"/>
    <w:rsid w:val="00A86E3C"/>
    <w:rsid w:val="00A91D64"/>
    <w:rsid w:val="00A92575"/>
    <w:rsid w:val="00A95485"/>
    <w:rsid w:val="00A97F8D"/>
    <w:rsid w:val="00AA0249"/>
    <w:rsid w:val="00AA2AB0"/>
    <w:rsid w:val="00AA3999"/>
    <w:rsid w:val="00AA4E8D"/>
    <w:rsid w:val="00AB18AF"/>
    <w:rsid w:val="00AB1F76"/>
    <w:rsid w:val="00AB26A8"/>
    <w:rsid w:val="00AB6184"/>
    <w:rsid w:val="00AB746C"/>
    <w:rsid w:val="00AB7686"/>
    <w:rsid w:val="00AC07D3"/>
    <w:rsid w:val="00AC19E6"/>
    <w:rsid w:val="00AC4B49"/>
    <w:rsid w:val="00AC5563"/>
    <w:rsid w:val="00AD7847"/>
    <w:rsid w:val="00AD7D74"/>
    <w:rsid w:val="00AE0464"/>
    <w:rsid w:val="00AE7636"/>
    <w:rsid w:val="00AE79D3"/>
    <w:rsid w:val="00AE7C64"/>
    <w:rsid w:val="00AE7F52"/>
    <w:rsid w:val="00AF22DB"/>
    <w:rsid w:val="00AF575D"/>
    <w:rsid w:val="00B03F82"/>
    <w:rsid w:val="00B067E9"/>
    <w:rsid w:val="00B0707B"/>
    <w:rsid w:val="00B117FC"/>
    <w:rsid w:val="00B12360"/>
    <w:rsid w:val="00B127C1"/>
    <w:rsid w:val="00B13602"/>
    <w:rsid w:val="00B141DE"/>
    <w:rsid w:val="00B22631"/>
    <w:rsid w:val="00B25425"/>
    <w:rsid w:val="00B2689B"/>
    <w:rsid w:val="00B3759D"/>
    <w:rsid w:val="00B4101D"/>
    <w:rsid w:val="00B420BB"/>
    <w:rsid w:val="00B42E4A"/>
    <w:rsid w:val="00B4444A"/>
    <w:rsid w:val="00B512D7"/>
    <w:rsid w:val="00B53FFA"/>
    <w:rsid w:val="00B546DB"/>
    <w:rsid w:val="00B63FB2"/>
    <w:rsid w:val="00B65320"/>
    <w:rsid w:val="00B666EF"/>
    <w:rsid w:val="00B71B8F"/>
    <w:rsid w:val="00B75FE4"/>
    <w:rsid w:val="00B8279C"/>
    <w:rsid w:val="00BA486B"/>
    <w:rsid w:val="00BA4E38"/>
    <w:rsid w:val="00BA5645"/>
    <w:rsid w:val="00BA599A"/>
    <w:rsid w:val="00BA6791"/>
    <w:rsid w:val="00BA6EC2"/>
    <w:rsid w:val="00BA79FE"/>
    <w:rsid w:val="00BB0735"/>
    <w:rsid w:val="00BB1973"/>
    <w:rsid w:val="00BB1AC0"/>
    <w:rsid w:val="00BB1E75"/>
    <w:rsid w:val="00BB2598"/>
    <w:rsid w:val="00BC216F"/>
    <w:rsid w:val="00BC228A"/>
    <w:rsid w:val="00BC4A84"/>
    <w:rsid w:val="00BD26CD"/>
    <w:rsid w:val="00BD7AEF"/>
    <w:rsid w:val="00BE0AE9"/>
    <w:rsid w:val="00BE1324"/>
    <w:rsid w:val="00BE4B28"/>
    <w:rsid w:val="00BE4B76"/>
    <w:rsid w:val="00BE4BA4"/>
    <w:rsid w:val="00BE621B"/>
    <w:rsid w:val="00BF014B"/>
    <w:rsid w:val="00BF09FA"/>
    <w:rsid w:val="00BF4FA9"/>
    <w:rsid w:val="00BF7DB3"/>
    <w:rsid w:val="00C00D6B"/>
    <w:rsid w:val="00C05C83"/>
    <w:rsid w:val="00C07C0C"/>
    <w:rsid w:val="00C14221"/>
    <w:rsid w:val="00C16610"/>
    <w:rsid w:val="00C16A20"/>
    <w:rsid w:val="00C174AA"/>
    <w:rsid w:val="00C202F0"/>
    <w:rsid w:val="00C206C5"/>
    <w:rsid w:val="00C20AEB"/>
    <w:rsid w:val="00C2525D"/>
    <w:rsid w:val="00C25C47"/>
    <w:rsid w:val="00C262BC"/>
    <w:rsid w:val="00C31D8E"/>
    <w:rsid w:val="00C32599"/>
    <w:rsid w:val="00C32841"/>
    <w:rsid w:val="00C34CB7"/>
    <w:rsid w:val="00C37F61"/>
    <w:rsid w:val="00C461B9"/>
    <w:rsid w:val="00C56075"/>
    <w:rsid w:val="00C616F8"/>
    <w:rsid w:val="00C61A70"/>
    <w:rsid w:val="00C63D18"/>
    <w:rsid w:val="00C70051"/>
    <w:rsid w:val="00C70FB5"/>
    <w:rsid w:val="00C72E74"/>
    <w:rsid w:val="00C741A0"/>
    <w:rsid w:val="00C74473"/>
    <w:rsid w:val="00C81E1F"/>
    <w:rsid w:val="00C82D6F"/>
    <w:rsid w:val="00C830CA"/>
    <w:rsid w:val="00C83939"/>
    <w:rsid w:val="00C903C9"/>
    <w:rsid w:val="00C9056E"/>
    <w:rsid w:val="00C96C97"/>
    <w:rsid w:val="00C97D22"/>
    <w:rsid w:val="00CA08DB"/>
    <w:rsid w:val="00CA1590"/>
    <w:rsid w:val="00CA226F"/>
    <w:rsid w:val="00CA2337"/>
    <w:rsid w:val="00CB17B3"/>
    <w:rsid w:val="00CB19EE"/>
    <w:rsid w:val="00CB1D0C"/>
    <w:rsid w:val="00CB5BE8"/>
    <w:rsid w:val="00CC03DC"/>
    <w:rsid w:val="00CC1A8F"/>
    <w:rsid w:val="00CC3723"/>
    <w:rsid w:val="00CD4B66"/>
    <w:rsid w:val="00CD5086"/>
    <w:rsid w:val="00CD5832"/>
    <w:rsid w:val="00CD5D57"/>
    <w:rsid w:val="00CD6C68"/>
    <w:rsid w:val="00CE064E"/>
    <w:rsid w:val="00CE4623"/>
    <w:rsid w:val="00CE4859"/>
    <w:rsid w:val="00CE6589"/>
    <w:rsid w:val="00CE7B6D"/>
    <w:rsid w:val="00CF38E8"/>
    <w:rsid w:val="00CF3D80"/>
    <w:rsid w:val="00CF532D"/>
    <w:rsid w:val="00CF5F10"/>
    <w:rsid w:val="00D02D27"/>
    <w:rsid w:val="00D03386"/>
    <w:rsid w:val="00D04E97"/>
    <w:rsid w:val="00D05794"/>
    <w:rsid w:val="00D06FD2"/>
    <w:rsid w:val="00D105F9"/>
    <w:rsid w:val="00D10904"/>
    <w:rsid w:val="00D13E2E"/>
    <w:rsid w:val="00D17FD0"/>
    <w:rsid w:val="00D24B27"/>
    <w:rsid w:val="00D26470"/>
    <w:rsid w:val="00D26AA7"/>
    <w:rsid w:val="00D32C31"/>
    <w:rsid w:val="00D347AA"/>
    <w:rsid w:val="00D347EC"/>
    <w:rsid w:val="00D4500D"/>
    <w:rsid w:val="00D50BBE"/>
    <w:rsid w:val="00D52C67"/>
    <w:rsid w:val="00D5430B"/>
    <w:rsid w:val="00D54C48"/>
    <w:rsid w:val="00D57402"/>
    <w:rsid w:val="00D60CBE"/>
    <w:rsid w:val="00D6194C"/>
    <w:rsid w:val="00D62BE2"/>
    <w:rsid w:val="00D630D6"/>
    <w:rsid w:val="00D65F93"/>
    <w:rsid w:val="00D722F7"/>
    <w:rsid w:val="00D72E52"/>
    <w:rsid w:val="00D73FE2"/>
    <w:rsid w:val="00D751B2"/>
    <w:rsid w:val="00D83D73"/>
    <w:rsid w:val="00D859C2"/>
    <w:rsid w:val="00D8614B"/>
    <w:rsid w:val="00D90557"/>
    <w:rsid w:val="00D94D39"/>
    <w:rsid w:val="00D95D60"/>
    <w:rsid w:val="00D96CA8"/>
    <w:rsid w:val="00D970AE"/>
    <w:rsid w:val="00DA1417"/>
    <w:rsid w:val="00DA21AB"/>
    <w:rsid w:val="00DA2494"/>
    <w:rsid w:val="00DA60F6"/>
    <w:rsid w:val="00DB17AC"/>
    <w:rsid w:val="00DB1E3D"/>
    <w:rsid w:val="00DC1EBE"/>
    <w:rsid w:val="00DC3B79"/>
    <w:rsid w:val="00DC577C"/>
    <w:rsid w:val="00DD778A"/>
    <w:rsid w:val="00DE37A0"/>
    <w:rsid w:val="00DE6758"/>
    <w:rsid w:val="00DE6CDE"/>
    <w:rsid w:val="00DE7EB7"/>
    <w:rsid w:val="00DF30E0"/>
    <w:rsid w:val="00DF657B"/>
    <w:rsid w:val="00DF7D4D"/>
    <w:rsid w:val="00E03B48"/>
    <w:rsid w:val="00E06D52"/>
    <w:rsid w:val="00E0796A"/>
    <w:rsid w:val="00E07C88"/>
    <w:rsid w:val="00E1013E"/>
    <w:rsid w:val="00E105EB"/>
    <w:rsid w:val="00E14745"/>
    <w:rsid w:val="00E153F0"/>
    <w:rsid w:val="00E154B0"/>
    <w:rsid w:val="00E22B78"/>
    <w:rsid w:val="00E2370E"/>
    <w:rsid w:val="00E24B60"/>
    <w:rsid w:val="00E24DD1"/>
    <w:rsid w:val="00E251DC"/>
    <w:rsid w:val="00E32603"/>
    <w:rsid w:val="00E33A8A"/>
    <w:rsid w:val="00E34F51"/>
    <w:rsid w:val="00E35209"/>
    <w:rsid w:val="00E445A6"/>
    <w:rsid w:val="00E44ABA"/>
    <w:rsid w:val="00E50C72"/>
    <w:rsid w:val="00E512B3"/>
    <w:rsid w:val="00E51A02"/>
    <w:rsid w:val="00E5207F"/>
    <w:rsid w:val="00E55A6F"/>
    <w:rsid w:val="00E568CF"/>
    <w:rsid w:val="00E60A07"/>
    <w:rsid w:val="00E63047"/>
    <w:rsid w:val="00E77841"/>
    <w:rsid w:val="00E809D0"/>
    <w:rsid w:val="00E82277"/>
    <w:rsid w:val="00E827A3"/>
    <w:rsid w:val="00E87A9C"/>
    <w:rsid w:val="00E9451E"/>
    <w:rsid w:val="00EA440C"/>
    <w:rsid w:val="00EB03E8"/>
    <w:rsid w:val="00EB1F7D"/>
    <w:rsid w:val="00EB283B"/>
    <w:rsid w:val="00EB5E61"/>
    <w:rsid w:val="00EB64FC"/>
    <w:rsid w:val="00EC1E29"/>
    <w:rsid w:val="00EC53AC"/>
    <w:rsid w:val="00EC5D44"/>
    <w:rsid w:val="00ED35C1"/>
    <w:rsid w:val="00ED5EE1"/>
    <w:rsid w:val="00ED6561"/>
    <w:rsid w:val="00EE7457"/>
    <w:rsid w:val="00EE781B"/>
    <w:rsid w:val="00EF11AF"/>
    <w:rsid w:val="00F0103A"/>
    <w:rsid w:val="00F013F4"/>
    <w:rsid w:val="00F014DB"/>
    <w:rsid w:val="00F046A8"/>
    <w:rsid w:val="00F05F0A"/>
    <w:rsid w:val="00F061A3"/>
    <w:rsid w:val="00F06AF7"/>
    <w:rsid w:val="00F07D79"/>
    <w:rsid w:val="00F12E84"/>
    <w:rsid w:val="00F13808"/>
    <w:rsid w:val="00F1393F"/>
    <w:rsid w:val="00F13F6E"/>
    <w:rsid w:val="00F141EC"/>
    <w:rsid w:val="00F15642"/>
    <w:rsid w:val="00F15705"/>
    <w:rsid w:val="00F1790E"/>
    <w:rsid w:val="00F17A27"/>
    <w:rsid w:val="00F20D4D"/>
    <w:rsid w:val="00F2331D"/>
    <w:rsid w:val="00F25635"/>
    <w:rsid w:val="00F315E5"/>
    <w:rsid w:val="00F345AF"/>
    <w:rsid w:val="00F363DF"/>
    <w:rsid w:val="00F377A9"/>
    <w:rsid w:val="00F37E2F"/>
    <w:rsid w:val="00F42E9A"/>
    <w:rsid w:val="00F4365D"/>
    <w:rsid w:val="00F4524D"/>
    <w:rsid w:val="00F4700A"/>
    <w:rsid w:val="00F502DD"/>
    <w:rsid w:val="00F5054D"/>
    <w:rsid w:val="00F52045"/>
    <w:rsid w:val="00F529FD"/>
    <w:rsid w:val="00F558A2"/>
    <w:rsid w:val="00F55F38"/>
    <w:rsid w:val="00F60263"/>
    <w:rsid w:val="00F65DE4"/>
    <w:rsid w:val="00F667CE"/>
    <w:rsid w:val="00F66CCA"/>
    <w:rsid w:val="00F674F5"/>
    <w:rsid w:val="00F676A5"/>
    <w:rsid w:val="00F75944"/>
    <w:rsid w:val="00F7662A"/>
    <w:rsid w:val="00F77694"/>
    <w:rsid w:val="00F80A61"/>
    <w:rsid w:val="00F811F0"/>
    <w:rsid w:val="00F826D0"/>
    <w:rsid w:val="00F830E5"/>
    <w:rsid w:val="00F84CD4"/>
    <w:rsid w:val="00F90A83"/>
    <w:rsid w:val="00F9299B"/>
    <w:rsid w:val="00F9442E"/>
    <w:rsid w:val="00F94927"/>
    <w:rsid w:val="00F97EEF"/>
    <w:rsid w:val="00FA2673"/>
    <w:rsid w:val="00FA3344"/>
    <w:rsid w:val="00FB0069"/>
    <w:rsid w:val="00FB146D"/>
    <w:rsid w:val="00FB2404"/>
    <w:rsid w:val="00FB6DA4"/>
    <w:rsid w:val="00FC10DC"/>
    <w:rsid w:val="00FC6143"/>
    <w:rsid w:val="00FC66EF"/>
    <w:rsid w:val="00FC71A5"/>
    <w:rsid w:val="00FC7411"/>
    <w:rsid w:val="00FD241D"/>
    <w:rsid w:val="00FD5426"/>
    <w:rsid w:val="00FD7C73"/>
    <w:rsid w:val="00FE1B4C"/>
    <w:rsid w:val="00FE443D"/>
    <w:rsid w:val="00FE58CA"/>
    <w:rsid w:val="00FE5C92"/>
    <w:rsid w:val="00FE60FC"/>
    <w:rsid w:val="00FF0A8D"/>
    <w:rsid w:val="00FF46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96F5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67E9"/>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4D42"/>
    <w:pPr>
      <w:ind w:left="720"/>
      <w:contextualSpacing/>
    </w:pPr>
  </w:style>
  <w:style w:type="table" w:styleId="TableGrid">
    <w:name w:val="Table Grid"/>
    <w:basedOn w:val="TableNormal"/>
    <w:uiPriority w:val="39"/>
    <w:rsid w:val="00941B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D90557"/>
    <w:rPr>
      <w:sz w:val="18"/>
      <w:szCs w:val="18"/>
    </w:rPr>
  </w:style>
  <w:style w:type="paragraph" w:styleId="CommentText">
    <w:name w:val="annotation text"/>
    <w:basedOn w:val="Normal"/>
    <w:link w:val="CommentTextChar"/>
    <w:uiPriority w:val="99"/>
    <w:unhideWhenUsed/>
    <w:rsid w:val="00D90557"/>
  </w:style>
  <w:style w:type="character" w:customStyle="1" w:styleId="CommentTextChar">
    <w:name w:val="Comment Text Char"/>
    <w:basedOn w:val="DefaultParagraphFont"/>
    <w:link w:val="CommentText"/>
    <w:uiPriority w:val="99"/>
    <w:rsid w:val="00D90557"/>
    <w:rPr>
      <w:rFonts w:ascii="Times New Roman" w:hAnsi="Times New Roman" w:cs="Times New Roman"/>
    </w:rPr>
  </w:style>
  <w:style w:type="paragraph" w:styleId="CommentSubject">
    <w:name w:val="annotation subject"/>
    <w:basedOn w:val="CommentText"/>
    <w:next w:val="CommentText"/>
    <w:link w:val="CommentSubjectChar"/>
    <w:uiPriority w:val="99"/>
    <w:semiHidden/>
    <w:unhideWhenUsed/>
    <w:rsid w:val="00D90557"/>
    <w:rPr>
      <w:b/>
      <w:bCs/>
      <w:sz w:val="20"/>
      <w:szCs w:val="20"/>
    </w:rPr>
  </w:style>
  <w:style w:type="character" w:customStyle="1" w:styleId="CommentSubjectChar">
    <w:name w:val="Comment Subject Char"/>
    <w:basedOn w:val="CommentTextChar"/>
    <w:link w:val="CommentSubject"/>
    <w:uiPriority w:val="99"/>
    <w:semiHidden/>
    <w:rsid w:val="00D90557"/>
    <w:rPr>
      <w:rFonts w:ascii="Times New Roman" w:hAnsi="Times New Roman" w:cs="Times New Roman"/>
      <w:b/>
      <w:bCs/>
      <w:sz w:val="20"/>
      <w:szCs w:val="20"/>
    </w:rPr>
  </w:style>
  <w:style w:type="paragraph" w:styleId="BalloonText">
    <w:name w:val="Balloon Text"/>
    <w:basedOn w:val="Normal"/>
    <w:link w:val="BalloonTextChar"/>
    <w:uiPriority w:val="99"/>
    <w:semiHidden/>
    <w:unhideWhenUsed/>
    <w:rsid w:val="00D90557"/>
    <w:rPr>
      <w:sz w:val="18"/>
      <w:szCs w:val="18"/>
    </w:rPr>
  </w:style>
  <w:style w:type="character" w:customStyle="1" w:styleId="BalloonTextChar">
    <w:name w:val="Balloon Text Char"/>
    <w:basedOn w:val="DefaultParagraphFont"/>
    <w:link w:val="BalloonText"/>
    <w:uiPriority w:val="99"/>
    <w:semiHidden/>
    <w:rsid w:val="00D90557"/>
    <w:rPr>
      <w:rFonts w:ascii="Times New Roman" w:hAnsi="Times New Roman" w:cs="Times New Roman"/>
      <w:sz w:val="18"/>
      <w:szCs w:val="18"/>
    </w:rPr>
  </w:style>
  <w:style w:type="character" w:styleId="Hyperlink">
    <w:name w:val="Hyperlink"/>
    <w:basedOn w:val="DefaultParagraphFont"/>
    <w:uiPriority w:val="99"/>
    <w:unhideWhenUsed/>
    <w:rsid w:val="00F06AF7"/>
    <w:rPr>
      <w:color w:val="0563C1" w:themeColor="hyperlink"/>
      <w:u w:val="single"/>
    </w:rPr>
  </w:style>
  <w:style w:type="character" w:styleId="FollowedHyperlink">
    <w:name w:val="FollowedHyperlink"/>
    <w:basedOn w:val="DefaultParagraphFont"/>
    <w:uiPriority w:val="99"/>
    <w:semiHidden/>
    <w:unhideWhenUsed/>
    <w:rsid w:val="00E154B0"/>
    <w:rPr>
      <w:color w:val="954F72" w:themeColor="followedHyperlink"/>
      <w:u w:val="single"/>
    </w:rPr>
  </w:style>
  <w:style w:type="character" w:customStyle="1" w:styleId="apple-converted-space">
    <w:name w:val="apple-converted-space"/>
    <w:basedOn w:val="DefaultParagraphFont"/>
    <w:rsid w:val="00DB17AC"/>
  </w:style>
  <w:style w:type="paragraph" w:styleId="Header">
    <w:name w:val="header"/>
    <w:basedOn w:val="Normal"/>
    <w:link w:val="HeaderChar"/>
    <w:uiPriority w:val="99"/>
    <w:unhideWhenUsed/>
    <w:rsid w:val="00A5344F"/>
    <w:pPr>
      <w:tabs>
        <w:tab w:val="center" w:pos="4680"/>
        <w:tab w:val="right" w:pos="9360"/>
      </w:tabs>
    </w:pPr>
  </w:style>
  <w:style w:type="character" w:customStyle="1" w:styleId="HeaderChar">
    <w:name w:val="Header Char"/>
    <w:basedOn w:val="DefaultParagraphFont"/>
    <w:link w:val="Header"/>
    <w:uiPriority w:val="99"/>
    <w:rsid w:val="00A5344F"/>
    <w:rPr>
      <w:rFonts w:ascii="Times New Roman" w:hAnsi="Times New Roman" w:cs="Times New Roman"/>
    </w:rPr>
  </w:style>
  <w:style w:type="paragraph" w:styleId="Footer">
    <w:name w:val="footer"/>
    <w:basedOn w:val="Normal"/>
    <w:link w:val="FooterChar"/>
    <w:uiPriority w:val="99"/>
    <w:unhideWhenUsed/>
    <w:rsid w:val="00A5344F"/>
    <w:pPr>
      <w:tabs>
        <w:tab w:val="center" w:pos="4680"/>
        <w:tab w:val="right" w:pos="9360"/>
      </w:tabs>
    </w:pPr>
  </w:style>
  <w:style w:type="character" w:customStyle="1" w:styleId="FooterChar">
    <w:name w:val="Footer Char"/>
    <w:basedOn w:val="DefaultParagraphFont"/>
    <w:link w:val="Footer"/>
    <w:uiPriority w:val="99"/>
    <w:rsid w:val="00A5344F"/>
    <w:rPr>
      <w:rFonts w:ascii="Times New Roman" w:hAnsi="Times New Roman" w:cs="Times New Roman"/>
    </w:rPr>
  </w:style>
  <w:style w:type="character" w:styleId="PageNumber">
    <w:name w:val="page number"/>
    <w:basedOn w:val="DefaultParagraphFont"/>
    <w:uiPriority w:val="99"/>
    <w:semiHidden/>
    <w:unhideWhenUsed/>
    <w:rsid w:val="00072518"/>
  </w:style>
  <w:style w:type="paragraph" w:styleId="Revision">
    <w:name w:val="Revision"/>
    <w:hidden/>
    <w:uiPriority w:val="99"/>
    <w:semiHidden/>
    <w:rsid w:val="0099770C"/>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574884">
      <w:bodyDiv w:val="1"/>
      <w:marLeft w:val="0"/>
      <w:marRight w:val="0"/>
      <w:marTop w:val="0"/>
      <w:marBottom w:val="0"/>
      <w:divBdr>
        <w:top w:val="none" w:sz="0" w:space="0" w:color="auto"/>
        <w:left w:val="none" w:sz="0" w:space="0" w:color="auto"/>
        <w:bottom w:val="none" w:sz="0" w:space="0" w:color="auto"/>
        <w:right w:val="none" w:sz="0" w:space="0" w:color="auto"/>
      </w:divBdr>
      <w:divsChild>
        <w:div w:id="1874995522">
          <w:marLeft w:val="0"/>
          <w:marRight w:val="0"/>
          <w:marTop w:val="0"/>
          <w:marBottom w:val="0"/>
          <w:divBdr>
            <w:top w:val="none" w:sz="0" w:space="0" w:color="auto"/>
            <w:left w:val="none" w:sz="0" w:space="0" w:color="auto"/>
            <w:bottom w:val="none" w:sz="0" w:space="0" w:color="auto"/>
            <w:right w:val="none" w:sz="0" w:space="0" w:color="auto"/>
          </w:divBdr>
        </w:div>
        <w:div w:id="1486701131">
          <w:marLeft w:val="0"/>
          <w:marRight w:val="0"/>
          <w:marTop w:val="0"/>
          <w:marBottom w:val="0"/>
          <w:divBdr>
            <w:top w:val="none" w:sz="0" w:space="0" w:color="auto"/>
            <w:left w:val="none" w:sz="0" w:space="0" w:color="auto"/>
            <w:bottom w:val="none" w:sz="0" w:space="0" w:color="auto"/>
            <w:right w:val="none" w:sz="0" w:space="0" w:color="auto"/>
          </w:divBdr>
        </w:div>
        <w:div w:id="1485048940">
          <w:marLeft w:val="0"/>
          <w:marRight w:val="0"/>
          <w:marTop w:val="0"/>
          <w:marBottom w:val="0"/>
          <w:divBdr>
            <w:top w:val="none" w:sz="0" w:space="0" w:color="auto"/>
            <w:left w:val="none" w:sz="0" w:space="0" w:color="auto"/>
            <w:bottom w:val="none" w:sz="0" w:space="0" w:color="auto"/>
            <w:right w:val="none" w:sz="0" w:space="0" w:color="auto"/>
          </w:divBdr>
        </w:div>
        <w:div w:id="227228939">
          <w:marLeft w:val="0"/>
          <w:marRight w:val="0"/>
          <w:marTop w:val="0"/>
          <w:marBottom w:val="0"/>
          <w:divBdr>
            <w:top w:val="none" w:sz="0" w:space="0" w:color="auto"/>
            <w:left w:val="none" w:sz="0" w:space="0" w:color="auto"/>
            <w:bottom w:val="none" w:sz="0" w:space="0" w:color="auto"/>
            <w:right w:val="none" w:sz="0" w:space="0" w:color="auto"/>
          </w:divBdr>
        </w:div>
        <w:div w:id="1550723944">
          <w:marLeft w:val="0"/>
          <w:marRight w:val="0"/>
          <w:marTop w:val="0"/>
          <w:marBottom w:val="0"/>
          <w:divBdr>
            <w:top w:val="none" w:sz="0" w:space="0" w:color="auto"/>
            <w:left w:val="none" w:sz="0" w:space="0" w:color="auto"/>
            <w:bottom w:val="none" w:sz="0" w:space="0" w:color="auto"/>
            <w:right w:val="none" w:sz="0" w:space="0" w:color="auto"/>
          </w:divBdr>
        </w:div>
        <w:div w:id="1252546619">
          <w:marLeft w:val="0"/>
          <w:marRight w:val="0"/>
          <w:marTop w:val="0"/>
          <w:marBottom w:val="0"/>
          <w:divBdr>
            <w:top w:val="none" w:sz="0" w:space="0" w:color="auto"/>
            <w:left w:val="none" w:sz="0" w:space="0" w:color="auto"/>
            <w:bottom w:val="none" w:sz="0" w:space="0" w:color="auto"/>
            <w:right w:val="none" w:sz="0" w:space="0" w:color="auto"/>
          </w:divBdr>
        </w:div>
        <w:div w:id="2095588578">
          <w:marLeft w:val="0"/>
          <w:marRight w:val="0"/>
          <w:marTop w:val="0"/>
          <w:marBottom w:val="0"/>
          <w:divBdr>
            <w:top w:val="none" w:sz="0" w:space="0" w:color="auto"/>
            <w:left w:val="none" w:sz="0" w:space="0" w:color="auto"/>
            <w:bottom w:val="none" w:sz="0" w:space="0" w:color="auto"/>
            <w:right w:val="none" w:sz="0" w:space="0" w:color="auto"/>
          </w:divBdr>
        </w:div>
      </w:divsChild>
    </w:div>
    <w:div w:id="383483175">
      <w:bodyDiv w:val="1"/>
      <w:marLeft w:val="0"/>
      <w:marRight w:val="0"/>
      <w:marTop w:val="0"/>
      <w:marBottom w:val="0"/>
      <w:divBdr>
        <w:top w:val="none" w:sz="0" w:space="0" w:color="auto"/>
        <w:left w:val="none" w:sz="0" w:space="0" w:color="auto"/>
        <w:bottom w:val="none" w:sz="0" w:space="0" w:color="auto"/>
        <w:right w:val="none" w:sz="0" w:space="0" w:color="auto"/>
      </w:divBdr>
    </w:div>
    <w:div w:id="546375385">
      <w:bodyDiv w:val="1"/>
      <w:marLeft w:val="0"/>
      <w:marRight w:val="0"/>
      <w:marTop w:val="0"/>
      <w:marBottom w:val="0"/>
      <w:divBdr>
        <w:top w:val="none" w:sz="0" w:space="0" w:color="auto"/>
        <w:left w:val="none" w:sz="0" w:space="0" w:color="auto"/>
        <w:bottom w:val="none" w:sz="0" w:space="0" w:color="auto"/>
        <w:right w:val="none" w:sz="0" w:space="0" w:color="auto"/>
      </w:divBdr>
    </w:div>
    <w:div w:id="932395469">
      <w:bodyDiv w:val="1"/>
      <w:marLeft w:val="0"/>
      <w:marRight w:val="0"/>
      <w:marTop w:val="0"/>
      <w:marBottom w:val="0"/>
      <w:divBdr>
        <w:top w:val="none" w:sz="0" w:space="0" w:color="auto"/>
        <w:left w:val="none" w:sz="0" w:space="0" w:color="auto"/>
        <w:bottom w:val="none" w:sz="0" w:space="0" w:color="auto"/>
        <w:right w:val="none" w:sz="0" w:space="0" w:color="auto"/>
      </w:divBdr>
    </w:div>
    <w:div w:id="1573388613">
      <w:bodyDiv w:val="1"/>
      <w:marLeft w:val="0"/>
      <w:marRight w:val="0"/>
      <w:marTop w:val="0"/>
      <w:marBottom w:val="0"/>
      <w:divBdr>
        <w:top w:val="none" w:sz="0" w:space="0" w:color="auto"/>
        <w:left w:val="none" w:sz="0" w:space="0" w:color="auto"/>
        <w:bottom w:val="none" w:sz="0" w:space="0" w:color="auto"/>
        <w:right w:val="none" w:sz="0" w:space="0" w:color="auto"/>
      </w:divBdr>
    </w:div>
    <w:div w:id="1621759768">
      <w:bodyDiv w:val="1"/>
      <w:marLeft w:val="0"/>
      <w:marRight w:val="0"/>
      <w:marTop w:val="0"/>
      <w:marBottom w:val="0"/>
      <w:divBdr>
        <w:top w:val="none" w:sz="0" w:space="0" w:color="auto"/>
        <w:left w:val="none" w:sz="0" w:space="0" w:color="auto"/>
        <w:bottom w:val="none" w:sz="0" w:space="0" w:color="auto"/>
        <w:right w:val="none" w:sz="0" w:space="0" w:color="auto"/>
      </w:divBdr>
    </w:div>
    <w:div w:id="172144297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chart" Target="charts/chart6.xml"/><Relationship Id="rId21" Type="http://schemas.openxmlformats.org/officeDocument/2006/relationships/chart" Target="charts/chart7.xml"/><Relationship Id="rId22" Type="http://schemas.openxmlformats.org/officeDocument/2006/relationships/image" Target="media/image3.emf"/><Relationship Id="rId23" Type="http://schemas.openxmlformats.org/officeDocument/2006/relationships/image" Target="media/image4.emf"/><Relationship Id="rId24" Type="http://schemas.openxmlformats.org/officeDocument/2006/relationships/image" Target="media/image5.emf"/><Relationship Id="rId25" Type="http://schemas.openxmlformats.org/officeDocument/2006/relationships/image" Target="media/image6.emf"/><Relationship Id="rId26" Type="http://schemas.openxmlformats.org/officeDocument/2006/relationships/image" Target="media/image7.emf"/><Relationship Id="rId27" Type="http://schemas.openxmlformats.org/officeDocument/2006/relationships/image" Target="media/image8.emf"/><Relationship Id="rId28" Type="http://schemas.openxmlformats.org/officeDocument/2006/relationships/image" Target="media/image9.emf"/><Relationship Id="rId29" Type="http://schemas.openxmlformats.org/officeDocument/2006/relationships/image" Target="media/image10.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image" Target="media/image11.emf"/><Relationship Id="rId31" Type="http://schemas.openxmlformats.org/officeDocument/2006/relationships/image" Target="media/image12.emf"/><Relationship Id="rId32" Type="http://schemas.openxmlformats.org/officeDocument/2006/relationships/image" Target="media/image13.emf"/><Relationship Id="rId9" Type="http://schemas.openxmlformats.org/officeDocument/2006/relationships/footer" Target="footer2.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33" Type="http://schemas.openxmlformats.org/officeDocument/2006/relationships/image" Target="media/image14.emf"/><Relationship Id="rId34" Type="http://schemas.openxmlformats.org/officeDocument/2006/relationships/image" Target="media/image15.emf"/><Relationship Id="rId35" Type="http://schemas.openxmlformats.org/officeDocument/2006/relationships/image" Target="media/image16.emf"/><Relationship Id="rId36" Type="http://schemas.openxmlformats.org/officeDocument/2006/relationships/image" Target="media/image17.emf"/><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chart" Target="charts/chart1.xml"/><Relationship Id="rId13" Type="http://schemas.openxmlformats.org/officeDocument/2006/relationships/image" Target="media/image1.emf"/><Relationship Id="rId14" Type="http://schemas.openxmlformats.org/officeDocument/2006/relationships/chart" Target="charts/chart2.xml"/><Relationship Id="rId15" Type="http://schemas.openxmlformats.org/officeDocument/2006/relationships/image" Target="media/image2.emf"/><Relationship Id="rId16" Type="http://schemas.openxmlformats.org/officeDocument/2006/relationships/chart" Target="charts/chart3.xml"/><Relationship Id="rId17" Type="http://schemas.openxmlformats.org/officeDocument/2006/relationships/chart" Target="charts/chart4.xml"/><Relationship Id="rId18" Type="http://schemas.openxmlformats.org/officeDocument/2006/relationships/footer" Target="footer5.xml"/><Relationship Id="rId19" Type="http://schemas.openxmlformats.org/officeDocument/2006/relationships/chart" Target="charts/chart5.xml"/><Relationship Id="rId37" Type="http://schemas.openxmlformats.org/officeDocument/2006/relationships/image" Target="media/image18.emf"/><Relationship Id="rId38" Type="http://schemas.openxmlformats.org/officeDocument/2006/relationships/image" Target="media/image19.emf"/><Relationship Id="rId39" Type="http://schemas.openxmlformats.org/officeDocument/2006/relationships/image" Target="media/image20.emf"/><Relationship Id="rId40" Type="http://schemas.openxmlformats.org/officeDocument/2006/relationships/image" Target="media/image21.emf"/><Relationship Id="rId41" Type="http://schemas.openxmlformats.org/officeDocument/2006/relationships/image" Target="media/image22.emf"/><Relationship Id="rId42" Type="http://schemas.openxmlformats.org/officeDocument/2006/relationships/image" Target="media/image23.emf"/><Relationship Id="rId43" Type="http://schemas.openxmlformats.org/officeDocument/2006/relationships/image" Target="media/image24.emf"/><Relationship Id="rId44" Type="http://schemas.openxmlformats.org/officeDocument/2006/relationships/fontTable" Target="fontTable.xml"/><Relationship Id="rId4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localhost\Users\jessicaleecurrie\Documents\UOttawa\MRP\Research%20Proposal\Food%20Consumption%20Da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localhost\Users\jessicaleecurrie\Desktop\Workbook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localhost\Users\jessicaleecurrie\Desktop\Workbook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localhost\Users\jessicaleecurrie\Desktop\Workbook2.xlsx" TargetMode="External"/></Relationships>
</file>

<file path=word/charts/_rels/chart5.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localhost\Users\jessicaleecurrie\Documents\UOttawa\MRP\Final%20MRP\Workbook2.xlsx" TargetMode="External"/></Relationships>
</file>

<file path=word/charts/_rels/chart6.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oleObject" Target="file://localhost/Users/jessicaleecurrie/Documents/UOttawa/MRP/Final%20MRP/Results/Workbook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localhost\Users\jessicaleecurrie\Desktop\Workbook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70998084248"/>
          <c:y val="0.0601851851851852"/>
          <c:w val="0.851491442502004"/>
          <c:h val="0.729729512977544"/>
        </c:manualLayout>
      </c:layout>
      <c:lineChart>
        <c:grouping val="standard"/>
        <c:varyColors val="0"/>
        <c:ser>
          <c:idx val="0"/>
          <c:order val="0"/>
          <c:tx>
            <c:strRef>
              <c:f>'Per Capita Consumption'!$X$1</c:f>
              <c:strCache>
                <c:ptCount val="1"/>
                <c:pt idx="0">
                  <c:v>Chicken</c:v>
                </c:pt>
              </c:strCache>
            </c:strRef>
          </c:tx>
          <c:spPr>
            <a:ln w="28575" cap="rnd">
              <a:solidFill>
                <a:schemeClr val="accent1"/>
              </a:solidFill>
              <a:round/>
            </a:ln>
            <a:effectLst/>
          </c:spPr>
          <c:marker>
            <c:symbol val="none"/>
          </c:marker>
          <c:cat>
            <c:numRef>
              <c:f>'Per Capita Consumption'!$W$2:$W$36</c:f>
              <c:numCache>
                <c:formatCode>General</c:formatCode>
                <c:ptCount val="35"/>
                <c:pt idx="0">
                  <c:v>1980.0</c:v>
                </c:pt>
                <c:pt idx="1">
                  <c:v>1981.0</c:v>
                </c:pt>
                <c:pt idx="2">
                  <c:v>1982.0</c:v>
                </c:pt>
                <c:pt idx="3">
                  <c:v>1983.0</c:v>
                </c:pt>
                <c:pt idx="4">
                  <c:v>1984.0</c:v>
                </c:pt>
                <c:pt idx="5">
                  <c:v>1985.0</c:v>
                </c:pt>
                <c:pt idx="6">
                  <c:v>1986.0</c:v>
                </c:pt>
                <c:pt idx="7">
                  <c:v>1987.0</c:v>
                </c:pt>
                <c:pt idx="8">
                  <c:v>1988.0</c:v>
                </c:pt>
                <c:pt idx="9">
                  <c:v>1989.0</c:v>
                </c:pt>
                <c:pt idx="10">
                  <c:v>1990.0</c:v>
                </c:pt>
                <c:pt idx="11">
                  <c:v>1991.0</c:v>
                </c:pt>
                <c:pt idx="12">
                  <c:v>1992.0</c:v>
                </c:pt>
                <c:pt idx="13">
                  <c:v>1993.0</c:v>
                </c:pt>
                <c:pt idx="14">
                  <c:v>1994.0</c:v>
                </c:pt>
                <c:pt idx="15">
                  <c:v>1995.0</c:v>
                </c:pt>
                <c:pt idx="16">
                  <c:v>1996.0</c:v>
                </c:pt>
                <c:pt idx="17">
                  <c:v>1997.0</c:v>
                </c:pt>
                <c:pt idx="18">
                  <c:v>1998.0</c:v>
                </c:pt>
                <c:pt idx="19">
                  <c:v>1999.0</c:v>
                </c:pt>
                <c:pt idx="20">
                  <c:v>2000.0</c:v>
                </c:pt>
                <c:pt idx="21">
                  <c:v>2001.0</c:v>
                </c:pt>
                <c:pt idx="22">
                  <c:v>2002.0</c:v>
                </c:pt>
                <c:pt idx="23">
                  <c:v>2003.0</c:v>
                </c:pt>
                <c:pt idx="24">
                  <c:v>2004.0</c:v>
                </c:pt>
                <c:pt idx="25">
                  <c:v>2005.0</c:v>
                </c:pt>
                <c:pt idx="26">
                  <c:v>2006.0</c:v>
                </c:pt>
                <c:pt idx="27">
                  <c:v>2007.0</c:v>
                </c:pt>
                <c:pt idx="28">
                  <c:v>2008.0</c:v>
                </c:pt>
                <c:pt idx="29">
                  <c:v>2009.0</c:v>
                </c:pt>
                <c:pt idx="30">
                  <c:v>2010.0</c:v>
                </c:pt>
                <c:pt idx="31">
                  <c:v>2011.0</c:v>
                </c:pt>
                <c:pt idx="32">
                  <c:v>2012.0</c:v>
                </c:pt>
                <c:pt idx="33">
                  <c:v>2013.0</c:v>
                </c:pt>
                <c:pt idx="34">
                  <c:v>2014.0</c:v>
                </c:pt>
              </c:numCache>
            </c:numRef>
          </c:cat>
          <c:val>
            <c:numRef>
              <c:f>'Per Capita Consumption'!$X$2:$X$36</c:f>
              <c:numCache>
                <c:formatCode>General</c:formatCode>
                <c:ptCount val="35"/>
                <c:pt idx="0">
                  <c:v>16.88</c:v>
                </c:pt>
                <c:pt idx="1">
                  <c:v>16.73</c:v>
                </c:pt>
                <c:pt idx="2">
                  <c:v>16.94</c:v>
                </c:pt>
                <c:pt idx="3">
                  <c:v>16.93</c:v>
                </c:pt>
                <c:pt idx="4">
                  <c:v>17.86</c:v>
                </c:pt>
                <c:pt idx="5">
                  <c:v>19.31</c:v>
                </c:pt>
                <c:pt idx="6">
                  <c:v>19.91</c:v>
                </c:pt>
                <c:pt idx="7">
                  <c:v>21.16</c:v>
                </c:pt>
                <c:pt idx="8">
                  <c:v>21.95</c:v>
                </c:pt>
                <c:pt idx="9">
                  <c:v>21.47</c:v>
                </c:pt>
                <c:pt idx="10">
                  <c:v>22.13</c:v>
                </c:pt>
                <c:pt idx="11">
                  <c:v>22.22</c:v>
                </c:pt>
                <c:pt idx="12">
                  <c:v>22.31</c:v>
                </c:pt>
                <c:pt idx="13">
                  <c:v>23.19</c:v>
                </c:pt>
                <c:pt idx="14">
                  <c:v>25.04</c:v>
                </c:pt>
                <c:pt idx="15">
                  <c:v>24.82</c:v>
                </c:pt>
                <c:pt idx="16">
                  <c:v>24.9</c:v>
                </c:pt>
                <c:pt idx="17">
                  <c:v>25.47</c:v>
                </c:pt>
                <c:pt idx="18">
                  <c:v>26.3</c:v>
                </c:pt>
                <c:pt idx="19">
                  <c:v>27.75</c:v>
                </c:pt>
                <c:pt idx="20">
                  <c:v>29.12</c:v>
                </c:pt>
                <c:pt idx="21">
                  <c:v>30.49</c:v>
                </c:pt>
                <c:pt idx="22">
                  <c:v>30.74</c:v>
                </c:pt>
                <c:pt idx="23">
                  <c:v>29.84</c:v>
                </c:pt>
                <c:pt idx="24">
                  <c:v>30.68</c:v>
                </c:pt>
                <c:pt idx="25">
                  <c:v>30.72</c:v>
                </c:pt>
                <c:pt idx="26">
                  <c:v>30.81</c:v>
                </c:pt>
                <c:pt idx="27">
                  <c:v>30.99</c:v>
                </c:pt>
                <c:pt idx="28">
                  <c:v>30.77</c:v>
                </c:pt>
                <c:pt idx="29">
                  <c:v>30.59</c:v>
                </c:pt>
                <c:pt idx="30">
                  <c:v>30.47</c:v>
                </c:pt>
                <c:pt idx="31">
                  <c:v>30.0</c:v>
                </c:pt>
                <c:pt idx="32">
                  <c:v>29.77</c:v>
                </c:pt>
                <c:pt idx="33">
                  <c:v>30.06</c:v>
                </c:pt>
                <c:pt idx="34">
                  <c:v>30.94</c:v>
                </c:pt>
              </c:numCache>
            </c:numRef>
          </c:val>
          <c:smooth val="0"/>
        </c:ser>
        <c:ser>
          <c:idx val="1"/>
          <c:order val="1"/>
          <c:tx>
            <c:strRef>
              <c:f>'Per Capita Consumption'!$Y$1</c:f>
              <c:strCache>
                <c:ptCount val="1"/>
                <c:pt idx="0">
                  <c:v>Beef</c:v>
                </c:pt>
              </c:strCache>
            </c:strRef>
          </c:tx>
          <c:spPr>
            <a:ln w="28575" cap="rnd">
              <a:solidFill>
                <a:schemeClr val="accent2"/>
              </a:solidFill>
              <a:round/>
            </a:ln>
            <a:effectLst/>
          </c:spPr>
          <c:marker>
            <c:symbol val="none"/>
          </c:marker>
          <c:cat>
            <c:numRef>
              <c:f>'Per Capita Consumption'!$W$2:$W$36</c:f>
              <c:numCache>
                <c:formatCode>General</c:formatCode>
                <c:ptCount val="35"/>
                <c:pt idx="0">
                  <c:v>1980.0</c:v>
                </c:pt>
                <c:pt idx="1">
                  <c:v>1981.0</c:v>
                </c:pt>
                <c:pt idx="2">
                  <c:v>1982.0</c:v>
                </c:pt>
                <c:pt idx="3">
                  <c:v>1983.0</c:v>
                </c:pt>
                <c:pt idx="4">
                  <c:v>1984.0</c:v>
                </c:pt>
                <c:pt idx="5">
                  <c:v>1985.0</c:v>
                </c:pt>
                <c:pt idx="6">
                  <c:v>1986.0</c:v>
                </c:pt>
                <c:pt idx="7">
                  <c:v>1987.0</c:v>
                </c:pt>
                <c:pt idx="8">
                  <c:v>1988.0</c:v>
                </c:pt>
                <c:pt idx="9">
                  <c:v>1989.0</c:v>
                </c:pt>
                <c:pt idx="10">
                  <c:v>1990.0</c:v>
                </c:pt>
                <c:pt idx="11">
                  <c:v>1991.0</c:v>
                </c:pt>
                <c:pt idx="12">
                  <c:v>1992.0</c:v>
                </c:pt>
                <c:pt idx="13">
                  <c:v>1993.0</c:v>
                </c:pt>
                <c:pt idx="14">
                  <c:v>1994.0</c:v>
                </c:pt>
                <c:pt idx="15">
                  <c:v>1995.0</c:v>
                </c:pt>
                <c:pt idx="16">
                  <c:v>1996.0</c:v>
                </c:pt>
                <c:pt idx="17">
                  <c:v>1997.0</c:v>
                </c:pt>
                <c:pt idx="18">
                  <c:v>1998.0</c:v>
                </c:pt>
                <c:pt idx="19">
                  <c:v>1999.0</c:v>
                </c:pt>
                <c:pt idx="20">
                  <c:v>2000.0</c:v>
                </c:pt>
                <c:pt idx="21">
                  <c:v>2001.0</c:v>
                </c:pt>
                <c:pt idx="22">
                  <c:v>2002.0</c:v>
                </c:pt>
                <c:pt idx="23">
                  <c:v>2003.0</c:v>
                </c:pt>
                <c:pt idx="24">
                  <c:v>2004.0</c:v>
                </c:pt>
                <c:pt idx="25">
                  <c:v>2005.0</c:v>
                </c:pt>
                <c:pt idx="26">
                  <c:v>2006.0</c:v>
                </c:pt>
                <c:pt idx="27">
                  <c:v>2007.0</c:v>
                </c:pt>
                <c:pt idx="28">
                  <c:v>2008.0</c:v>
                </c:pt>
                <c:pt idx="29">
                  <c:v>2009.0</c:v>
                </c:pt>
                <c:pt idx="30">
                  <c:v>2010.0</c:v>
                </c:pt>
                <c:pt idx="31">
                  <c:v>2011.0</c:v>
                </c:pt>
                <c:pt idx="32">
                  <c:v>2012.0</c:v>
                </c:pt>
                <c:pt idx="33">
                  <c:v>2013.0</c:v>
                </c:pt>
                <c:pt idx="34">
                  <c:v>2014.0</c:v>
                </c:pt>
              </c:numCache>
            </c:numRef>
          </c:cat>
          <c:val>
            <c:numRef>
              <c:f>'Per Capita Consumption'!$Y$2:$Y$36</c:f>
              <c:numCache>
                <c:formatCode>General</c:formatCode>
                <c:ptCount val="35"/>
                <c:pt idx="0">
                  <c:v>38.81</c:v>
                </c:pt>
                <c:pt idx="1">
                  <c:v>39.86</c:v>
                </c:pt>
                <c:pt idx="2">
                  <c:v>39.51</c:v>
                </c:pt>
                <c:pt idx="3">
                  <c:v>39.29</c:v>
                </c:pt>
                <c:pt idx="4">
                  <c:v>37.47</c:v>
                </c:pt>
                <c:pt idx="5">
                  <c:v>37.94</c:v>
                </c:pt>
                <c:pt idx="6">
                  <c:v>38.2</c:v>
                </c:pt>
                <c:pt idx="7">
                  <c:v>36.27</c:v>
                </c:pt>
                <c:pt idx="8">
                  <c:v>36.29</c:v>
                </c:pt>
                <c:pt idx="9">
                  <c:v>35.31</c:v>
                </c:pt>
                <c:pt idx="10">
                  <c:v>33.99</c:v>
                </c:pt>
                <c:pt idx="11">
                  <c:v>33.27</c:v>
                </c:pt>
                <c:pt idx="12">
                  <c:v>32.38</c:v>
                </c:pt>
                <c:pt idx="13">
                  <c:v>31.08</c:v>
                </c:pt>
                <c:pt idx="14">
                  <c:v>31.7</c:v>
                </c:pt>
                <c:pt idx="15">
                  <c:v>31.76</c:v>
                </c:pt>
                <c:pt idx="16">
                  <c:v>31.45</c:v>
                </c:pt>
                <c:pt idx="17">
                  <c:v>31.46</c:v>
                </c:pt>
                <c:pt idx="18">
                  <c:v>31.94</c:v>
                </c:pt>
                <c:pt idx="19">
                  <c:v>32.6</c:v>
                </c:pt>
                <c:pt idx="20">
                  <c:v>32.02</c:v>
                </c:pt>
                <c:pt idx="21">
                  <c:v>30.75</c:v>
                </c:pt>
                <c:pt idx="22">
                  <c:v>30.58</c:v>
                </c:pt>
                <c:pt idx="23">
                  <c:v>32.4</c:v>
                </c:pt>
                <c:pt idx="24">
                  <c:v>30.82</c:v>
                </c:pt>
                <c:pt idx="25">
                  <c:v>30.29</c:v>
                </c:pt>
                <c:pt idx="26">
                  <c:v>29.94</c:v>
                </c:pt>
                <c:pt idx="27">
                  <c:v>30.6</c:v>
                </c:pt>
                <c:pt idx="28">
                  <c:v>29.76</c:v>
                </c:pt>
                <c:pt idx="29">
                  <c:v>28.28</c:v>
                </c:pt>
                <c:pt idx="30">
                  <c:v>27.88</c:v>
                </c:pt>
                <c:pt idx="31">
                  <c:v>27.26</c:v>
                </c:pt>
                <c:pt idx="32">
                  <c:v>27.6</c:v>
                </c:pt>
                <c:pt idx="33">
                  <c:v>27.34</c:v>
                </c:pt>
                <c:pt idx="34">
                  <c:v>26.48</c:v>
                </c:pt>
              </c:numCache>
            </c:numRef>
          </c:val>
          <c:smooth val="0"/>
        </c:ser>
        <c:ser>
          <c:idx val="2"/>
          <c:order val="2"/>
          <c:tx>
            <c:strRef>
              <c:f>'Per Capita Consumption'!$Z$1</c:f>
              <c:strCache>
                <c:ptCount val="1"/>
                <c:pt idx="0">
                  <c:v>Pork</c:v>
                </c:pt>
              </c:strCache>
            </c:strRef>
          </c:tx>
          <c:spPr>
            <a:ln w="28575" cap="rnd">
              <a:solidFill>
                <a:schemeClr val="accent3"/>
              </a:solidFill>
              <a:round/>
            </a:ln>
            <a:effectLst/>
          </c:spPr>
          <c:marker>
            <c:symbol val="none"/>
          </c:marker>
          <c:cat>
            <c:numRef>
              <c:f>'Per Capita Consumption'!$W$2:$W$36</c:f>
              <c:numCache>
                <c:formatCode>General</c:formatCode>
                <c:ptCount val="35"/>
                <c:pt idx="0">
                  <c:v>1980.0</c:v>
                </c:pt>
                <c:pt idx="1">
                  <c:v>1981.0</c:v>
                </c:pt>
                <c:pt idx="2">
                  <c:v>1982.0</c:v>
                </c:pt>
                <c:pt idx="3">
                  <c:v>1983.0</c:v>
                </c:pt>
                <c:pt idx="4">
                  <c:v>1984.0</c:v>
                </c:pt>
                <c:pt idx="5">
                  <c:v>1985.0</c:v>
                </c:pt>
                <c:pt idx="6">
                  <c:v>1986.0</c:v>
                </c:pt>
                <c:pt idx="7">
                  <c:v>1987.0</c:v>
                </c:pt>
                <c:pt idx="8">
                  <c:v>1988.0</c:v>
                </c:pt>
                <c:pt idx="9">
                  <c:v>1989.0</c:v>
                </c:pt>
                <c:pt idx="10">
                  <c:v>1990.0</c:v>
                </c:pt>
                <c:pt idx="11">
                  <c:v>1991.0</c:v>
                </c:pt>
                <c:pt idx="12">
                  <c:v>1992.0</c:v>
                </c:pt>
                <c:pt idx="13">
                  <c:v>1993.0</c:v>
                </c:pt>
                <c:pt idx="14">
                  <c:v>1994.0</c:v>
                </c:pt>
                <c:pt idx="15">
                  <c:v>1995.0</c:v>
                </c:pt>
                <c:pt idx="16">
                  <c:v>1996.0</c:v>
                </c:pt>
                <c:pt idx="17">
                  <c:v>1997.0</c:v>
                </c:pt>
                <c:pt idx="18">
                  <c:v>1998.0</c:v>
                </c:pt>
                <c:pt idx="19">
                  <c:v>1999.0</c:v>
                </c:pt>
                <c:pt idx="20">
                  <c:v>2000.0</c:v>
                </c:pt>
                <c:pt idx="21">
                  <c:v>2001.0</c:v>
                </c:pt>
                <c:pt idx="22">
                  <c:v>2002.0</c:v>
                </c:pt>
                <c:pt idx="23">
                  <c:v>2003.0</c:v>
                </c:pt>
                <c:pt idx="24">
                  <c:v>2004.0</c:v>
                </c:pt>
                <c:pt idx="25">
                  <c:v>2005.0</c:v>
                </c:pt>
                <c:pt idx="26">
                  <c:v>2006.0</c:v>
                </c:pt>
                <c:pt idx="27">
                  <c:v>2007.0</c:v>
                </c:pt>
                <c:pt idx="28">
                  <c:v>2008.0</c:v>
                </c:pt>
                <c:pt idx="29">
                  <c:v>2009.0</c:v>
                </c:pt>
                <c:pt idx="30">
                  <c:v>2010.0</c:v>
                </c:pt>
                <c:pt idx="31">
                  <c:v>2011.0</c:v>
                </c:pt>
                <c:pt idx="32">
                  <c:v>2012.0</c:v>
                </c:pt>
                <c:pt idx="33">
                  <c:v>2013.0</c:v>
                </c:pt>
                <c:pt idx="34">
                  <c:v>2014.0</c:v>
                </c:pt>
              </c:numCache>
            </c:numRef>
          </c:cat>
          <c:val>
            <c:numRef>
              <c:f>'Per Capita Consumption'!$Z$2:$Z$36</c:f>
              <c:numCache>
                <c:formatCode>General</c:formatCode>
                <c:ptCount val="35"/>
                <c:pt idx="0">
                  <c:v>32.16</c:v>
                </c:pt>
                <c:pt idx="1">
                  <c:v>31.17</c:v>
                </c:pt>
                <c:pt idx="2">
                  <c:v>28.5</c:v>
                </c:pt>
                <c:pt idx="3">
                  <c:v>29.39</c:v>
                </c:pt>
                <c:pt idx="4">
                  <c:v>28.51</c:v>
                </c:pt>
                <c:pt idx="5">
                  <c:v>28.98</c:v>
                </c:pt>
                <c:pt idx="6">
                  <c:v>27.9</c:v>
                </c:pt>
                <c:pt idx="7">
                  <c:v>27.48</c:v>
                </c:pt>
                <c:pt idx="8">
                  <c:v>28.05</c:v>
                </c:pt>
                <c:pt idx="9">
                  <c:v>28.74</c:v>
                </c:pt>
                <c:pt idx="10">
                  <c:v>26.14</c:v>
                </c:pt>
                <c:pt idx="11">
                  <c:v>25.86</c:v>
                </c:pt>
                <c:pt idx="12">
                  <c:v>28.37</c:v>
                </c:pt>
                <c:pt idx="13">
                  <c:v>27.63</c:v>
                </c:pt>
                <c:pt idx="14">
                  <c:v>28.41</c:v>
                </c:pt>
                <c:pt idx="15">
                  <c:v>27.81</c:v>
                </c:pt>
                <c:pt idx="16">
                  <c:v>25.99</c:v>
                </c:pt>
                <c:pt idx="17">
                  <c:v>25.42</c:v>
                </c:pt>
                <c:pt idx="18">
                  <c:v>28.7</c:v>
                </c:pt>
                <c:pt idx="19">
                  <c:v>30.09</c:v>
                </c:pt>
                <c:pt idx="20">
                  <c:v>28.69</c:v>
                </c:pt>
                <c:pt idx="21">
                  <c:v>28.94</c:v>
                </c:pt>
                <c:pt idx="22">
                  <c:v>27.81</c:v>
                </c:pt>
                <c:pt idx="23">
                  <c:v>25.1</c:v>
                </c:pt>
                <c:pt idx="24">
                  <c:v>26.64</c:v>
                </c:pt>
                <c:pt idx="25">
                  <c:v>23.06</c:v>
                </c:pt>
                <c:pt idx="26">
                  <c:v>23.4</c:v>
                </c:pt>
                <c:pt idx="27">
                  <c:v>25.14</c:v>
                </c:pt>
                <c:pt idx="28">
                  <c:v>23.89</c:v>
                </c:pt>
                <c:pt idx="29">
                  <c:v>23.57</c:v>
                </c:pt>
                <c:pt idx="30">
                  <c:v>22.06</c:v>
                </c:pt>
                <c:pt idx="31">
                  <c:v>21.5</c:v>
                </c:pt>
                <c:pt idx="32">
                  <c:v>22.3</c:v>
                </c:pt>
                <c:pt idx="33">
                  <c:v>20.88</c:v>
                </c:pt>
                <c:pt idx="34">
                  <c:v>20.63</c:v>
                </c:pt>
              </c:numCache>
            </c:numRef>
          </c:val>
          <c:smooth val="0"/>
        </c:ser>
        <c:ser>
          <c:idx val="3"/>
          <c:order val="3"/>
          <c:tx>
            <c:strRef>
              <c:f>'Per Capita Consumption'!$AA$1</c:f>
              <c:strCache>
                <c:ptCount val="1"/>
                <c:pt idx="0">
                  <c:v>Total Livestock</c:v>
                </c:pt>
              </c:strCache>
            </c:strRef>
          </c:tx>
          <c:spPr>
            <a:ln w="28575" cap="rnd">
              <a:solidFill>
                <a:schemeClr val="accent4"/>
              </a:solidFill>
              <a:round/>
            </a:ln>
            <a:effectLst/>
          </c:spPr>
          <c:marker>
            <c:symbol val="none"/>
          </c:marker>
          <c:cat>
            <c:numRef>
              <c:f>'Per Capita Consumption'!$W$2:$W$36</c:f>
              <c:numCache>
                <c:formatCode>General</c:formatCode>
                <c:ptCount val="35"/>
                <c:pt idx="0">
                  <c:v>1980.0</c:v>
                </c:pt>
                <c:pt idx="1">
                  <c:v>1981.0</c:v>
                </c:pt>
                <c:pt idx="2">
                  <c:v>1982.0</c:v>
                </c:pt>
                <c:pt idx="3">
                  <c:v>1983.0</c:v>
                </c:pt>
                <c:pt idx="4">
                  <c:v>1984.0</c:v>
                </c:pt>
                <c:pt idx="5">
                  <c:v>1985.0</c:v>
                </c:pt>
                <c:pt idx="6">
                  <c:v>1986.0</c:v>
                </c:pt>
                <c:pt idx="7">
                  <c:v>1987.0</c:v>
                </c:pt>
                <c:pt idx="8">
                  <c:v>1988.0</c:v>
                </c:pt>
                <c:pt idx="9">
                  <c:v>1989.0</c:v>
                </c:pt>
                <c:pt idx="10">
                  <c:v>1990.0</c:v>
                </c:pt>
                <c:pt idx="11">
                  <c:v>1991.0</c:v>
                </c:pt>
                <c:pt idx="12">
                  <c:v>1992.0</c:v>
                </c:pt>
                <c:pt idx="13">
                  <c:v>1993.0</c:v>
                </c:pt>
                <c:pt idx="14">
                  <c:v>1994.0</c:v>
                </c:pt>
                <c:pt idx="15">
                  <c:v>1995.0</c:v>
                </c:pt>
                <c:pt idx="16">
                  <c:v>1996.0</c:v>
                </c:pt>
                <c:pt idx="17">
                  <c:v>1997.0</c:v>
                </c:pt>
                <c:pt idx="18">
                  <c:v>1998.0</c:v>
                </c:pt>
                <c:pt idx="19">
                  <c:v>1999.0</c:v>
                </c:pt>
                <c:pt idx="20">
                  <c:v>2000.0</c:v>
                </c:pt>
                <c:pt idx="21">
                  <c:v>2001.0</c:v>
                </c:pt>
                <c:pt idx="22">
                  <c:v>2002.0</c:v>
                </c:pt>
                <c:pt idx="23">
                  <c:v>2003.0</c:v>
                </c:pt>
                <c:pt idx="24">
                  <c:v>2004.0</c:v>
                </c:pt>
                <c:pt idx="25">
                  <c:v>2005.0</c:v>
                </c:pt>
                <c:pt idx="26">
                  <c:v>2006.0</c:v>
                </c:pt>
                <c:pt idx="27">
                  <c:v>2007.0</c:v>
                </c:pt>
                <c:pt idx="28">
                  <c:v>2008.0</c:v>
                </c:pt>
                <c:pt idx="29">
                  <c:v>2009.0</c:v>
                </c:pt>
                <c:pt idx="30">
                  <c:v>2010.0</c:v>
                </c:pt>
                <c:pt idx="31">
                  <c:v>2011.0</c:v>
                </c:pt>
                <c:pt idx="32">
                  <c:v>2012.0</c:v>
                </c:pt>
                <c:pt idx="33">
                  <c:v>2013.0</c:v>
                </c:pt>
                <c:pt idx="34">
                  <c:v>2014.0</c:v>
                </c:pt>
              </c:numCache>
            </c:numRef>
          </c:cat>
          <c:val>
            <c:numRef>
              <c:f>'Per Capita Consumption'!$AA$2:$AA$36</c:f>
              <c:numCache>
                <c:formatCode>General</c:formatCode>
                <c:ptCount val="35"/>
                <c:pt idx="0">
                  <c:v>95.46</c:v>
                </c:pt>
                <c:pt idx="1">
                  <c:v>95.35</c:v>
                </c:pt>
                <c:pt idx="2">
                  <c:v>92.55</c:v>
                </c:pt>
                <c:pt idx="3">
                  <c:v>93.52</c:v>
                </c:pt>
                <c:pt idx="4">
                  <c:v>91.62</c:v>
                </c:pt>
                <c:pt idx="5">
                  <c:v>93.97999999999997</c:v>
                </c:pt>
                <c:pt idx="6">
                  <c:v>93.71</c:v>
                </c:pt>
                <c:pt idx="7">
                  <c:v>92.61000000000001</c:v>
                </c:pt>
                <c:pt idx="8">
                  <c:v>93.93</c:v>
                </c:pt>
                <c:pt idx="9">
                  <c:v>93.37</c:v>
                </c:pt>
                <c:pt idx="10">
                  <c:v>90.65</c:v>
                </c:pt>
                <c:pt idx="11">
                  <c:v>89.78000000000001</c:v>
                </c:pt>
                <c:pt idx="12">
                  <c:v>91.88000000000001</c:v>
                </c:pt>
                <c:pt idx="13">
                  <c:v>90.05</c:v>
                </c:pt>
                <c:pt idx="14">
                  <c:v>93.12</c:v>
                </c:pt>
                <c:pt idx="15">
                  <c:v>92.34</c:v>
                </c:pt>
                <c:pt idx="16">
                  <c:v>90.26</c:v>
                </c:pt>
                <c:pt idx="17">
                  <c:v>90.75</c:v>
                </c:pt>
                <c:pt idx="18">
                  <c:v>95.43</c:v>
                </c:pt>
                <c:pt idx="19">
                  <c:v>98.62</c:v>
                </c:pt>
                <c:pt idx="20">
                  <c:v>98.25</c:v>
                </c:pt>
                <c:pt idx="21">
                  <c:v>98.42</c:v>
                </c:pt>
                <c:pt idx="22">
                  <c:v>97.44</c:v>
                </c:pt>
                <c:pt idx="23">
                  <c:v>95.4</c:v>
                </c:pt>
                <c:pt idx="24">
                  <c:v>96.10999999999998</c:v>
                </c:pt>
                <c:pt idx="25">
                  <c:v>92.4</c:v>
                </c:pt>
                <c:pt idx="26">
                  <c:v>92.76</c:v>
                </c:pt>
                <c:pt idx="27">
                  <c:v>95.47</c:v>
                </c:pt>
                <c:pt idx="28">
                  <c:v>93.49</c:v>
                </c:pt>
                <c:pt idx="29">
                  <c:v>91.25000000000001</c:v>
                </c:pt>
                <c:pt idx="30">
                  <c:v>89.39</c:v>
                </c:pt>
                <c:pt idx="31">
                  <c:v>87.76</c:v>
                </c:pt>
                <c:pt idx="32">
                  <c:v>89.02999999999998</c:v>
                </c:pt>
                <c:pt idx="33">
                  <c:v>87.4</c:v>
                </c:pt>
                <c:pt idx="34">
                  <c:v>86.66</c:v>
                </c:pt>
              </c:numCache>
            </c:numRef>
          </c:val>
          <c:smooth val="0"/>
        </c:ser>
        <c:dLbls>
          <c:showLegendKey val="0"/>
          <c:showVal val="0"/>
          <c:showCatName val="0"/>
          <c:showSerName val="0"/>
          <c:showPercent val="0"/>
          <c:showBubbleSize val="0"/>
        </c:dLbls>
        <c:smooth val="0"/>
        <c:axId val="2119616256"/>
        <c:axId val="2121722320"/>
      </c:lineChart>
      <c:catAx>
        <c:axId val="21196162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Narrow" charset="0"/>
                    <a:ea typeface="Arial Narrow" charset="0"/>
                    <a:cs typeface="Arial Narrow" charset="0"/>
                  </a:defRPr>
                </a:pPr>
                <a:r>
                  <a:rPr lang="en-US"/>
                  <a:t>Year</a:t>
                </a:r>
              </a:p>
            </c:rich>
          </c:tx>
          <c:layout>
            <c:manualLayout>
              <c:xMode val="edge"/>
              <c:yMode val="edge"/>
              <c:x val="0.505961516488227"/>
              <c:y val="0.92206189796995"/>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charset="0"/>
                <a:ea typeface="Arial Narrow" charset="0"/>
                <a:cs typeface="Arial Narrow" charset="0"/>
              </a:defRPr>
            </a:pPr>
            <a:endParaRPr lang="en-US"/>
          </a:p>
        </c:txPr>
        <c:crossAx val="2121722320"/>
        <c:crosses val="autoZero"/>
        <c:auto val="1"/>
        <c:lblAlgn val="ctr"/>
        <c:lblOffset val="100"/>
        <c:noMultiLvlLbl val="0"/>
      </c:catAx>
      <c:valAx>
        <c:axId val="212172232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Narrow" charset="0"/>
                    <a:ea typeface="Arial Narrow" charset="0"/>
                    <a:cs typeface="Arial Narrow" charset="0"/>
                  </a:defRPr>
                </a:pPr>
                <a:r>
                  <a:rPr lang="en-US"/>
                  <a:t>Protein Consumed (kg)</a:t>
                </a:r>
              </a:p>
            </c:rich>
          </c:tx>
          <c:layout>
            <c:manualLayout>
              <c:xMode val="edge"/>
              <c:yMode val="edge"/>
              <c:x val="0.00252976004310233"/>
              <c:y val="0.228864878242577"/>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charset="0"/>
                <a:ea typeface="Arial Narrow" charset="0"/>
                <a:cs typeface="Arial Narrow" charset="0"/>
              </a:defRPr>
            </a:pPr>
            <a:endParaRPr lang="en-US"/>
          </a:p>
        </c:txPr>
        <c:crossAx val="2119616256"/>
        <c:crosses val="autoZero"/>
        <c:crossBetween val="between"/>
      </c:valAx>
      <c:spPr>
        <a:noFill/>
        <a:ln>
          <a:noFill/>
        </a:ln>
        <a:effectLst/>
      </c:spPr>
    </c:plotArea>
    <c:legend>
      <c:legendPos val="b"/>
      <c:layout>
        <c:manualLayout>
          <c:xMode val="edge"/>
          <c:yMode val="edge"/>
          <c:x val="0.146057291225694"/>
          <c:y val="0.0607633420822397"/>
          <c:w val="0.848386983885079"/>
          <c:h val="0.087384806065908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charset="0"/>
              <a:ea typeface="Arial Narrow" charset="0"/>
              <a:cs typeface="Arial Narrow"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latin typeface="Arial Narrow" charset="0"/>
          <a:ea typeface="Arial Narrow" charset="0"/>
          <a:cs typeface="Arial Narrow"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378373451617867"/>
          <c:y val="0.0176842429332967"/>
          <c:w val="0.58383365344638"/>
          <c:h val="0.837262198366301"/>
        </c:manualLayout>
      </c:layout>
      <c:barChart>
        <c:barDir val="bar"/>
        <c:grouping val="clustered"/>
        <c:varyColors val="0"/>
        <c:ser>
          <c:idx val="0"/>
          <c:order val="0"/>
          <c:spPr>
            <a:solidFill>
              <a:schemeClr val="dk1">
                <a:tint val="88500"/>
              </a:schemeClr>
            </a:solidFill>
            <a:ln>
              <a:noFill/>
            </a:ln>
            <a:effectLst/>
          </c:spPr>
          <c:invertIfNegative val="0"/>
          <c:cat>
            <c:strRef>
              <c:f>Methods!$T$4:$T$18</c:f>
              <c:strCache>
                <c:ptCount val="15"/>
                <c:pt idx="0">
                  <c:v>Vegetarian Motivation</c:v>
                </c:pt>
                <c:pt idx="1">
                  <c:v>Vegetarian Barrier</c:v>
                </c:pt>
                <c:pt idx="2">
                  <c:v>Vegetarian Environment</c:v>
                </c:pt>
                <c:pt idx="3">
                  <c:v>Influence on Consumption</c:v>
                </c:pt>
                <c:pt idx="4">
                  <c:v>Meat Consumption</c:v>
                </c:pt>
                <c:pt idx="5">
                  <c:v>Promotion of Vegetarian</c:v>
                </c:pt>
                <c:pt idx="6">
                  <c:v>Environmentally Significant Consumption</c:v>
                </c:pt>
                <c:pt idx="7">
                  <c:v>Limit Vegetarian</c:v>
                </c:pt>
                <c:pt idx="8">
                  <c:v>Obstacle Vegetarian</c:v>
                </c:pt>
                <c:pt idx="9">
                  <c:v>Advertise Food</c:v>
                </c:pt>
                <c:pt idx="10">
                  <c:v>Reducing Meat Consumption + Government</c:v>
                </c:pt>
                <c:pt idx="11">
                  <c:v>Consumer Characteristics + Vegetarian</c:v>
                </c:pt>
                <c:pt idx="12">
                  <c:v>Sustainability Vegan</c:v>
                </c:pt>
                <c:pt idx="13">
                  <c:v>Vegan Barrier</c:v>
                </c:pt>
                <c:pt idx="14">
                  <c:v>Sustainable Food Consumption Policy</c:v>
                </c:pt>
              </c:strCache>
            </c:strRef>
          </c:cat>
          <c:val>
            <c:numRef>
              <c:f>Methods!$U$4:$U$18</c:f>
              <c:numCache>
                <c:formatCode>General</c:formatCode>
                <c:ptCount val="15"/>
                <c:pt idx="0">
                  <c:v>26.0</c:v>
                </c:pt>
                <c:pt idx="1">
                  <c:v>10.0</c:v>
                </c:pt>
                <c:pt idx="2">
                  <c:v>15.0</c:v>
                </c:pt>
                <c:pt idx="3">
                  <c:v>4.0</c:v>
                </c:pt>
                <c:pt idx="4">
                  <c:v>6.0</c:v>
                </c:pt>
                <c:pt idx="5">
                  <c:v>9.0</c:v>
                </c:pt>
                <c:pt idx="6">
                  <c:v>5.0</c:v>
                </c:pt>
                <c:pt idx="7">
                  <c:v>3.0</c:v>
                </c:pt>
                <c:pt idx="8">
                  <c:v>2.0</c:v>
                </c:pt>
                <c:pt idx="9">
                  <c:v>10.0</c:v>
                </c:pt>
                <c:pt idx="10">
                  <c:v>6.0</c:v>
                </c:pt>
                <c:pt idx="11">
                  <c:v>4.0</c:v>
                </c:pt>
                <c:pt idx="12">
                  <c:v>4.0</c:v>
                </c:pt>
                <c:pt idx="13">
                  <c:v>0.0</c:v>
                </c:pt>
                <c:pt idx="14">
                  <c:v>9.0</c:v>
                </c:pt>
              </c:numCache>
            </c:numRef>
          </c:val>
        </c:ser>
        <c:dLbls>
          <c:showLegendKey val="0"/>
          <c:showVal val="0"/>
          <c:showCatName val="0"/>
          <c:showSerName val="0"/>
          <c:showPercent val="0"/>
          <c:showBubbleSize val="0"/>
        </c:dLbls>
        <c:gapWidth val="182"/>
        <c:axId val="-2103367392"/>
        <c:axId val="2145407536"/>
      </c:barChart>
      <c:catAx>
        <c:axId val="-2103367392"/>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charset="0"/>
                <a:ea typeface="Times New Roman" charset="0"/>
                <a:cs typeface="Times New Roman" charset="0"/>
              </a:defRPr>
            </a:pPr>
            <a:endParaRPr lang="en-US"/>
          </a:p>
        </c:txPr>
        <c:crossAx val="2145407536"/>
        <c:crosses val="autoZero"/>
        <c:auto val="1"/>
        <c:lblAlgn val="ctr"/>
        <c:lblOffset val="100"/>
        <c:noMultiLvlLbl val="0"/>
      </c:catAx>
      <c:valAx>
        <c:axId val="21454075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charset="0"/>
                    <a:ea typeface="Times New Roman" charset="0"/>
                    <a:cs typeface="Times New Roman" charset="0"/>
                  </a:defRPr>
                </a:pPr>
                <a:r>
                  <a:rPr lang="en-US" baseline="0"/>
                  <a:t>Number of Academic Articles Assessed</a:t>
                </a:r>
                <a:endParaRPr lang="en-US"/>
              </a:p>
            </c:rich>
          </c:tx>
          <c:layout>
            <c:manualLayout>
              <c:xMode val="edge"/>
              <c:yMode val="edge"/>
              <c:x val="0.553207889830098"/>
              <c:y val="0.935618583608839"/>
            </c:manualLayout>
          </c:layout>
          <c:overlay val="0"/>
          <c:spPr>
            <a:noFill/>
            <a:ln>
              <a:noFill/>
            </a:ln>
            <a:effectLst/>
          </c:sp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charset="0"/>
                <a:ea typeface="Times New Roman" charset="0"/>
                <a:cs typeface="Times New Roman" charset="0"/>
              </a:defRPr>
            </a:pPr>
            <a:endParaRPr lang="en-US"/>
          </a:p>
        </c:txPr>
        <c:crossAx val="-210336739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Times New Roman" charset="0"/>
          <a:ea typeface="Times New Roman" charset="0"/>
          <a:cs typeface="Times New Roman"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none"/>
          </c:marker>
          <c:cat>
            <c:numRef>
              <c:f>Sheet1!$R$2:$R$28</c:f>
              <c:numCache>
                <c:formatCode>General</c:formatCode>
                <c:ptCount val="27"/>
                <c:pt idx="0">
                  <c:v>1990.0</c:v>
                </c:pt>
                <c:pt idx="1">
                  <c:v>1991.0</c:v>
                </c:pt>
                <c:pt idx="2">
                  <c:v>1992.0</c:v>
                </c:pt>
                <c:pt idx="3">
                  <c:v>1993.0</c:v>
                </c:pt>
                <c:pt idx="4">
                  <c:v>1994.0</c:v>
                </c:pt>
                <c:pt idx="5">
                  <c:v>1995.0</c:v>
                </c:pt>
                <c:pt idx="6">
                  <c:v>1996.0</c:v>
                </c:pt>
                <c:pt idx="7">
                  <c:v>1997.0</c:v>
                </c:pt>
                <c:pt idx="8">
                  <c:v>1998.0</c:v>
                </c:pt>
                <c:pt idx="9">
                  <c:v>1999.0</c:v>
                </c:pt>
                <c:pt idx="10">
                  <c:v>2000.0</c:v>
                </c:pt>
                <c:pt idx="11">
                  <c:v>2001.0</c:v>
                </c:pt>
                <c:pt idx="12">
                  <c:v>2002.0</c:v>
                </c:pt>
                <c:pt idx="13">
                  <c:v>2003.0</c:v>
                </c:pt>
                <c:pt idx="14">
                  <c:v>2004.0</c:v>
                </c:pt>
                <c:pt idx="15">
                  <c:v>2005.0</c:v>
                </c:pt>
                <c:pt idx="16">
                  <c:v>2006.0</c:v>
                </c:pt>
                <c:pt idx="17">
                  <c:v>2007.0</c:v>
                </c:pt>
                <c:pt idx="18">
                  <c:v>2008.0</c:v>
                </c:pt>
                <c:pt idx="19">
                  <c:v>2009.0</c:v>
                </c:pt>
                <c:pt idx="20">
                  <c:v>2010.0</c:v>
                </c:pt>
                <c:pt idx="21">
                  <c:v>2011.0</c:v>
                </c:pt>
                <c:pt idx="22">
                  <c:v>2012.0</c:v>
                </c:pt>
                <c:pt idx="23">
                  <c:v>2013.0</c:v>
                </c:pt>
                <c:pt idx="24">
                  <c:v>2014.0</c:v>
                </c:pt>
                <c:pt idx="25">
                  <c:v>2015.0</c:v>
                </c:pt>
                <c:pt idx="26">
                  <c:v>2016.0</c:v>
                </c:pt>
              </c:numCache>
            </c:numRef>
          </c:cat>
          <c:val>
            <c:numRef>
              <c:f>Sheet1!$S$2:$S$28</c:f>
              <c:numCache>
                <c:formatCode>General</c:formatCode>
                <c:ptCount val="27"/>
                <c:pt idx="0">
                  <c:v>0.0</c:v>
                </c:pt>
                <c:pt idx="1">
                  <c:v>0.0</c:v>
                </c:pt>
                <c:pt idx="2">
                  <c:v>0.0</c:v>
                </c:pt>
                <c:pt idx="3">
                  <c:v>1.0</c:v>
                </c:pt>
                <c:pt idx="4">
                  <c:v>0.0</c:v>
                </c:pt>
                <c:pt idx="5">
                  <c:v>0.0</c:v>
                </c:pt>
                <c:pt idx="6">
                  <c:v>0.0</c:v>
                </c:pt>
                <c:pt idx="7">
                  <c:v>1.0</c:v>
                </c:pt>
                <c:pt idx="8">
                  <c:v>3.0</c:v>
                </c:pt>
                <c:pt idx="9">
                  <c:v>4.0</c:v>
                </c:pt>
                <c:pt idx="10">
                  <c:v>1.0</c:v>
                </c:pt>
                <c:pt idx="11">
                  <c:v>1.0</c:v>
                </c:pt>
                <c:pt idx="12">
                  <c:v>5.0</c:v>
                </c:pt>
                <c:pt idx="13">
                  <c:v>4.0</c:v>
                </c:pt>
                <c:pt idx="14">
                  <c:v>4.0</c:v>
                </c:pt>
                <c:pt idx="15">
                  <c:v>4.0</c:v>
                </c:pt>
                <c:pt idx="16">
                  <c:v>3.0</c:v>
                </c:pt>
                <c:pt idx="17">
                  <c:v>4.0</c:v>
                </c:pt>
                <c:pt idx="18">
                  <c:v>1.0</c:v>
                </c:pt>
                <c:pt idx="19">
                  <c:v>2.0</c:v>
                </c:pt>
                <c:pt idx="20">
                  <c:v>4.0</c:v>
                </c:pt>
                <c:pt idx="21">
                  <c:v>6.0</c:v>
                </c:pt>
                <c:pt idx="22">
                  <c:v>7.0</c:v>
                </c:pt>
                <c:pt idx="23">
                  <c:v>9.0</c:v>
                </c:pt>
                <c:pt idx="24">
                  <c:v>16.0</c:v>
                </c:pt>
                <c:pt idx="25">
                  <c:v>15.0</c:v>
                </c:pt>
                <c:pt idx="26">
                  <c:v>16.0</c:v>
                </c:pt>
              </c:numCache>
            </c:numRef>
          </c:val>
          <c:smooth val="0"/>
        </c:ser>
        <c:dLbls>
          <c:showLegendKey val="0"/>
          <c:showVal val="0"/>
          <c:showCatName val="0"/>
          <c:showSerName val="0"/>
          <c:showPercent val="0"/>
          <c:showBubbleSize val="0"/>
        </c:dLbls>
        <c:smooth val="0"/>
        <c:axId val="-2125065120"/>
        <c:axId val="-2103306736"/>
      </c:lineChart>
      <c:catAx>
        <c:axId val="-21250651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charset="0"/>
                    <a:ea typeface="Times New Roman" charset="0"/>
                    <a:cs typeface="Times New Roman" charset="0"/>
                  </a:defRPr>
                </a:pPr>
                <a:r>
                  <a:rPr lang="en-US"/>
                  <a:t>Year</a:t>
                </a:r>
              </a:p>
            </c:rich>
          </c:tx>
          <c:layout>
            <c:manualLayout>
              <c:xMode val="edge"/>
              <c:yMode val="edge"/>
              <c:x val="0.495613218415725"/>
              <c:y val="0.903253165773812"/>
            </c:manualLayout>
          </c:layout>
          <c:overlay val="0"/>
          <c:spPr>
            <a:noFill/>
            <a:ln>
              <a:noFill/>
            </a:ln>
            <a:effectLst/>
          </c:spPr>
        </c:title>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charset="0"/>
                <a:ea typeface="Times New Roman" charset="0"/>
                <a:cs typeface="Times New Roman" charset="0"/>
              </a:defRPr>
            </a:pPr>
            <a:endParaRPr lang="en-US"/>
          </a:p>
        </c:txPr>
        <c:crossAx val="-2103306736"/>
        <c:crosses val="autoZero"/>
        <c:auto val="1"/>
        <c:lblAlgn val="ctr"/>
        <c:lblOffset val="100"/>
        <c:noMultiLvlLbl val="0"/>
      </c:catAx>
      <c:valAx>
        <c:axId val="-210330673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charset="0"/>
                    <a:ea typeface="Times New Roman" charset="0"/>
                    <a:cs typeface="Times New Roman" charset="0"/>
                  </a:defRPr>
                </a:pPr>
                <a:r>
                  <a:rPr lang="en-US"/>
                  <a:t>Count</a:t>
                </a:r>
              </a:p>
            </c:rich>
          </c:tx>
          <c:layout>
            <c:manualLayout>
              <c:xMode val="edge"/>
              <c:yMode val="edge"/>
              <c:x val="0.0111111111111111"/>
              <c:y val="0.343063210848644"/>
            </c:manualLayout>
          </c:layout>
          <c:overlay val="0"/>
          <c:spPr>
            <a:noFill/>
            <a:ln>
              <a:noFill/>
            </a:ln>
            <a:effectLst/>
          </c:sp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charset="0"/>
                <a:ea typeface="Times New Roman" charset="0"/>
                <a:cs typeface="Times New Roman" charset="0"/>
              </a:defRPr>
            </a:pPr>
            <a:endParaRPr lang="en-US"/>
          </a:p>
        </c:txPr>
        <c:crossAx val="-212506512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Times New Roman" charset="0"/>
          <a:ea typeface="Times New Roman" charset="0"/>
          <a:cs typeface="Times New Roman"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spPr>
            <a:solidFill>
              <a:schemeClr val="dk1">
                <a:tint val="88500"/>
              </a:schemeClr>
            </a:solidFill>
            <a:ln>
              <a:noFill/>
            </a:ln>
            <a:effectLst/>
          </c:spPr>
          <c:invertIfNegative val="0"/>
          <c:cat>
            <c:strRef>
              <c:f>Sheet2!$A$2:$A$15</c:f>
              <c:strCache>
                <c:ptCount val="14"/>
                <c:pt idx="0">
                  <c:v>Advertise Food</c:v>
                </c:pt>
                <c:pt idx="1">
                  <c:v>Consumer Characteristics + Vegetarian</c:v>
                </c:pt>
                <c:pt idx="2">
                  <c:v>Environmentally Significant Consumption</c:v>
                </c:pt>
                <c:pt idx="3">
                  <c:v>Influence on Consumption</c:v>
                </c:pt>
                <c:pt idx="4">
                  <c:v>Limit Vegetarian</c:v>
                </c:pt>
                <c:pt idx="5">
                  <c:v>Meat Consumption</c:v>
                </c:pt>
                <c:pt idx="6">
                  <c:v>Obstacle Vegetarian</c:v>
                </c:pt>
                <c:pt idx="7">
                  <c:v>Promotion of Vegetarian</c:v>
                </c:pt>
                <c:pt idx="8">
                  <c:v>Reducing Meat Consumption + Government</c:v>
                </c:pt>
                <c:pt idx="9">
                  <c:v>Sustainability Vegan</c:v>
                </c:pt>
                <c:pt idx="10">
                  <c:v>Sustainable Food Consumption Policy</c:v>
                </c:pt>
                <c:pt idx="11">
                  <c:v>Vegetarian Barrier</c:v>
                </c:pt>
                <c:pt idx="12">
                  <c:v>Vegetarian Environment</c:v>
                </c:pt>
                <c:pt idx="13">
                  <c:v>Vegetarian Motivation</c:v>
                </c:pt>
              </c:strCache>
            </c:strRef>
          </c:cat>
          <c:val>
            <c:numRef>
              <c:f>Sheet2!$B$2:$B$15</c:f>
              <c:numCache>
                <c:formatCode>General</c:formatCode>
                <c:ptCount val="14"/>
                <c:pt idx="0">
                  <c:v>34.0</c:v>
                </c:pt>
                <c:pt idx="1">
                  <c:v>17.0</c:v>
                </c:pt>
                <c:pt idx="2">
                  <c:v>13.0</c:v>
                </c:pt>
                <c:pt idx="3">
                  <c:v>13.0</c:v>
                </c:pt>
                <c:pt idx="4">
                  <c:v>19.0</c:v>
                </c:pt>
                <c:pt idx="5">
                  <c:v>32.0</c:v>
                </c:pt>
                <c:pt idx="6">
                  <c:v>8.0</c:v>
                </c:pt>
                <c:pt idx="7">
                  <c:v>33.0</c:v>
                </c:pt>
                <c:pt idx="8">
                  <c:v>22.0</c:v>
                </c:pt>
                <c:pt idx="9">
                  <c:v>5.0</c:v>
                </c:pt>
                <c:pt idx="10">
                  <c:v>57.0</c:v>
                </c:pt>
                <c:pt idx="11">
                  <c:v>55.0</c:v>
                </c:pt>
                <c:pt idx="12">
                  <c:v>88.0</c:v>
                </c:pt>
                <c:pt idx="13">
                  <c:v>146.0</c:v>
                </c:pt>
              </c:numCache>
            </c:numRef>
          </c:val>
        </c:ser>
        <c:dLbls>
          <c:showLegendKey val="0"/>
          <c:showVal val="0"/>
          <c:showCatName val="0"/>
          <c:showSerName val="0"/>
          <c:showPercent val="0"/>
          <c:showBubbleSize val="0"/>
        </c:dLbls>
        <c:gapWidth val="182"/>
        <c:axId val="-2125090512"/>
        <c:axId val="-2103036672"/>
      </c:barChart>
      <c:catAx>
        <c:axId val="-2125090512"/>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charset="0"/>
                <a:ea typeface="Times New Roman" charset="0"/>
                <a:cs typeface="Times New Roman" charset="0"/>
              </a:defRPr>
            </a:pPr>
            <a:endParaRPr lang="en-US"/>
          </a:p>
        </c:txPr>
        <c:crossAx val="-2103036672"/>
        <c:crosses val="autoZero"/>
        <c:auto val="1"/>
        <c:lblAlgn val="ctr"/>
        <c:lblOffset val="100"/>
        <c:noMultiLvlLbl val="0"/>
      </c:catAx>
      <c:valAx>
        <c:axId val="-21030366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charset="0"/>
                    <a:ea typeface="Times New Roman" charset="0"/>
                    <a:cs typeface="Times New Roman" charset="0"/>
                  </a:defRPr>
                </a:pPr>
                <a:r>
                  <a:rPr lang="en-US">
                    <a:latin typeface="Times New Roman" charset="0"/>
                    <a:ea typeface="Times New Roman" charset="0"/>
                    <a:cs typeface="Times New Roman" charset="0"/>
                  </a:rPr>
                  <a:t>Count</a:t>
                </a:r>
              </a:p>
            </c:rich>
          </c:tx>
          <c:overlay val="0"/>
          <c:spPr>
            <a:noFill/>
            <a:ln>
              <a:noFill/>
            </a:ln>
            <a:effectLst/>
          </c:sp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2509051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00799098482254934"/>
          <c:y val="0.0264918869549527"/>
          <c:w val="0.705419947506562"/>
          <c:h val="0.89989787775465"/>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0.0488502795846171"/>
                  <c:y val="0.107721297417553"/>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1"/>
              <c:layout>
                <c:manualLayout>
                  <c:x val="-0.114847940203127"/>
                  <c:y val="0.1235984233367"/>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2"/>
              <c:layout>
                <c:manualLayout>
                  <c:x val="-0.138521339723839"/>
                  <c:y val="-0.156284982449483"/>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3"/>
              <c:layout>
                <c:manualLayout>
                  <c:x val="0.152271482369052"/>
                  <c:y val="-0.136706901715245"/>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4"/>
              <c:layout>
                <c:manualLayout>
                  <c:x val="0.119623701928563"/>
                  <c:y val="0.175332176319916"/>
                </c:manualLayout>
              </c:layout>
              <c:dLblPos val="bestFi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Times New Roman" charset="0"/>
                    <a:ea typeface="Times New Roman" charset="0"/>
                    <a:cs typeface="Times New Roman" charset="0"/>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Sheet2!$A$36:$A$40</c:f>
              <c:strCache>
                <c:ptCount val="5"/>
                <c:pt idx="0">
                  <c:v>Autonomy</c:v>
                </c:pt>
                <c:pt idx="1">
                  <c:v>Cognitive Dissonance</c:v>
                </c:pt>
                <c:pt idx="2">
                  <c:v>Information Asymmetry</c:v>
                </c:pt>
                <c:pt idx="3">
                  <c:v>Political Economy</c:v>
                </c:pt>
                <c:pt idx="4">
                  <c:v>Social Influence</c:v>
                </c:pt>
              </c:strCache>
            </c:strRef>
          </c:cat>
          <c:val>
            <c:numRef>
              <c:f>Sheet2!$B$36:$B$40</c:f>
              <c:numCache>
                <c:formatCode>General</c:formatCode>
                <c:ptCount val="5"/>
                <c:pt idx="0">
                  <c:v>0.0701107011070111</c:v>
                </c:pt>
                <c:pt idx="1">
                  <c:v>0.112546125461255</c:v>
                </c:pt>
                <c:pt idx="2">
                  <c:v>0.346863468634686</c:v>
                </c:pt>
                <c:pt idx="3">
                  <c:v>0.27859778597786</c:v>
                </c:pt>
                <c:pt idx="4">
                  <c:v>0.191881918819188</c:v>
                </c:pt>
              </c:numCache>
            </c:numRef>
          </c:val>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706096237970254"/>
          <c:y val="0.0725391608118439"/>
          <c:w val="0.287644071664955"/>
          <c:h val="0.88730038263289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
          <c:y val="0.223327499071144"/>
          <c:w val="0.954545454545455"/>
          <c:h val="0.716316088686754"/>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0.0807257615525333"/>
                  <c:y val="0.140871319453459"/>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1"/>
              <c:layout>
                <c:manualLayout>
                  <c:x val="-0.168888093533763"/>
                  <c:y val="0.0915092833407194"/>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2"/>
              <c:layout>
                <c:manualLayout>
                  <c:x val="0.0688300326095601"/>
                  <c:y val="-0.212925203565018"/>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3"/>
              <c:delete val="1"/>
              <c:extLst>
                <c:ext xmlns:c15="http://schemas.microsoft.com/office/drawing/2012/chart" uri="{CE6537A1-D6FC-4f65-9D91-7224C49458BB}"/>
              </c:extLst>
            </c:dLbl>
            <c:dLbl>
              <c:idx val="4"/>
              <c:layout>
                <c:manualLayout>
                  <c:x val="0.160935337628251"/>
                  <c:y val="0.123306459915933"/>
                </c:manualLayout>
              </c:layout>
              <c:dLblPos val="bestFi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Times New Roman" charset="0"/>
                    <a:ea typeface="Times New Roman" charset="0"/>
                    <a:cs typeface="Times New Roman" charset="0"/>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'Google Chrome'!$A$57:$A$61</c:f>
              <c:strCache>
                <c:ptCount val="5"/>
                <c:pt idx="0">
                  <c:v>Autonomy</c:v>
                </c:pt>
                <c:pt idx="1">
                  <c:v>Cognitive Dissonance</c:v>
                </c:pt>
                <c:pt idx="2">
                  <c:v>Information</c:v>
                </c:pt>
                <c:pt idx="3">
                  <c:v>Political Economy</c:v>
                </c:pt>
                <c:pt idx="4">
                  <c:v>Social Influence</c:v>
                </c:pt>
              </c:strCache>
            </c:strRef>
          </c:cat>
          <c:val>
            <c:numRef>
              <c:f>'Google Chrome'!$B$57:$B$61</c:f>
              <c:numCache>
                <c:formatCode>General</c:formatCode>
                <c:ptCount val="5"/>
                <c:pt idx="0">
                  <c:v>0.0769230769230769</c:v>
                </c:pt>
                <c:pt idx="1">
                  <c:v>0.153846153846154</c:v>
                </c:pt>
                <c:pt idx="2">
                  <c:v>0.576923076923077</c:v>
                </c:pt>
                <c:pt idx="3">
                  <c:v>0.0</c:v>
                </c:pt>
                <c:pt idx="4">
                  <c:v>0.192307692307692</c:v>
                </c:pt>
              </c:numCache>
            </c:numRef>
          </c:val>
        </c:ser>
        <c:dLbls>
          <c:dLblPos val="in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spPr>
            <a:solidFill>
              <a:schemeClr val="dk1">
                <a:tint val="88500"/>
              </a:schemeClr>
            </a:solidFill>
            <a:ln>
              <a:noFill/>
            </a:ln>
            <a:effectLst/>
          </c:spPr>
          <c:invertIfNegative val="0"/>
          <c:cat>
            <c:strRef>
              <c:f>Sheet3!$B$649:$B$655</c:f>
              <c:strCache>
                <c:ptCount val="7"/>
                <c:pt idx="0">
                  <c:v>Age</c:v>
                </c:pt>
                <c:pt idx="1">
                  <c:v>Alcohol Consumption</c:v>
                </c:pt>
                <c:pt idx="2">
                  <c:v>Education Level</c:v>
                </c:pt>
                <c:pt idx="3">
                  <c:v>Income</c:v>
                </c:pt>
                <c:pt idx="4">
                  <c:v>Job Status</c:v>
                </c:pt>
                <c:pt idx="5">
                  <c:v>Marriage Status</c:v>
                </c:pt>
                <c:pt idx="6">
                  <c:v>Smokers</c:v>
                </c:pt>
              </c:strCache>
            </c:strRef>
          </c:cat>
          <c:val>
            <c:numRef>
              <c:f>Sheet3!$C$649:$C$655</c:f>
              <c:numCache>
                <c:formatCode>General</c:formatCode>
                <c:ptCount val="7"/>
                <c:pt idx="0">
                  <c:v>9.0</c:v>
                </c:pt>
                <c:pt idx="1">
                  <c:v>3.0</c:v>
                </c:pt>
                <c:pt idx="2">
                  <c:v>14.0</c:v>
                </c:pt>
                <c:pt idx="3">
                  <c:v>11.0</c:v>
                </c:pt>
                <c:pt idx="4">
                  <c:v>3.0</c:v>
                </c:pt>
                <c:pt idx="5">
                  <c:v>5.0</c:v>
                </c:pt>
                <c:pt idx="6">
                  <c:v>4.0</c:v>
                </c:pt>
              </c:numCache>
            </c:numRef>
          </c:val>
        </c:ser>
        <c:dLbls>
          <c:showLegendKey val="0"/>
          <c:showVal val="0"/>
          <c:showCatName val="0"/>
          <c:showSerName val="0"/>
          <c:showPercent val="0"/>
          <c:showBubbleSize val="0"/>
        </c:dLbls>
        <c:gapWidth val="182"/>
        <c:axId val="2146986864"/>
        <c:axId val="-2125662912"/>
      </c:barChart>
      <c:catAx>
        <c:axId val="2146986864"/>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charset="0"/>
                <a:ea typeface="Times New Roman" charset="0"/>
                <a:cs typeface="Times New Roman" charset="0"/>
              </a:defRPr>
            </a:pPr>
            <a:endParaRPr lang="en-US"/>
          </a:p>
        </c:txPr>
        <c:crossAx val="-2125662912"/>
        <c:crosses val="autoZero"/>
        <c:auto val="1"/>
        <c:lblAlgn val="ctr"/>
        <c:lblOffset val="100"/>
        <c:noMultiLvlLbl val="0"/>
      </c:catAx>
      <c:valAx>
        <c:axId val="-21256629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charset="0"/>
                    <a:ea typeface="Times New Roman" charset="0"/>
                    <a:cs typeface="Times New Roman" charset="0"/>
                  </a:defRPr>
                </a:pPr>
                <a:r>
                  <a:rPr lang="en-US"/>
                  <a:t>Count</a:t>
                </a:r>
              </a:p>
            </c:rich>
          </c:tx>
          <c:layout>
            <c:manualLayout>
              <c:xMode val="edge"/>
              <c:yMode val="edge"/>
              <c:x val="0.526149303452453"/>
              <c:y val="0.880778561296026"/>
            </c:manualLayout>
          </c:layout>
          <c:overlay val="0"/>
          <c:spPr>
            <a:noFill/>
            <a:ln>
              <a:noFill/>
            </a:ln>
            <a:effectLst/>
          </c:sp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charset="0"/>
                <a:ea typeface="Times New Roman" charset="0"/>
                <a:cs typeface="Times New Roman" charset="0"/>
              </a:defRPr>
            </a:pPr>
            <a:endParaRPr lang="en-US"/>
          </a:p>
        </c:txPr>
        <c:crossAx val="214698686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Times New Roman" charset="0"/>
          <a:ea typeface="Times New Roman" charset="0"/>
          <a:cs typeface="Times New Roman" charset="0"/>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1B22A23-97E4-4643-8A48-3DE97DE33F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100</Pages>
  <Words>38605</Words>
  <Characters>220050</Characters>
  <Application>Microsoft Macintosh Word</Application>
  <DocSecurity>0</DocSecurity>
  <Lines>1833</Lines>
  <Paragraphs>516</Paragraphs>
  <ScaleCrop>false</ScaleCrop>
  <HeadingPairs>
    <vt:vector size="2" baseType="variant">
      <vt:variant>
        <vt:lpstr>Title</vt:lpstr>
      </vt:variant>
      <vt:variant>
        <vt:i4>1</vt:i4>
      </vt:variant>
    </vt:vector>
  </HeadingPairs>
  <TitlesOfParts>
    <vt:vector size="1" baseType="lpstr">
      <vt:lpstr/>
    </vt:vector>
  </TitlesOfParts>
  <Company>University of Ottawa</Company>
  <LinksUpToDate>false</LinksUpToDate>
  <CharactersWithSpaces>258139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Jessica Currie</cp:lastModifiedBy>
  <cp:revision>2</cp:revision>
  <dcterms:created xsi:type="dcterms:W3CDTF">2016-07-20T12:25:00Z</dcterms:created>
  <dcterms:modified xsi:type="dcterms:W3CDTF">2016-07-20T12:25:00Z</dcterms:modified>
</cp:coreProperties>
</file>