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EC1789" w14:textId="77777777" w:rsidR="00804868" w:rsidRPr="009B6D19" w:rsidRDefault="00804868" w:rsidP="00804868">
      <w:pPr>
        <w:pStyle w:val="Pagetitre"/>
        <w:spacing w:before="0" w:after="0" w:line="240" w:lineRule="auto"/>
        <w:jc w:val="center"/>
        <w:rPr>
          <w:rFonts w:ascii="Garamond" w:eastAsia="Times New Roman" w:hAnsi="Garamond"/>
          <w:lang w:eastAsia="fr-FR"/>
        </w:rPr>
      </w:pPr>
      <w:r w:rsidRPr="009B6D19">
        <w:rPr>
          <w:rFonts w:ascii="Garamond" w:hAnsi="Garamond"/>
        </w:rPr>
        <w:t>Samuel Batumike Kabagale</w:t>
      </w:r>
    </w:p>
    <w:p w14:paraId="5C4FD961" w14:textId="77777777" w:rsidR="00804868" w:rsidRPr="009B6D19" w:rsidRDefault="00804868" w:rsidP="00804868">
      <w:pPr>
        <w:pStyle w:val="Pagetitre"/>
        <w:spacing w:before="0" w:after="0" w:line="240" w:lineRule="auto"/>
        <w:jc w:val="center"/>
        <w:rPr>
          <w:rFonts w:ascii="Garamond" w:hAnsi="Garamond"/>
          <w:lang w:eastAsia="fr-FR"/>
        </w:rPr>
      </w:pPr>
    </w:p>
    <w:p w14:paraId="7E534CAE" w14:textId="77777777" w:rsidR="00804868" w:rsidRPr="009B6D19" w:rsidRDefault="00804868" w:rsidP="00804868">
      <w:pPr>
        <w:pStyle w:val="Pagetitre"/>
        <w:spacing w:before="0" w:after="0" w:line="240" w:lineRule="auto"/>
        <w:jc w:val="center"/>
        <w:rPr>
          <w:rFonts w:ascii="Garamond" w:hAnsi="Garamond"/>
          <w:lang w:eastAsia="fr-FR"/>
        </w:rPr>
      </w:pPr>
    </w:p>
    <w:p w14:paraId="5CB1A55F" w14:textId="77777777" w:rsidR="00804868" w:rsidRPr="009B6D19" w:rsidRDefault="00804868" w:rsidP="00804868">
      <w:pPr>
        <w:pStyle w:val="Pagetitre"/>
        <w:spacing w:before="0" w:after="0" w:line="240" w:lineRule="auto"/>
        <w:jc w:val="center"/>
        <w:rPr>
          <w:rFonts w:ascii="Garamond" w:hAnsi="Garamond"/>
          <w:lang w:eastAsia="fr-FR"/>
        </w:rPr>
      </w:pPr>
    </w:p>
    <w:p w14:paraId="26221896" w14:textId="77777777" w:rsidR="00804868" w:rsidRPr="009B6D19" w:rsidRDefault="00804868" w:rsidP="00804868">
      <w:pPr>
        <w:pStyle w:val="Pagetitre"/>
        <w:spacing w:before="0" w:after="0" w:line="240" w:lineRule="auto"/>
        <w:jc w:val="center"/>
        <w:rPr>
          <w:rFonts w:ascii="Garamond" w:hAnsi="Garamond"/>
          <w:lang w:eastAsia="fr-FR"/>
        </w:rPr>
      </w:pPr>
      <w:r w:rsidRPr="009B6D19">
        <w:rPr>
          <w:rFonts w:ascii="Garamond" w:hAnsi="Garamond"/>
          <w:lang w:eastAsia="fr-FR"/>
        </w:rPr>
        <w:t>La responsabilisation financière et la reddition de</w:t>
      </w:r>
      <w:r>
        <w:rPr>
          <w:rFonts w:ascii="Garamond" w:hAnsi="Garamond"/>
          <w:lang w:eastAsia="fr-FR"/>
        </w:rPr>
        <w:t xml:space="preserve">s </w:t>
      </w:r>
      <w:r w:rsidRPr="009B6D19">
        <w:rPr>
          <w:rFonts w:ascii="Garamond" w:hAnsi="Garamond"/>
          <w:lang w:eastAsia="fr-FR"/>
        </w:rPr>
        <w:t>compte</w:t>
      </w:r>
      <w:r>
        <w:rPr>
          <w:rFonts w:ascii="Garamond" w:hAnsi="Garamond"/>
          <w:lang w:eastAsia="fr-FR"/>
        </w:rPr>
        <w:t>s</w:t>
      </w:r>
      <w:r w:rsidRPr="009B6D19">
        <w:rPr>
          <w:rFonts w:ascii="Garamond" w:hAnsi="Garamond"/>
          <w:lang w:eastAsia="fr-FR"/>
        </w:rPr>
        <w:t xml:space="preserve"> dans le cadre de la décentralisation en R</w:t>
      </w:r>
      <w:r>
        <w:rPr>
          <w:rFonts w:ascii="Garamond" w:hAnsi="Garamond"/>
          <w:lang w:eastAsia="fr-FR"/>
        </w:rPr>
        <w:t xml:space="preserve">épublique Démocratique du </w:t>
      </w:r>
      <w:r w:rsidRPr="009B6D19">
        <w:rPr>
          <w:rFonts w:ascii="Garamond" w:hAnsi="Garamond"/>
          <w:lang w:eastAsia="fr-FR"/>
        </w:rPr>
        <w:t>C</w:t>
      </w:r>
      <w:r>
        <w:rPr>
          <w:rFonts w:ascii="Garamond" w:hAnsi="Garamond"/>
          <w:lang w:eastAsia="fr-FR"/>
        </w:rPr>
        <w:t>ongo</w:t>
      </w:r>
      <w:r w:rsidRPr="009B6D19">
        <w:rPr>
          <w:rFonts w:ascii="Garamond" w:hAnsi="Garamond"/>
          <w:lang w:eastAsia="fr-FR"/>
        </w:rPr>
        <w:t>. Une étude de cas de</w:t>
      </w:r>
      <w:r>
        <w:rPr>
          <w:rFonts w:ascii="Garamond" w:hAnsi="Garamond"/>
          <w:lang w:eastAsia="fr-FR"/>
        </w:rPr>
        <w:t xml:space="preserve"> </w:t>
      </w:r>
      <w:r w:rsidRPr="009B6D19">
        <w:rPr>
          <w:rFonts w:ascii="Garamond" w:hAnsi="Garamond"/>
          <w:lang w:eastAsia="fr-FR"/>
        </w:rPr>
        <w:t>la Ville-Province de Kinshasa</w:t>
      </w:r>
    </w:p>
    <w:p w14:paraId="0515FBA0" w14:textId="77777777" w:rsidR="00804868" w:rsidRPr="009B6D19" w:rsidRDefault="00804868" w:rsidP="00804868">
      <w:pPr>
        <w:pStyle w:val="Pagetitre"/>
        <w:spacing w:before="0" w:after="0" w:line="240" w:lineRule="auto"/>
        <w:jc w:val="center"/>
        <w:rPr>
          <w:rFonts w:ascii="Garamond" w:hAnsi="Garamond"/>
          <w:lang w:eastAsia="fr-FR"/>
        </w:rPr>
      </w:pPr>
    </w:p>
    <w:p w14:paraId="3762E764" w14:textId="77777777" w:rsidR="00804868" w:rsidRPr="009B6D19" w:rsidRDefault="00804868" w:rsidP="00804868">
      <w:pPr>
        <w:pStyle w:val="Pagetitre"/>
        <w:spacing w:before="0" w:after="0" w:line="240" w:lineRule="auto"/>
        <w:jc w:val="center"/>
        <w:rPr>
          <w:rFonts w:ascii="Garamond" w:hAnsi="Garamond"/>
          <w:lang w:eastAsia="fr-FR"/>
        </w:rPr>
      </w:pPr>
    </w:p>
    <w:p w14:paraId="6853BEFE" w14:textId="77777777" w:rsidR="00804868" w:rsidRPr="009B6D19" w:rsidRDefault="00804868" w:rsidP="00804868">
      <w:pPr>
        <w:pStyle w:val="Pagetitre"/>
        <w:spacing w:before="0" w:after="0" w:line="240" w:lineRule="auto"/>
        <w:jc w:val="center"/>
        <w:rPr>
          <w:rFonts w:ascii="Garamond" w:hAnsi="Garamond"/>
          <w:lang w:eastAsia="fr-FR"/>
        </w:rPr>
      </w:pPr>
    </w:p>
    <w:p w14:paraId="6FD3040A" w14:textId="77777777" w:rsidR="00804868" w:rsidRPr="009B6D19" w:rsidRDefault="00804868" w:rsidP="00804868">
      <w:pPr>
        <w:pStyle w:val="Pagetitre"/>
        <w:spacing w:before="0" w:after="0" w:line="240" w:lineRule="auto"/>
        <w:jc w:val="center"/>
        <w:rPr>
          <w:rFonts w:ascii="Garamond" w:hAnsi="Garamond"/>
          <w:lang w:eastAsia="fr-FR"/>
        </w:rPr>
      </w:pPr>
    </w:p>
    <w:p w14:paraId="0D4EF7CF" w14:textId="77777777" w:rsidR="00804868" w:rsidRPr="009B6D19" w:rsidRDefault="00804868" w:rsidP="00804868">
      <w:pPr>
        <w:pStyle w:val="Pagetitre"/>
        <w:spacing w:before="0" w:after="0" w:line="240" w:lineRule="auto"/>
        <w:jc w:val="center"/>
        <w:rPr>
          <w:rFonts w:ascii="Garamond" w:hAnsi="Garamond"/>
        </w:rPr>
      </w:pPr>
      <w:r w:rsidRPr="009B6D19">
        <w:rPr>
          <w:rFonts w:ascii="Garamond" w:hAnsi="Garamond"/>
        </w:rPr>
        <w:t>Mémoire soumis à l’Université d’Ottawa</w:t>
      </w:r>
    </w:p>
    <w:p w14:paraId="29858390" w14:textId="77777777" w:rsidR="00804868" w:rsidRPr="009B6D19" w:rsidRDefault="00804868" w:rsidP="00804868">
      <w:pPr>
        <w:pStyle w:val="Pagetitre"/>
        <w:spacing w:before="0" w:after="0" w:line="240" w:lineRule="auto"/>
        <w:jc w:val="center"/>
        <w:rPr>
          <w:rFonts w:ascii="Garamond" w:hAnsi="Garamond"/>
        </w:rPr>
      </w:pPr>
      <w:proofErr w:type="gramStart"/>
      <w:r w:rsidRPr="009B6D19">
        <w:rPr>
          <w:rFonts w:ascii="Garamond" w:hAnsi="Garamond"/>
        </w:rPr>
        <w:t>dans</w:t>
      </w:r>
      <w:proofErr w:type="gramEnd"/>
      <w:r w:rsidRPr="009B6D19">
        <w:rPr>
          <w:rFonts w:ascii="Garamond" w:hAnsi="Garamond"/>
        </w:rPr>
        <w:t xml:space="preserve"> le cadre des exigences du programme de</w:t>
      </w:r>
    </w:p>
    <w:p w14:paraId="0214EA1B" w14:textId="77777777" w:rsidR="00804868" w:rsidRPr="009B6D19" w:rsidRDefault="00804868" w:rsidP="00804868">
      <w:pPr>
        <w:pStyle w:val="Pagetitre"/>
        <w:spacing w:before="0" w:after="0" w:line="240" w:lineRule="auto"/>
        <w:jc w:val="center"/>
        <w:rPr>
          <w:rFonts w:ascii="Garamond" w:hAnsi="Garamond"/>
        </w:rPr>
      </w:pPr>
      <w:r w:rsidRPr="009B6D19">
        <w:rPr>
          <w:rFonts w:ascii="Garamond" w:hAnsi="Garamond"/>
        </w:rPr>
        <w:t>Maîtrise en Administration publique</w:t>
      </w:r>
    </w:p>
    <w:p w14:paraId="7765C986" w14:textId="77777777" w:rsidR="00804868" w:rsidRPr="009B6D19" w:rsidRDefault="00804868" w:rsidP="00804868">
      <w:pPr>
        <w:pStyle w:val="Pagetitre"/>
        <w:spacing w:before="0" w:after="0" w:line="240" w:lineRule="auto"/>
        <w:jc w:val="center"/>
        <w:rPr>
          <w:rFonts w:ascii="Garamond" w:hAnsi="Garamond"/>
        </w:rPr>
      </w:pPr>
    </w:p>
    <w:p w14:paraId="16F110F9" w14:textId="77777777" w:rsidR="00804868" w:rsidRPr="009B6D19" w:rsidRDefault="00804868" w:rsidP="00804868">
      <w:pPr>
        <w:pStyle w:val="Pagetitre"/>
        <w:spacing w:before="0" w:after="0" w:line="240" w:lineRule="auto"/>
        <w:jc w:val="center"/>
        <w:rPr>
          <w:rFonts w:ascii="Garamond" w:hAnsi="Garamond"/>
        </w:rPr>
      </w:pPr>
    </w:p>
    <w:p w14:paraId="3924CB3E" w14:textId="77777777" w:rsidR="00804868" w:rsidRPr="009B6D19" w:rsidRDefault="00804868" w:rsidP="00804868">
      <w:pPr>
        <w:pStyle w:val="Pagetitre"/>
        <w:spacing w:before="0" w:after="0" w:line="240" w:lineRule="auto"/>
        <w:jc w:val="center"/>
        <w:rPr>
          <w:rFonts w:ascii="Garamond" w:hAnsi="Garamond"/>
        </w:rPr>
      </w:pPr>
    </w:p>
    <w:p w14:paraId="5395D87F" w14:textId="77777777" w:rsidR="00804868" w:rsidRPr="009B6D19" w:rsidRDefault="00804868" w:rsidP="00804868">
      <w:pPr>
        <w:pStyle w:val="Pagetitre"/>
        <w:spacing w:before="0" w:after="0" w:line="240" w:lineRule="auto"/>
        <w:jc w:val="center"/>
        <w:rPr>
          <w:rFonts w:ascii="Garamond" w:hAnsi="Garamond"/>
        </w:rPr>
      </w:pPr>
    </w:p>
    <w:p w14:paraId="369F6B36" w14:textId="77777777" w:rsidR="00804868" w:rsidRPr="009B6D19" w:rsidRDefault="00804868" w:rsidP="00804868">
      <w:pPr>
        <w:pStyle w:val="Pagetitre"/>
        <w:spacing w:before="0" w:after="0" w:line="240" w:lineRule="auto"/>
        <w:jc w:val="center"/>
        <w:rPr>
          <w:rFonts w:ascii="Garamond" w:hAnsi="Garamond"/>
        </w:rPr>
      </w:pPr>
      <w:r w:rsidRPr="009B6D19">
        <w:rPr>
          <w:rFonts w:ascii="Garamond" w:hAnsi="Garamond"/>
        </w:rPr>
        <w:t>Département de Sciences politiques</w:t>
      </w:r>
    </w:p>
    <w:p w14:paraId="1CE0BFC0" w14:textId="77777777" w:rsidR="00804868" w:rsidRPr="009B6D19" w:rsidRDefault="00804868" w:rsidP="00804868">
      <w:pPr>
        <w:pStyle w:val="Pagetitre"/>
        <w:spacing w:before="0" w:after="0" w:line="240" w:lineRule="auto"/>
        <w:jc w:val="center"/>
        <w:rPr>
          <w:rFonts w:ascii="Garamond" w:hAnsi="Garamond"/>
        </w:rPr>
      </w:pPr>
      <w:r w:rsidRPr="009B6D19">
        <w:rPr>
          <w:rFonts w:ascii="Garamond" w:hAnsi="Garamond"/>
        </w:rPr>
        <w:t>Faculté des Sciences sociales</w:t>
      </w:r>
    </w:p>
    <w:p w14:paraId="7528E703" w14:textId="77777777" w:rsidR="00804868" w:rsidRPr="009B6D19" w:rsidRDefault="00804868" w:rsidP="00804868">
      <w:pPr>
        <w:pStyle w:val="Pagetitre"/>
        <w:spacing w:before="0" w:after="0" w:line="240" w:lineRule="auto"/>
        <w:jc w:val="center"/>
        <w:rPr>
          <w:rFonts w:ascii="Garamond" w:hAnsi="Garamond"/>
        </w:rPr>
      </w:pPr>
      <w:r w:rsidRPr="009B6D19">
        <w:rPr>
          <w:rFonts w:ascii="Garamond" w:hAnsi="Garamond"/>
        </w:rPr>
        <w:t>Université d’Ottawa</w:t>
      </w:r>
    </w:p>
    <w:p w14:paraId="3D335C1F" w14:textId="77777777" w:rsidR="00804868" w:rsidRPr="009B6D19" w:rsidRDefault="00804868" w:rsidP="00804868">
      <w:pPr>
        <w:pStyle w:val="Pagetitre"/>
        <w:spacing w:before="0" w:after="0" w:line="240" w:lineRule="auto"/>
        <w:jc w:val="center"/>
        <w:rPr>
          <w:rFonts w:ascii="Garamond" w:hAnsi="Garamond"/>
        </w:rPr>
      </w:pPr>
    </w:p>
    <w:p w14:paraId="7661D8D1" w14:textId="77777777" w:rsidR="00804868" w:rsidRPr="009B6D19" w:rsidRDefault="00804868" w:rsidP="00804868">
      <w:pPr>
        <w:pStyle w:val="Pagetitre"/>
        <w:spacing w:before="0" w:after="0" w:line="240" w:lineRule="auto"/>
        <w:jc w:val="center"/>
        <w:rPr>
          <w:rFonts w:ascii="Garamond" w:hAnsi="Garamond"/>
        </w:rPr>
      </w:pPr>
    </w:p>
    <w:p w14:paraId="22C7B5AD" w14:textId="77777777" w:rsidR="00804868" w:rsidRPr="009B6D19" w:rsidRDefault="00804868" w:rsidP="00804868">
      <w:pPr>
        <w:pStyle w:val="Pagetitre"/>
        <w:spacing w:before="0" w:after="0" w:line="240" w:lineRule="auto"/>
        <w:jc w:val="center"/>
        <w:rPr>
          <w:rFonts w:ascii="Garamond" w:hAnsi="Garamond"/>
        </w:rPr>
      </w:pPr>
    </w:p>
    <w:p w14:paraId="6291691D" w14:textId="77777777" w:rsidR="00804868" w:rsidRPr="009B6D19" w:rsidRDefault="00804868" w:rsidP="00804868">
      <w:pPr>
        <w:pStyle w:val="Pagetitre"/>
        <w:spacing w:before="0" w:after="0" w:line="240" w:lineRule="auto"/>
        <w:jc w:val="center"/>
        <w:rPr>
          <w:rFonts w:ascii="Garamond" w:hAnsi="Garamond"/>
        </w:rPr>
      </w:pPr>
    </w:p>
    <w:p w14:paraId="7F7A715F" w14:textId="77777777" w:rsidR="00804868" w:rsidRPr="009B6D19" w:rsidRDefault="00804868" w:rsidP="00804868">
      <w:pPr>
        <w:pStyle w:val="Pagetitre"/>
        <w:spacing w:before="0" w:after="0" w:line="240" w:lineRule="auto"/>
        <w:jc w:val="center"/>
        <w:rPr>
          <w:rFonts w:ascii="Garamond" w:hAnsi="Garamond"/>
        </w:rPr>
      </w:pPr>
    </w:p>
    <w:p w14:paraId="175C42AC" w14:textId="77777777" w:rsidR="00804868" w:rsidRPr="009B6D19" w:rsidRDefault="00804868" w:rsidP="00804868">
      <w:pPr>
        <w:pStyle w:val="Pagetitre"/>
        <w:spacing w:before="0" w:after="0" w:line="240" w:lineRule="auto"/>
        <w:jc w:val="center"/>
        <w:rPr>
          <w:rFonts w:ascii="Garamond" w:hAnsi="Garamond"/>
        </w:rPr>
      </w:pPr>
    </w:p>
    <w:p w14:paraId="49768F62" w14:textId="77777777" w:rsidR="00804868" w:rsidRPr="009B6D19" w:rsidRDefault="00804868" w:rsidP="00804868">
      <w:pPr>
        <w:pStyle w:val="Pagetitre"/>
        <w:spacing w:before="0" w:after="0" w:line="240" w:lineRule="auto"/>
        <w:jc w:val="center"/>
        <w:rPr>
          <w:rFonts w:ascii="Garamond" w:hAnsi="Garamond"/>
        </w:rPr>
      </w:pPr>
    </w:p>
    <w:p w14:paraId="646786B4" w14:textId="77777777" w:rsidR="00804868" w:rsidRPr="009B6D19" w:rsidRDefault="00804868" w:rsidP="00804868">
      <w:pPr>
        <w:pStyle w:val="Pagetitre"/>
        <w:spacing w:before="0" w:after="0" w:line="240" w:lineRule="auto"/>
        <w:jc w:val="center"/>
        <w:rPr>
          <w:rFonts w:ascii="Garamond" w:hAnsi="Garamond"/>
        </w:rPr>
      </w:pPr>
    </w:p>
    <w:p w14:paraId="72A79B01" w14:textId="77777777" w:rsidR="00804868" w:rsidRPr="009B6D19" w:rsidRDefault="00804868" w:rsidP="00804868">
      <w:pPr>
        <w:pStyle w:val="Pagetitre"/>
        <w:spacing w:before="0" w:after="0" w:line="240" w:lineRule="auto"/>
        <w:jc w:val="center"/>
        <w:rPr>
          <w:rFonts w:ascii="Garamond" w:hAnsi="Garamond"/>
        </w:rPr>
      </w:pPr>
    </w:p>
    <w:p w14:paraId="22F2599F" w14:textId="77777777" w:rsidR="00804868" w:rsidRPr="009B6D19" w:rsidRDefault="00804868" w:rsidP="00804868">
      <w:pPr>
        <w:pStyle w:val="Pagetitre"/>
        <w:spacing w:before="0" w:after="0" w:line="240" w:lineRule="auto"/>
        <w:jc w:val="center"/>
        <w:rPr>
          <w:rFonts w:ascii="Garamond" w:hAnsi="Garamond"/>
        </w:rPr>
      </w:pPr>
    </w:p>
    <w:p w14:paraId="4664DDBC" w14:textId="77777777" w:rsidR="00804868" w:rsidRPr="009B6D19" w:rsidRDefault="00804868" w:rsidP="00804868">
      <w:pPr>
        <w:pStyle w:val="Pagetitre"/>
        <w:spacing w:before="0" w:after="0" w:line="240" w:lineRule="auto"/>
        <w:jc w:val="center"/>
        <w:rPr>
          <w:rFonts w:ascii="Garamond" w:hAnsi="Garamond"/>
        </w:rPr>
      </w:pPr>
    </w:p>
    <w:p w14:paraId="269B5F3F" w14:textId="77777777" w:rsidR="00804868" w:rsidRDefault="00804868" w:rsidP="00804868">
      <w:pPr>
        <w:pStyle w:val="Pagetitre"/>
        <w:spacing w:before="0" w:after="0" w:line="240" w:lineRule="auto"/>
        <w:jc w:val="center"/>
        <w:rPr>
          <w:rFonts w:ascii="Garamond" w:hAnsi="Garamond"/>
        </w:rPr>
      </w:pPr>
      <w:r w:rsidRPr="009B6D19">
        <w:rPr>
          <w:rFonts w:ascii="Garamond" w:hAnsi="Garamond"/>
        </w:rPr>
        <w:t xml:space="preserve">Sous la supervision de : Professeur </w:t>
      </w:r>
      <w:r w:rsidR="004A22F0" w:rsidRPr="009B6D19">
        <w:rPr>
          <w:rFonts w:ascii="Garamond" w:hAnsi="Garamond"/>
        </w:rPr>
        <w:t>Éric</w:t>
      </w:r>
      <w:r w:rsidRPr="009B6D19">
        <w:rPr>
          <w:rFonts w:ascii="Garamond" w:hAnsi="Garamond"/>
        </w:rPr>
        <w:t xml:space="preserve"> Champagne</w:t>
      </w:r>
    </w:p>
    <w:p w14:paraId="31A1C795" w14:textId="77777777" w:rsidR="00313A02" w:rsidRPr="009B6D19" w:rsidRDefault="00313A02" w:rsidP="00804868">
      <w:pPr>
        <w:pStyle w:val="Pagetitre"/>
        <w:spacing w:before="0" w:after="0" w:line="240" w:lineRule="auto"/>
        <w:jc w:val="center"/>
        <w:rPr>
          <w:rFonts w:ascii="Garamond" w:hAnsi="Garamond"/>
        </w:rPr>
      </w:pPr>
      <w:r>
        <w:rPr>
          <w:rFonts w:ascii="Garamond" w:hAnsi="Garamond"/>
        </w:rPr>
        <w:t>Deuxième lecteur : Professeur André Lecours</w:t>
      </w:r>
    </w:p>
    <w:p w14:paraId="267274D9" w14:textId="77777777" w:rsidR="00804868" w:rsidRPr="009B6D19" w:rsidRDefault="00804868" w:rsidP="00804868">
      <w:pPr>
        <w:pStyle w:val="Pagetitre"/>
        <w:spacing w:before="0" w:after="0" w:line="240" w:lineRule="auto"/>
        <w:jc w:val="center"/>
        <w:rPr>
          <w:rFonts w:ascii="Garamond" w:hAnsi="Garamond"/>
        </w:rPr>
      </w:pPr>
    </w:p>
    <w:p w14:paraId="0FF97AE2" w14:textId="77777777" w:rsidR="00804868" w:rsidRPr="009B6D19" w:rsidRDefault="00804868" w:rsidP="00804868">
      <w:pPr>
        <w:pStyle w:val="Pagetitre"/>
        <w:spacing w:before="0" w:after="0" w:line="240" w:lineRule="auto"/>
        <w:jc w:val="center"/>
        <w:rPr>
          <w:rFonts w:ascii="Garamond" w:hAnsi="Garamond"/>
        </w:rPr>
      </w:pPr>
    </w:p>
    <w:p w14:paraId="70EBDF9A" w14:textId="77777777" w:rsidR="00804868" w:rsidRPr="009B6D19" w:rsidRDefault="00804868" w:rsidP="00804868">
      <w:pPr>
        <w:pStyle w:val="Pagetitre"/>
        <w:spacing w:before="0" w:after="0" w:line="240" w:lineRule="auto"/>
        <w:jc w:val="center"/>
        <w:rPr>
          <w:rFonts w:ascii="Garamond" w:hAnsi="Garamond"/>
        </w:rPr>
      </w:pPr>
    </w:p>
    <w:p w14:paraId="23EE1D4B" w14:textId="77777777" w:rsidR="00804868" w:rsidRPr="009B6D19" w:rsidRDefault="00804868" w:rsidP="00804868">
      <w:pPr>
        <w:pStyle w:val="Pagetitre"/>
        <w:spacing w:before="0" w:after="0" w:line="240" w:lineRule="auto"/>
        <w:jc w:val="center"/>
        <w:rPr>
          <w:rFonts w:ascii="Garamond" w:hAnsi="Garamond"/>
        </w:rPr>
      </w:pPr>
    </w:p>
    <w:p w14:paraId="00E693F3" w14:textId="77777777" w:rsidR="00804868" w:rsidRDefault="00804868" w:rsidP="00804868">
      <w:pPr>
        <w:pStyle w:val="Pagetitre"/>
        <w:spacing w:before="0" w:after="0" w:line="240" w:lineRule="auto"/>
        <w:jc w:val="center"/>
        <w:rPr>
          <w:rFonts w:ascii="Garamond" w:hAnsi="Garamond"/>
        </w:rPr>
      </w:pPr>
    </w:p>
    <w:p w14:paraId="28C6929E" w14:textId="77777777" w:rsidR="00313A02" w:rsidRDefault="00313A02" w:rsidP="00804868">
      <w:pPr>
        <w:pStyle w:val="Pagetitre"/>
        <w:spacing w:before="0" w:after="0" w:line="240" w:lineRule="auto"/>
        <w:jc w:val="center"/>
        <w:rPr>
          <w:rFonts w:ascii="Garamond" w:hAnsi="Garamond"/>
        </w:rPr>
      </w:pPr>
    </w:p>
    <w:p w14:paraId="64F379DC" w14:textId="77777777" w:rsidR="00313A02" w:rsidRDefault="00313A02" w:rsidP="00804868">
      <w:pPr>
        <w:pStyle w:val="Pagetitre"/>
        <w:spacing w:before="0" w:after="0" w:line="240" w:lineRule="auto"/>
        <w:jc w:val="center"/>
        <w:rPr>
          <w:rFonts w:ascii="Garamond" w:hAnsi="Garamond"/>
        </w:rPr>
      </w:pPr>
    </w:p>
    <w:p w14:paraId="6B96D6AE" w14:textId="77777777" w:rsidR="00313A02" w:rsidRPr="009B6D19" w:rsidRDefault="00313A02" w:rsidP="00804868">
      <w:pPr>
        <w:pStyle w:val="Pagetitre"/>
        <w:spacing w:before="0" w:after="0" w:line="240" w:lineRule="auto"/>
        <w:jc w:val="center"/>
        <w:rPr>
          <w:rFonts w:ascii="Garamond" w:hAnsi="Garamond"/>
        </w:rPr>
      </w:pPr>
    </w:p>
    <w:p w14:paraId="14B6CCFF" w14:textId="77777777" w:rsidR="00804868" w:rsidRPr="009B6D19" w:rsidRDefault="00804868" w:rsidP="00804868">
      <w:pPr>
        <w:pStyle w:val="Pagetitre"/>
        <w:spacing w:before="0" w:after="0" w:line="240" w:lineRule="auto"/>
        <w:jc w:val="center"/>
        <w:rPr>
          <w:rFonts w:ascii="Garamond" w:hAnsi="Garamond"/>
        </w:rPr>
      </w:pPr>
    </w:p>
    <w:p w14:paraId="43E308CF" w14:textId="77777777" w:rsidR="00804868" w:rsidRDefault="00804868" w:rsidP="00804868">
      <w:pPr>
        <w:pStyle w:val="Pagetitre"/>
        <w:spacing w:before="0" w:after="0" w:line="240" w:lineRule="auto"/>
        <w:jc w:val="center"/>
        <w:rPr>
          <w:rFonts w:ascii="Garamond" w:hAnsi="Garamond"/>
        </w:rPr>
      </w:pPr>
      <w:r w:rsidRPr="009B6D19">
        <w:rPr>
          <w:rFonts w:ascii="Garamond" w:hAnsi="Garamond"/>
        </w:rPr>
        <w:t>2023</w:t>
      </w:r>
    </w:p>
    <w:p w14:paraId="77D5D38C" w14:textId="77777777" w:rsidR="00804868" w:rsidRDefault="00804868" w:rsidP="00804868">
      <w:pPr>
        <w:pStyle w:val="Pagetitre"/>
        <w:spacing w:before="0" w:after="0" w:line="240" w:lineRule="auto"/>
        <w:jc w:val="center"/>
        <w:rPr>
          <w:rFonts w:ascii="Garamond" w:hAnsi="Garamond"/>
        </w:rPr>
      </w:pPr>
    </w:p>
    <w:p w14:paraId="6121A6B5" w14:textId="77777777" w:rsidR="00313A02" w:rsidRDefault="00313A02">
      <w:pPr>
        <w:autoSpaceDE/>
        <w:autoSpaceDN/>
        <w:adjustRightInd/>
        <w:spacing w:before="0" w:after="200" w:line="276" w:lineRule="auto"/>
        <w:jc w:val="left"/>
        <w:rPr>
          <w:rFonts w:ascii="Garamond" w:hAnsi="Garamond"/>
        </w:rPr>
      </w:pPr>
      <w:r>
        <w:rPr>
          <w:rFonts w:ascii="Garamond" w:hAnsi="Garamond"/>
        </w:rPr>
        <w:br w:type="page"/>
      </w:r>
    </w:p>
    <w:p w14:paraId="6305498A" w14:textId="66359617" w:rsidR="00804868" w:rsidRPr="00461926" w:rsidRDefault="00FD5ABB" w:rsidP="00FD5ABB">
      <w:pPr>
        <w:pStyle w:val="Pagetitre"/>
        <w:spacing w:before="0" w:after="0" w:line="240" w:lineRule="auto"/>
        <w:jc w:val="right"/>
        <w:rPr>
          <w:rFonts w:ascii="Garamond" w:hAnsi="Garamond"/>
          <w:sz w:val="20"/>
          <w:szCs w:val="20"/>
        </w:rPr>
      </w:pPr>
      <w:r w:rsidRPr="00461926">
        <w:rPr>
          <w:rFonts w:ascii="Garamond" w:hAnsi="Garamond"/>
          <w:sz w:val="20"/>
          <w:szCs w:val="20"/>
        </w:rPr>
        <w:lastRenderedPageBreak/>
        <w:t>A mon géniteur Etienne Kabagale qui git auprès du Père</w:t>
      </w:r>
    </w:p>
    <w:p w14:paraId="1FF402E4" w14:textId="77777777" w:rsidR="00FD5ABB" w:rsidRPr="00461926" w:rsidRDefault="00FD5ABB" w:rsidP="00FD5ABB">
      <w:pPr>
        <w:pStyle w:val="Pagetitre"/>
        <w:spacing w:before="0" w:after="0" w:line="240" w:lineRule="auto"/>
        <w:jc w:val="right"/>
        <w:rPr>
          <w:rFonts w:ascii="Garamond" w:hAnsi="Garamond"/>
          <w:sz w:val="20"/>
          <w:szCs w:val="20"/>
        </w:rPr>
      </w:pPr>
    </w:p>
    <w:p w14:paraId="6F1F9C59" w14:textId="77777777" w:rsidR="00FD5ABB" w:rsidRPr="00461926" w:rsidRDefault="00FD5ABB" w:rsidP="00FD5ABB">
      <w:pPr>
        <w:pStyle w:val="Pagetitre"/>
        <w:spacing w:before="0" w:after="0" w:line="240" w:lineRule="auto"/>
        <w:jc w:val="right"/>
        <w:rPr>
          <w:rFonts w:ascii="Garamond" w:hAnsi="Garamond"/>
          <w:sz w:val="20"/>
          <w:szCs w:val="20"/>
        </w:rPr>
      </w:pPr>
      <w:r w:rsidRPr="00461926">
        <w:rPr>
          <w:rFonts w:ascii="Garamond" w:hAnsi="Garamond"/>
          <w:sz w:val="20"/>
          <w:szCs w:val="20"/>
        </w:rPr>
        <w:t>Et à ma chère maman Romanie M’</w:t>
      </w:r>
      <w:proofErr w:type="spellStart"/>
      <w:r w:rsidRPr="00461926">
        <w:rPr>
          <w:rFonts w:ascii="Garamond" w:hAnsi="Garamond"/>
          <w:sz w:val="20"/>
          <w:szCs w:val="20"/>
        </w:rPr>
        <w:t>Mulengera</w:t>
      </w:r>
      <w:proofErr w:type="spellEnd"/>
    </w:p>
    <w:p w14:paraId="0CAF81DB" w14:textId="2ABDF307" w:rsidR="00FD5ABB" w:rsidRPr="00461926" w:rsidRDefault="00FD5ABB" w:rsidP="00FD5ABB">
      <w:pPr>
        <w:pStyle w:val="Pagetitre"/>
        <w:spacing w:before="0" w:after="0" w:line="240" w:lineRule="auto"/>
        <w:jc w:val="right"/>
        <w:rPr>
          <w:rFonts w:ascii="Garamond" w:hAnsi="Garamond"/>
          <w:sz w:val="20"/>
          <w:szCs w:val="20"/>
        </w:rPr>
      </w:pPr>
      <w:r w:rsidRPr="00461926">
        <w:rPr>
          <w:rFonts w:ascii="Garamond" w:hAnsi="Garamond"/>
          <w:sz w:val="20"/>
          <w:szCs w:val="20"/>
        </w:rPr>
        <w:t xml:space="preserve"> </w:t>
      </w:r>
    </w:p>
    <w:p w14:paraId="30CBCAB8" w14:textId="3B4DA75B" w:rsidR="00FD5ABB" w:rsidRPr="00461926" w:rsidRDefault="00FD5ABB" w:rsidP="00FD5ABB">
      <w:pPr>
        <w:pStyle w:val="Pagetitre"/>
        <w:spacing w:before="0" w:after="0" w:line="240" w:lineRule="auto"/>
        <w:jc w:val="right"/>
        <w:rPr>
          <w:rFonts w:ascii="Garamond" w:hAnsi="Garamond"/>
          <w:sz w:val="20"/>
          <w:szCs w:val="20"/>
        </w:rPr>
      </w:pPr>
      <w:r w:rsidRPr="00461926">
        <w:rPr>
          <w:rFonts w:ascii="Garamond" w:hAnsi="Garamond"/>
          <w:sz w:val="20"/>
          <w:szCs w:val="20"/>
        </w:rPr>
        <w:t>Pour l’éducation et les sacrifices consentis.</w:t>
      </w:r>
    </w:p>
    <w:p w14:paraId="54210E36" w14:textId="77777777" w:rsidR="00FD5ABB" w:rsidRPr="00461926" w:rsidRDefault="00FD5ABB" w:rsidP="00FD5ABB">
      <w:pPr>
        <w:pStyle w:val="Pagetitre"/>
        <w:spacing w:before="0" w:after="0" w:line="240" w:lineRule="auto"/>
        <w:jc w:val="right"/>
        <w:rPr>
          <w:rFonts w:ascii="Garamond" w:hAnsi="Garamond"/>
          <w:sz w:val="20"/>
          <w:szCs w:val="20"/>
        </w:rPr>
      </w:pPr>
    </w:p>
    <w:p w14:paraId="2E6FEF62" w14:textId="29AD827D" w:rsidR="00FD5ABB" w:rsidRPr="00461926" w:rsidRDefault="00FD5ABB" w:rsidP="00FD5ABB">
      <w:pPr>
        <w:pStyle w:val="Pagetitre"/>
        <w:spacing w:before="0" w:after="0" w:line="240" w:lineRule="auto"/>
        <w:jc w:val="right"/>
        <w:rPr>
          <w:rFonts w:ascii="Garamond" w:hAnsi="Garamond"/>
          <w:sz w:val="20"/>
          <w:szCs w:val="20"/>
        </w:rPr>
      </w:pPr>
      <w:r w:rsidRPr="00461926">
        <w:rPr>
          <w:rFonts w:ascii="Garamond" w:hAnsi="Garamond"/>
          <w:sz w:val="20"/>
          <w:szCs w:val="20"/>
        </w:rPr>
        <w:t xml:space="preserve">Nous marchons sur les pas </w:t>
      </w:r>
      <w:r w:rsidR="00461926">
        <w:rPr>
          <w:rFonts w:ascii="Garamond" w:hAnsi="Garamond"/>
          <w:sz w:val="20"/>
          <w:szCs w:val="20"/>
        </w:rPr>
        <w:t>balisés par vos</w:t>
      </w:r>
      <w:r w:rsidRPr="00461926">
        <w:rPr>
          <w:rFonts w:ascii="Garamond" w:hAnsi="Garamond"/>
          <w:sz w:val="20"/>
          <w:szCs w:val="20"/>
        </w:rPr>
        <w:t xml:space="preserve"> conseils….</w:t>
      </w:r>
    </w:p>
    <w:p w14:paraId="09755A0F" w14:textId="77777777" w:rsidR="00FD5ABB" w:rsidRPr="00461926" w:rsidRDefault="00FD5ABB" w:rsidP="00804868">
      <w:pPr>
        <w:pStyle w:val="Pagetitre"/>
        <w:spacing w:before="0" w:after="0" w:line="240" w:lineRule="auto"/>
        <w:jc w:val="center"/>
        <w:rPr>
          <w:rFonts w:ascii="Garamond" w:hAnsi="Garamond"/>
          <w:sz w:val="20"/>
          <w:szCs w:val="20"/>
        </w:rPr>
      </w:pPr>
    </w:p>
    <w:p w14:paraId="760CA047" w14:textId="77777777" w:rsidR="00FD5ABB" w:rsidRPr="00461926" w:rsidRDefault="00FD5ABB" w:rsidP="00804868">
      <w:pPr>
        <w:pStyle w:val="Pagetitre"/>
        <w:spacing w:before="0" w:after="0" w:line="240" w:lineRule="auto"/>
        <w:jc w:val="center"/>
        <w:rPr>
          <w:rFonts w:ascii="Garamond" w:hAnsi="Garamond"/>
          <w:sz w:val="20"/>
          <w:szCs w:val="20"/>
        </w:rPr>
      </w:pPr>
    </w:p>
    <w:p w14:paraId="5D6DB1C9" w14:textId="77777777" w:rsidR="00FD5ABB" w:rsidRPr="00461926" w:rsidRDefault="00FD5ABB" w:rsidP="00804868">
      <w:pPr>
        <w:pStyle w:val="Pagetitre"/>
        <w:spacing w:before="0" w:after="0" w:line="240" w:lineRule="auto"/>
        <w:jc w:val="center"/>
        <w:rPr>
          <w:rFonts w:ascii="Garamond" w:hAnsi="Garamond"/>
          <w:sz w:val="20"/>
          <w:szCs w:val="20"/>
        </w:rPr>
      </w:pPr>
    </w:p>
    <w:p w14:paraId="544A5EBC" w14:textId="77777777" w:rsidR="00FD5ABB" w:rsidRPr="00461926" w:rsidRDefault="00FD5ABB" w:rsidP="00804868">
      <w:pPr>
        <w:pStyle w:val="Pagetitre"/>
        <w:spacing w:before="0" w:after="0" w:line="240" w:lineRule="auto"/>
        <w:jc w:val="center"/>
        <w:rPr>
          <w:rFonts w:ascii="Garamond" w:hAnsi="Garamond"/>
          <w:sz w:val="20"/>
          <w:szCs w:val="20"/>
        </w:rPr>
      </w:pPr>
    </w:p>
    <w:p w14:paraId="44212FA8" w14:textId="77777777" w:rsidR="00FD5ABB" w:rsidRPr="00461926" w:rsidRDefault="00FD5ABB" w:rsidP="00804868">
      <w:pPr>
        <w:pStyle w:val="Pagetitre"/>
        <w:spacing w:before="0" w:after="0" w:line="240" w:lineRule="auto"/>
        <w:jc w:val="center"/>
        <w:rPr>
          <w:rFonts w:ascii="Garamond" w:hAnsi="Garamond"/>
          <w:sz w:val="20"/>
          <w:szCs w:val="20"/>
        </w:rPr>
      </w:pPr>
    </w:p>
    <w:p w14:paraId="2D807C38" w14:textId="77777777" w:rsidR="00FD5ABB" w:rsidRPr="00461926" w:rsidRDefault="00FD5ABB" w:rsidP="00804868">
      <w:pPr>
        <w:pStyle w:val="Pagetitre"/>
        <w:spacing w:before="0" w:after="0" w:line="240" w:lineRule="auto"/>
        <w:jc w:val="center"/>
        <w:rPr>
          <w:rFonts w:ascii="Garamond" w:hAnsi="Garamond"/>
          <w:sz w:val="20"/>
          <w:szCs w:val="20"/>
        </w:rPr>
      </w:pPr>
    </w:p>
    <w:p w14:paraId="352A29D1" w14:textId="77777777" w:rsidR="00FD5ABB" w:rsidRDefault="00FD5ABB" w:rsidP="00804868">
      <w:pPr>
        <w:pStyle w:val="Pagetitre"/>
        <w:spacing w:before="0" w:after="0" w:line="240" w:lineRule="auto"/>
        <w:jc w:val="center"/>
        <w:rPr>
          <w:rFonts w:ascii="Garamond" w:hAnsi="Garamond"/>
          <w:sz w:val="20"/>
          <w:szCs w:val="20"/>
        </w:rPr>
      </w:pPr>
    </w:p>
    <w:p w14:paraId="0073C104" w14:textId="77777777" w:rsidR="00461926" w:rsidRDefault="00461926" w:rsidP="00804868">
      <w:pPr>
        <w:pStyle w:val="Pagetitre"/>
        <w:spacing w:before="0" w:after="0" w:line="240" w:lineRule="auto"/>
        <w:jc w:val="center"/>
        <w:rPr>
          <w:rFonts w:ascii="Garamond" w:hAnsi="Garamond"/>
          <w:sz w:val="20"/>
          <w:szCs w:val="20"/>
        </w:rPr>
      </w:pPr>
    </w:p>
    <w:p w14:paraId="73C0747E" w14:textId="77777777" w:rsidR="00461926" w:rsidRDefault="00461926" w:rsidP="00804868">
      <w:pPr>
        <w:pStyle w:val="Pagetitre"/>
        <w:spacing w:before="0" w:after="0" w:line="240" w:lineRule="auto"/>
        <w:jc w:val="center"/>
        <w:rPr>
          <w:rFonts w:ascii="Garamond" w:hAnsi="Garamond"/>
          <w:sz w:val="20"/>
          <w:szCs w:val="20"/>
        </w:rPr>
      </w:pPr>
    </w:p>
    <w:p w14:paraId="3941EEE6" w14:textId="77777777" w:rsidR="00461926" w:rsidRDefault="00461926" w:rsidP="00804868">
      <w:pPr>
        <w:pStyle w:val="Pagetitre"/>
        <w:spacing w:before="0" w:after="0" w:line="240" w:lineRule="auto"/>
        <w:jc w:val="center"/>
        <w:rPr>
          <w:rFonts w:ascii="Garamond" w:hAnsi="Garamond"/>
          <w:sz w:val="20"/>
          <w:szCs w:val="20"/>
        </w:rPr>
      </w:pPr>
    </w:p>
    <w:p w14:paraId="3176CCCA" w14:textId="77777777" w:rsidR="00461926" w:rsidRDefault="00461926" w:rsidP="00804868">
      <w:pPr>
        <w:pStyle w:val="Pagetitre"/>
        <w:spacing w:before="0" w:after="0" w:line="240" w:lineRule="auto"/>
        <w:jc w:val="center"/>
        <w:rPr>
          <w:rFonts w:ascii="Garamond" w:hAnsi="Garamond"/>
          <w:sz w:val="20"/>
          <w:szCs w:val="20"/>
        </w:rPr>
      </w:pPr>
    </w:p>
    <w:p w14:paraId="359B360E" w14:textId="77777777" w:rsidR="00461926" w:rsidRDefault="00461926" w:rsidP="00804868">
      <w:pPr>
        <w:pStyle w:val="Pagetitre"/>
        <w:spacing w:before="0" w:after="0" w:line="240" w:lineRule="auto"/>
        <w:jc w:val="center"/>
        <w:rPr>
          <w:rFonts w:ascii="Garamond" w:hAnsi="Garamond"/>
          <w:sz w:val="20"/>
          <w:szCs w:val="20"/>
        </w:rPr>
      </w:pPr>
    </w:p>
    <w:p w14:paraId="1E75744E" w14:textId="77777777" w:rsidR="00461926" w:rsidRDefault="00461926" w:rsidP="00804868">
      <w:pPr>
        <w:pStyle w:val="Pagetitre"/>
        <w:spacing w:before="0" w:after="0" w:line="240" w:lineRule="auto"/>
        <w:jc w:val="center"/>
        <w:rPr>
          <w:rFonts w:ascii="Garamond" w:hAnsi="Garamond"/>
          <w:sz w:val="20"/>
          <w:szCs w:val="20"/>
        </w:rPr>
      </w:pPr>
    </w:p>
    <w:p w14:paraId="1AFB972D" w14:textId="77777777" w:rsidR="00461926" w:rsidRDefault="00461926" w:rsidP="00804868">
      <w:pPr>
        <w:pStyle w:val="Pagetitre"/>
        <w:spacing w:before="0" w:after="0" w:line="240" w:lineRule="auto"/>
        <w:jc w:val="center"/>
        <w:rPr>
          <w:rFonts w:ascii="Garamond" w:hAnsi="Garamond"/>
          <w:sz w:val="20"/>
          <w:szCs w:val="20"/>
        </w:rPr>
      </w:pPr>
    </w:p>
    <w:p w14:paraId="40E34DB9" w14:textId="77777777" w:rsidR="00461926" w:rsidRPr="00461926" w:rsidRDefault="00461926" w:rsidP="00804868">
      <w:pPr>
        <w:pStyle w:val="Pagetitre"/>
        <w:spacing w:before="0" w:after="0" w:line="240" w:lineRule="auto"/>
        <w:jc w:val="center"/>
        <w:rPr>
          <w:rFonts w:ascii="Garamond" w:hAnsi="Garamond"/>
          <w:sz w:val="20"/>
          <w:szCs w:val="20"/>
        </w:rPr>
      </w:pPr>
    </w:p>
    <w:p w14:paraId="2D92F69E" w14:textId="77777777" w:rsidR="00FD5ABB" w:rsidRPr="00461926" w:rsidRDefault="00FD5ABB" w:rsidP="00804868">
      <w:pPr>
        <w:pStyle w:val="Pagetitre"/>
        <w:spacing w:before="0" w:after="0" w:line="240" w:lineRule="auto"/>
        <w:jc w:val="center"/>
        <w:rPr>
          <w:rFonts w:ascii="Garamond" w:hAnsi="Garamond"/>
          <w:sz w:val="20"/>
          <w:szCs w:val="20"/>
        </w:rPr>
      </w:pPr>
    </w:p>
    <w:p w14:paraId="1D53D8D4" w14:textId="4FF831DE" w:rsidR="00FD5ABB" w:rsidRPr="00461926" w:rsidRDefault="00FD5ABB" w:rsidP="00FD5ABB">
      <w:pPr>
        <w:pStyle w:val="Pagetitre"/>
        <w:spacing w:before="0" w:after="0" w:line="240" w:lineRule="auto"/>
        <w:jc w:val="right"/>
        <w:rPr>
          <w:rFonts w:ascii="Garamond" w:hAnsi="Garamond"/>
          <w:sz w:val="20"/>
          <w:szCs w:val="20"/>
        </w:rPr>
      </w:pPr>
      <w:r w:rsidRPr="00461926">
        <w:rPr>
          <w:rFonts w:ascii="Garamond" w:hAnsi="Garamond"/>
          <w:sz w:val="20"/>
          <w:szCs w:val="20"/>
        </w:rPr>
        <w:t xml:space="preserve">A ma tendre épouse, amie et conseillère infatigable Rebecca Chance </w:t>
      </w:r>
      <w:proofErr w:type="spellStart"/>
      <w:r w:rsidRPr="00461926">
        <w:rPr>
          <w:rFonts w:ascii="Garamond" w:hAnsi="Garamond"/>
          <w:sz w:val="20"/>
          <w:szCs w:val="20"/>
        </w:rPr>
        <w:t>Bagula</w:t>
      </w:r>
      <w:proofErr w:type="spellEnd"/>
    </w:p>
    <w:p w14:paraId="7510813C" w14:textId="77777777" w:rsidR="00461926" w:rsidRPr="00461926" w:rsidRDefault="00461926" w:rsidP="00FD5ABB">
      <w:pPr>
        <w:pStyle w:val="Pagetitre"/>
        <w:spacing w:before="0" w:after="0" w:line="240" w:lineRule="auto"/>
        <w:jc w:val="right"/>
        <w:rPr>
          <w:rFonts w:ascii="Garamond" w:hAnsi="Garamond"/>
          <w:sz w:val="20"/>
          <w:szCs w:val="20"/>
        </w:rPr>
      </w:pPr>
    </w:p>
    <w:p w14:paraId="75DC0387" w14:textId="44545B83" w:rsidR="00FD5ABB" w:rsidRPr="00461926" w:rsidRDefault="00FD5ABB" w:rsidP="00FD5ABB">
      <w:pPr>
        <w:pStyle w:val="Pagetitre"/>
        <w:spacing w:before="0" w:after="0" w:line="240" w:lineRule="auto"/>
        <w:jc w:val="right"/>
        <w:rPr>
          <w:rFonts w:ascii="Garamond" w:hAnsi="Garamond"/>
          <w:sz w:val="20"/>
          <w:szCs w:val="20"/>
        </w:rPr>
      </w:pPr>
      <w:r w:rsidRPr="00461926">
        <w:rPr>
          <w:rFonts w:ascii="Garamond" w:hAnsi="Garamond"/>
          <w:sz w:val="20"/>
          <w:szCs w:val="20"/>
        </w:rPr>
        <w:t>Aux enfants Yanis-Emmanuel, Davina-Gaëlle et Nathanaël</w:t>
      </w:r>
    </w:p>
    <w:p w14:paraId="153AC5CC" w14:textId="77777777" w:rsidR="00461926" w:rsidRPr="00461926" w:rsidRDefault="00461926" w:rsidP="00FD5ABB">
      <w:pPr>
        <w:pStyle w:val="Pagetitre"/>
        <w:spacing w:before="0" w:after="0" w:line="240" w:lineRule="auto"/>
        <w:jc w:val="right"/>
        <w:rPr>
          <w:rFonts w:ascii="Garamond" w:hAnsi="Garamond"/>
          <w:sz w:val="20"/>
          <w:szCs w:val="20"/>
        </w:rPr>
      </w:pPr>
    </w:p>
    <w:p w14:paraId="7A0BCE02" w14:textId="0AC2E546" w:rsidR="00FD5ABB" w:rsidRPr="00461926" w:rsidRDefault="00FD5ABB" w:rsidP="00FD5ABB">
      <w:pPr>
        <w:pStyle w:val="Pagetitre"/>
        <w:spacing w:before="0" w:after="0" w:line="240" w:lineRule="auto"/>
        <w:jc w:val="right"/>
        <w:rPr>
          <w:rFonts w:ascii="Garamond" w:hAnsi="Garamond"/>
          <w:sz w:val="20"/>
          <w:szCs w:val="20"/>
        </w:rPr>
      </w:pPr>
      <w:r w:rsidRPr="00461926">
        <w:rPr>
          <w:rFonts w:ascii="Garamond" w:hAnsi="Garamond"/>
          <w:sz w:val="20"/>
          <w:szCs w:val="20"/>
        </w:rPr>
        <w:t>Vous êtes l’essence de mes efforts  et la source intarissable de ma motivation</w:t>
      </w:r>
      <w:r w:rsidR="00461926" w:rsidRPr="00461926">
        <w:rPr>
          <w:rFonts w:ascii="Garamond" w:hAnsi="Garamond"/>
          <w:sz w:val="20"/>
          <w:szCs w:val="20"/>
        </w:rPr>
        <w:t>.</w:t>
      </w:r>
    </w:p>
    <w:p w14:paraId="71E270D0" w14:textId="77777777" w:rsidR="00461926" w:rsidRPr="00461926" w:rsidRDefault="00461926" w:rsidP="00FD5ABB">
      <w:pPr>
        <w:pStyle w:val="Pagetitre"/>
        <w:spacing w:before="0" w:after="0" w:line="240" w:lineRule="auto"/>
        <w:jc w:val="right"/>
        <w:rPr>
          <w:rFonts w:ascii="Garamond" w:hAnsi="Garamond"/>
          <w:sz w:val="20"/>
          <w:szCs w:val="20"/>
        </w:rPr>
      </w:pPr>
    </w:p>
    <w:p w14:paraId="5BF99DC4" w14:textId="293BE443" w:rsidR="00FD5ABB" w:rsidRPr="00461926" w:rsidRDefault="00FD5ABB" w:rsidP="00FD5ABB">
      <w:pPr>
        <w:pStyle w:val="Pagetitre"/>
        <w:spacing w:before="0" w:after="0" w:line="240" w:lineRule="auto"/>
        <w:jc w:val="right"/>
        <w:rPr>
          <w:rFonts w:ascii="Garamond" w:hAnsi="Garamond"/>
          <w:sz w:val="20"/>
          <w:szCs w:val="20"/>
        </w:rPr>
      </w:pPr>
      <w:r w:rsidRPr="00461926">
        <w:rPr>
          <w:rFonts w:ascii="Garamond" w:hAnsi="Garamond"/>
          <w:sz w:val="20"/>
          <w:szCs w:val="20"/>
        </w:rPr>
        <w:t xml:space="preserve">Merci pour la patience, </w:t>
      </w:r>
      <w:r w:rsidR="00461926">
        <w:rPr>
          <w:rFonts w:ascii="Garamond" w:hAnsi="Garamond"/>
          <w:sz w:val="20"/>
          <w:szCs w:val="20"/>
        </w:rPr>
        <w:t>les</w:t>
      </w:r>
      <w:r w:rsidRPr="00461926">
        <w:rPr>
          <w:rFonts w:ascii="Garamond" w:hAnsi="Garamond"/>
          <w:sz w:val="20"/>
          <w:szCs w:val="20"/>
        </w:rPr>
        <w:t xml:space="preserve"> privations multiples et les encouragements….</w:t>
      </w:r>
    </w:p>
    <w:p w14:paraId="31EB0EED" w14:textId="77777777" w:rsidR="00FD5ABB" w:rsidRDefault="00FD5ABB" w:rsidP="00804868">
      <w:pPr>
        <w:pStyle w:val="Pagetitre"/>
        <w:spacing w:before="0" w:after="0" w:line="240" w:lineRule="auto"/>
        <w:jc w:val="center"/>
        <w:rPr>
          <w:rFonts w:ascii="Garamond" w:hAnsi="Garamond"/>
        </w:rPr>
      </w:pPr>
    </w:p>
    <w:p w14:paraId="21A858AA" w14:textId="77777777" w:rsidR="00FD5ABB" w:rsidRDefault="00FD5ABB" w:rsidP="00804868">
      <w:pPr>
        <w:pStyle w:val="Pagetitre"/>
        <w:spacing w:before="0" w:after="0" w:line="240" w:lineRule="auto"/>
        <w:jc w:val="center"/>
        <w:rPr>
          <w:rFonts w:ascii="Garamond" w:hAnsi="Garamond"/>
        </w:rPr>
      </w:pPr>
    </w:p>
    <w:p w14:paraId="525E3EEF" w14:textId="77777777" w:rsidR="00FD5ABB" w:rsidRDefault="00FD5ABB" w:rsidP="00804868">
      <w:pPr>
        <w:pStyle w:val="Pagetitre"/>
        <w:spacing w:before="0" w:after="0" w:line="240" w:lineRule="auto"/>
        <w:jc w:val="center"/>
        <w:rPr>
          <w:rFonts w:ascii="Garamond" w:hAnsi="Garamond"/>
        </w:rPr>
      </w:pPr>
    </w:p>
    <w:p w14:paraId="04A1341D" w14:textId="77777777" w:rsidR="00FD5ABB" w:rsidRDefault="00FD5ABB" w:rsidP="00804868">
      <w:pPr>
        <w:pStyle w:val="Pagetitre"/>
        <w:spacing w:before="0" w:after="0" w:line="240" w:lineRule="auto"/>
        <w:jc w:val="center"/>
        <w:rPr>
          <w:rFonts w:ascii="Garamond" w:hAnsi="Garamond"/>
        </w:rPr>
      </w:pPr>
    </w:p>
    <w:p w14:paraId="3758F57B" w14:textId="77777777" w:rsidR="00FD5ABB" w:rsidRDefault="00FD5ABB" w:rsidP="00804868">
      <w:pPr>
        <w:pStyle w:val="Pagetitre"/>
        <w:spacing w:before="0" w:after="0" w:line="240" w:lineRule="auto"/>
        <w:jc w:val="center"/>
        <w:rPr>
          <w:rFonts w:ascii="Garamond" w:hAnsi="Garamond"/>
        </w:rPr>
      </w:pPr>
    </w:p>
    <w:p w14:paraId="6ACE4B52" w14:textId="77777777" w:rsidR="00FD5ABB" w:rsidRDefault="00FD5ABB" w:rsidP="00804868">
      <w:pPr>
        <w:pStyle w:val="Pagetitre"/>
        <w:spacing w:before="0" w:after="0" w:line="240" w:lineRule="auto"/>
        <w:jc w:val="center"/>
        <w:rPr>
          <w:rFonts w:ascii="Garamond" w:hAnsi="Garamond"/>
        </w:rPr>
      </w:pPr>
    </w:p>
    <w:p w14:paraId="072C6840" w14:textId="77777777" w:rsidR="00FD5ABB" w:rsidRDefault="00FD5ABB" w:rsidP="00804868">
      <w:pPr>
        <w:pStyle w:val="Pagetitre"/>
        <w:spacing w:before="0" w:after="0" w:line="240" w:lineRule="auto"/>
        <w:jc w:val="center"/>
        <w:rPr>
          <w:rFonts w:ascii="Garamond" w:hAnsi="Garamond"/>
        </w:rPr>
      </w:pPr>
    </w:p>
    <w:p w14:paraId="4DA82276" w14:textId="77777777" w:rsidR="00FD5ABB" w:rsidRDefault="00FD5ABB" w:rsidP="00804868">
      <w:pPr>
        <w:pStyle w:val="Pagetitre"/>
        <w:spacing w:before="0" w:after="0" w:line="240" w:lineRule="auto"/>
        <w:jc w:val="center"/>
        <w:rPr>
          <w:rFonts w:ascii="Garamond" w:hAnsi="Garamond"/>
        </w:rPr>
      </w:pPr>
    </w:p>
    <w:p w14:paraId="463EE015" w14:textId="77777777" w:rsidR="00FD5ABB" w:rsidRDefault="00FD5ABB" w:rsidP="00804868">
      <w:pPr>
        <w:pStyle w:val="Pagetitre"/>
        <w:spacing w:before="0" w:after="0" w:line="240" w:lineRule="auto"/>
        <w:jc w:val="center"/>
        <w:rPr>
          <w:rFonts w:ascii="Garamond" w:hAnsi="Garamond"/>
        </w:rPr>
      </w:pPr>
    </w:p>
    <w:p w14:paraId="75276FF3" w14:textId="77777777" w:rsidR="00FD5ABB" w:rsidRDefault="00FD5ABB" w:rsidP="00804868">
      <w:pPr>
        <w:pStyle w:val="Pagetitre"/>
        <w:spacing w:before="0" w:after="0" w:line="240" w:lineRule="auto"/>
        <w:jc w:val="center"/>
        <w:rPr>
          <w:rFonts w:ascii="Garamond" w:hAnsi="Garamond"/>
        </w:rPr>
      </w:pPr>
    </w:p>
    <w:p w14:paraId="04FEB3D1" w14:textId="77777777" w:rsidR="00FD5ABB" w:rsidRDefault="00FD5ABB" w:rsidP="00804868">
      <w:pPr>
        <w:pStyle w:val="Pagetitre"/>
        <w:spacing w:before="0" w:after="0" w:line="240" w:lineRule="auto"/>
        <w:jc w:val="center"/>
        <w:rPr>
          <w:rFonts w:ascii="Garamond" w:hAnsi="Garamond"/>
        </w:rPr>
      </w:pPr>
    </w:p>
    <w:p w14:paraId="3A451A0A" w14:textId="77777777" w:rsidR="00FD5ABB" w:rsidRDefault="00FD5ABB" w:rsidP="00804868">
      <w:pPr>
        <w:pStyle w:val="Pagetitre"/>
        <w:spacing w:before="0" w:after="0" w:line="240" w:lineRule="auto"/>
        <w:jc w:val="center"/>
        <w:rPr>
          <w:rFonts w:ascii="Garamond" w:hAnsi="Garamond"/>
        </w:rPr>
      </w:pPr>
    </w:p>
    <w:p w14:paraId="0804C58E" w14:textId="77777777" w:rsidR="00FD5ABB" w:rsidRDefault="00FD5ABB" w:rsidP="00804868">
      <w:pPr>
        <w:pStyle w:val="Pagetitre"/>
        <w:spacing w:before="0" w:after="0" w:line="240" w:lineRule="auto"/>
        <w:jc w:val="center"/>
        <w:rPr>
          <w:rFonts w:ascii="Garamond" w:hAnsi="Garamond"/>
        </w:rPr>
      </w:pPr>
    </w:p>
    <w:p w14:paraId="3A1B9CD9" w14:textId="77777777" w:rsidR="00FD5ABB" w:rsidRDefault="00FD5ABB" w:rsidP="00804868">
      <w:pPr>
        <w:pStyle w:val="Pagetitre"/>
        <w:spacing w:before="0" w:after="0" w:line="240" w:lineRule="auto"/>
        <w:jc w:val="center"/>
        <w:rPr>
          <w:rFonts w:ascii="Garamond" w:hAnsi="Garamond"/>
        </w:rPr>
      </w:pPr>
    </w:p>
    <w:p w14:paraId="505CF684" w14:textId="77777777" w:rsidR="00FD5ABB" w:rsidRDefault="00FD5ABB" w:rsidP="00804868">
      <w:pPr>
        <w:pStyle w:val="Pagetitre"/>
        <w:spacing w:before="0" w:after="0" w:line="240" w:lineRule="auto"/>
        <w:jc w:val="center"/>
        <w:rPr>
          <w:rFonts w:ascii="Garamond" w:hAnsi="Garamond"/>
        </w:rPr>
      </w:pPr>
    </w:p>
    <w:p w14:paraId="1969FCF3" w14:textId="77777777" w:rsidR="00FD5ABB" w:rsidRDefault="00FD5ABB" w:rsidP="00804868">
      <w:pPr>
        <w:pStyle w:val="Pagetitre"/>
        <w:spacing w:before="0" w:after="0" w:line="240" w:lineRule="auto"/>
        <w:jc w:val="center"/>
        <w:rPr>
          <w:rFonts w:ascii="Garamond" w:hAnsi="Garamond"/>
        </w:rPr>
      </w:pPr>
    </w:p>
    <w:p w14:paraId="1219A556" w14:textId="77777777" w:rsidR="00FD5ABB" w:rsidRDefault="00FD5ABB" w:rsidP="00804868">
      <w:pPr>
        <w:pStyle w:val="Pagetitre"/>
        <w:spacing w:before="0" w:after="0" w:line="240" w:lineRule="auto"/>
        <w:jc w:val="center"/>
        <w:rPr>
          <w:rFonts w:ascii="Garamond" w:hAnsi="Garamond"/>
        </w:rPr>
      </w:pPr>
    </w:p>
    <w:p w14:paraId="7CE88A69" w14:textId="77777777" w:rsidR="00FD5ABB" w:rsidRDefault="00FD5ABB" w:rsidP="00804868">
      <w:pPr>
        <w:pStyle w:val="Pagetitre"/>
        <w:spacing w:before="0" w:after="0" w:line="240" w:lineRule="auto"/>
        <w:jc w:val="center"/>
        <w:rPr>
          <w:rFonts w:ascii="Garamond" w:hAnsi="Garamond"/>
        </w:rPr>
      </w:pPr>
    </w:p>
    <w:p w14:paraId="0012EADD" w14:textId="77777777" w:rsidR="00FD5ABB" w:rsidRDefault="00FD5ABB" w:rsidP="00804868">
      <w:pPr>
        <w:pStyle w:val="Pagetitre"/>
        <w:spacing w:before="0" w:after="0" w:line="240" w:lineRule="auto"/>
        <w:jc w:val="center"/>
        <w:rPr>
          <w:rFonts w:ascii="Garamond" w:hAnsi="Garamond"/>
        </w:rPr>
      </w:pPr>
    </w:p>
    <w:p w14:paraId="70C8D867" w14:textId="77777777" w:rsidR="00FD5ABB" w:rsidRDefault="00FD5ABB" w:rsidP="00804868">
      <w:pPr>
        <w:pStyle w:val="Pagetitre"/>
        <w:spacing w:before="0" w:after="0" w:line="240" w:lineRule="auto"/>
        <w:jc w:val="center"/>
        <w:rPr>
          <w:rFonts w:ascii="Garamond" w:hAnsi="Garamond"/>
        </w:rPr>
      </w:pPr>
    </w:p>
    <w:p w14:paraId="6422E97E" w14:textId="77777777" w:rsidR="00FD5ABB" w:rsidRDefault="00FD5ABB" w:rsidP="00804868">
      <w:pPr>
        <w:pStyle w:val="Pagetitre"/>
        <w:spacing w:before="0" w:after="0" w:line="240" w:lineRule="auto"/>
        <w:jc w:val="center"/>
        <w:rPr>
          <w:rFonts w:ascii="Garamond" w:hAnsi="Garamond"/>
        </w:rPr>
      </w:pPr>
    </w:p>
    <w:p w14:paraId="2A647AD7" w14:textId="77777777" w:rsidR="00FD5ABB" w:rsidRDefault="00FD5ABB" w:rsidP="00804868">
      <w:pPr>
        <w:pStyle w:val="Pagetitre"/>
        <w:spacing w:before="0" w:after="0" w:line="240" w:lineRule="auto"/>
        <w:jc w:val="center"/>
        <w:rPr>
          <w:rFonts w:ascii="Garamond" w:hAnsi="Garamond"/>
        </w:rPr>
      </w:pPr>
    </w:p>
    <w:p w14:paraId="6BC94B71" w14:textId="77777777" w:rsidR="00FD5ABB" w:rsidRDefault="00FD5ABB" w:rsidP="00804868">
      <w:pPr>
        <w:pStyle w:val="Pagetitre"/>
        <w:spacing w:before="0" w:after="0" w:line="240" w:lineRule="auto"/>
        <w:jc w:val="center"/>
        <w:rPr>
          <w:rFonts w:ascii="Garamond" w:hAnsi="Garamond"/>
        </w:rPr>
      </w:pPr>
    </w:p>
    <w:p w14:paraId="246016E1" w14:textId="77777777" w:rsidR="00FD5ABB" w:rsidRDefault="00FD5ABB" w:rsidP="00804868">
      <w:pPr>
        <w:pStyle w:val="Pagetitre"/>
        <w:spacing w:before="0" w:after="0" w:line="240" w:lineRule="auto"/>
        <w:jc w:val="center"/>
        <w:rPr>
          <w:rFonts w:ascii="Garamond" w:hAnsi="Garamond"/>
        </w:rPr>
      </w:pPr>
    </w:p>
    <w:p w14:paraId="155A6DB6" w14:textId="77777777" w:rsidR="00FD5ABB" w:rsidRDefault="00FD5ABB" w:rsidP="00804868">
      <w:pPr>
        <w:pStyle w:val="Pagetitre"/>
        <w:spacing w:before="0" w:after="0" w:line="240" w:lineRule="auto"/>
        <w:jc w:val="center"/>
        <w:rPr>
          <w:rFonts w:ascii="Garamond" w:hAnsi="Garamond"/>
        </w:rPr>
      </w:pPr>
    </w:p>
    <w:p w14:paraId="492FACE4" w14:textId="77777777" w:rsidR="00FD5ABB" w:rsidRDefault="00FD5ABB" w:rsidP="00804868">
      <w:pPr>
        <w:pStyle w:val="Pagetitre"/>
        <w:spacing w:before="0" w:after="0" w:line="240" w:lineRule="auto"/>
        <w:jc w:val="center"/>
        <w:rPr>
          <w:rFonts w:ascii="Garamond" w:hAnsi="Garamond"/>
        </w:rPr>
      </w:pPr>
    </w:p>
    <w:p w14:paraId="4508957F" w14:textId="34EC259B" w:rsidR="00FD5ABB" w:rsidRPr="00461926" w:rsidRDefault="00461926" w:rsidP="00461926">
      <w:pPr>
        <w:jc w:val="center"/>
        <w:rPr>
          <w:rFonts w:ascii="Garamond" w:hAnsi="Garamond"/>
          <w:b/>
          <w:lang w:eastAsia="fr-FR"/>
        </w:rPr>
      </w:pPr>
      <w:r>
        <w:rPr>
          <w:rFonts w:ascii="Garamond" w:hAnsi="Garamond"/>
          <w:b/>
          <w:lang w:eastAsia="fr-FR"/>
        </w:rPr>
        <w:lastRenderedPageBreak/>
        <w:t>REMERCIEMENTS</w:t>
      </w:r>
    </w:p>
    <w:p w14:paraId="755C0DD6" w14:textId="77777777" w:rsidR="00FD5ABB" w:rsidRDefault="00FD5ABB" w:rsidP="00804868">
      <w:pPr>
        <w:pStyle w:val="Pagetitre"/>
        <w:spacing w:before="0" w:after="0" w:line="240" w:lineRule="auto"/>
        <w:jc w:val="center"/>
        <w:rPr>
          <w:rFonts w:ascii="Garamond" w:hAnsi="Garamond"/>
        </w:rPr>
      </w:pPr>
    </w:p>
    <w:p w14:paraId="678BCFBD" w14:textId="77777777" w:rsidR="00FD5ABB" w:rsidRDefault="00FD5ABB" w:rsidP="00804868">
      <w:pPr>
        <w:pStyle w:val="Pagetitre"/>
        <w:spacing w:before="0" w:after="0" w:line="240" w:lineRule="auto"/>
        <w:jc w:val="center"/>
        <w:rPr>
          <w:rFonts w:ascii="Garamond" w:hAnsi="Garamond"/>
        </w:rPr>
      </w:pPr>
    </w:p>
    <w:p w14:paraId="79AD6F61" w14:textId="77777777" w:rsidR="00FD5ABB" w:rsidRDefault="00FD5ABB" w:rsidP="00804868">
      <w:pPr>
        <w:pStyle w:val="Pagetitre"/>
        <w:spacing w:before="0" w:after="0" w:line="240" w:lineRule="auto"/>
        <w:jc w:val="center"/>
        <w:rPr>
          <w:rFonts w:ascii="Garamond" w:hAnsi="Garamond"/>
        </w:rPr>
      </w:pPr>
    </w:p>
    <w:p w14:paraId="60A55945" w14:textId="77777777" w:rsidR="001C4F93" w:rsidRDefault="00461926" w:rsidP="00461926">
      <w:pPr>
        <w:pStyle w:val="Pagetitre"/>
        <w:spacing w:before="0" w:after="0" w:line="240" w:lineRule="auto"/>
        <w:jc w:val="center"/>
        <w:rPr>
          <w:rFonts w:ascii="Garamond" w:hAnsi="Garamond"/>
        </w:rPr>
      </w:pPr>
      <w:r>
        <w:rPr>
          <w:rFonts w:ascii="Garamond" w:hAnsi="Garamond"/>
        </w:rPr>
        <w:t xml:space="preserve">Au Professeur Éric Champagne qui a accepté d’assurer notre tuteurage à cette étape où nos pas trébuchaient encore et pour toutes formes d’accompagnements </w:t>
      </w:r>
      <w:r w:rsidR="001C4F93">
        <w:rPr>
          <w:rFonts w:ascii="Garamond" w:hAnsi="Garamond"/>
        </w:rPr>
        <w:t>dont</w:t>
      </w:r>
      <w:r>
        <w:rPr>
          <w:rFonts w:ascii="Garamond" w:hAnsi="Garamond"/>
        </w:rPr>
        <w:t xml:space="preserve"> </w:t>
      </w:r>
      <w:r w:rsidR="001C4F93">
        <w:rPr>
          <w:rFonts w:ascii="Garamond" w:hAnsi="Garamond"/>
        </w:rPr>
        <w:t>nous avons</w:t>
      </w:r>
      <w:r>
        <w:rPr>
          <w:rFonts w:ascii="Garamond" w:hAnsi="Garamond"/>
        </w:rPr>
        <w:t xml:space="preserve"> bénéfici</w:t>
      </w:r>
      <w:r w:rsidR="001C4F93">
        <w:rPr>
          <w:rFonts w:ascii="Garamond" w:hAnsi="Garamond"/>
        </w:rPr>
        <w:t>é de sa part,</w:t>
      </w:r>
    </w:p>
    <w:p w14:paraId="489A8481" w14:textId="425E836F" w:rsidR="00461926" w:rsidRDefault="00461926" w:rsidP="00461926">
      <w:pPr>
        <w:pStyle w:val="Pagetitre"/>
        <w:spacing w:before="0" w:after="0" w:line="240" w:lineRule="auto"/>
        <w:jc w:val="center"/>
        <w:rPr>
          <w:rFonts w:ascii="Garamond" w:hAnsi="Garamond"/>
        </w:rPr>
      </w:pPr>
      <w:r>
        <w:rPr>
          <w:rFonts w:ascii="Garamond" w:hAnsi="Garamond"/>
        </w:rPr>
        <w:t xml:space="preserve"> </w:t>
      </w:r>
    </w:p>
    <w:p w14:paraId="7178F816" w14:textId="05FC977B" w:rsidR="001C4F93" w:rsidRDefault="001C4F93" w:rsidP="00461926">
      <w:pPr>
        <w:pStyle w:val="Pagetitre"/>
        <w:spacing w:before="0" w:after="0" w:line="240" w:lineRule="auto"/>
        <w:jc w:val="center"/>
        <w:rPr>
          <w:rFonts w:ascii="Garamond" w:hAnsi="Garamond"/>
        </w:rPr>
      </w:pPr>
      <w:r>
        <w:rPr>
          <w:rFonts w:ascii="Garamond" w:hAnsi="Garamond"/>
        </w:rPr>
        <w:t>Au Professeur André Lecours pour avoir accepté d’assurer la seconde lecture du mémoire et pour les observations et encouragements,</w:t>
      </w:r>
    </w:p>
    <w:p w14:paraId="6ADA124A" w14:textId="77777777" w:rsidR="00461926" w:rsidRDefault="00461926" w:rsidP="00461926">
      <w:pPr>
        <w:pStyle w:val="Pagetitre"/>
        <w:spacing w:before="0" w:after="0" w:line="240" w:lineRule="auto"/>
        <w:jc w:val="center"/>
        <w:rPr>
          <w:rFonts w:ascii="Garamond" w:hAnsi="Garamond"/>
        </w:rPr>
      </w:pPr>
    </w:p>
    <w:p w14:paraId="0D96E7C2" w14:textId="75FC40B1" w:rsidR="00FD5ABB" w:rsidRDefault="001C4F93" w:rsidP="00461926">
      <w:pPr>
        <w:pStyle w:val="Pagetitre"/>
        <w:spacing w:before="0" w:after="0" w:line="240" w:lineRule="auto"/>
        <w:jc w:val="center"/>
        <w:rPr>
          <w:rFonts w:ascii="Garamond" w:hAnsi="Garamond"/>
        </w:rPr>
      </w:pPr>
      <w:r>
        <w:rPr>
          <w:rFonts w:ascii="Garamond" w:hAnsi="Garamond"/>
        </w:rPr>
        <w:t xml:space="preserve">A </w:t>
      </w:r>
      <w:r w:rsidR="00461926" w:rsidRPr="00B46734">
        <w:rPr>
          <w:rFonts w:ascii="Garamond" w:hAnsi="Garamond"/>
          <w:b/>
        </w:rPr>
        <w:t xml:space="preserve">Open Society </w:t>
      </w:r>
      <w:proofErr w:type="spellStart"/>
      <w:r w:rsidR="00461926" w:rsidRPr="00B46734">
        <w:rPr>
          <w:rFonts w:ascii="Garamond" w:hAnsi="Garamond"/>
          <w:b/>
        </w:rPr>
        <w:t>Foundation</w:t>
      </w:r>
      <w:r w:rsidR="00461926">
        <w:rPr>
          <w:rFonts w:ascii="Garamond" w:hAnsi="Garamond"/>
          <w:b/>
        </w:rPr>
        <w:t>s</w:t>
      </w:r>
      <w:proofErr w:type="spellEnd"/>
      <w:r w:rsidR="00461926">
        <w:rPr>
          <w:rFonts w:ascii="Garamond" w:hAnsi="Garamond"/>
          <w:b/>
        </w:rPr>
        <w:t xml:space="preserve"> </w:t>
      </w:r>
      <w:r w:rsidR="00461926" w:rsidRPr="00B46734">
        <w:rPr>
          <w:rFonts w:ascii="Garamond" w:hAnsi="Garamond"/>
        </w:rPr>
        <w:t>qui a financé mes études</w:t>
      </w:r>
      <w:r w:rsidR="00461926">
        <w:rPr>
          <w:rFonts w:ascii="Garamond" w:hAnsi="Garamond"/>
        </w:rPr>
        <w:t xml:space="preserve"> de maitrise</w:t>
      </w:r>
      <w:r w:rsidR="00461926" w:rsidRPr="00B46734">
        <w:rPr>
          <w:rFonts w:ascii="Garamond" w:hAnsi="Garamond"/>
        </w:rPr>
        <w:t xml:space="preserve">, </w:t>
      </w:r>
    </w:p>
    <w:p w14:paraId="7145B931" w14:textId="77777777" w:rsidR="00FD5ABB" w:rsidRDefault="00FD5ABB" w:rsidP="00804868">
      <w:pPr>
        <w:pStyle w:val="Pagetitre"/>
        <w:spacing w:before="0" w:after="0" w:line="240" w:lineRule="auto"/>
        <w:jc w:val="center"/>
        <w:rPr>
          <w:rFonts w:ascii="Garamond" w:hAnsi="Garamond"/>
        </w:rPr>
      </w:pPr>
    </w:p>
    <w:p w14:paraId="58C78A3D" w14:textId="77777777" w:rsidR="001C4F93" w:rsidRDefault="001C4F93" w:rsidP="001C4F93">
      <w:pPr>
        <w:pStyle w:val="Pagetitre"/>
        <w:spacing w:before="0" w:after="0" w:line="240" w:lineRule="auto"/>
        <w:jc w:val="center"/>
        <w:rPr>
          <w:rFonts w:ascii="Garamond" w:hAnsi="Garamond"/>
        </w:rPr>
      </w:pPr>
      <w:r>
        <w:rPr>
          <w:rFonts w:ascii="Garamond" w:hAnsi="Garamond"/>
        </w:rPr>
        <w:t>A l’Université d’Ottawa pour avoir eu confiance en moi en m’offrant une opportunité de développer mon projet de recherche. Et à tous les Professeurs de l’Université d’Ottawa pour leur collaboration, écoute et encadrement.</w:t>
      </w:r>
    </w:p>
    <w:p w14:paraId="7A0F2E15" w14:textId="77777777" w:rsidR="001C4F93" w:rsidRDefault="001C4F93" w:rsidP="001C4F93">
      <w:pPr>
        <w:pStyle w:val="Pagetitre"/>
        <w:spacing w:before="0" w:after="0" w:line="240" w:lineRule="auto"/>
        <w:jc w:val="center"/>
        <w:rPr>
          <w:rFonts w:ascii="Garamond" w:hAnsi="Garamond"/>
        </w:rPr>
      </w:pPr>
    </w:p>
    <w:p w14:paraId="3367D95C" w14:textId="30FBAD30" w:rsidR="001C4F93" w:rsidRDefault="001C4F93" w:rsidP="001C4F93">
      <w:pPr>
        <w:pStyle w:val="Pagetitre"/>
        <w:spacing w:before="0" w:after="0" w:line="240" w:lineRule="auto"/>
        <w:jc w:val="center"/>
        <w:rPr>
          <w:rFonts w:ascii="Garamond" w:hAnsi="Garamond"/>
        </w:rPr>
      </w:pPr>
      <w:r>
        <w:rPr>
          <w:rFonts w:ascii="Garamond" w:hAnsi="Garamond"/>
        </w:rPr>
        <w:t>Aux frères, sœurs, amis et connaissances qui ont rendu agréable et convivial mon séjour à Ottawa ;</w:t>
      </w:r>
    </w:p>
    <w:p w14:paraId="422FE0C1" w14:textId="77777777" w:rsidR="001C4F93" w:rsidRDefault="001C4F93" w:rsidP="001C4F93">
      <w:pPr>
        <w:pStyle w:val="Pagetitre"/>
        <w:spacing w:before="0" w:after="0" w:line="240" w:lineRule="auto"/>
        <w:jc w:val="center"/>
        <w:rPr>
          <w:rFonts w:ascii="Garamond" w:hAnsi="Garamond"/>
        </w:rPr>
      </w:pPr>
    </w:p>
    <w:p w14:paraId="320A7052" w14:textId="287D7F33" w:rsidR="001C4F93" w:rsidRPr="009B6D19" w:rsidRDefault="001C4F93" w:rsidP="001C4F93">
      <w:pPr>
        <w:pStyle w:val="Pagetitre"/>
        <w:spacing w:before="0" w:after="0" w:line="240" w:lineRule="auto"/>
        <w:jc w:val="center"/>
        <w:rPr>
          <w:rFonts w:ascii="Garamond" w:hAnsi="Garamond"/>
        </w:rPr>
      </w:pPr>
      <w:r>
        <w:rPr>
          <w:rFonts w:ascii="Garamond" w:hAnsi="Garamond"/>
        </w:rPr>
        <w:t xml:space="preserve">Trouvez tous ici l’expression de ma </w:t>
      </w:r>
      <w:r w:rsidR="002A4C1F">
        <w:rPr>
          <w:rFonts w:ascii="Garamond" w:hAnsi="Garamond"/>
        </w:rPr>
        <w:t>profond</w:t>
      </w:r>
      <w:r>
        <w:rPr>
          <w:rFonts w:ascii="Garamond" w:hAnsi="Garamond"/>
        </w:rPr>
        <w:t>e gratitude.</w:t>
      </w:r>
    </w:p>
    <w:p w14:paraId="254164DF" w14:textId="77777777" w:rsidR="001C4F93" w:rsidRDefault="001C4F93" w:rsidP="00804868">
      <w:pPr>
        <w:pStyle w:val="Pagetitre"/>
        <w:spacing w:before="0" w:after="0" w:line="240" w:lineRule="auto"/>
        <w:jc w:val="center"/>
        <w:rPr>
          <w:rFonts w:ascii="Garamond" w:hAnsi="Garamond"/>
        </w:rPr>
      </w:pPr>
    </w:p>
    <w:p w14:paraId="4F89EF60" w14:textId="77777777" w:rsidR="00461926" w:rsidRDefault="00461926" w:rsidP="00804868">
      <w:pPr>
        <w:pStyle w:val="Pagetitre"/>
        <w:spacing w:before="0" w:after="0" w:line="240" w:lineRule="auto"/>
        <w:jc w:val="center"/>
        <w:rPr>
          <w:rFonts w:ascii="Garamond" w:hAnsi="Garamond"/>
        </w:rPr>
      </w:pPr>
    </w:p>
    <w:p w14:paraId="79B11C73" w14:textId="77777777" w:rsidR="00461926" w:rsidRDefault="00461926" w:rsidP="00804868">
      <w:pPr>
        <w:pStyle w:val="Pagetitre"/>
        <w:spacing w:before="0" w:after="0" w:line="240" w:lineRule="auto"/>
        <w:jc w:val="center"/>
        <w:rPr>
          <w:rFonts w:ascii="Garamond" w:hAnsi="Garamond"/>
        </w:rPr>
      </w:pPr>
    </w:p>
    <w:p w14:paraId="1A9D5B2B" w14:textId="77777777" w:rsidR="00461926" w:rsidRDefault="00461926" w:rsidP="00804868">
      <w:pPr>
        <w:pStyle w:val="Pagetitre"/>
        <w:spacing w:before="0" w:after="0" w:line="240" w:lineRule="auto"/>
        <w:jc w:val="center"/>
        <w:rPr>
          <w:rFonts w:ascii="Garamond" w:hAnsi="Garamond"/>
        </w:rPr>
      </w:pPr>
    </w:p>
    <w:p w14:paraId="21BF4FF9" w14:textId="77777777" w:rsidR="00461926" w:rsidRDefault="00461926" w:rsidP="00804868">
      <w:pPr>
        <w:pStyle w:val="Pagetitre"/>
        <w:spacing w:before="0" w:after="0" w:line="240" w:lineRule="auto"/>
        <w:jc w:val="center"/>
        <w:rPr>
          <w:rFonts w:ascii="Garamond" w:hAnsi="Garamond"/>
        </w:rPr>
      </w:pPr>
    </w:p>
    <w:p w14:paraId="436BC4A5" w14:textId="77777777" w:rsidR="00461926" w:rsidRDefault="00461926" w:rsidP="00804868">
      <w:pPr>
        <w:pStyle w:val="Pagetitre"/>
        <w:spacing w:before="0" w:after="0" w:line="240" w:lineRule="auto"/>
        <w:jc w:val="center"/>
        <w:rPr>
          <w:rFonts w:ascii="Garamond" w:hAnsi="Garamond"/>
        </w:rPr>
      </w:pPr>
    </w:p>
    <w:p w14:paraId="1863C8D5" w14:textId="77777777" w:rsidR="00461926" w:rsidRDefault="00461926" w:rsidP="00804868">
      <w:pPr>
        <w:pStyle w:val="Pagetitre"/>
        <w:spacing w:before="0" w:after="0" w:line="240" w:lineRule="auto"/>
        <w:jc w:val="center"/>
        <w:rPr>
          <w:rFonts w:ascii="Garamond" w:hAnsi="Garamond"/>
        </w:rPr>
      </w:pPr>
    </w:p>
    <w:p w14:paraId="471C5384" w14:textId="77777777" w:rsidR="00461926" w:rsidRDefault="00461926" w:rsidP="00804868">
      <w:pPr>
        <w:pStyle w:val="Pagetitre"/>
        <w:spacing w:before="0" w:after="0" w:line="240" w:lineRule="auto"/>
        <w:jc w:val="center"/>
        <w:rPr>
          <w:rFonts w:ascii="Garamond" w:hAnsi="Garamond"/>
        </w:rPr>
      </w:pPr>
    </w:p>
    <w:p w14:paraId="24BCDB60" w14:textId="77777777" w:rsidR="00461926" w:rsidRDefault="00461926" w:rsidP="00804868">
      <w:pPr>
        <w:pStyle w:val="Pagetitre"/>
        <w:spacing w:before="0" w:after="0" w:line="240" w:lineRule="auto"/>
        <w:jc w:val="center"/>
        <w:rPr>
          <w:rFonts w:ascii="Garamond" w:hAnsi="Garamond"/>
        </w:rPr>
      </w:pPr>
    </w:p>
    <w:p w14:paraId="7C38C557" w14:textId="77777777" w:rsidR="00461926" w:rsidRDefault="00461926" w:rsidP="00804868">
      <w:pPr>
        <w:pStyle w:val="Pagetitre"/>
        <w:spacing w:before="0" w:after="0" w:line="240" w:lineRule="auto"/>
        <w:jc w:val="center"/>
        <w:rPr>
          <w:rFonts w:ascii="Garamond" w:hAnsi="Garamond"/>
        </w:rPr>
      </w:pPr>
    </w:p>
    <w:p w14:paraId="28F7A826" w14:textId="77777777" w:rsidR="00461926" w:rsidRDefault="00461926" w:rsidP="00804868">
      <w:pPr>
        <w:pStyle w:val="Pagetitre"/>
        <w:spacing w:before="0" w:after="0" w:line="240" w:lineRule="auto"/>
        <w:jc w:val="center"/>
        <w:rPr>
          <w:rFonts w:ascii="Garamond" w:hAnsi="Garamond"/>
        </w:rPr>
      </w:pPr>
    </w:p>
    <w:p w14:paraId="3FFA71ED" w14:textId="77777777" w:rsidR="00461926" w:rsidRDefault="00461926" w:rsidP="00804868">
      <w:pPr>
        <w:pStyle w:val="Pagetitre"/>
        <w:spacing w:before="0" w:after="0" w:line="240" w:lineRule="auto"/>
        <w:jc w:val="center"/>
        <w:rPr>
          <w:rFonts w:ascii="Garamond" w:hAnsi="Garamond"/>
        </w:rPr>
      </w:pPr>
    </w:p>
    <w:p w14:paraId="05F16CD0" w14:textId="77777777" w:rsidR="00461926" w:rsidRDefault="00461926" w:rsidP="00804868">
      <w:pPr>
        <w:pStyle w:val="Pagetitre"/>
        <w:spacing w:before="0" w:after="0" w:line="240" w:lineRule="auto"/>
        <w:jc w:val="center"/>
        <w:rPr>
          <w:rFonts w:ascii="Garamond" w:hAnsi="Garamond"/>
        </w:rPr>
      </w:pPr>
    </w:p>
    <w:p w14:paraId="19E827A1" w14:textId="77777777" w:rsidR="00461926" w:rsidRDefault="00461926" w:rsidP="00804868">
      <w:pPr>
        <w:pStyle w:val="Pagetitre"/>
        <w:spacing w:before="0" w:after="0" w:line="240" w:lineRule="auto"/>
        <w:jc w:val="center"/>
        <w:rPr>
          <w:rFonts w:ascii="Garamond" w:hAnsi="Garamond"/>
        </w:rPr>
      </w:pPr>
    </w:p>
    <w:p w14:paraId="7A450A93" w14:textId="77777777" w:rsidR="00461926" w:rsidRDefault="00461926" w:rsidP="00804868">
      <w:pPr>
        <w:pStyle w:val="Pagetitre"/>
        <w:spacing w:before="0" w:after="0" w:line="240" w:lineRule="auto"/>
        <w:jc w:val="center"/>
        <w:rPr>
          <w:rFonts w:ascii="Garamond" w:hAnsi="Garamond"/>
        </w:rPr>
      </w:pPr>
    </w:p>
    <w:p w14:paraId="45B3A75B" w14:textId="77777777" w:rsidR="00461926" w:rsidRDefault="00461926" w:rsidP="00804868">
      <w:pPr>
        <w:pStyle w:val="Pagetitre"/>
        <w:spacing w:before="0" w:after="0" w:line="240" w:lineRule="auto"/>
        <w:jc w:val="center"/>
        <w:rPr>
          <w:rFonts w:ascii="Garamond" w:hAnsi="Garamond"/>
        </w:rPr>
      </w:pPr>
    </w:p>
    <w:p w14:paraId="182834F0" w14:textId="77777777" w:rsidR="00461926" w:rsidRDefault="00461926" w:rsidP="00804868">
      <w:pPr>
        <w:pStyle w:val="Pagetitre"/>
        <w:spacing w:before="0" w:after="0" w:line="240" w:lineRule="auto"/>
        <w:jc w:val="center"/>
        <w:rPr>
          <w:rFonts w:ascii="Garamond" w:hAnsi="Garamond"/>
        </w:rPr>
      </w:pPr>
    </w:p>
    <w:p w14:paraId="59839DB9" w14:textId="77777777" w:rsidR="00461926" w:rsidRDefault="00461926" w:rsidP="00804868">
      <w:pPr>
        <w:pStyle w:val="Pagetitre"/>
        <w:spacing w:before="0" w:after="0" w:line="240" w:lineRule="auto"/>
        <w:jc w:val="center"/>
        <w:rPr>
          <w:rFonts w:ascii="Garamond" w:hAnsi="Garamond"/>
        </w:rPr>
      </w:pPr>
    </w:p>
    <w:p w14:paraId="2946A770" w14:textId="77777777" w:rsidR="00461926" w:rsidRDefault="00461926" w:rsidP="00804868">
      <w:pPr>
        <w:pStyle w:val="Pagetitre"/>
        <w:spacing w:before="0" w:after="0" w:line="240" w:lineRule="auto"/>
        <w:jc w:val="center"/>
        <w:rPr>
          <w:rFonts w:ascii="Garamond" w:hAnsi="Garamond"/>
        </w:rPr>
      </w:pPr>
    </w:p>
    <w:p w14:paraId="16923660" w14:textId="77777777" w:rsidR="00461926" w:rsidRDefault="00461926" w:rsidP="00804868">
      <w:pPr>
        <w:pStyle w:val="Pagetitre"/>
        <w:spacing w:before="0" w:after="0" w:line="240" w:lineRule="auto"/>
        <w:jc w:val="center"/>
        <w:rPr>
          <w:rFonts w:ascii="Garamond" w:hAnsi="Garamond"/>
        </w:rPr>
      </w:pPr>
    </w:p>
    <w:p w14:paraId="023CCDAE" w14:textId="77777777" w:rsidR="00461926" w:rsidRDefault="00461926" w:rsidP="00804868">
      <w:pPr>
        <w:pStyle w:val="Pagetitre"/>
        <w:spacing w:before="0" w:after="0" w:line="240" w:lineRule="auto"/>
        <w:jc w:val="center"/>
        <w:rPr>
          <w:rFonts w:ascii="Garamond" w:hAnsi="Garamond"/>
        </w:rPr>
      </w:pPr>
    </w:p>
    <w:p w14:paraId="71AB46A7" w14:textId="77777777" w:rsidR="00461926" w:rsidRDefault="00461926" w:rsidP="00804868">
      <w:pPr>
        <w:pStyle w:val="Pagetitre"/>
        <w:spacing w:before="0" w:after="0" w:line="240" w:lineRule="auto"/>
        <w:jc w:val="center"/>
        <w:rPr>
          <w:rFonts w:ascii="Garamond" w:hAnsi="Garamond"/>
        </w:rPr>
      </w:pPr>
    </w:p>
    <w:p w14:paraId="52C26895" w14:textId="77777777" w:rsidR="00461926" w:rsidRDefault="00461926" w:rsidP="00804868">
      <w:pPr>
        <w:pStyle w:val="Pagetitre"/>
        <w:spacing w:before="0" w:after="0" w:line="240" w:lineRule="auto"/>
        <w:jc w:val="center"/>
        <w:rPr>
          <w:rFonts w:ascii="Garamond" w:hAnsi="Garamond"/>
        </w:rPr>
      </w:pPr>
    </w:p>
    <w:p w14:paraId="07330CE6" w14:textId="77777777" w:rsidR="00461926" w:rsidRDefault="00461926" w:rsidP="00804868">
      <w:pPr>
        <w:pStyle w:val="Pagetitre"/>
        <w:spacing w:before="0" w:after="0" w:line="240" w:lineRule="auto"/>
        <w:jc w:val="center"/>
        <w:rPr>
          <w:rFonts w:ascii="Garamond" w:hAnsi="Garamond"/>
        </w:rPr>
      </w:pPr>
    </w:p>
    <w:p w14:paraId="4C829531" w14:textId="77777777" w:rsidR="00461926" w:rsidRDefault="00461926" w:rsidP="00804868">
      <w:pPr>
        <w:pStyle w:val="Pagetitre"/>
        <w:spacing w:before="0" w:after="0" w:line="240" w:lineRule="auto"/>
        <w:jc w:val="center"/>
        <w:rPr>
          <w:rFonts w:ascii="Garamond" w:hAnsi="Garamond"/>
        </w:rPr>
      </w:pPr>
    </w:p>
    <w:p w14:paraId="48A25723" w14:textId="77777777" w:rsidR="00461926" w:rsidRDefault="00461926" w:rsidP="00804868">
      <w:pPr>
        <w:pStyle w:val="Pagetitre"/>
        <w:spacing w:before="0" w:after="0" w:line="240" w:lineRule="auto"/>
        <w:jc w:val="center"/>
        <w:rPr>
          <w:rFonts w:ascii="Garamond" w:hAnsi="Garamond"/>
        </w:rPr>
      </w:pPr>
    </w:p>
    <w:p w14:paraId="16F5A77E" w14:textId="77777777" w:rsidR="00461926" w:rsidRDefault="00461926" w:rsidP="00804868">
      <w:pPr>
        <w:pStyle w:val="Pagetitre"/>
        <w:spacing w:before="0" w:after="0" w:line="240" w:lineRule="auto"/>
        <w:jc w:val="center"/>
        <w:rPr>
          <w:rFonts w:ascii="Garamond" w:hAnsi="Garamond"/>
        </w:rPr>
      </w:pPr>
    </w:p>
    <w:p w14:paraId="69275514" w14:textId="77777777" w:rsidR="00461926" w:rsidRDefault="00461926" w:rsidP="00804868">
      <w:pPr>
        <w:pStyle w:val="Pagetitre"/>
        <w:spacing w:before="0" w:after="0" w:line="240" w:lineRule="auto"/>
        <w:jc w:val="center"/>
        <w:rPr>
          <w:rFonts w:ascii="Garamond" w:hAnsi="Garamond"/>
        </w:rPr>
      </w:pPr>
    </w:p>
    <w:p w14:paraId="24F7C4F9" w14:textId="77777777" w:rsidR="00461926" w:rsidRDefault="00461926" w:rsidP="00804868">
      <w:pPr>
        <w:pStyle w:val="Pagetitre"/>
        <w:spacing w:before="0" w:after="0" w:line="240" w:lineRule="auto"/>
        <w:jc w:val="center"/>
        <w:rPr>
          <w:rFonts w:ascii="Garamond" w:hAnsi="Garamond"/>
        </w:rPr>
      </w:pPr>
    </w:p>
    <w:p w14:paraId="5CE32087" w14:textId="77777777" w:rsidR="00804868" w:rsidRPr="006903F6" w:rsidRDefault="00804868" w:rsidP="00804868">
      <w:pPr>
        <w:rPr>
          <w:rFonts w:ascii="Garamond" w:hAnsi="Garamond"/>
          <w:b/>
          <w:lang w:eastAsia="fr-FR"/>
        </w:rPr>
      </w:pPr>
      <w:r w:rsidRPr="006903F6">
        <w:rPr>
          <w:rFonts w:ascii="Garamond" w:hAnsi="Garamond"/>
          <w:b/>
          <w:lang w:eastAsia="fr-FR"/>
        </w:rPr>
        <w:lastRenderedPageBreak/>
        <w:t>RESUME</w:t>
      </w:r>
    </w:p>
    <w:p w14:paraId="1063BC61" w14:textId="6F4D8E8A" w:rsidR="00804868" w:rsidRDefault="00804868" w:rsidP="00804868">
      <w:pPr>
        <w:rPr>
          <w:rFonts w:ascii="Garamond" w:hAnsi="Garamond"/>
          <w:lang w:eastAsia="fr-FR"/>
        </w:rPr>
      </w:pPr>
      <w:r>
        <w:rPr>
          <w:rFonts w:ascii="Garamond" w:hAnsi="Garamond"/>
          <w:lang w:eastAsia="fr-FR"/>
        </w:rPr>
        <w:t>Par la Constitution de 2006, la République Démocratique du Congo (RDC) amorce une série de réformes notamment celle de la décentralisation dans le but</w:t>
      </w:r>
      <w:r w:rsidR="00313A02">
        <w:rPr>
          <w:rFonts w:ascii="Garamond" w:hAnsi="Garamond"/>
          <w:lang w:eastAsia="fr-FR"/>
        </w:rPr>
        <w:t>,</w:t>
      </w:r>
      <w:r>
        <w:rPr>
          <w:rFonts w:ascii="Garamond" w:hAnsi="Garamond"/>
          <w:lang w:eastAsia="fr-FR"/>
        </w:rPr>
        <w:t xml:space="preserve"> entre autres</w:t>
      </w:r>
      <w:r w:rsidR="00313A02">
        <w:rPr>
          <w:rFonts w:ascii="Garamond" w:hAnsi="Garamond"/>
          <w:lang w:eastAsia="fr-FR"/>
        </w:rPr>
        <w:t>,</w:t>
      </w:r>
      <w:r>
        <w:rPr>
          <w:rFonts w:ascii="Garamond" w:hAnsi="Garamond"/>
          <w:lang w:eastAsia="fr-FR"/>
        </w:rPr>
        <w:t xml:space="preserve"> de renforcer l’efficacité de son appareil étatique et d’impulser le développement à la base. L’objectif derrière l’adoption de cette réforme était</w:t>
      </w:r>
      <w:r w:rsidR="00313A02">
        <w:rPr>
          <w:rFonts w:ascii="Garamond" w:hAnsi="Garamond"/>
          <w:lang w:eastAsia="fr-FR"/>
        </w:rPr>
        <w:t>,</w:t>
      </w:r>
      <w:r>
        <w:rPr>
          <w:rFonts w:ascii="Garamond" w:hAnsi="Garamond"/>
          <w:lang w:eastAsia="fr-FR"/>
        </w:rPr>
        <w:t xml:space="preserve"> au-delà de ce rapprochement entre élus et </w:t>
      </w:r>
      <w:r w:rsidR="00F94334">
        <w:rPr>
          <w:rFonts w:ascii="Garamond" w:hAnsi="Garamond"/>
          <w:lang w:eastAsia="fr-FR"/>
        </w:rPr>
        <w:t>électeurs</w:t>
      </w:r>
      <w:r>
        <w:rPr>
          <w:rFonts w:ascii="Garamond" w:hAnsi="Garamond"/>
          <w:lang w:eastAsia="fr-FR"/>
        </w:rPr>
        <w:t xml:space="preserve">, aussi </w:t>
      </w:r>
      <w:r w:rsidR="00313A02">
        <w:rPr>
          <w:rFonts w:ascii="Garamond" w:hAnsi="Garamond"/>
          <w:lang w:eastAsia="fr-FR"/>
        </w:rPr>
        <w:t xml:space="preserve">de </w:t>
      </w:r>
      <w:r>
        <w:rPr>
          <w:rFonts w:ascii="Garamond" w:hAnsi="Garamond"/>
          <w:lang w:eastAsia="fr-FR"/>
        </w:rPr>
        <w:t xml:space="preserve">leur accorder plus de marge de manœuvre dans leur champ des compétences pour mieux exercer leurs responsabilités et en rendre compte. </w:t>
      </w:r>
    </w:p>
    <w:p w14:paraId="5D3E86D7" w14:textId="634D3E18" w:rsidR="00804868" w:rsidRPr="00DB24F2" w:rsidRDefault="00804868" w:rsidP="00804868">
      <w:r>
        <w:rPr>
          <w:rFonts w:ascii="Garamond" w:hAnsi="Garamond"/>
          <w:lang w:eastAsia="fr-FR"/>
        </w:rPr>
        <w:t>Ce travail cherche à savoir</w:t>
      </w:r>
      <w:r w:rsidRPr="00D32F75">
        <w:rPr>
          <w:rFonts w:ascii="Garamond" w:hAnsi="Garamond"/>
          <w:lang w:eastAsia="fr-FR"/>
        </w:rPr>
        <w:t xml:space="preserve"> comment les choix opérés </w:t>
      </w:r>
      <w:r>
        <w:rPr>
          <w:rFonts w:ascii="Garamond" w:hAnsi="Garamond"/>
          <w:lang w:eastAsia="fr-FR"/>
        </w:rPr>
        <w:t xml:space="preserve">dans le passé ont influencé la </w:t>
      </w:r>
      <w:r w:rsidR="00313A02">
        <w:rPr>
          <w:rFonts w:ascii="Garamond" w:hAnsi="Garamond"/>
          <w:lang w:eastAsia="fr-FR"/>
        </w:rPr>
        <w:t>« </w:t>
      </w:r>
      <w:r w:rsidRPr="00D32F75">
        <w:rPr>
          <w:rFonts w:ascii="Garamond" w:hAnsi="Garamond"/>
          <w:lang w:eastAsia="fr-FR"/>
        </w:rPr>
        <w:t>trajectoire</w:t>
      </w:r>
      <w:r w:rsidR="00313A02">
        <w:rPr>
          <w:rFonts w:ascii="Garamond" w:hAnsi="Garamond"/>
          <w:lang w:eastAsia="fr-FR"/>
        </w:rPr>
        <w:t> »</w:t>
      </w:r>
      <w:r w:rsidRPr="00D32F75">
        <w:rPr>
          <w:rFonts w:ascii="Garamond" w:hAnsi="Garamond"/>
          <w:lang w:eastAsia="fr-FR"/>
        </w:rPr>
        <w:t xml:space="preserve"> de la décentralisation en RDC en général et dans la Ville-Province de Kinshasa en particulier</w:t>
      </w:r>
      <w:r>
        <w:rPr>
          <w:rFonts w:ascii="Garamond" w:hAnsi="Garamond"/>
          <w:lang w:eastAsia="fr-FR"/>
        </w:rPr>
        <w:t xml:space="preserve">. Etant donné que la responsabilité financière et la reddition des comptes constituent des articulations majeures de la réforme de la décentralisation-dévolution, il est </w:t>
      </w:r>
      <w:r w:rsidR="007E0C6B">
        <w:rPr>
          <w:rFonts w:ascii="Garamond" w:hAnsi="Garamond"/>
          <w:lang w:eastAsia="fr-FR"/>
        </w:rPr>
        <w:t xml:space="preserve">tout à fait </w:t>
      </w:r>
      <w:r>
        <w:rPr>
          <w:rFonts w:ascii="Garamond" w:hAnsi="Garamond"/>
          <w:lang w:eastAsia="fr-FR"/>
        </w:rPr>
        <w:t xml:space="preserve">légitime de se poser la question de savoir </w:t>
      </w:r>
      <w:r w:rsidRPr="00D32F75">
        <w:rPr>
          <w:rFonts w:ascii="Garamond" w:hAnsi="Garamond"/>
          <w:lang w:eastAsia="fr-FR"/>
        </w:rPr>
        <w:t xml:space="preserve">quels sont les facteurs qui favorisent ou limitent </w:t>
      </w:r>
      <w:r>
        <w:rPr>
          <w:rFonts w:ascii="Garamond" w:hAnsi="Garamond"/>
          <w:lang w:eastAsia="fr-FR"/>
        </w:rPr>
        <w:t>leur effectivité plus de quinze ans après</w:t>
      </w:r>
      <w:r w:rsidR="007E0C6B">
        <w:rPr>
          <w:rFonts w:ascii="Garamond" w:hAnsi="Garamond"/>
          <w:lang w:eastAsia="fr-FR"/>
        </w:rPr>
        <w:t xml:space="preserve"> qu’elle soit consacrée par</w:t>
      </w:r>
      <w:r>
        <w:rPr>
          <w:rFonts w:ascii="Garamond" w:hAnsi="Garamond"/>
          <w:lang w:eastAsia="fr-FR"/>
        </w:rPr>
        <w:t xml:space="preserve"> la Constitution</w:t>
      </w:r>
      <w:r w:rsidR="007E0C6B">
        <w:rPr>
          <w:rFonts w:ascii="Garamond" w:hAnsi="Garamond"/>
          <w:lang w:eastAsia="fr-FR"/>
        </w:rPr>
        <w:t xml:space="preserve"> congolaise</w:t>
      </w:r>
      <w:r>
        <w:rPr>
          <w:rFonts w:ascii="Garamond" w:hAnsi="Garamond"/>
          <w:lang w:eastAsia="fr-FR"/>
        </w:rPr>
        <w:t>.</w:t>
      </w:r>
    </w:p>
    <w:p w14:paraId="42C7C963" w14:textId="7138607E" w:rsidR="00804868" w:rsidRDefault="00804868" w:rsidP="00804868">
      <w:pPr>
        <w:rPr>
          <w:rFonts w:ascii="Garamond" w:hAnsi="Garamond"/>
          <w:lang w:eastAsia="fr-FR"/>
        </w:rPr>
      </w:pPr>
      <w:r>
        <w:rPr>
          <w:rFonts w:ascii="Garamond" w:hAnsi="Garamond"/>
          <w:lang w:eastAsia="fr-FR"/>
        </w:rPr>
        <w:t xml:space="preserve">Nous verrons qu’il existe plusieurs défis qui plombent la responsabilité financière et la reddition des comptes en RDC en général et dans la ville-Province de Kinshasa en particulier et maintiennent </w:t>
      </w:r>
      <w:r w:rsidR="00B950BE">
        <w:rPr>
          <w:rFonts w:ascii="Garamond" w:hAnsi="Garamond"/>
          <w:lang w:eastAsia="fr-FR"/>
        </w:rPr>
        <w:t>cette réforme dans une certaine</w:t>
      </w:r>
      <w:r w:rsidR="00313A02">
        <w:rPr>
          <w:rFonts w:ascii="Garamond" w:hAnsi="Garamond"/>
          <w:lang w:eastAsia="fr-FR"/>
        </w:rPr>
        <w:t> </w:t>
      </w:r>
      <w:r>
        <w:rPr>
          <w:rFonts w:ascii="Garamond" w:hAnsi="Garamond"/>
          <w:lang w:eastAsia="fr-FR"/>
        </w:rPr>
        <w:t xml:space="preserve">dépendance au sentier. Il s’agit notamment </w:t>
      </w:r>
      <w:r w:rsidR="00313A02">
        <w:rPr>
          <w:rFonts w:ascii="Garamond" w:hAnsi="Garamond"/>
          <w:lang w:eastAsia="fr-FR"/>
        </w:rPr>
        <w:t xml:space="preserve">de </w:t>
      </w:r>
      <w:r w:rsidRPr="009B6D19">
        <w:rPr>
          <w:rFonts w:ascii="Garamond" w:hAnsi="Garamond"/>
          <w:lang w:eastAsia="fr-FR"/>
        </w:rPr>
        <w:t xml:space="preserve">l’existence d’un cadre légal et réglementaire inachevé </w:t>
      </w:r>
      <w:r w:rsidRPr="009B6D19">
        <w:rPr>
          <w:rFonts w:ascii="Garamond" w:hAnsi="Garamond"/>
        </w:rPr>
        <w:t>avec entre autres comme conséquences</w:t>
      </w:r>
      <w:r>
        <w:rPr>
          <w:rFonts w:ascii="Garamond" w:hAnsi="Garamond"/>
        </w:rPr>
        <w:t>,</w:t>
      </w:r>
      <w:r w:rsidRPr="009B6D19">
        <w:rPr>
          <w:rFonts w:ascii="Garamond" w:hAnsi="Garamond"/>
        </w:rPr>
        <w:t xml:space="preserve"> l’ambiguïté des solutions retenues ou la dépendance aux dispositions transitoires</w:t>
      </w:r>
      <w:r>
        <w:rPr>
          <w:rFonts w:ascii="Garamond" w:hAnsi="Garamond"/>
        </w:rPr>
        <w:t xml:space="preserve"> </w:t>
      </w:r>
      <w:r w:rsidR="00B950BE">
        <w:rPr>
          <w:rFonts w:ascii="Garamond" w:hAnsi="Garamond"/>
        </w:rPr>
        <w:t xml:space="preserve">légales et règlementaires </w:t>
      </w:r>
      <w:r w:rsidRPr="009B6D19">
        <w:rPr>
          <w:rFonts w:ascii="Garamond" w:hAnsi="Garamond"/>
        </w:rPr>
        <w:t>inadaptées</w:t>
      </w:r>
      <w:r w:rsidRPr="009B6D19">
        <w:rPr>
          <w:rFonts w:ascii="Garamond" w:hAnsi="Garamond"/>
          <w:lang w:eastAsia="fr-FR"/>
        </w:rPr>
        <w:t>, la tendance</w:t>
      </w:r>
      <w:r>
        <w:rPr>
          <w:rFonts w:ascii="Garamond" w:hAnsi="Garamond"/>
          <w:lang w:eastAsia="fr-FR"/>
        </w:rPr>
        <w:t xml:space="preserve"> cachée des acteurs dominants à se</w:t>
      </w:r>
      <w:r w:rsidRPr="009B6D19">
        <w:rPr>
          <w:rFonts w:ascii="Garamond" w:hAnsi="Garamond"/>
          <w:lang w:eastAsia="fr-FR"/>
        </w:rPr>
        <w:t xml:space="preserve"> maintenir dans leur zone de confort centralisatrice en vue de continuer à mieux assujettir les </w:t>
      </w:r>
      <w:r w:rsidR="00B950BE">
        <w:rPr>
          <w:rFonts w:ascii="Garamond" w:hAnsi="Garamond"/>
          <w:lang w:eastAsia="fr-FR"/>
        </w:rPr>
        <w:t>Entités Territoriales D</w:t>
      </w:r>
      <w:r w:rsidR="00313A02">
        <w:rPr>
          <w:rFonts w:ascii="Garamond" w:hAnsi="Garamond"/>
          <w:lang w:eastAsia="fr-FR"/>
        </w:rPr>
        <w:t>écentralisées (</w:t>
      </w:r>
      <w:r w:rsidRPr="009B6D19">
        <w:rPr>
          <w:rFonts w:ascii="Garamond" w:hAnsi="Garamond"/>
          <w:lang w:eastAsia="fr-FR"/>
        </w:rPr>
        <w:t>ETD</w:t>
      </w:r>
      <w:r w:rsidR="00313A02">
        <w:rPr>
          <w:rFonts w:ascii="Garamond" w:hAnsi="Garamond"/>
          <w:lang w:eastAsia="fr-FR"/>
        </w:rPr>
        <w:t>)</w:t>
      </w:r>
      <w:r w:rsidRPr="009B6D19">
        <w:rPr>
          <w:rFonts w:ascii="Garamond" w:hAnsi="Garamond"/>
          <w:lang w:eastAsia="fr-FR"/>
        </w:rPr>
        <w:t xml:space="preserve"> ainsi que l’amputation intentionnelle</w:t>
      </w:r>
      <w:r>
        <w:rPr>
          <w:rFonts w:ascii="Garamond" w:hAnsi="Garamond"/>
          <w:lang w:eastAsia="fr-FR"/>
        </w:rPr>
        <w:t xml:space="preserve"> des capacités des entités infranationales. Par ailleurs,</w:t>
      </w:r>
      <w:r w:rsidRPr="009B6D19">
        <w:rPr>
          <w:rFonts w:ascii="Garamond" w:hAnsi="Garamond"/>
          <w:lang w:eastAsia="fr-FR"/>
        </w:rPr>
        <w:t xml:space="preserve"> la faible participation des acteurs de la société civile</w:t>
      </w:r>
      <w:r>
        <w:rPr>
          <w:rFonts w:ascii="Garamond" w:hAnsi="Garamond"/>
          <w:lang w:eastAsia="fr-FR"/>
        </w:rPr>
        <w:t xml:space="preserve"> dans les forums de prise des décisions</w:t>
      </w:r>
      <w:r w:rsidR="00313A02">
        <w:rPr>
          <w:rFonts w:ascii="Garamond" w:hAnsi="Garamond"/>
          <w:lang w:eastAsia="fr-FR"/>
        </w:rPr>
        <w:t>,</w:t>
      </w:r>
      <w:r w:rsidRPr="009B6D19">
        <w:rPr>
          <w:rFonts w:ascii="Garamond" w:hAnsi="Garamond"/>
          <w:lang w:eastAsia="fr-FR"/>
        </w:rPr>
        <w:t xml:space="preserve"> qui pourtant devraient constituer un véritable contrepoids dans le processus budgétaire en exigeant régulièrement des comptes aux décideurs locaux</w:t>
      </w:r>
      <w:r w:rsidR="00313A02">
        <w:rPr>
          <w:rFonts w:ascii="Garamond" w:hAnsi="Garamond"/>
          <w:lang w:eastAsia="fr-FR"/>
        </w:rPr>
        <w:t>,</w:t>
      </w:r>
      <w:r>
        <w:rPr>
          <w:rFonts w:ascii="Garamond" w:hAnsi="Garamond"/>
          <w:lang w:eastAsia="fr-FR"/>
        </w:rPr>
        <w:t xml:space="preserve"> ne fait qu’exacerber la situation</w:t>
      </w:r>
      <w:r w:rsidRPr="009B6D19">
        <w:rPr>
          <w:rFonts w:ascii="Garamond" w:hAnsi="Garamond"/>
          <w:lang w:eastAsia="fr-FR"/>
        </w:rPr>
        <w:t>.</w:t>
      </w:r>
    </w:p>
    <w:p w14:paraId="0585A84B" w14:textId="77777777" w:rsidR="00313A02" w:rsidRDefault="00313A02" w:rsidP="00804868">
      <w:pPr>
        <w:rPr>
          <w:rFonts w:ascii="Garamond" w:hAnsi="Garamond"/>
          <w:lang w:eastAsia="fr-FR"/>
        </w:rPr>
      </w:pPr>
    </w:p>
    <w:p w14:paraId="73960A1A" w14:textId="77777777" w:rsidR="00804868" w:rsidRPr="009B6D19" w:rsidRDefault="00804868" w:rsidP="00804868">
      <w:pPr>
        <w:spacing w:before="0" w:after="0"/>
        <w:rPr>
          <w:rFonts w:ascii="Garamond" w:hAnsi="Garamond"/>
          <w:lang w:eastAsia="fr-FR"/>
        </w:rPr>
        <w:sectPr w:rsidR="00804868" w:rsidRPr="009B6D19" w:rsidSect="00FD5ABB">
          <w:footerReference w:type="default" r:id="rId8"/>
          <w:pgSz w:w="11906" w:h="16838"/>
          <w:pgMar w:top="1417" w:right="1417" w:bottom="1417" w:left="1417" w:header="708" w:footer="708" w:gutter="0"/>
          <w:cols w:space="708"/>
          <w:titlePg/>
          <w:docGrid w:linePitch="360"/>
        </w:sectPr>
      </w:pPr>
    </w:p>
    <w:sdt>
      <w:sdtPr>
        <w:rPr>
          <w:rFonts w:ascii="Garamond" w:eastAsiaTheme="minorHAnsi" w:hAnsi="Garamond" w:cstheme="minorHAnsi"/>
          <w:b w:val="0"/>
          <w:bCs w:val="0"/>
          <w:color w:val="auto"/>
          <w:sz w:val="24"/>
          <w:szCs w:val="24"/>
          <w:lang w:eastAsia="en-US"/>
        </w:rPr>
        <w:id w:val="-17928715"/>
        <w:docPartObj>
          <w:docPartGallery w:val="Table of Contents"/>
          <w:docPartUnique/>
        </w:docPartObj>
      </w:sdtPr>
      <w:sdtEndPr/>
      <w:sdtContent>
        <w:p w14:paraId="5E0E84E0" w14:textId="77777777" w:rsidR="00804868" w:rsidRPr="009B6D19" w:rsidRDefault="00804868" w:rsidP="00804868">
          <w:pPr>
            <w:pStyle w:val="TOCHeading"/>
            <w:spacing w:line="240" w:lineRule="auto"/>
            <w:rPr>
              <w:rFonts w:ascii="Garamond" w:hAnsi="Garamond"/>
              <w:sz w:val="24"/>
              <w:szCs w:val="24"/>
            </w:rPr>
          </w:pPr>
          <w:r w:rsidRPr="009B6D19">
            <w:rPr>
              <w:rFonts w:ascii="Garamond" w:hAnsi="Garamond"/>
              <w:sz w:val="24"/>
              <w:szCs w:val="24"/>
            </w:rPr>
            <w:t>Table des matières</w:t>
          </w:r>
        </w:p>
        <w:p w14:paraId="6DC375C6" w14:textId="77777777" w:rsidR="007A3592" w:rsidRPr="007A3592" w:rsidRDefault="00804868" w:rsidP="007A3592">
          <w:pPr>
            <w:pStyle w:val="TOC1"/>
            <w:tabs>
              <w:tab w:val="left" w:pos="660"/>
              <w:tab w:val="right" w:leader="dot" w:pos="9063"/>
            </w:tabs>
            <w:spacing w:line="240" w:lineRule="auto"/>
            <w:rPr>
              <w:rFonts w:ascii="Garamond" w:eastAsiaTheme="minorEastAsia" w:hAnsi="Garamond" w:cstheme="minorBidi"/>
              <w:noProof/>
              <w:sz w:val="22"/>
              <w:szCs w:val="22"/>
              <w:lang w:eastAsia="fr-FR"/>
            </w:rPr>
          </w:pPr>
          <w:r w:rsidRPr="00A068A9">
            <w:rPr>
              <w:rFonts w:ascii="Garamond" w:hAnsi="Garamond"/>
            </w:rPr>
            <w:fldChar w:fldCharType="begin"/>
          </w:r>
          <w:r w:rsidRPr="00A068A9">
            <w:rPr>
              <w:rFonts w:ascii="Garamond" w:hAnsi="Garamond"/>
            </w:rPr>
            <w:instrText xml:space="preserve"> TOC \o "1-3" \h \z \u </w:instrText>
          </w:r>
          <w:r w:rsidRPr="00A068A9">
            <w:rPr>
              <w:rFonts w:ascii="Garamond" w:hAnsi="Garamond"/>
            </w:rPr>
            <w:fldChar w:fldCharType="separate"/>
          </w:r>
          <w:hyperlink w:anchor="_Toc143577444" w:history="1">
            <w:r w:rsidR="007A3592" w:rsidRPr="007A3592">
              <w:rPr>
                <w:rStyle w:val="Hyperlink"/>
                <w:rFonts w:ascii="Garamond" w:hAnsi="Garamond"/>
                <w:noProof/>
              </w:rPr>
              <w:t>I.</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INTRODUCTION</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_Toc143577444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1</w:t>
            </w:r>
            <w:r w:rsidR="007A3592" w:rsidRPr="007A3592">
              <w:rPr>
                <w:rFonts w:ascii="Garamond" w:hAnsi="Garamond"/>
                <w:noProof/>
                <w:webHidden/>
              </w:rPr>
              <w:fldChar w:fldCharType="end"/>
            </w:r>
          </w:hyperlink>
        </w:p>
        <w:p w14:paraId="7E8A2F00" w14:textId="77777777" w:rsidR="007A3592" w:rsidRPr="007A3592" w:rsidRDefault="002C327A" w:rsidP="007A3592">
          <w:pPr>
            <w:pStyle w:val="TOC1"/>
            <w:tabs>
              <w:tab w:val="left" w:pos="660"/>
              <w:tab w:val="right" w:leader="dot" w:pos="9063"/>
            </w:tabs>
            <w:spacing w:line="240" w:lineRule="auto"/>
            <w:rPr>
              <w:rFonts w:ascii="Garamond" w:eastAsiaTheme="minorEastAsia" w:hAnsi="Garamond" w:cstheme="minorBidi"/>
              <w:noProof/>
              <w:sz w:val="22"/>
              <w:szCs w:val="22"/>
              <w:lang w:eastAsia="fr-FR"/>
            </w:rPr>
          </w:pPr>
          <w:hyperlink w:anchor="_Toc143577445" w:history="1">
            <w:r w:rsidR="007A3592" w:rsidRPr="007A3592">
              <w:rPr>
                <w:rStyle w:val="Hyperlink"/>
                <w:rFonts w:ascii="Garamond" w:hAnsi="Garamond"/>
                <w:noProof/>
              </w:rPr>
              <w:t>II.</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REVUE DE LA LITTERATURE</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_Toc143577445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4</w:t>
            </w:r>
            <w:r w:rsidR="007A3592" w:rsidRPr="007A3592">
              <w:rPr>
                <w:rFonts w:ascii="Garamond" w:hAnsi="Garamond"/>
                <w:noProof/>
                <w:webHidden/>
              </w:rPr>
              <w:fldChar w:fldCharType="end"/>
            </w:r>
          </w:hyperlink>
        </w:p>
        <w:p w14:paraId="163A1FCB"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46" w:history="1">
            <w:r w:rsidR="007A3592" w:rsidRPr="007A3592">
              <w:rPr>
                <w:rStyle w:val="Hyperlink"/>
                <w:rFonts w:ascii="Garamond" w:hAnsi="Garamond"/>
                <w:noProof/>
              </w:rPr>
              <w:t>2.1.</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Décentralisation : dévolution et déconcentration</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_Toc143577446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4</w:t>
            </w:r>
            <w:r w:rsidR="007A3592" w:rsidRPr="007A3592">
              <w:rPr>
                <w:rFonts w:ascii="Garamond" w:hAnsi="Garamond"/>
                <w:noProof/>
                <w:webHidden/>
              </w:rPr>
              <w:fldChar w:fldCharType="end"/>
            </w:r>
          </w:hyperlink>
        </w:p>
        <w:p w14:paraId="4EE26DE9"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47" w:history="1">
            <w:r w:rsidR="007A3592" w:rsidRPr="007A3592">
              <w:rPr>
                <w:rStyle w:val="Hyperlink"/>
                <w:rFonts w:ascii="Garamond" w:hAnsi="Garamond"/>
                <w:noProof/>
              </w:rPr>
              <w:t>2.1.1.</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La Décentralisation</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_Toc143577447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4</w:t>
            </w:r>
            <w:r w:rsidR="007A3592" w:rsidRPr="007A3592">
              <w:rPr>
                <w:rFonts w:ascii="Garamond" w:hAnsi="Garamond"/>
                <w:noProof/>
                <w:webHidden/>
              </w:rPr>
              <w:fldChar w:fldCharType="end"/>
            </w:r>
          </w:hyperlink>
        </w:p>
        <w:p w14:paraId="5F9F6234"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48" w:history="1">
            <w:r w:rsidR="007A3592" w:rsidRPr="007A3592">
              <w:rPr>
                <w:rStyle w:val="Hyperlink"/>
                <w:rFonts w:ascii="Garamond" w:hAnsi="Garamond"/>
                <w:noProof/>
              </w:rPr>
              <w:t>2.1.2.</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La dévolution</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_Toc143577448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6</w:t>
            </w:r>
            <w:r w:rsidR="007A3592" w:rsidRPr="007A3592">
              <w:rPr>
                <w:rFonts w:ascii="Garamond" w:hAnsi="Garamond"/>
                <w:noProof/>
                <w:webHidden/>
              </w:rPr>
              <w:fldChar w:fldCharType="end"/>
            </w:r>
          </w:hyperlink>
        </w:p>
        <w:p w14:paraId="00874793"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49" w:history="1">
            <w:r w:rsidR="007A3592" w:rsidRPr="007A3592">
              <w:rPr>
                <w:rStyle w:val="Hyperlink"/>
                <w:rFonts w:ascii="Garamond" w:hAnsi="Garamond"/>
                <w:noProof/>
              </w:rPr>
              <w:t>2.1.3.</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La déconcentration</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_Toc143577449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7</w:t>
            </w:r>
            <w:r w:rsidR="007A3592" w:rsidRPr="007A3592">
              <w:rPr>
                <w:rFonts w:ascii="Garamond" w:hAnsi="Garamond"/>
                <w:noProof/>
                <w:webHidden/>
              </w:rPr>
              <w:fldChar w:fldCharType="end"/>
            </w:r>
          </w:hyperlink>
        </w:p>
        <w:p w14:paraId="60D18E58"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50" w:history="1">
            <w:r w:rsidR="007A3592" w:rsidRPr="007A3592">
              <w:rPr>
                <w:rStyle w:val="Hyperlink"/>
                <w:rFonts w:ascii="Garamond" w:hAnsi="Garamond"/>
                <w:noProof/>
              </w:rPr>
              <w:t>2.2.</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Responsabilité financière et reddition des comptes</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_Toc143577450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8</w:t>
            </w:r>
            <w:r w:rsidR="007A3592" w:rsidRPr="007A3592">
              <w:rPr>
                <w:rFonts w:ascii="Garamond" w:hAnsi="Garamond"/>
                <w:noProof/>
                <w:webHidden/>
              </w:rPr>
              <w:fldChar w:fldCharType="end"/>
            </w:r>
          </w:hyperlink>
        </w:p>
        <w:p w14:paraId="624EABCC"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51" w:history="1">
            <w:r w:rsidR="007A3592" w:rsidRPr="007A3592">
              <w:rPr>
                <w:rStyle w:val="Hyperlink"/>
                <w:rFonts w:ascii="Garamond" w:hAnsi="Garamond"/>
                <w:noProof/>
              </w:rPr>
              <w:t>2.2.1.</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Responsabilité financière</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_Toc143577451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8</w:t>
            </w:r>
            <w:r w:rsidR="007A3592" w:rsidRPr="007A3592">
              <w:rPr>
                <w:rFonts w:ascii="Garamond" w:hAnsi="Garamond"/>
                <w:noProof/>
                <w:webHidden/>
              </w:rPr>
              <w:fldChar w:fldCharType="end"/>
            </w:r>
          </w:hyperlink>
        </w:p>
        <w:p w14:paraId="7F2190A4"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52" w:history="1">
            <w:r w:rsidR="007A3592" w:rsidRPr="007A3592">
              <w:rPr>
                <w:rStyle w:val="Hyperlink"/>
                <w:rFonts w:ascii="Garamond" w:hAnsi="Garamond"/>
                <w:noProof/>
              </w:rPr>
              <w:t>2.2.2.</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La reddition des comptes</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_Toc143577452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11</w:t>
            </w:r>
            <w:r w:rsidR="007A3592" w:rsidRPr="007A3592">
              <w:rPr>
                <w:rFonts w:ascii="Garamond" w:hAnsi="Garamond"/>
                <w:noProof/>
                <w:webHidden/>
              </w:rPr>
              <w:fldChar w:fldCharType="end"/>
            </w:r>
          </w:hyperlink>
        </w:p>
        <w:p w14:paraId="45B6D41F"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53" w:history="1">
            <w:r w:rsidR="007A3592" w:rsidRPr="007A3592">
              <w:rPr>
                <w:rStyle w:val="Hyperlink"/>
                <w:rFonts w:ascii="Garamond" w:hAnsi="Garamond"/>
                <w:noProof/>
              </w:rPr>
              <w:t>2.3.</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Néo-institutionnalisme historique (NIH)</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_Toc143577453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13</w:t>
            </w:r>
            <w:r w:rsidR="007A3592" w:rsidRPr="007A3592">
              <w:rPr>
                <w:rFonts w:ascii="Garamond" w:hAnsi="Garamond"/>
                <w:noProof/>
                <w:webHidden/>
              </w:rPr>
              <w:fldChar w:fldCharType="end"/>
            </w:r>
          </w:hyperlink>
        </w:p>
        <w:p w14:paraId="11F47C5C"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54" w:history="1">
            <w:r w:rsidR="007A3592" w:rsidRPr="007A3592">
              <w:rPr>
                <w:rStyle w:val="Hyperlink"/>
                <w:rFonts w:ascii="Garamond" w:hAnsi="Garamond"/>
                <w:noProof/>
              </w:rPr>
              <w:t>2.4.</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Théorie de la dépendance au sentier</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_Toc143577454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15</w:t>
            </w:r>
            <w:r w:rsidR="007A3592" w:rsidRPr="007A3592">
              <w:rPr>
                <w:rFonts w:ascii="Garamond" w:hAnsi="Garamond"/>
                <w:noProof/>
                <w:webHidden/>
              </w:rPr>
              <w:fldChar w:fldCharType="end"/>
            </w:r>
          </w:hyperlink>
        </w:p>
        <w:p w14:paraId="6B5399C1" w14:textId="77777777" w:rsidR="007A3592" w:rsidRPr="007A3592" w:rsidRDefault="002C327A" w:rsidP="007A3592">
          <w:pPr>
            <w:pStyle w:val="TOC1"/>
            <w:tabs>
              <w:tab w:val="left" w:pos="660"/>
              <w:tab w:val="right" w:leader="dot" w:pos="9063"/>
            </w:tabs>
            <w:spacing w:line="240" w:lineRule="auto"/>
            <w:rPr>
              <w:rFonts w:ascii="Garamond" w:eastAsiaTheme="minorEastAsia" w:hAnsi="Garamond" w:cstheme="minorBidi"/>
              <w:noProof/>
              <w:sz w:val="22"/>
              <w:szCs w:val="22"/>
              <w:lang w:eastAsia="fr-FR"/>
            </w:rPr>
          </w:pPr>
          <w:hyperlink w:anchor="_Toc143577455" w:history="1">
            <w:r w:rsidR="007A3592" w:rsidRPr="007A3592">
              <w:rPr>
                <w:rStyle w:val="Hyperlink"/>
                <w:rFonts w:ascii="Garamond" w:hAnsi="Garamond"/>
                <w:noProof/>
              </w:rPr>
              <w:t>III.</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STRATEGIE DE RECHERCHE</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_Toc143577455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21</w:t>
            </w:r>
            <w:r w:rsidR="007A3592" w:rsidRPr="007A3592">
              <w:rPr>
                <w:rFonts w:ascii="Garamond" w:hAnsi="Garamond"/>
                <w:noProof/>
                <w:webHidden/>
              </w:rPr>
              <w:fldChar w:fldCharType="end"/>
            </w:r>
          </w:hyperlink>
        </w:p>
        <w:p w14:paraId="013E7422"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56" w:history="1">
            <w:r w:rsidR="007A3592" w:rsidRPr="007A3592">
              <w:rPr>
                <w:rStyle w:val="Hyperlink"/>
                <w:rFonts w:ascii="Garamond" w:hAnsi="Garamond"/>
                <w:noProof/>
              </w:rPr>
              <w:t>3.1.</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Objectif de recherche</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_Toc143577456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21</w:t>
            </w:r>
            <w:r w:rsidR="007A3592" w:rsidRPr="007A3592">
              <w:rPr>
                <w:rFonts w:ascii="Garamond" w:hAnsi="Garamond"/>
                <w:noProof/>
                <w:webHidden/>
              </w:rPr>
              <w:fldChar w:fldCharType="end"/>
            </w:r>
          </w:hyperlink>
        </w:p>
        <w:p w14:paraId="53F9E8EF"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57" w:history="1">
            <w:r w:rsidR="007A3592" w:rsidRPr="007A3592">
              <w:rPr>
                <w:rStyle w:val="Hyperlink"/>
                <w:rFonts w:ascii="Garamond" w:hAnsi="Garamond"/>
                <w:noProof/>
              </w:rPr>
              <w:t>3.2.</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Question de recherche</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_Toc143577457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21</w:t>
            </w:r>
            <w:r w:rsidR="007A3592" w:rsidRPr="007A3592">
              <w:rPr>
                <w:rFonts w:ascii="Garamond" w:hAnsi="Garamond"/>
                <w:noProof/>
                <w:webHidden/>
              </w:rPr>
              <w:fldChar w:fldCharType="end"/>
            </w:r>
          </w:hyperlink>
        </w:p>
        <w:p w14:paraId="3569F596"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58" w:history="1">
            <w:r w:rsidR="007A3592" w:rsidRPr="007A3592">
              <w:rPr>
                <w:rStyle w:val="Hyperlink"/>
                <w:rFonts w:ascii="Garamond" w:hAnsi="Garamond"/>
                <w:noProof/>
              </w:rPr>
              <w:t>3.3.</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Cadre théorique : la théorie de la dépendance au sentier</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_Toc143577458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21</w:t>
            </w:r>
            <w:r w:rsidR="007A3592" w:rsidRPr="007A3592">
              <w:rPr>
                <w:rFonts w:ascii="Garamond" w:hAnsi="Garamond"/>
                <w:noProof/>
                <w:webHidden/>
              </w:rPr>
              <w:fldChar w:fldCharType="end"/>
            </w:r>
          </w:hyperlink>
        </w:p>
        <w:p w14:paraId="3CFF5BDA"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59" w:history="1">
            <w:r w:rsidR="007A3592" w:rsidRPr="007A3592">
              <w:rPr>
                <w:rStyle w:val="Hyperlink"/>
                <w:rFonts w:ascii="Garamond" w:hAnsi="Garamond"/>
                <w:noProof/>
              </w:rPr>
              <w:t>3.4.</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Méthodologie de recherche</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_Toc143577459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26</w:t>
            </w:r>
            <w:r w:rsidR="007A3592" w:rsidRPr="007A3592">
              <w:rPr>
                <w:rFonts w:ascii="Garamond" w:hAnsi="Garamond"/>
                <w:noProof/>
                <w:webHidden/>
              </w:rPr>
              <w:fldChar w:fldCharType="end"/>
            </w:r>
          </w:hyperlink>
        </w:p>
        <w:p w14:paraId="2B73844D"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60" w:history="1">
            <w:r w:rsidR="007A3592" w:rsidRPr="007A3592">
              <w:rPr>
                <w:rStyle w:val="Hyperlink"/>
                <w:rFonts w:ascii="Garamond" w:hAnsi="Garamond"/>
                <w:noProof/>
                <w:lang w:val="fr-CA"/>
              </w:rPr>
              <w:t>3.4.1.</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lang w:val="fr-CA"/>
              </w:rPr>
              <w:t>Causal Process Tracing (CPT) – Reconstitution du processus de causalité</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_Toc143577460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26</w:t>
            </w:r>
            <w:r w:rsidR="007A3592" w:rsidRPr="007A3592">
              <w:rPr>
                <w:rFonts w:ascii="Garamond" w:hAnsi="Garamond"/>
                <w:noProof/>
                <w:webHidden/>
              </w:rPr>
              <w:fldChar w:fldCharType="end"/>
            </w:r>
          </w:hyperlink>
        </w:p>
        <w:p w14:paraId="09A74A1A"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61" w:history="1">
            <w:r w:rsidR="007A3592" w:rsidRPr="007A3592">
              <w:rPr>
                <w:rStyle w:val="Hyperlink"/>
                <w:rFonts w:ascii="Garamond" w:hAnsi="Garamond"/>
                <w:noProof/>
              </w:rPr>
              <w:t>3.4.2.</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L’étude de cas : la ville-province de Kinshasa</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_Toc143577461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27</w:t>
            </w:r>
            <w:r w:rsidR="007A3592" w:rsidRPr="007A3592">
              <w:rPr>
                <w:rFonts w:ascii="Garamond" w:hAnsi="Garamond"/>
                <w:noProof/>
                <w:webHidden/>
              </w:rPr>
              <w:fldChar w:fldCharType="end"/>
            </w:r>
          </w:hyperlink>
        </w:p>
        <w:p w14:paraId="71D28FE6"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62" w:history="1">
            <w:r w:rsidR="007A3592" w:rsidRPr="007A3592">
              <w:rPr>
                <w:rStyle w:val="Hyperlink"/>
                <w:rFonts w:ascii="Garamond" w:hAnsi="Garamond"/>
                <w:noProof/>
              </w:rPr>
              <w:t>3.5. Contribution et limites de l’étude</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_Toc143577462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28</w:t>
            </w:r>
            <w:r w:rsidR="007A3592" w:rsidRPr="007A3592">
              <w:rPr>
                <w:rFonts w:ascii="Garamond" w:hAnsi="Garamond"/>
                <w:noProof/>
                <w:webHidden/>
              </w:rPr>
              <w:fldChar w:fldCharType="end"/>
            </w:r>
          </w:hyperlink>
        </w:p>
        <w:p w14:paraId="35E75D32" w14:textId="77777777" w:rsidR="007A3592" w:rsidRPr="007A3592" w:rsidRDefault="002C327A" w:rsidP="007A3592">
          <w:pPr>
            <w:pStyle w:val="TOC1"/>
            <w:tabs>
              <w:tab w:val="left" w:pos="660"/>
              <w:tab w:val="right" w:leader="dot" w:pos="9063"/>
            </w:tabs>
            <w:spacing w:line="240" w:lineRule="auto"/>
            <w:rPr>
              <w:rFonts w:ascii="Garamond" w:eastAsiaTheme="minorEastAsia" w:hAnsi="Garamond" w:cstheme="minorBidi"/>
              <w:noProof/>
              <w:sz w:val="22"/>
              <w:szCs w:val="22"/>
              <w:lang w:eastAsia="fr-FR"/>
            </w:rPr>
          </w:pPr>
          <w:hyperlink w:anchor="_Toc143577463" w:history="1">
            <w:r w:rsidR="007A3592" w:rsidRPr="007A3592">
              <w:rPr>
                <w:rStyle w:val="Hyperlink"/>
                <w:rFonts w:ascii="Garamond" w:eastAsia="Times New Roman" w:hAnsi="Garamond"/>
                <w:noProof/>
                <w:lang w:eastAsia="fr-FR"/>
              </w:rPr>
              <w:t>IV.</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eastAsia="Times New Roman" w:hAnsi="Garamond"/>
                <w:noProof/>
                <w:lang w:eastAsia="fr-FR"/>
              </w:rPr>
              <w:t>ANALYSE DES RESULTATS</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_Toc143577463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30</w:t>
            </w:r>
            <w:r w:rsidR="007A3592" w:rsidRPr="007A3592">
              <w:rPr>
                <w:rFonts w:ascii="Garamond" w:hAnsi="Garamond"/>
                <w:noProof/>
                <w:webHidden/>
              </w:rPr>
              <w:fldChar w:fldCharType="end"/>
            </w:r>
          </w:hyperlink>
        </w:p>
        <w:p w14:paraId="07EF1D8F"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64" w:history="1">
            <w:r w:rsidR="007A3592" w:rsidRPr="007A3592">
              <w:rPr>
                <w:rStyle w:val="Hyperlink"/>
                <w:rFonts w:ascii="Garamond" w:hAnsi="Garamond"/>
                <w:noProof/>
              </w:rPr>
              <w:t>4.1.</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Trajectoire de la réforme de responsabilisation financière et de la reddition des comptes en RDC</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_Toc143577464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31</w:t>
            </w:r>
            <w:r w:rsidR="007A3592" w:rsidRPr="007A3592">
              <w:rPr>
                <w:rFonts w:ascii="Garamond" w:hAnsi="Garamond"/>
                <w:noProof/>
                <w:webHidden/>
              </w:rPr>
              <w:fldChar w:fldCharType="end"/>
            </w:r>
          </w:hyperlink>
        </w:p>
        <w:p w14:paraId="7B4DBAFB"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65" w:history="1">
            <w:r w:rsidR="007A3592" w:rsidRPr="007A3592">
              <w:rPr>
                <w:rStyle w:val="Hyperlink"/>
                <w:rFonts w:ascii="Garamond" w:hAnsi="Garamond"/>
                <w:noProof/>
              </w:rPr>
              <w:t>4.1.1.</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La RDC de 1888 à 2006 : succession de découpages et reconstitutions territoriaux</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_Toc143577465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31</w:t>
            </w:r>
            <w:r w:rsidR="007A3592" w:rsidRPr="007A3592">
              <w:rPr>
                <w:rFonts w:ascii="Garamond" w:hAnsi="Garamond"/>
                <w:noProof/>
                <w:webHidden/>
              </w:rPr>
              <w:fldChar w:fldCharType="end"/>
            </w:r>
          </w:hyperlink>
        </w:p>
        <w:p w14:paraId="700B2CB0"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66" w:history="1">
            <w:r w:rsidR="007A3592" w:rsidRPr="007A3592">
              <w:rPr>
                <w:rStyle w:val="Hyperlink"/>
                <w:rFonts w:ascii="Garamond" w:hAnsi="Garamond"/>
                <w:noProof/>
              </w:rPr>
              <w:t>4.1.2.</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La gestion des finances publiques à la lumière des cadres légaux et règlementaires de 1960 à 2011</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_Toc143577466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33</w:t>
            </w:r>
            <w:r w:rsidR="007A3592" w:rsidRPr="007A3592">
              <w:rPr>
                <w:rFonts w:ascii="Garamond" w:hAnsi="Garamond"/>
                <w:noProof/>
                <w:webHidden/>
              </w:rPr>
              <w:fldChar w:fldCharType="end"/>
            </w:r>
          </w:hyperlink>
        </w:p>
        <w:p w14:paraId="77BE3F5D"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67" w:history="1">
            <w:r w:rsidR="007A3592" w:rsidRPr="007A3592">
              <w:rPr>
                <w:rStyle w:val="Hyperlink"/>
                <w:rFonts w:ascii="Garamond" w:hAnsi="Garamond"/>
                <w:noProof/>
              </w:rPr>
              <w:t>4.2.</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Cadre légal et réglementaire de la décentralisation en RDC (responsabilité financière et reddition des comptes)</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_Toc143577467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36</w:t>
            </w:r>
            <w:r w:rsidR="007A3592" w:rsidRPr="007A3592">
              <w:rPr>
                <w:rFonts w:ascii="Garamond" w:hAnsi="Garamond"/>
                <w:noProof/>
                <w:webHidden/>
              </w:rPr>
              <w:fldChar w:fldCharType="end"/>
            </w:r>
          </w:hyperlink>
        </w:p>
        <w:p w14:paraId="5891D47C" w14:textId="77777777" w:rsidR="007A3592" w:rsidRPr="007A3592" w:rsidRDefault="002C327A" w:rsidP="007A3592">
          <w:pPr>
            <w:pStyle w:val="TOC2"/>
            <w:rPr>
              <w:rFonts w:ascii="Garamond" w:eastAsiaTheme="minorEastAsia" w:hAnsi="Garamond" w:cstheme="minorBidi"/>
              <w:noProof/>
              <w:sz w:val="22"/>
              <w:szCs w:val="22"/>
              <w:lang w:eastAsia="fr-FR"/>
            </w:rPr>
          </w:pPr>
          <w:hyperlink w:anchor="_Toc143577468" w:history="1">
            <w:r w:rsidR="007A3592" w:rsidRPr="007A3592">
              <w:rPr>
                <w:rStyle w:val="Hyperlink"/>
                <w:rFonts w:ascii="Garamond" w:hAnsi="Garamond"/>
                <w:noProof/>
              </w:rPr>
              <w:t>4.3.</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Facteurs prépondérants susceptibles d’influencer la responsabilité financière et la reddition des comptes</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_Toc143577468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42</w:t>
            </w:r>
            <w:r w:rsidR="007A3592" w:rsidRPr="007A3592">
              <w:rPr>
                <w:rFonts w:ascii="Garamond" w:hAnsi="Garamond"/>
                <w:noProof/>
                <w:webHidden/>
              </w:rPr>
              <w:fldChar w:fldCharType="end"/>
            </w:r>
          </w:hyperlink>
        </w:p>
        <w:p w14:paraId="6D918311"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69" w:history="1">
            <w:r w:rsidR="007A3592" w:rsidRPr="007A3592">
              <w:rPr>
                <w:rStyle w:val="Hyperlink"/>
                <w:rFonts w:ascii="Garamond" w:hAnsi="Garamond"/>
                <w:noProof/>
              </w:rPr>
              <w:t>4.3.1.</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Culture centralisatrice dans la gestion publique en RDC</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_Toc143577469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42</w:t>
            </w:r>
            <w:r w:rsidR="007A3592" w:rsidRPr="007A3592">
              <w:rPr>
                <w:rFonts w:ascii="Garamond" w:hAnsi="Garamond"/>
                <w:noProof/>
                <w:webHidden/>
              </w:rPr>
              <w:fldChar w:fldCharType="end"/>
            </w:r>
          </w:hyperlink>
        </w:p>
        <w:p w14:paraId="025E2435"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70" w:history="1">
            <w:r w:rsidR="007A3592" w:rsidRPr="007A3592">
              <w:rPr>
                <w:rStyle w:val="Hyperlink"/>
                <w:rFonts w:ascii="Garamond" w:hAnsi="Garamond"/>
                <w:noProof/>
              </w:rPr>
              <w:t>4.3.2.</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Faibles capacités des ETD</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_Toc143577470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45</w:t>
            </w:r>
            <w:r w:rsidR="007A3592" w:rsidRPr="007A3592">
              <w:rPr>
                <w:rFonts w:ascii="Garamond" w:hAnsi="Garamond"/>
                <w:noProof/>
                <w:webHidden/>
              </w:rPr>
              <w:fldChar w:fldCharType="end"/>
            </w:r>
          </w:hyperlink>
        </w:p>
        <w:p w14:paraId="709FB07C" w14:textId="77777777" w:rsidR="007A3592" w:rsidRPr="007A3592" w:rsidRDefault="002C327A" w:rsidP="007A3592">
          <w:pPr>
            <w:pStyle w:val="TOC3"/>
            <w:rPr>
              <w:rFonts w:ascii="Garamond" w:eastAsiaTheme="minorEastAsia" w:hAnsi="Garamond" w:cstheme="minorBidi"/>
              <w:noProof/>
              <w:sz w:val="22"/>
              <w:szCs w:val="22"/>
              <w:lang w:eastAsia="fr-FR"/>
            </w:rPr>
          </w:pPr>
          <w:hyperlink w:anchor="_Toc143577471" w:history="1">
            <w:r w:rsidR="007A3592" w:rsidRPr="007A3592">
              <w:rPr>
                <w:rStyle w:val="Hyperlink"/>
                <w:rFonts w:ascii="Garamond" w:hAnsi="Garamond"/>
                <w:noProof/>
              </w:rPr>
              <w:t>4.3.3.</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hAnsi="Garamond"/>
                <w:noProof/>
              </w:rPr>
              <w:t>Faible participation des acteurs de la société civile</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_Toc143577471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50</w:t>
            </w:r>
            <w:r w:rsidR="007A3592" w:rsidRPr="007A3592">
              <w:rPr>
                <w:rFonts w:ascii="Garamond" w:hAnsi="Garamond"/>
                <w:noProof/>
                <w:webHidden/>
              </w:rPr>
              <w:fldChar w:fldCharType="end"/>
            </w:r>
          </w:hyperlink>
        </w:p>
        <w:p w14:paraId="39427DD6" w14:textId="77777777" w:rsidR="007A3592" w:rsidRPr="007A3592" w:rsidRDefault="002C327A" w:rsidP="007A3592">
          <w:pPr>
            <w:pStyle w:val="TOC1"/>
            <w:tabs>
              <w:tab w:val="left" w:pos="660"/>
              <w:tab w:val="right" w:leader="dot" w:pos="9063"/>
            </w:tabs>
            <w:spacing w:line="240" w:lineRule="auto"/>
            <w:rPr>
              <w:rFonts w:ascii="Garamond" w:eastAsiaTheme="minorEastAsia" w:hAnsi="Garamond" w:cstheme="minorBidi"/>
              <w:noProof/>
              <w:sz w:val="22"/>
              <w:szCs w:val="22"/>
              <w:lang w:eastAsia="fr-FR"/>
            </w:rPr>
          </w:pPr>
          <w:hyperlink w:anchor="_Toc143577472" w:history="1">
            <w:r w:rsidR="007A3592" w:rsidRPr="007A3592">
              <w:rPr>
                <w:rStyle w:val="Hyperlink"/>
                <w:rFonts w:ascii="Garamond" w:eastAsia="Times New Roman" w:hAnsi="Garamond"/>
                <w:noProof/>
                <w:lang w:eastAsia="fr-FR"/>
              </w:rPr>
              <w:t>V.</w:t>
            </w:r>
            <w:r w:rsidR="007A3592" w:rsidRPr="007A3592">
              <w:rPr>
                <w:rFonts w:ascii="Garamond" w:eastAsiaTheme="minorEastAsia" w:hAnsi="Garamond" w:cstheme="minorBidi"/>
                <w:noProof/>
                <w:sz w:val="22"/>
                <w:szCs w:val="22"/>
                <w:lang w:eastAsia="fr-FR"/>
              </w:rPr>
              <w:tab/>
            </w:r>
            <w:r w:rsidR="007A3592" w:rsidRPr="007A3592">
              <w:rPr>
                <w:rStyle w:val="Hyperlink"/>
                <w:rFonts w:ascii="Garamond" w:eastAsia="Times New Roman" w:hAnsi="Garamond"/>
                <w:noProof/>
                <w:lang w:eastAsia="fr-FR"/>
              </w:rPr>
              <w:t>CONCLUSION</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_Toc143577472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54</w:t>
            </w:r>
            <w:r w:rsidR="007A3592" w:rsidRPr="007A3592">
              <w:rPr>
                <w:rFonts w:ascii="Garamond" w:hAnsi="Garamond"/>
                <w:noProof/>
                <w:webHidden/>
              </w:rPr>
              <w:fldChar w:fldCharType="end"/>
            </w:r>
          </w:hyperlink>
        </w:p>
        <w:p w14:paraId="46E23DA7" w14:textId="77777777" w:rsidR="007A3592" w:rsidRPr="007A3592" w:rsidRDefault="002C327A" w:rsidP="007A3592">
          <w:pPr>
            <w:pStyle w:val="TOC1"/>
            <w:tabs>
              <w:tab w:val="right" w:leader="dot" w:pos="9063"/>
            </w:tabs>
            <w:spacing w:line="240" w:lineRule="auto"/>
            <w:rPr>
              <w:rFonts w:ascii="Garamond" w:eastAsiaTheme="minorEastAsia" w:hAnsi="Garamond" w:cstheme="minorBidi"/>
              <w:noProof/>
              <w:sz w:val="22"/>
              <w:szCs w:val="22"/>
              <w:lang w:eastAsia="fr-FR"/>
            </w:rPr>
          </w:pPr>
          <w:hyperlink w:anchor="_Toc143577473" w:history="1">
            <w:r w:rsidR="007A3592" w:rsidRPr="007A3592">
              <w:rPr>
                <w:rStyle w:val="Hyperlink"/>
                <w:rFonts w:ascii="Garamond" w:hAnsi="Garamond"/>
                <w:noProof/>
                <w:lang w:eastAsia="fr-FR"/>
              </w:rPr>
              <w:t>BIBLIOGRAPHIE</w:t>
            </w:r>
            <w:r w:rsidR="007A3592" w:rsidRPr="007A3592">
              <w:rPr>
                <w:rFonts w:ascii="Garamond" w:hAnsi="Garamond"/>
                <w:noProof/>
                <w:webHidden/>
              </w:rPr>
              <w:tab/>
            </w:r>
            <w:r w:rsidR="007A3592" w:rsidRPr="007A3592">
              <w:rPr>
                <w:rFonts w:ascii="Garamond" w:hAnsi="Garamond"/>
                <w:noProof/>
                <w:webHidden/>
              </w:rPr>
              <w:fldChar w:fldCharType="begin"/>
            </w:r>
            <w:r w:rsidR="007A3592" w:rsidRPr="007A3592">
              <w:rPr>
                <w:rFonts w:ascii="Garamond" w:hAnsi="Garamond"/>
                <w:noProof/>
                <w:webHidden/>
              </w:rPr>
              <w:instrText xml:space="preserve"> PAGEREF _Toc143577473 \h </w:instrText>
            </w:r>
            <w:r w:rsidR="007A3592" w:rsidRPr="007A3592">
              <w:rPr>
                <w:rFonts w:ascii="Garamond" w:hAnsi="Garamond"/>
                <w:noProof/>
                <w:webHidden/>
              </w:rPr>
            </w:r>
            <w:r w:rsidR="007A3592" w:rsidRPr="007A3592">
              <w:rPr>
                <w:rFonts w:ascii="Garamond" w:hAnsi="Garamond"/>
                <w:noProof/>
                <w:webHidden/>
              </w:rPr>
              <w:fldChar w:fldCharType="separate"/>
            </w:r>
            <w:r w:rsidR="00A63112">
              <w:rPr>
                <w:rFonts w:ascii="Garamond" w:hAnsi="Garamond"/>
                <w:noProof/>
                <w:webHidden/>
              </w:rPr>
              <w:t>58</w:t>
            </w:r>
            <w:r w:rsidR="007A3592" w:rsidRPr="007A3592">
              <w:rPr>
                <w:rFonts w:ascii="Garamond" w:hAnsi="Garamond"/>
                <w:noProof/>
                <w:webHidden/>
              </w:rPr>
              <w:fldChar w:fldCharType="end"/>
            </w:r>
          </w:hyperlink>
        </w:p>
        <w:p w14:paraId="2290AA78" w14:textId="77777777" w:rsidR="00804868" w:rsidRPr="00A068A9" w:rsidRDefault="00804868" w:rsidP="00804868">
          <w:pPr>
            <w:spacing w:line="240" w:lineRule="auto"/>
            <w:jc w:val="left"/>
            <w:rPr>
              <w:rFonts w:ascii="Garamond" w:hAnsi="Garamond"/>
            </w:rPr>
          </w:pPr>
          <w:r w:rsidRPr="00A068A9">
            <w:rPr>
              <w:rFonts w:ascii="Garamond" w:hAnsi="Garamond"/>
              <w:b/>
              <w:bCs/>
            </w:rPr>
            <w:fldChar w:fldCharType="end"/>
          </w:r>
        </w:p>
      </w:sdtContent>
    </w:sdt>
    <w:p w14:paraId="22E87F75" w14:textId="77777777" w:rsidR="00804868" w:rsidRPr="009B6D19" w:rsidRDefault="00804868" w:rsidP="00804868">
      <w:pPr>
        <w:rPr>
          <w:rFonts w:ascii="Garamond" w:hAnsi="Garamond"/>
          <w:lang w:eastAsia="fr-FR"/>
        </w:rPr>
        <w:sectPr w:rsidR="00804868" w:rsidRPr="009B6D19" w:rsidSect="00FD5ABB">
          <w:pgSz w:w="11906" w:h="16838"/>
          <w:pgMar w:top="1417" w:right="1416" w:bottom="1417" w:left="1417" w:header="708" w:footer="708" w:gutter="0"/>
          <w:pgNumType w:fmt="lowerRoman" w:start="1"/>
          <w:cols w:space="708"/>
          <w:titlePg/>
          <w:docGrid w:linePitch="360"/>
        </w:sectPr>
      </w:pPr>
    </w:p>
    <w:p w14:paraId="4C6E7861" w14:textId="77777777" w:rsidR="00804868" w:rsidRPr="009B6D19" w:rsidRDefault="00804868" w:rsidP="00804868">
      <w:pPr>
        <w:pStyle w:val="Heading1"/>
        <w:numPr>
          <w:ilvl w:val="0"/>
          <w:numId w:val="14"/>
        </w:numPr>
        <w:rPr>
          <w:rFonts w:ascii="Garamond" w:hAnsi="Garamond"/>
          <w:szCs w:val="24"/>
        </w:rPr>
      </w:pPr>
      <w:bookmarkStart w:id="0" w:name="_Toc119144800"/>
      <w:bookmarkStart w:id="1" w:name="_Toc125594151"/>
      <w:bookmarkStart w:id="2" w:name="_Toc143577444"/>
      <w:r w:rsidRPr="009B6D19">
        <w:rPr>
          <w:rFonts w:ascii="Garamond" w:hAnsi="Garamond"/>
          <w:szCs w:val="24"/>
        </w:rPr>
        <w:lastRenderedPageBreak/>
        <w:t>INTRODUCTION</w:t>
      </w:r>
      <w:bookmarkEnd w:id="0"/>
      <w:bookmarkEnd w:id="1"/>
      <w:bookmarkEnd w:id="2"/>
    </w:p>
    <w:p w14:paraId="450D0904" w14:textId="03FB8C19" w:rsidR="00804868" w:rsidRDefault="00804868" w:rsidP="00804868">
      <w:pPr>
        <w:rPr>
          <w:rFonts w:ascii="Garamond" w:hAnsi="Garamond"/>
        </w:rPr>
      </w:pPr>
      <w:r w:rsidRPr="009B6D19">
        <w:rPr>
          <w:rFonts w:ascii="Garamond" w:hAnsi="Garamond"/>
        </w:rPr>
        <w:t>Au cours de la décennie 1990, beaucoup</w:t>
      </w:r>
      <w:r>
        <w:rPr>
          <w:rFonts w:ascii="Garamond" w:hAnsi="Garamond"/>
        </w:rPr>
        <w:t xml:space="preserve"> des pays africains se sont précipités </w:t>
      </w:r>
      <w:r w:rsidRPr="009B6D19">
        <w:rPr>
          <w:rFonts w:ascii="Garamond" w:hAnsi="Garamond"/>
        </w:rPr>
        <w:t>à adopter</w:t>
      </w:r>
      <w:r>
        <w:rPr>
          <w:rFonts w:ascii="Garamond" w:hAnsi="Garamond"/>
        </w:rPr>
        <w:t xml:space="preserve"> </w:t>
      </w:r>
      <w:r w:rsidRPr="009B6D19">
        <w:rPr>
          <w:rFonts w:ascii="Garamond" w:hAnsi="Garamond"/>
        </w:rPr>
        <w:t>la décentralisation comme mode de gestion</w:t>
      </w:r>
      <w:r>
        <w:rPr>
          <w:rFonts w:ascii="Garamond" w:hAnsi="Garamond"/>
        </w:rPr>
        <w:t xml:space="preserve"> politique, administrative et financière de l’Etat </w:t>
      </w:r>
      <w:r w:rsidR="00FE4A7B">
        <w:rPr>
          <w:rFonts w:ascii="Garamond" w:hAnsi="Garamond"/>
        </w:rPr>
        <w:t>(Bayart, 2009 ; Bruneau, 2009 ; Gerold, 2019</w:t>
      </w:r>
      <w:r>
        <w:rPr>
          <w:rFonts w:ascii="Garamond" w:hAnsi="Garamond"/>
        </w:rPr>
        <w:t>).</w:t>
      </w:r>
      <w:r w:rsidRPr="009B6D19">
        <w:rPr>
          <w:rFonts w:ascii="Garamond" w:hAnsi="Garamond"/>
        </w:rPr>
        <w:t xml:space="preserve"> Cette réforme, prônée essentiellement par les bailleurs des fonds notamment la Banque mondiale (BM) et le Fonds Monétaire International (FMI) au nom d’une « </w:t>
      </w:r>
      <w:r w:rsidRPr="009B6D19">
        <w:rPr>
          <w:rFonts w:ascii="Garamond" w:hAnsi="Garamond"/>
          <w:i/>
        </w:rPr>
        <w:t>idée irénique</w:t>
      </w:r>
      <w:r w:rsidR="004A22F0">
        <w:rPr>
          <w:rFonts w:ascii="Garamond" w:hAnsi="Garamond"/>
          <w:i/>
        </w:rPr>
        <w:t xml:space="preserve"> </w:t>
      </w:r>
      <w:r w:rsidRPr="009B6D19">
        <w:rPr>
          <w:rFonts w:ascii="Garamond" w:hAnsi="Garamond"/>
          <w:i/>
        </w:rPr>
        <w:t>de la bonne gouvernance</w:t>
      </w:r>
      <w:r w:rsidRPr="009B6D19">
        <w:rPr>
          <w:rFonts w:ascii="Garamond" w:hAnsi="Garamond"/>
        </w:rPr>
        <w:t> »</w:t>
      </w:r>
      <w:r w:rsidR="009D45B9">
        <w:rPr>
          <w:rFonts w:ascii="Garamond" w:hAnsi="Garamond"/>
        </w:rPr>
        <w:t xml:space="preserve"> (Bayart, 2009 :35)</w:t>
      </w:r>
      <w:r w:rsidRPr="009B6D19">
        <w:rPr>
          <w:rFonts w:ascii="Garamond" w:hAnsi="Garamond"/>
        </w:rPr>
        <w:t xml:space="preserve"> apparait comme une « </w:t>
      </w:r>
      <w:proofErr w:type="spellStart"/>
      <w:r w:rsidRPr="009B6D19">
        <w:rPr>
          <w:rFonts w:ascii="Garamond" w:hAnsi="Garamond"/>
          <w:i/>
        </w:rPr>
        <w:t>success</w:t>
      </w:r>
      <w:proofErr w:type="spellEnd"/>
      <w:r w:rsidRPr="009B6D19">
        <w:rPr>
          <w:rFonts w:ascii="Garamond" w:hAnsi="Garamond"/>
          <w:i/>
        </w:rPr>
        <w:t xml:space="preserve"> story</w:t>
      </w:r>
      <w:r w:rsidRPr="009B6D19">
        <w:rPr>
          <w:rFonts w:ascii="Garamond" w:hAnsi="Garamond"/>
        </w:rPr>
        <w:t xml:space="preserve"> » ou une issue recommandable aux pays pauvres, autocratiques et fortement endettés. Elle est à cet effet, une réforme visant à réaménager l’architecture </w:t>
      </w:r>
      <w:r>
        <w:rPr>
          <w:rFonts w:ascii="Garamond" w:hAnsi="Garamond"/>
        </w:rPr>
        <w:t>étatique</w:t>
      </w:r>
      <w:r w:rsidRPr="009B6D19">
        <w:rPr>
          <w:rFonts w:ascii="Garamond" w:hAnsi="Garamond"/>
        </w:rPr>
        <w:t xml:space="preserve"> (Boyer</w:t>
      </w:r>
      <w:r w:rsidR="009D45B9">
        <w:rPr>
          <w:rFonts w:ascii="Garamond" w:hAnsi="Garamond"/>
        </w:rPr>
        <w:t>, 2002 : 135-136), à réajuster l</w:t>
      </w:r>
      <w:r w:rsidRPr="009B6D19">
        <w:rPr>
          <w:rFonts w:ascii="Garamond" w:hAnsi="Garamond"/>
        </w:rPr>
        <w:t>es règles de jeux managériaux et à promouvoir un processus décisionnel inclusif, participatif, pacifique</w:t>
      </w:r>
      <w:r w:rsidR="003164AA">
        <w:rPr>
          <w:rFonts w:ascii="Garamond" w:hAnsi="Garamond"/>
        </w:rPr>
        <w:t xml:space="preserve"> et performant (</w:t>
      </w:r>
      <w:proofErr w:type="spellStart"/>
      <w:r w:rsidR="003164AA">
        <w:rPr>
          <w:rFonts w:ascii="Garamond" w:hAnsi="Garamond"/>
        </w:rPr>
        <w:t>Mavakala</w:t>
      </w:r>
      <w:proofErr w:type="spellEnd"/>
      <w:r w:rsidR="003164AA">
        <w:rPr>
          <w:rFonts w:ascii="Garamond" w:hAnsi="Garamond"/>
        </w:rPr>
        <w:t>, 2008 </w:t>
      </w:r>
      <w:r w:rsidRPr="009B6D19">
        <w:rPr>
          <w:rFonts w:ascii="Garamond" w:hAnsi="Garamond"/>
        </w:rPr>
        <w:t xml:space="preserve">; Norton &amp; </w:t>
      </w:r>
      <w:proofErr w:type="spellStart"/>
      <w:r w:rsidRPr="009B6D19">
        <w:rPr>
          <w:rFonts w:ascii="Garamond" w:hAnsi="Garamond"/>
        </w:rPr>
        <w:t>Elson</w:t>
      </w:r>
      <w:proofErr w:type="spellEnd"/>
      <w:r w:rsidRPr="009B6D19">
        <w:rPr>
          <w:rFonts w:ascii="Garamond" w:hAnsi="Garamond"/>
        </w:rPr>
        <w:t>, 2002 : 45)</w:t>
      </w:r>
      <w:r>
        <w:rPr>
          <w:rFonts w:ascii="Garamond" w:hAnsi="Garamond"/>
        </w:rPr>
        <w:t xml:space="preserve"> dans le but de contribuer au renforcement de</w:t>
      </w:r>
      <w:r w:rsidRPr="009B6D19">
        <w:rPr>
          <w:rFonts w:ascii="Garamond" w:hAnsi="Garamond"/>
        </w:rPr>
        <w:t xml:space="preserve"> l’efficacité </w:t>
      </w:r>
      <w:r w:rsidR="009D45B9">
        <w:rPr>
          <w:rFonts w:ascii="Garamond" w:hAnsi="Garamond"/>
        </w:rPr>
        <w:t>de</w:t>
      </w:r>
      <w:r w:rsidRPr="009B6D19">
        <w:rPr>
          <w:rFonts w:ascii="Garamond" w:hAnsi="Garamond"/>
        </w:rPr>
        <w:t xml:space="preserve"> l’offre des services </w:t>
      </w:r>
      <w:r>
        <w:rPr>
          <w:rFonts w:ascii="Garamond" w:hAnsi="Garamond"/>
        </w:rPr>
        <w:t xml:space="preserve">publics </w:t>
      </w:r>
      <w:r w:rsidRPr="009B6D19">
        <w:rPr>
          <w:rFonts w:ascii="Garamond" w:hAnsi="Garamond"/>
        </w:rPr>
        <w:t xml:space="preserve">locaux. </w:t>
      </w:r>
    </w:p>
    <w:p w14:paraId="201FA7E3" w14:textId="505AF35A" w:rsidR="00804868" w:rsidRPr="009B6D19" w:rsidRDefault="00804868" w:rsidP="00804868">
      <w:pPr>
        <w:rPr>
          <w:rFonts w:ascii="Garamond" w:hAnsi="Garamond"/>
        </w:rPr>
      </w:pPr>
      <w:r>
        <w:rPr>
          <w:rFonts w:ascii="Garamond" w:hAnsi="Garamond"/>
        </w:rPr>
        <w:t xml:space="preserve">C’est sous cette vague que la RDC, longtemps secoué par une instabilité politique comme corollaire d’une trentaine d’années de dictature, </w:t>
      </w:r>
      <w:r w:rsidRPr="009B6D19">
        <w:rPr>
          <w:rFonts w:ascii="Garamond" w:hAnsi="Garamond"/>
        </w:rPr>
        <w:t>adopte en 2006</w:t>
      </w:r>
      <w:r>
        <w:rPr>
          <w:rFonts w:ascii="Garamond" w:hAnsi="Garamond"/>
        </w:rPr>
        <w:t xml:space="preserve"> à travers sa nouvelle Constitution</w:t>
      </w:r>
      <w:r w:rsidRPr="009B6D19">
        <w:rPr>
          <w:rFonts w:ascii="Garamond" w:hAnsi="Garamond"/>
        </w:rPr>
        <w:t xml:space="preserve">, </w:t>
      </w:r>
      <w:r>
        <w:rPr>
          <w:rFonts w:ascii="Garamond" w:hAnsi="Garamond"/>
        </w:rPr>
        <w:t xml:space="preserve">la politique de la </w:t>
      </w:r>
      <w:r w:rsidRPr="009B6D19">
        <w:rPr>
          <w:rFonts w:ascii="Garamond" w:hAnsi="Garamond"/>
        </w:rPr>
        <w:t>décentralisation comme mode de gestion de l’Etat.</w:t>
      </w:r>
      <w:r>
        <w:rPr>
          <w:rFonts w:ascii="Garamond" w:hAnsi="Garamond"/>
        </w:rPr>
        <w:t xml:space="preserve"> En vertu de cette Constitution, la RDC devient un pays démocratique composée de la Ville de Kinshasa et 25 provinces. Ces dernières disposent d’une autonomie de gestion</w:t>
      </w:r>
      <w:r w:rsidRPr="00564361">
        <w:rPr>
          <w:rFonts w:ascii="Garamond" w:hAnsi="Garamond"/>
        </w:rPr>
        <w:t xml:space="preserve"> </w:t>
      </w:r>
      <w:r w:rsidRPr="009B6D19">
        <w:rPr>
          <w:rFonts w:ascii="Garamond" w:hAnsi="Garamond"/>
        </w:rPr>
        <w:t>politique, administrative et financière</w:t>
      </w:r>
      <w:r>
        <w:rPr>
          <w:rFonts w:ascii="Garamond" w:hAnsi="Garamond"/>
        </w:rPr>
        <w:t xml:space="preserve"> et </w:t>
      </w:r>
      <w:r w:rsidR="00723FE2">
        <w:rPr>
          <w:rFonts w:ascii="Garamond" w:hAnsi="Garamond"/>
        </w:rPr>
        <w:t xml:space="preserve">sont dotées </w:t>
      </w:r>
      <w:r>
        <w:rPr>
          <w:rFonts w:ascii="Garamond" w:hAnsi="Garamond"/>
        </w:rPr>
        <w:t>d’une personnalité juridique propre et distincte de celle de l’Etat central</w:t>
      </w:r>
      <w:r w:rsidR="00E66462">
        <w:rPr>
          <w:rFonts w:ascii="Garamond" w:hAnsi="Garamond"/>
        </w:rPr>
        <w:t xml:space="preserve"> (RDC, 2008a)</w:t>
      </w:r>
      <w:r>
        <w:rPr>
          <w:rFonts w:ascii="Garamond" w:hAnsi="Garamond"/>
        </w:rPr>
        <w:t xml:space="preserve">. Cette reconfiguration politique et administrative influence directement la gestion des finances publiques dans l’optique d’amener les provinces et les Entités Territoriales Décentralisées (ETD) </w:t>
      </w:r>
      <w:r w:rsidR="006D69EA">
        <w:rPr>
          <w:rFonts w:ascii="Garamond" w:hAnsi="Garamond"/>
        </w:rPr>
        <w:t>à</w:t>
      </w:r>
      <w:r>
        <w:rPr>
          <w:rFonts w:ascii="Garamond" w:hAnsi="Garamond"/>
        </w:rPr>
        <w:t xml:space="preserve"> mieux conduire la politique globale de leurs cercles d’exercice de pouvoir et d’en rendre compte. </w:t>
      </w:r>
      <w:r w:rsidRPr="009B6D19">
        <w:rPr>
          <w:rFonts w:ascii="Garamond" w:hAnsi="Garamond"/>
        </w:rPr>
        <w:t xml:space="preserve"> </w:t>
      </w:r>
    </w:p>
    <w:p w14:paraId="7978633D" w14:textId="0A7C975A" w:rsidR="00804868" w:rsidRDefault="00804868" w:rsidP="00804868">
      <w:pPr>
        <w:rPr>
          <w:rFonts w:ascii="Garamond" w:hAnsi="Garamond"/>
        </w:rPr>
      </w:pPr>
      <w:r w:rsidRPr="009B6D19">
        <w:rPr>
          <w:rFonts w:ascii="Garamond" w:hAnsi="Garamond"/>
        </w:rPr>
        <w:t>Ces ETD (ville, commune, chefferie et secteur)</w:t>
      </w:r>
      <w:r>
        <w:rPr>
          <w:rFonts w:ascii="Garamond" w:hAnsi="Garamond"/>
        </w:rPr>
        <w:t xml:space="preserve"> se définissent</w:t>
      </w:r>
      <w:r w:rsidR="00F4742A">
        <w:rPr>
          <w:rFonts w:ascii="Garamond" w:hAnsi="Garamond"/>
        </w:rPr>
        <w:t>,</w:t>
      </w:r>
      <w:r>
        <w:rPr>
          <w:rFonts w:ascii="Garamond" w:hAnsi="Garamond"/>
        </w:rPr>
        <w:t xml:space="preserve"> selon l’article 3 de cette Constitution</w:t>
      </w:r>
      <w:r w:rsidR="00F4742A">
        <w:rPr>
          <w:rFonts w:ascii="Garamond" w:hAnsi="Garamond"/>
        </w:rPr>
        <w:t>,</w:t>
      </w:r>
      <w:r>
        <w:rPr>
          <w:rFonts w:ascii="Garamond" w:hAnsi="Garamond"/>
        </w:rPr>
        <w:t xml:space="preserve"> comme étant des démembrements ou des subdivisions au sein des provinces. Elles disposent d’une personnalité juridique et sont gérées par les autorités locales élues ou coptées selon le cas. </w:t>
      </w:r>
      <w:r w:rsidRPr="009B6D19">
        <w:rPr>
          <w:rFonts w:ascii="Garamond" w:hAnsi="Garamond"/>
        </w:rPr>
        <w:t xml:space="preserve">Elles résultent du principe de subsidiarité selon lequel, ce qui ne peut pas être réalisé au niveau central, devrait être transféré à une instance inférieure (Mabiala, 2009). Elles disposent, </w:t>
      </w:r>
      <w:r w:rsidRPr="009B6D19">
        <w:rPr>
          <w:rFonts w:ascii="Garamond" w:hAnsi="Garamond"/>
          <w:iCs/>
        </w:rPr>
        <w:t xml:space="preserve">au-delà des ressources </w:t>
      </w:r>
      <w:r>
        <w:rPr>
          <w:rFonts w:ascii="Garamond" w:hAnsi="Garamond"/>
          <w:iCs/>
        </w:rPr>
        <w:t xml:space="preserve">leur </w:t>
      </w:r>
      <w:r w:rsidRPr="009B6D19">
        <w:rPr>
          <w:rFonts w:ascii="Garamond" w:hAnsi="Garamond"/>
          <w:iCs/>
        </w:rPr>
        <w:t>transférées</w:t>
      </w:r>
      <w:r>
        <w:rPr>
          <w:rFonts w:ascii="Garamond" w:hAnsi="Garamond"/>
          <w:iCs/>
        </w:rPr>
        <w:t xml:space="preserve"> par les provinces, des ressources propres générées par une fiscalité locale et sont sous responsabilité du Gouverneur de province (RDC, 2008a). Par ailleurs, cette fiscalité locale est essentiellement composée des taxes et droits locaux, des recettes de participation et de l’impôt  personnel minimum (RDC, 2008b). </w:t>
      </w:r>
      <w:r>
        <w:rPr>
          <w:rFonts w:ascii="Garamond" w:hAnsi="Garamond"/>
        </w:rPr>
        <w:t>En outre</w:t>
      </w:r>
      <w:r w:rsidRPr="009B6D19">
        <w:rPr>
          <w:rFonts w:ascii="Garamond" w:hAnsi="Garamond"/>
        </w:rPr>
        <w:t>, la province est une « </w:t>
      </w:r>
      <w:r w:rsidRPr="009B6D19">
        <w:rPr>
          <w:rFonts w:ascii="Garamond" w:hAnsi="Garamond"/>
          <w:i/>
        </w:rPr>
        <w:t>entité territoriale politique régionalisée »</w:t>
      </w:r>
      <w:r w:rsidRPr="009B6D19">
        <w:rPr>
          <w:rFonts w:ascii="Garamond" w:hAnsi="Garamond"/>
        </w:rPr>
        <w:t xml:space="preserve"> </w:t>
      </w:r>
      <w:r>
        <w:rPr>
          <w:rFonts w:ascii="Garamond" w:hAnsi="Garamond"/>
        </w:rPr>
        <w:t xml:space="preserve">(RDC, 2008b ; </w:t>
      </w:r>
      <w:r w:rsidRPr="009B6D19">
        <w:rPr>
          <w:rFonts w:ascii="Garamond" w:hAnsi="Garamond"/>
        </w:rPr>
        <w:t>Mabiala, 2009</w:t>
      </w:r>
      <w:r>
        <w:rPr>
          <w:rFonts w:ascii="Garamond" w:hAnsi="Garamond"/>
        </w:rPr>
        <w:t xml:space="preserve"> ; </w:t>
      </w:r>
      <w:proofErr w:type="spellStart"/>
      <w:r>
        <w:rPr>
          <w:rFonts w:ascii="Garamond" w:hAnsi="Garamond"/>
        </w:rPr>
        <w:t>Kombo</w:t>
      </w:r>
      <w:proofErr w:type="spellEnd"/>
      <w:r>
        <w:rPr>
          <w:rFonts w:ascii="Garamond" w:hAnsi="Garamond"/>
        </w:rPr>
        <w:t xml:space="preserve"> </w:t>
      </w:r>
      <w:proofErr w:type="spellStart"/>
      <w:r>
        <w:rPr>
          <w:rFonts w:ascii="Garamond" w:hAnsi="Garamond"/>
        </w:rPr>
        <w:t>Yetilo</w:t>
      </w:r>
      <w:proofErr w:type="spellEnd"/>
      <w:r>
        <w:rPr>
          <w:rFonts w:ascii="Garamond" w:hAnsi="Garamond"/>
        </w:rPr>
        <w:t xml:space="preserve">, </w:t>
      </w:r>
      <w:r w:rsidRPr="009B6D19">
        <w:rPr>
          <w:rFonts w:ascii="Garamond" w:hAnsi="Garamond"/>
        </w:rPr>
        <w:t>2010)</w:t>
      </w:r>
      <w:r>
        <w:rPr>
          <w:rFonts w:ascii="Garamond" w:hAnsi="Garamond"/>
        </w:rPr>
        <w:t xml:space="preserve"> </w:t>
      </w:r>
      <w:r w:rsidRPr="009B6D19">
        <w:rPr>
          <w:rFonts w:ascii="Garamond" w:hAnsi="Garamond"/>
        </w:rPr>
        <w:t xml:space="preserve">dotée d’une personnalité juridique sous la gestion des </w:t>
      </w:r>
      <w:r>
        <w:rPr>
          <w:rFonts w:ascii="Garamond" w:hAnsi="Garamond"/>
        </w:rPr>
        <w:t>acteurs</w:t>
      </w:r>
      <w:r w:rsidRPr="009B6D19">
        <w:rPr>
          <w:rFonts w:ascii="Garamond" w:hAnsi="Garamond"/>
        </w:rPr>
        <w:t xml:space="preserve"> locaux</w:t>
      </w:r>
      <w:r>
        <w:rPr>
          <w:rFonts w:ascii="Garamond" w:hAnsi="Garamond"/>
        </w:rPr>
        <w:t xml:space="preserve"> élus</w:t>
      </w:r>
      <w:r w:rsidRPr="009B6D19">
        <w:rPr>
          <w:rFonts w:ascii="Garamond" w:hAnsi="Garamond"/>
        </w:rPr>
        <w:t>.</w:t>
      </w:r>
      <w:r>
        <w:rPr>
          <w:rFonts w:ascii="Garamond" w:hAnsi="Garamond"/>
        </w:rPr>
        <w:t xml:space="preserve"> </w:t>
      </w:r>
    </w:p>
    <w:p w14:paraId="1A8408B5" w14:textId="5768B491" w:rsidR="00804868" w:rsidRPr="009B6D19" w:rsidRDefault="00804868" w:rsidP="00804868">
      <w:pPr>
        <w:rPr>
          <w:rFonts w:ascii="Garamond" w:hAnsi="Garamond"/>
        </w:rPr>
      </w:pPr>
      <w:r w:rsidRPr="009B6D19">
        <w:rPr>
          <w:rFonts w:ascii="Garamond" w:hAnsi="Garamond"/>
        </w:rPr>
        <w:lastRenderedPageBreak/>
        <w:t>Dès lors que ces ETD disposent d’une autonomie</w:t>
      </w:r>
      <w:r>
        <w:rPr>
          <w:rFonts w:ascii="Garamond" w:hAnsi="Garamond"/>
        </w:rPr>
        <w:t>, d’un portefeuille des compétences notamment en matière des finances publiques locales et qu’elles sont sous la coupole des dirigeants élus</w:t>
      </w:r>
      <w:r w:rsidR="00F4742A">
        <w:rPr>
          <w:rFonts w:ascii="Garamond" w:hAnsi="Garamond"/>
        </w:rPr>
        <w:t xml:space="preserve"> localement</w:t>
      </w:r>
      <w:r>
        <w:rPr>
          <w:rFonts w:ascii="Garamond" w:hAnsi="Garamond"/>
        </w:rPr>
        <w:t xml:space="preserve">, elles </w:t>
      </w:r>
      <w:r w:rsidRPr="00F4742A">
        <w:rPr>
          <w:rFonts w:ascii="Garamond" w:hAnsi="Garamond"/>
        </w:rPr>
        <w:t>disposent de deux in</w:t>
      </w:r>
      <w:r w:rsidR="00F4742A">
        <w:rPr>
          <w:rFonts w:ascii="Garamond" w:hAnsi="Garamond"/>
        </w:rPr>
        <w:t>struments importants comme acte</w:t>
      </w:r>
      <w:r w:rsidRPr="00F4742A">
        <w:rPr>
          <w:rFonts w:ascii="Garamond" w:hAnsi="Garamond"/>
        </w:rPr>
        <w:t xml:space="preserve"> de responsabilisation</w:t>
      </w:r>
      <w:r w:rsidR="002C51E3">
        <w:rPr>
          <w:rFonts w:ascii="Garamond" w:hAnsi="Garamond"/>
        </w:rPr>
        <w:t xml:space="preserve"> (RDC, 2008a)</w:t>
      </w:r>
      <w:r w:rsidRPr="00F4742A">
        <w:rPr>
          <w:rFonts w:ascii="Garamond" w:hAnsi="Garamond"/>
        </w:rPr>
        <w:t xml:space="preserve">. Il s’agit du plan de développement local et du Budget ou Décision budgétaire. Si le premier instrument centralise, par programmes, les grandes priorités de l’entité validées par l’ensemble des parties prenantes, le second par contre, permet </w:t>
      </w:r>
      <w:r w:rsidR="00F4742A">
        <w:rPr>
          <w:rFonts w:ascii="Garamond" w:hAnsi="Garamond"/>
        </w:rPr>
        <w:t xml:space="preserve">de prévoir et </w:t>
      </w:r>
      <w:r w:rsidRPr="00F4742A">
        <w:rPr>
          <w:rFonts w:ascii="Garamond" w:hAnsi="Garamond"/>
        </w:rPr>
        <w:t>d’encadrer l</w:t>
      </w:r>
      <w:r w:rsidR="00F4742A">
        <w:rPr>
          <w:rFonts w:ascii="Garamond" w:hAnsi="Garamond"/>
        </w:rPr>
        <w:t>es ressources issues de la fisca</w:t>
      </w:r>
      <w:r w:rsidRPr="00F4742A">
        <w:rPr>
          <w:rFonts w:ascii="Garamond" w:hAnsi="Garamond"/>
        </w:rPr>
        <w:t>lité et d’assurer l</w:t>
      </w:r>
      <w:r w:rsidR="00F4742A">
        <w:rPr>
          <w:rFonts w:ascii="Garamond" w:hAnsi="Garamond"/>
        </w:rPr>
        <w:t xml:space="preserve">eur </w:t>
      </w:r>
      <w:r w:rsidRPr="00F4742A">
        <w:rPr>
          <w:rFonts w:ascii="Garamond" w:hAnsi="Garamond"/>
        </w:rPr>
        <w:t>affectation aux priorités locales. Le fait que ce budget soit le reflet des ambitions de l’exécutif coulées dans son programme de développement local</w:t>
      </w:r>
      <w:r w:rsidR="00F4742A">
        <w:rPr>
          <w:rFonts w:ascii="Garamond" w:hAnsi="Garamond"/>
        </w:rPr>
        <w:t xml:space="preserve"> validé par l’exécutif</w:t>
      </w:r>
      <w:r w:rsidRPr="00F4742A">
        <w:rPr>
          <w:rFonts w:ascii="Garamond" w:hAnsi="Garamond"/>
        </w:rPr>
        <w:t xml:space="preserve">, il constitue un </w:t>
      </w:r>
      <w:r w:rsidRPr="009B6D19">
        <w:rPr>
          <w:rFonts w:ascii="Garamond" w:hAnsi="Garamond"/>
        </w:rPr>
        <w:t>acte d’engagement, de réactivité et de responsabilisation des décideurs vis-à-vis de leurs citoyens. Les choix budgétaires apparaissent ainsi comme une confrontation des rapports de force (Tellier, 2020 :9) entre d’une part, l’exécutif et l’organe délibérant et d’autre part, entre ce dernier comme l’émanation du peuple et les électeurs. En sus de ces responsabilités, les gestionnaires des ETD sont tenus</w:t>
      </w:r>
      <w:r>
        <w:rPr>
          <w:rFonts w:ascii="Garamond" w:hAnsi="Garamond"/>
        </w:rPr>
        <w:t xml:space="preserve"> </w:t>
      </w:r>
      <w:r w:rsidRPr="009B6D19">
        <w:rPr>
          <w:rFonts w:ascii="Garamond" w:hAnsi="Garamond"/>
        </w:rPr>
        <w:t>à l’obligation de rendre compte à la fois aux</w:t>
      </w:r>
      <w:r>
        <w:rPr>
          <w:rFonts w:ascii="Garamond" w:hAnsi="Garamond"/>
        </w:rPr>
        <w:t xml:space="preserve"> </w:t>
      </w:r>
      <w:r w:rsidRPr="009B6D19">
        <w:rPr>
          <w:rFonts w:ascii="Garamond" w:hAnsi="Garamond"/>
        </w:rPr>
        <w:t>électeurs comme gage de leur maintien au pouvoir (Lemieux, 2001),</w:t>
      </w:r>
      <w:r>
        <w:rPr>
          <w:rFonts w:ascii="Garamond" w:hAnsi="Garamond"/>
        </w:rPr>
        <w:t xml:space="preserve"> </w:t>
      </w:r>
      <w:r w:rsidRPr="009B6D19">
        <w:rPr>
          <w:rFonts w:ascii="Garamond" w:hAnsi="Garamond"/>
        </w:rPr>
        <w:t>à l’organe délibérant</w:t>
      </w:r>
      <w:r>
        <w:rPr>
          <w:rFonts w:ascii="Garamond" w:hAnsi="Garamond"/>
        </w:rPr>
        <w:t xml:space="preserve"> auprès duquel l’exécutif s’engage à travers son programme d’actions</w:t>
      </w:r>
      <w:r w:rsidRPr="009B6D19">
        <w:rPr>
          <w:rFonts w:ascii="Garamond" w:hAnsi="Garamond"/>
        </w:rPr>
        <w:t xml:space="preserve"> et au Gouverneur de province comme </w:t>
      </w:r>
      <w:r w:rsidR="006028C9">
        <w:rPr>
          <w:rFonts w:ascii="Garamond" w:hAnsi="Garamond"/>
        </w:rPr>
        <w:t>autorité de tutelle</w:t>
      </w:r>
      <w:r w:rsidRPr="009B6D19">
        <w:rPr>
          <w:rFonts w:ascii="Garamond" w:hAnsi="Garamond"/>
        </w:rPr>
        <w:t xml:space="preserve"> des ETD. </w:t>
      </w:r>
    </w:p>
    <w:p w14:paraId="564ED0CF" w14:textId="1354D293" w:rsidR="00804868" w:rsidRPr="009B6D19" w:rsidRDefault="00804868" w:rsidP="00804868">
      <w:pPr>
        <w:rPr>
          <w:rFonts w:ascii="Garamond" w:hAnsi="Garamond"/>
        </w:rPr>
      </w:pPr>
      <w:r>
        <w:rPr>
          <w:rFonts w:ascii="Garamond" w:hAnsi="Garamond"/>
        </w:rPr>
        <w:t xml:space="preserve">Etant donné que </w:t>
      </w:r>
      <w:r>
        <w:rPr>
          <w:rFonts w:ascii="Garamond" w:hAnsi="Garamond"/>
          <w:lang w:eastAsia="fr-FR"/>
        </w:rPr>
        <w:t xml:space="preserve">la </w:t>
      </w:r>
      <w:r w:rsidRPr="009B6D19">
        <w:rPr>
          <w:rFonts w:ascii="Garamond" w:hAnsi="Garamond"/>
          <w:lang w:eastAsia="fr-FR"/>
        </w:rPr>
        <w:t>responsabilité</w:t>
      </w:r>
      <w:r w:rsidR="004A22F0">
        <w:rPr>
          <w:rFonts w:ascii="Garamond" w:hAnsi="Garamond"/>
          <w:lang w:eastAsia="fr-FR"/>
        </w:rPr>
        <w:t xml:space="preserve"> </w:t>
      </w:r>
      <w:r w:rsidRPr="009B6D19">
        <w:rPr>
          <w:rFonts w:ascii="Garamond" w:hAnsi="Garamond"/>
          <w:lang w:eastAsia="fr-FR"/>
        </w:rPr>
        <w:t>est indissociable de la reddition des comptes</w:t>
      </w:r>
      <w:r>
        <w:rPr>
          <w:rFonts w:ascii="Garamond" w:hAnsi="Garamond"/>
          <w:lang w:eastAsia="fr-FR"/>
        </w:rPr>
        <w:t xml:space="preserve"> et qu’elle consiste à céder </w:t>
      </w:r>
      <w:r w:rsidRPr="009B6D19">
        <w:rPr>
          <w:rFonts w:ascii="Garamond" w:hAnsi="Garamond"/>
          <w:lang w:eastAsia="fr-FR"/>
        </w:rPr>
        <w:t>une partie ou la globalité de son pouvoir décisionnel</w:t>
      </w:r>
      <w:r>
        <w:rPr>
          <w:rFonts w:ascii="Garamond" w:hAnsi="Garamond"/>
          <w:lang w:eastAsia="fr-FR"/>
        </w:rPr>
        <w:t xml:space="preserve"> </w:t>
      </w:r>
      <w:r w:rsidRPr="009B6D19">
        <w:rPr>
          <w:rFonts w:ascii="Garamond" w:hAnsi="Garamond"/>
          <w:lang w:eastAsia="fr-FR"/>
        </w:rPr>
        <w:t>ou de ses compétences à une institution, à un acteur politique, administratif ou</w:t>
      </w:r>
      <w:r>
        <w:rPr>
          <w:rFonts w:ascii="Garamond" w:hAnsi="Garamond"/>
          <w:lang w:eastAsia="fr-FR"/>
        </w:rPr>
        <w:t xml:space="preserve"> </w:t>
      </w:r>
      <w:r w:rsidRPr="009B6D19">
        <w:rPr>
          <w:rFonts w:ascii="Garamond" w:hAnsi="Garamond"/>
          <w:lang w:eastAsia="fr-FR"/>
        </w:rPr>
        <w:t>privé en vue de</w:t>
      </w:r>
      <w:r>
        <w:rPr>
          <w:rFonts w:ascii="Garamond" w:hAnsi="Garamond"/>
          <w:lang w:eastAsia="fr-FR"/>
        </w:rPr>
        <w:t xml:space="preserve"> </w:t>
      </w:r>
      <w:r w:rsidRPr="009B6D19">
        <w:rPr>
          <w:rFonts w:ascii="Garamond" w:hAnsi="Garamond"/>
          <w:lang w:eastAsia="fr-FR"/>
        </w:rPr>
        <w:t>participer et prendre position à</w:t>
      </w:r>
      <w:r>
        <w:rPr>
          <w:rFonts w:ascii="Garamond" w:hAnsi="Garamond"/>
          <w:lang w:eastAsia="fr-FR"/>
        </w:rPr>
        <w:t xml:space="preserve"> </w:t>
      </w:r>
      <w:r w:rsidRPr="009B6D19">
        <w:rPr>
          <w:rFonts w:ascii="Garamond" w:hAnsi="Garamond"/>
          <w:lang w:eastAsia="fr-FR"/>
        </w:rPr>
        <w:t>son nom et pour son compte</w:t>
      </w:r>
      <w:r>
        <w:rPr>
          <w:rFonts w:ascii="Garamond" w:hAnsi="Garamond"/>
          <w:lang w:eastAsia="fr-FR"/>
        </w:rPr>
        <w:t xml:space="preserve">, </w:t>
      </w:r>
      <w:r>
        <w:rPr>
          <w:rFonts w:ascii="Garamond" w:hAnsi="Garamond"/>
        </w:rPr>
        <w:t>p</w:t>
      </w:r>
      <w:r w:rsidRPr="009B6D19">
        <w:rPr>
          <w:rFonts w:ascii="Garamond" w:hAnsi="Garamond"/>
        </w:rPr>
        <w:t xml:space="preserve">lusieurs facteurs sont susceptibles d’influencer </w:t>
      </w:r>
      <w:r>
        <w:rPr>
          <w:rFonts w:ascii="Garamond" w:hAnsi="Garamond"/>
        </w:rPr>
        <w:t>sa trajectoire. I</w:t>
      </w:r>
      <w:r w:rsidRPr="009B6D19">
        <w:rPr>
          <w:rFonts w:ascii="Garamond" w:hAnsi="Garamond"/>
        </w:rPr>
        <w:t>l n’est pas exclu que</w:t>
      </w:r>
      <w:r>
        <w:rPr>
          <w:rFonts w:ascii="Garamond" w:hAnsi="Garamond"/>
        </w:rPr>
        <w:t xml:space="preserve"> </w:t>
      </w:r>
      <w:r w:rsidRPr="009B6D19">
        <w:rPr>
          <w:rFonts w:ascii="Garamond" w:hAnsi="Garamond"/>
        </w:rPr>
        <w:t>leur</w:t>
      </w:r>
      <w:r>
        <w:rPr>
          <w:rFonts w:ascii="Garamond" w:hAnsi="Garamond"/>
        </w:rPr>
        <w:t xml:space="preserve"> </w:t>
      </w:r>
      <w:r w:rsidRPr="009B6D19">
        <w:rPr>
          <w:rFonts w:ascii="Garamond" w:hAnsi="Garamond"/>
        </w:rPr>
        <w:t>traduction dans les faits et dans les</w:t>
      </w:r>
      <w:r>
        <w:rPr>
          <w:rFonts w:ascii="Garamond" w:hAnsi="Garamond"/>
        </w:rPr>
        <w:t xml:space="preserve"> </w:t>
      </w:r>
      <w:r w:rsidRPr="009B6D19">
        <w:rPr>
          <w:rFonts w:ascii="Garamond" w:hAnsi="Garamond"/>
        </w:rPr>
        <w:t>intentions suive une orientation tordue. Cette orientation se cristallise sur un bon nombre des registres notamment la culture</w:t>
      </w:r>
      <w:r w:rsidR="009E0811">
        <w:rPr>
          <w:rFonts w:ascii="Garamond" w:hAnsi="Garamond"/>
        </w:rPr>
        <w:t xml:space="preserve"> politique et le contexte (</w:t>
      </w:r>
      <w:r w:rsidR="009E0811" w:rsidRPr="009E0811">
        <w:rPr>
          <w:rFonts w:ascii="Garamond" w:hAnsi="Garamond"/>
        </w:rPr>
        <w:t>Leclerc, G. &amp; al., 1996)</w:t>
      </w:r>
      <w:r w:rsidRPr="009B6D19">
        <w:rPr>
          <w:rFonts w:ascii="Garamond" w:hAnsi="Garamond"/>
        </w:rPr>
        <w:t>, la conception du pouvoir par le souverain primaire</w:t>
      </w:r>
      <w:r w:rsidR="00E0326F">
        <w:rPr>
          <w:rFonts w:ascii="Garamond" w:hAnsi="Garamond"/>
        </w:rPr>
        <w:t xml:space="preserve"> comme destinataire de la reddition des comptes</w:t>
      </w:r>
      <w:r w:rsidRPr="009B6D19">
        <w:rPr>
          <w:rFonts w:ascii="Garamond" w:hAnsi="Garamond"/>
        </w:rPr>
        <w:t>, la possibilité dont bénéficient et usent les acteurs de la société civile et les citoyens à demander des comptes à l’Etat</w:t>
      </w:r>
      <w:r w:rsidR="00E0326F">
        <w:rPr>
          <w:rFonts w:ascii="Garamond" w:hAnsi="Garamond"/>
        </w:rPr>
        <w:t xml:space="preserve"> (Leiderer &amp; Wolff, 2007 ; </w:t>
      </w:r>
      <w:r>
        <w:rPr>
          <w:rFonts w:ascii="Garamond" w:hAnsi="Garamond"/>
        </w:rPr>
        <w:t xml:space="preserve"> </w:t>
      </w:r>
      <w:r w:rsidR="00E0326F">
        <w:rPr>
          <w:rFonts w:ascii="Garamond" w:hAnsi="Garamond"/>
        </w:rPr>
        <w:t xml:space="preserve">Hertzog, 2016) </w:t>
      </w:r>
      <w:r w:rsidRPr="009B6D19">
        <w:rPr>
          <w:rFonts w:ascii="Garamond" w:hAnsi="Garamond"/>
        </w:rPr>
        <w:t>ainsi que  la capacité d’influence des acteurs locaux au sein du forum de mise en œuvre de la décentralisation</w:t>
      </w:r>
      <w:r w:rsidR="00311DCE">
        <w:rPr>
          <w:rFonts w:ascii="Garamond" w:hAnsi="Garamond"/>
        </w:rPr>
        <w:t xml:space="preserve"> (Fox, 2000 ; Ahmad, 2008)</w:t>
      </w:r>
      <w:r w:rsidRPr="009B6D19">
        <w:rPr>
          <w:rFonts w:ascii="Garamond" w:hAnsi="Garamond"/>
        </w:rPr>
        <w:t>. Ainsi, chaque ETD essaie de composer avec la complexité de ces facteurs dans la pratique de la reddition des comptes et de la responsabilisation. Cette complexité se retrouve exacerbée de plus en plus lorsqu’il s’agit d’une part, de la gestion des finances publiques dans un système de gouvernance</w:t>
      </w:r>
      <w:r>
        <w:rPr>
          <w:rFonts w:ascii="Garamond" w:hAnsi="Garamond"/>
        </w:rPr>
        <w:t xml:space="preserve"> </w:t>
      </w:r>
      <w:r w:rsidRPr="009B6D19">
        <w:rPr>
          <w:rFonts w:ascii="Garamond" w:hAnsi="Garamond"/>
        </w:rPr>
        <w:t>multiniveau et moins transparent et d’autre part, dans un contexte de système de gestion hybride</w:t>
      </w:r>
      <w:r>
        <w:rPr>
          <w:rFonts w:ascii="Garamond" w:hAnsi="Garamond"/>
        </w:rPr>
        <w:t xml:space="preserve"> et de réforme imposée sur un terrain aux valeurs</w:t>
      </w:r>
      <w:r w:rsidR="00A60011">
        <w:rPr>
          <w:rFonts w:ascii="Garamond" w:hAnsi="Garamond"/>
        </w:rPr>
        <w:t xml:space="preserve"> </w:t>
      </w:r>
      <w:r>
        <w:rPr>
          <w:rFonts w:ascii="Garamond" w:hAnsi="Garamond"/>
        </w:rPr>
        <w:t xml:space="preserve">culturellement et politiquement </w:t>
      </w:r>
      <w:r w:rsidR="00A60011">
        <w:rPr>
          <w:rFonts w:ascii="Garamond" w:hAnsi="Garamond"/>
        </w:rPr>
        <w:t xml:space="preserve">spécifiques et </w:t>
      </w:r>
      <w:r>
        <w:rPr>
          <w:rFonts w:ascii="Garamond" w:hAnsi="Garamond"/>
        </w:rPr>
        <w:t>institutionnalisées</w:t>
      </w:r>
      <w:r w:rsidRPr="009B6D19">
        <w:rPr>
          <w:rFonts w:ascii="Garamond" w:hAnsi="Garamond"/>
        </w:rPr>
        <w:t xml:space="preserve">. </w:t>
      </w:r>
    </w:p>
    <w:p w14:paraId="28AD72DD" w14:textId="4E3B7401" w:rsidR="00804868" w:rsidRPr="009B6D19" w:rsidRDefault="00804868" w:rsidP="00804868">
      <w:pPr>
        <w:rPr>
          <w:rFonts w:ascii="Garamond" w:hAnsi="Garamond"/>
        </w:rPr>
      </w:pPr>
      <w:r w:rsidRPr="009B6D19">
        <w:rPr>
          <w:rFonts w:ascii="Garamond" w:hAnsi="Garamond"/>
        </w:rPr>
        <w:lastRenderedPageBreak/>
        <w:t>C’est dans ce cadre que s’inscrit la présente étude qui cherche à</w:t>
      </w:r>
      <w:r>
        <w:rPr>
          <w:rFonts w:ascii="Garamond" w:hAnsi="Garamond"/>
        </w:rPr>
        <w:t xml:space="preserve"> comprendre</w:t>
      </w:r>
      <w:r w:rsidRPr="009B6D19">
        <w:rPr>
          <w:rFonts w:ascii="Garamond" w:hAnsi="Garamond"/>
        </w:rPr>
        <w:t>,</w:t>
      </w:r>
      <w:r>
        <w:rPr>
          <w:rFonts w:ascii="Garamond" w:hAnsi="Garamond"/>
        </w:rPr>
        <w:t xml:space="preserve"> sous</w:t>
      </w:r>
      <w:r w:rsidRPr="009B6D19">
        <w:rPr>
          <w:rFonts w:ascii="Garamond" w:hAnsi="Garamond"/>
        </w:rPr>
        <w:t xml:space="preserve"> une perspective transversale et holistique</w:t>
      </w:r>
      <w:r>
        <w:rPr>
          <w:rFonts w:ascii="Garamond" w:hAnsi="Garamond"/>
        </w:rPr>
        <w:t>,</w:t>
      </w:r>
      <w:r w:rsidRPr="00D32F75">
        <w:rPr>
          <w:rFonts w:ascii="Garamond" w:hAnsi="Garamond"/>
          <w:lang w:eastAsia="fr-FR"/>
        </w:rPr>
        <w:t xml:space="preserve"> comment les choix opérés </w:t>
      </w:r>
      <w:r>
        <w:rPr>
          <w:rFonts w:ascii="Garamond" w:hAnsi="Garamond"/>
          <w:lang w:eastAsia="fr-FR"/>
        </w:rPr>
        <w:t xml:space="preserve">dans le passé ont influencé la </w:t>
      </w:r>
      <w:r w:rsidRPr="00D32F75">
        <w:rPr>
          <w:rFonts w:ascii="Garamond" w:hAnsi="Garamond"/>
          <w:lang w:eastAsia="fr-FR"/>
        </w:rPr>
        <w:t xml:space="preserve"> trajectoire de la décentralisation en RDC en général et dans la Ville-Province de Kinshasa en particulier</w:t>
      </w:r>
      <w:r>
        <w:rPr>
          <w:rFonts w:ascii="Garamond" w:hAnsi="Garamond"/>
          <w:lang w:eastAsia="fr-FR"/>
        </w:rPr>
        <w:t xml:space="preserve">. </w:t>
      </w:r>
      <w:r w:rsidRPr="009B6D19">
        <w:rPr>
          <w:rFonts w:ascii="Garamond" w:hAnsi="Garamond"/>
        </w:rPr>
        <w:t xml:space="preserve">Cette dernière, au-delà d’être </w:t>
      </w:r>
      <w:r>
        <w:rPr>
          <w:rFonts w:ascii="Garamond" w:hAnsi="Garamond"/>
        </w:rPr>
        <w:t xml:space="preserve">une </w:t>
      </w:r>
      <w:r w:rsidRPr="009B6D19">
        <w:rPr>
          <w:rFonts w:ascii="Garamond" w:hAnsi="Garamond"/>
        </w:rPr>
        <w:t xml:space="preserve">institution provinciale, elle est également la capitale politique de la RDC ainsi qu’un terrain commun d'achoppement entre les grands groupes rivaux macro-ethniques ou provinciaux (TSHIBUABUA-KAPY’A </w:t>
      </w:r>
      <w:proofErr w:type="spellStart"/>
      <w:r w:rsidRPr="009B6D19">
        <w:rPr>
          <w:rFonts w:ascii="Garamond" w:hAnsi="Garamond"/>
        </w:rPr>
        <w:t>Kalubi</w:t>
      </w:r>
      <w:proofErr w:type="spellEnd"/>
      <w:r w:rsidRPr="009B6D19">
        <w:rPr>
          <w:rFonts w:ascii="Garamond" w:hAnsi="Garamond"/>
        </w:rPr>
        <w:t>, 2006). Il sera donc question de comprendre si la décentralisation instaurée par la Constitution de 2006 parvient à impacter l</w:t>
      </w:r>
      <w:r w:rsidR="00F5686D">
        <w:rPr>
          <w:rFonts w:ascii="Garamond" w:hAnsi="Garamond"/>
        </w:rPr>
        <w:t>’effectivité de l</w:t>
      </w:r>
      <w:r w:rsidRPr="009B6D19">
        <w:rPr>
          <w:rFonts w:ascii="Garamond" w:hAnsi="Garamond"/>
        </w:rPr>
        <w:t xml:space="preserve">a responsabilité financière des ETD de Kinshasa et conduit désormais les décideurs locaux à rendre des comptes contrairement aux institutions </w:t>
      </w:r>
      <w:r w:rsidR="00215061">
        <w:rPr>
          <w:rFonts w:ascii="Garamond" w:hAnsi="Garamond"/>
        </w:rPr>
        <w:t>pré</w:t>
      </w:r>
      <w:r w:rsidRPr="009B6D19">
        <w:rPr>
          <w:rFonts w:ascii="Garamond" w:hAnsi="Garamond"/>
        </w:rPr>
        <w:t>-</w:t>
      </w:r>
      <w:r w:rsidR="00215061">
        <w:rPr>
          <w:rFonts w:ascii="Garamond" w:hAnsi="Garamond"/>
        </w:rPr>
        <w:t>réforme</w:t>
      </w:r>
      <w:r w:rsidRPr="009B6D19">
        <w:rPr>
          <w:rFonts w:ascii="Garamond" w:hAnsi="Garamond"/>
        </w:rPr>
        <w:t>.</w:t>
      </w:r>
    </w:p>
    <w:p w14:paraId="211C3DB6" w14:textId="4FF7A318" w:rsidR="00804868" w:rsidRDefault="00804868" w:rsidP="00804868">
      <w:pPr>
        <w:rPr>
          <w:rFonts w:ascii="Garamond" w:hAnsi="Garamond"/>
        </w:rPr>
      </w:pPr>
      <w:r w:rsidRPr="009B6D19">
        <w:rPr>
          <w:rFonts w:ascii="Garamond" w:hAnsi="Garamond"/>
        </w:rPr>
        <w:t>Pour y parvenir, la présente étude s’articule autour de 4 chapitres.</w:t>
      </w:r>
      <w:r>
        <w:rPr>
          <w:rFonts w:ascii="Garamond" w:hAnsi="Garamond"/>
        </w:rPr>
        <w:t xml:space="preserve"> Le premier met un focus sur la problématique de</w:t>
      </w:r>
      <w:r w:rsidRPr="009B6D19">
        <w:rPr>
          <w:rFonts w:ascii="Garamond" w:hAnsi="Garamond"/>
        </w:rPr>
        <w:t xml:space="preserve"> la décentralisation en RDC en général et en particulier </w:t>
      </w:r>
      <w:r>
        <w:rPr>
          <w:rFonts w:ascii="Garamond" w:hAnsi="Garamond"/>
        </w:rPr>
        <w:t xml:space="preserve">sur </w:t>
      </w:r>
      <w:r w:rsidRPr="009B6D19">
        <w:rPr>
          <w:rFonts w:ascii="Garamond" w:hAnsi="Garamond"/>
        </w:rPr>
        <w:t xml:space="preserve">la responsabilisation financière et la reddition des comptes qui en découlent. Dans une approche incrémentale, il met tout d’abord l’accent sur la RDC, ensuite sur la ville-Province de Kinshasa en tant qu’entité politique régionalisée </w:t>
      </w:r>
      <w:r>
        <w:rPr>
          <w:rFonts w:ascii="Garamond" w:hAnsi="Garamond"/>
        </w:rPr>
        <w:t xml:space="preserve">et enfin, creuse </w:t>
      </w:r>
      <w:r w:rsidRPr="009B6D19">
        <w:rPr>
          <w:rFonts w:ascii="Garamond" w:hAnsi="Garamond"/>
        </w:rPr>
        <w:t>davantage dans les Communes comme ETD pivot de la Ville de Kinshasa. Le deuxième chapitre est consacré uniquement</w:t>
      </w:r>
      <w:r>
        <w:rPr>
          <w:rFonts w:ascii="Garamond" w:hAnsi="Garamond"/>
        </w:rPr>
        <w:t xml:space="preserve"> </w:t>
      </w:r>
      <w:r w:rsidRPr="009B6D19">
        <w:rPr>
          <w:rFonts w:ascii="Garamond" w:hAnsi="Garamond"/>
        </w:rPr>
        <w:t>à la revue de la littérature</w:t>
      </w:r>
      <w:r>
        <w:rPr>
          <w:rFonts w:ascii="Garamond" w:hAnsi="Garamond"/>
        </w:rPr>
        <w:t xml:space="preserve"> et passe en revue les concepts clés de la </w:t>
      </w:r>
      <w:r w:rsidRPr="009B6D19">
        <w:rPr>
          <w:rFonts w:ascii="Garamond" w:hAnsi="Garamond"/>
        </w:rPr>
        <w:t>décentralisation (décentralisation, dévolution et déconcentration), de la responsabilité financière et/ou budgétaire et de la reddition des comptes</w:t>
      </w:r>
      <w:r>
        <w:rPr>
          <w:rFonts w:ascii="Garamond" w:hAnsi="Garamond"/>
        </w:rPr>
        <w:t>. Il se positionne enfin, sur le développement de l’approche néo</w:t>
      </w:r>
      <w:r w:rsidRPr="009B6D19">
        <w:rPr>
          <w:rFonts w:ascii="Garamond" w:hAnsi="Garamond"/>
        </w:rPr>
        <w:t>-institutionnalis</w:t>
      </w:r>
      <w:r>
        <w:rPr>
          <w:rFonts w:ascii="Garamond" w:hAnsi="Garamond"/>
        </w:rPr>
        <w:t xml:space="preserve">te </w:t>
      </w:r>
      <w:r w:rsidRPr="009B6D19">
        <w:rPr>
          <w:rFonts w:ascii="Garamond" w:hAnsi="Garamond"/>
        </w:rPr>
        <w:t xml:space="preserve">duquel découle la dépendance au sentier. La compréhension de ces concepts permet d’une part de </w:t>
      </w:r>
      <w:r>
        <w:rPr>
          <w:rFonts w:ascii="Garamond" w:hAnsi="Garamond"/>
        </w:rPr>
        <w:t xml:space="preserve">mieux </w:t>
      </w:r>
      <w:r w:rsidRPr="009B6D19">
        <w:rPr>
          <w:rFonts w:ascii="Garamond" w:hAnsi="Garamond"/>
        </w:rPr>
        <w:t xml:space="preserve">cadrer </w:t>
      </w:r>
      <w:r>
        <w:rPr>
          <w:rFonts w:ascii="Garamond" w:hAnsi="Garamond"/>
        </w:rPr>
        <w:t>l’étude ; d’</w:t>
      </w:r>
      <w:r w:rsidRPr="009B6D19">
        <w:rPr>
          <w:rFonts w:ascii="Garamond" w:hAnsi="Garamond"/>
        </w:rPr>
        <w:t>appréhender les acteurs, les idées et les instruments autour de la décentralisation en RDC ainsi que d’</w:t>
      </w:r>
      <w:r>
        <w:rPr>
          <w:rFonts w:ascii="Garamond" w:hAnsi="Garamond"/>
        </w:rPr>
        <w:t xml:space="preserve">opérer une autopsie pour mieux maitriser les </w:t>
      </w:r>
      <w:r w:rsidRPr="009B6D19">
        <w:rPr>
          <w:rFonts w:ascii="Garamond" w:hAnsi="Garamond"/>
        </w:rPr>
        <w:t>blocages et les avancées sur la trajectoire de la mise en œuvre de la décentralisation en RDC. Le troisième</w:t>
      </w:r>
      <w:r>
        <w:rPr>
          <w:rFonts w:ascii="Garamond" w:hAnsi="Garamond"/>
        </w:rPr>
        <w:t xml:space="preserve"> par contre, s’arcboute sur la stratégie de recherche de la présente étude et développe d’une part, la stratégie de recherche, définit les objectifs, pose une question de recherche et développe le cadre théorique ainsi que la méthodologie de recherche. </w:t>
      </w:r>
    </w:p>
    <w:p w14:paraId="53783626" w14:textId="77777777" w:rsidR="00804868" w:rsidRPr="009B6D19" w:rsidRDefault="00804868" w:rsidP="00804868">
      <w:pPr>
        <w:rPr>
          <w:rFonts w:ascii="Garamond" w:hAnsi="Garamond"/>
        </w:rPr>
      </w:pPr>
      <w:r w:rsidRPr="009B6D19">
        <w:rPr>
          <w:rFonts w:ascii="Garamond" w:hAnsi="Garamond"/>
        </w:rPr>
        <w:t>Enfin, avant de chuter par une conclusion et de jeter des perspectives pour des recherches futures, le quatrième chapitre consacré à l’analyse des résultats, introduit tout d’abord dans une approche historique, la trajectoire</w:t>
      </w:r>
      <w:r w:rsidR="004A22F0">
        <w:rPr>
          <w:rFonts w:ascii="Garamond" w:hAnsi="Garamond"/>
        </w:rPr>
        <w:t xml:space="preserve"> </w:t>
      </w:r>
      <w:r w:rsidRPr="009B6D19">
        <w:rPr>
          <w:rFonts w:ascii="Garamond" w:hAnsi="Garamond"/>
        </w:rPr>
        <w:t>de la réforme de la décentralisation</w:t>
      </w:r>
      <w:r>
        <w:rPr>
          <w:rFonts w:ascii="Garamond" w:hAnsi="Garamond"/>
        </w:rPr>
        <w:t xml:space="preserve"> </w:t>
      </w:r>
      <w:r w:rsidRPr="009B6D19">
        <w:rPr>
          <w:rFonts w:ascii="Garamond" w:hAnsi="Garamond"/>
        </w:rPr>
        <w:t>en RDC et effectue une autopsie</w:t>
      </w:r>
      <w:r>
        <w:rPr>
          <w:rFonts w:ascii="Garamond" w:hAnsi="Garamond"/>
        </w:rPr>
        <w:t xml:space="preserve"> </w:t>
      </w:r>
      <w:r w:rsidRPr="009B6D19">
        <w:rPr>
          <w:rFonts w:ascii="Garamond" w:hAnsi="Garamond"/>
        </w:rPr>
        <w:t>du cadre légal et</w:t>
      </w:r>
      <w:r>
        <w:rPr>
          <w:rFonts w:ascii="Garamond" w:hAnsi="Garamond"/>
        </w:rPr>
        <w:t xml:space="preserve"> </w:t>
      </w:r>
      <w:r w:rsidRPr="009B6D19">
        <w:rPr>
          <w:rFonts w:ascii="Garamond" w:hAnsi="Garamond"/>
        </w:rPr>
        <w:t>réglementaire qui sous-tend la responsabilité financière et la reddition des comptes. Il analyse enfin, les facteurs jugés prépondérants et susceptibles d’influencer la responsabilité financière et la reddition des comptes.</w:t>
      </w:r>
      <w:r>
        <w:rPr>
          <w:rFonts w:ascii="Garamond" w:hAnsi="Garamond"/>
        </w:rPr>
        <w:t xml:space="preserve"> </w:t>
      </w:r>
      <w:r w:rsidRPr="009B6D19">
        <w:rPr>
          <w:rFonts w:ascii="Garamond" w:hAnsi="Garamond"/>
        </w:rPr>
        <w:t>Il s’agit principalement de : (i) la culture centralisatrice de la gestion publique en RDC ; (ii) les faibles capacités</w:t>
      </w:r>
      <w:r>
        <w:rPr>
          <w:rFonts w:ascii="Garamond" w:hAnsi="Garamond"/>
        </w:rPr>
        <w:t xml:space="preserve"> </w:t>
      </w:r>
      <w:r w:rsidRPr="009B6D19">
        <w:rPr>
          <w:rFonts w:ascii="Garamond" w:hAnsi="Garamond"/>
        </w:rPr>
        <w:t>des ETD et ; (iii) la faible participation des acteurs de la société civile</w:t>
      </w:r>
      <w:r>
        <w:rPr>
          <w:rFonts w:ascii="Garamond" w:hAnsi="Garamond"/>
        </w:rPr>
        <w:t xml:space="preserve"> qui</w:t>
      </w:r>
      <w:r w:rsidRPr="009B6D19">
        <w:rPr>
          <w:rFonts w:ascii="Garamond" w:hAnsi="Garamond"/>
        </w:rPr>
        <w:t xml:space="preserve"> limite</w:t>
      </w:r>
      <w:r>
        <w:rPr>
          <w:rFonts w:ascii="Garamond" w:hAnsi="Garamond"/>
        </w:rPr>
        <w:t>rait</w:t>
      </w:r>
      <w:r w:rsidRPr="009B6D19">
        <w:rPr>
          <w:rFonts w:ascii="Garamond" w:hAnsi="Garamond"/>
        </w:rPr>
        <w:t xml:space="preserve"> l’effectivité</w:t>
      </w:r>
      <w:r>
        <w:rPr>
          <w:rFonts w:ascii="Garamond" w:hAnsi="Garamond"/>
        </w:rPr>
        <w:t xml:space="preserve"> des mécanismes de responsabilisation financière des ETD </w:t>
      </w:r>
      <w:r w:rsidRPr="009B6D19">
        <w:rPr>
          <w:rFonts w:ascii="Garamond" w:hAnsi="Garamond"/>
        </w:rPr>
        <w:t>et rend inopérante la réactivité</w:t>
      </w:r>
      <w:r>
        <w:rPr>
          <w:rFonts w:ascii="Garamond" w:hAnsi="Garamond"/>
        </w:rPr>
        <w:t xml:space="preserve">  </w:t>
      </w:r>
      <w:r w:rsidRPr="009B6D19">
        <w:rPr>
          <w:rFonts w:ascii="Garamond" w:hAnsi="Garamond"/>
        </w:rPr>
        <w:t xml:space="preserve">des acteurs politiques. </w:t>
      </w:r>
      <w:r w:rsidRPr="009B6D19">
        <w:rPr>
          <w:rFonts w:ascii="Garamond" w:hAnsi="Garamond"/>
        </w:rPr>
        <w:lastRenderedPageBreak/>
        <w:t xml:space="preserve">L’analyse de ces facteurs posés sous-forme d’hypothèses, permettra de comprendre les grands enjeux et défis auxquels font face ces agrégats de gouvernance et tirer des leçons. </w:t>
      </w:r>
    </w:p>
    <w:p w14:paraId="45C23123" w14:textId="77777777" w:rsidR="00804868" w:rsidRPr="009B6D19" w:rsidRDefault="00804868" w:rsidP="00804868">
      <w:pPr>
        <w:pStyle w:val="Heading1"/>
        <w:numPr>
          <w:ilvl w:val="0"/>
          <w:numId w:val="14"/>
        </w:numPr>
        <w:rPr>
          <w:rFonts w:ascii="Garamond" w:hAnsi="Garamond"/>
          <w:szCs w:val="24"/>
        </w:rPr>
      </w:pPr>
      <w:bookmarkStart w:id="3" w:name="_Toc125594152"/>
      <w:bookmarkStart w:id="4" w:name="_Toc143577445"/>
      <w:bookmarkStart w:id="5" w:name="_Toc119144801"/>
      <w:r w:rsidRPr="009B6D19">
        <w:rPr>
          <w:rFonts w:ascii="Garamond" w:hAnsi="Garamond"/>
          <w:szCs w:val="24"/>
        </w:rPr>
        <w:t>REVUE DE LA LITTERATURE</w:t>
      </w:r>
      <w:bookmarkEnd w:id="3"/>
      <w:bookmarkEnd w:id="4"/>
    </w:p>
    <w:p w14:paraId="45E3E3AE" w14:textId="1C029D4F" w:rsidR="00804868" w:rsidRPr="009B6D19" w:rsidRDefault="00804868" w:rsidP="00804868">
      <w:pPr>
        <w:rPr>
          <w:rFonts w:ascii="Garamond" w:hAnsi="Garamond"/>
        </w:rPr>
      </w:pPr>
      <w:r>
        <w:rPr>
          <w:rFonts w:ascii="Garamond" w:hAnsi="Garamond"/>
        </w:rPr>
        <w:t xml:space="preserve">Pour rappel, cette étude cherche </w:t>
      </w:r>
      <w:r>
        <w:rPr>
          <w:rFonts w:ascii="Garamond" w:hAnsi="Garamond"/>
          <w:lang w:eastAsia="fr-FR"/>
        </w:rPr>
        <w:t>à savoir</w:t>
      </w:r>
      <w:r w:rsidRPr="00D32F75">
        <w:rPr>
          <w:rFonts w:ascii="Garamond" w:hAnsi="Garamond"/>
          <w:lang w:eastAsia="fr-FR"/>
        </w:rPr>
        <w:t xml:space="preserve"> comment les choix opérés </w:t>
      </w:r>
      <w:r>
        <w:rPr>
          <w:rFonts w:ascii="Garamond" w:hAnsi="Garamond"/>
          <w:lang w:eastAsia="fr-FR"/>
        </w:rPr>
        <w:t>dans le passé ont influencé la</w:t>
      </w:r>
      <w:r w:rsidRPr="00D32F75">
        <w:rPr>
          <w:rFonts w:ascii="Garamond" w:hAnsi="Garamond"/>
          <w:lang w:eastAsia="fr-FR"/>
        </w:rPr>
        <w:t xml:space="preserve"> trajectoire de la décentralisation en RDC en général et dans la Ville-Province de Kinshasa en particulier</w:t>
      </w:r>
      <w:r>
        <w:rPr>
          <w:rFonts w:ascii="Garamond" w:hAnsi="Garamond"/>
          <w:lang w:eastAsia="fr-FR"/>
        </w:rPr>
        <w:t xml:space="preserve"> en mettant un accent sur la responsabilité financière et la reddition des comptes. Pour y parvenir, elle se pose une question. C’est celle de savoir </w:t>
      </w:r>
      <w:r w:rsidRPr="00297C0E">
        <w:rPr>
          <w:rFonts w:ascii="Garamond" w:hAnsi="Garamond"/>
          <w:b/>
          <w:lang w:eastAsia="fr-FR"/>
        </w:rPr>
        <w:t>quels sont</w:t>
      </w:r>
      <w:r w:rsidRPr="00297C0E">
        <w:rPr>
          <w:rFonts w:ascii="Garamond" w:hAnsi="Garamond"/>
          <w:b/>
          <w:bCs/>
        </w:rPr>
        <w:t xml:space="preserve"> </w:t>
      </w:r>
      <w:r w:rsidRPr="00090B69">
        <w:rPr>
          <w:rFonts w:ascii="Garamond" w:hAnsi="Garamond"/>
          <w:b/>
          <w:bCs/>
        </w:rPr>
        <w:t>les facteurs qui f</w:t>
      </w:r>
      <w:r w:rsidR="00215061">
        <w:rPr>
          <w:rFonts w:ascii="Garamond" w:hAnsi="Garamond"/>
          <w:b/>
          <w:bCs/>
        </w:rPr>
        <w:t>avorisent ou limit</w:t>
      </w:r>
      <w:r w:rsidRPr="00090B69">
        <w:rPr>
          <w:rFonts w:ascii="Garamond" w:hAnsi="Garamond"/>
          <w:b/>
          <w:bCs/>
        </w:rPr>
        <w:t>ent la responsabilisation financière et l’effectivité de la reddition des comptes au sein des ETD de la ville-Province de Kinshasa ?</w:t>
      </w:r>
      <w:r>
        <w:rPr>
          <w:rFonts w:ascii="Garamond" w:hAnsi="Garamond"/>
          <w:b/>
          <w:bCs/>
        </w:rPr>
        <w:t xml:space="preserve"> </w:t>
      </w:r>
      <w:r w:rsidRPr="00297C0E">
        <w:rPr>
          <w:rFonts w:ascii="Garamond" w:hAnsi="Garamond"/>
          <w:bCs/>
        </w:rPr>
        <w:t>Dans le souci de</w:t>
      </w:r>
      <w:r>
        <w:rPr>
          <w:rFonts w:ascii="Garamond" w:hAnsi="Garamond"/>
          <w:b/>
          <w:bCs/>
        </w:rPr>
        <w:t xml:space="preserve"> </w:t>
      </w:r>
      <w:r w:rsidRPr="00297C0E">
        <w:rPr>
          <w:rFonts w:ascii="Garamond" w:hAnsi="Garamond"/>
        </w:rPr>
        <w:t xml:space="preserve">chercher à </w:t>
      </w:r>
      <w:r w:rsidR="00313A02">
        <w:rPr>
          <w:rFonts w:ascii="Garamond" w:hAnsi="Garamond"/>
        </w:rPr>
        <w:t>répondre à</w:t>
      </w:r>
      <w:r w:rsidRPr="00297C0E">
        <w:rPr>
          <w:rFonts w:ascii="Garamond" w:hAnsi="Garamond"/>
        </w:rPr>
        <w:t xml:space="preserve"> </w:t>
      </w:r>
      <w:r>
        <w:rPr>
          <w:rFonts w:ascii="Garamond" w:hAnsi="Garamond"/>
        </w:rPr>
        <w:t xml:space="preserve">cette question, il convient </w:t>
      </w:r>
      <w:r w:rsidRPr="009B6D19">
        <w:rPr>
          <w:rFonts w:ascii="Garamond" w:hAnsi="Garamond"/>
        </w:rPr>
        <w:t>tout d’abord</w:t>
      </w:r>
      <w:r>
        <w:rPr>
          <w:rFonts w:ascii="Garamond" w:hAnsi="Garamond"/>
        </w:rPr>
        <w:t xml:space="preserve"> de</w:t>
      </w:r>
      <w:r w:rsidRPr="009B6D19">
        <w:rPr>
          <w:rFonts w:ascii="Garamond" w:hAnsi="Garamond"/>
        </w:rPr>
        <w:t xml:space="preserve"> clarifier la décentralisation comme concept central de notre étude, duquel</w:t>
      </w:r>
      <w:r w:rsidR="00215061">
        <w:rPr>
          <w:rFonts w:ascii="Garamond" w:hAnsi="Garamond"/>
        </w:rPr>
        <w:t xml:space="preserve"> découlent la responsabilité</w:t>
      </w:r>
      <w:r w:rsidRPr="009B6D19">
        <w:rPr>
          <w:rFonts w:ascii="Garamond" w:hAnsi="Garamond"/>
        </w:rPr>
        <w:t xml:space="preserve"> financière et la reddition des comptes.  Ensuite, </w:t>
      </w:r>
      <w:r>
        <w:rPr>
          <w:rFonts w:ascii="Garamond" w:hAnsi="Garamond"/>
        </w:rPr>
        <w:t xml:space="preserve">il sera question d’aborder </w:t>
      </w:r>
      <w:r w:rsidRPr="009B6D19">
        <w:rPr>
          <w:rFonts w:ascii="Garamond" w:hAnsi="Garamond"/>
        </w:rPr>
        <w:t xml:space="preserve">la théorie et la méthode </w:t>
      </w:r>
      <w:r>
        <w:rPr>
          <w:rFonts w:ascii="Garamond" w:hAnsi="Garamond"/>
        </w:rPr>
        <w:t>qu’emprunte cette</w:t>
      </w:r>
      <w:r w:rsidRPr="009B6D19">
        <w:rPr>
          <w:rFonts w:ascii="Garamond" w:hAnsi="Garamond"/>
        </w:rPr>
        <w:t xml:space="preserve"> analyse.</w:t>
      </w:r>
      <w:r>
        <w:rPr>
          <w:rFonts w:ascii="Garamond" w:hAnsi="Garamond"/>
        </w:rPr>
        <w:t xml:space="preserve"> Au regard de la nature de l’étude, un choix a été porté sur la théorie de la dépendance au sentier</w:t>
      </w:r>
      <w:r w:rsidRPr="009B6D19">
        <w:rPr>
          <w:rFonts w:ascii="Garamond" w:hAnsi="Garamond"/>
        </w:rPr>
        <w:t xml:space="preserve"> comme articulation du néo-institutionnalisme historique et qui se sert de la « </w:t>
      </w:r>
      <w:r w:rsidRPr="009B6D19">
        <w:rPr>
          <w:rFonts w:ascii="Garamond" w:hAnsi="Garamond"/>
          <w:i/>
        </w:rPr>
        <w:t>Causal Process Tracing</w:t>
      </w:r>
      <w:r w:rsidRPr="009B6D19">
        <w:rPr>
          <w:rFonts w:ascii="Garamond" w:hAnsi="Garamond"/>
        </w:rPr>
        <w:t xml:space="preserve"> » comme méthode d’analyse. </w:t>
      </w:r>
    </w:p>
    <w:p w14:paraId="52A26D7D" w14:textId="77777777" w:rsidR="00804868" w:rsidRPr="009B6D19" w:rsidRDefault="00804868" w:rsidP="00804868">
      <w:pPr>
        <w:pStyle w:val="Heading2"/>
        <w:numPr>
          <w:ilvl w:val="1"/>
          <w:numId w:val="14"/>
        </w:numPr>
        <w:rPr>
          <w:rFonts w:ascii="Garamond" w:hAnsi="Garamond"/>
          <w:szCs w:val="24"/>
        </w:rPr>
      </w:pPr>
      <w:bookmarkStart w:id="6" w:name="_Toc125594153"/>
      <w:bookmarkStart w:id="7" w:name="_Toc143577446"/>
      <w:r w:rsidRPr="009B6D19">
        <w:rPr>
          <w:rFonts w:ascii="Garamond" w:eastAsiaTheme="minorHAnsi" w:hAnsi="Garamond"/>
          <w:szCs w:val="24"/>
        </w:rPr>
        <w:t>Décentralisation : dévolution et déconcentration</w:t>
      </w:r>
      <w:bookmarkEnd w:id="6"/>
      <w:bookmarkEnd w:id="7"/>
      <w:r w:rsidRPr="009B6D19">
        <w:rPr>
          <w:rFonts w:ascii="Garamond" w:eastAsiaTheme="minorHAnsi" w:hAnsi="Garamond"/>
          <w:szCs w:val="24"/>
        </w:rPr>
        <w:t xml:space="preserve"> </w:t>
      </w:r>
    </w:p>
    <w:p w14:paraId="3C4F481A" w14:textId="2B7291DF" w:rsidR="00804868" w:rsidRDefault="00804868" w:rsidP="00804868">
      <w:pPr>
        <w:rPr>
          <w:rFonts w:ascii="Garamond" w:eastAsia="Times New Roman" w:hAnsi="Garamond"/>
          <w:lang w:eastAsia="fr-FR"/>
        </w:rPr>
      </w:pPr>
      <w:r>
        <w:rPr>
          <w:rFonts w:ascii="Garamond" w:hAnsi="Garamond"/>
        </w:rPr>
        <w:t>Cette</w:t>
      </w:r>
      <w:r w:rsidRPr="009B6D19">
        <w:rPr>
          <w:rFonts w:ascii="Garamond" w:hAnsi="Garamond"/>
        </w:rPr>
        <w:t xml:space="preserve"> étude porte sur la responsabilisation financière et la reddition des comptes dans le contexte de la décentralisation. La clarification</w:t>
      </w:r>
      <w:r>
        <w:rPr>
          <w:rFonts w:ascii="Garamond" w:hAnsi="Garamond"/>
        </w:rPr>
        <w:t xml:space="preserve"> </w:t>
      </w:r>
      <w:r w:rsidRPr="009B6D19">
        <w:rPr>
          <w:rFonts w:ascii="Garamond" w:hAnsi="Garamond"/>
        </w:rPr>
        <w:t xml:space="preserve">de ces deux concepts clés permet </w:t>
      </w:r>
      <w:r w:rsidRPr="009B6D19">
        <w:rPr>
          <w:rFonts w:ascii="Garamond" w:eastAsia="Times New Roman" w:hAnsi="Garamond"/>
          <w:lang w:eastAsia="fr-FR"/>
        </w:rPr>
        <w:t xml:space="preserve">de mieux comprendre la décentralisation adoptée dans plusieurs pays en voie de développement, ses enjeux, ses acteurs et instruments ainsi que ses défis. En maîtrisant ces enjeux et ses défis, nous serons capables de </w:t>
      </w:r>
      <w:r>
        <w:rPr>
          <w:rFonts w:ascii="Garamond" w:eastAsia="Times New Roman" w:hAnsi="Garamond"/>
          <w:lang w:eastAsia="fr-FR"/>
        </w:rPr>
        <w:t>cerner</w:t>
      </w:r>
      <w:r w:rsidRPr="009B6D19">
        <w:rPr>
          <w:rFonts w:ascii="Garamond" w:eastAsia="Times New Roman" w:hAnsi="Garamond"/>
          <w:lang w:eastAsia="fr-FR"/>
        </w:rPr>
        <w:t xml:space="preserve"> les déviances, sur le plan de la gestion des</w:t>
      </w:r>
      <w:r>
        <w:rPr>
          <w:rFonts w:ascii="Garamond" w:eastAsia="Times New Roman" w:hAnsi="Garamond"/>
          <w:lang w:eastAsia="fr-FR"/>
        </w:rPr>
        <w:t xml:space="preserve"> </w:t>
      </w:r>
      <w:r w:rsidRPr="009B6D19">
        <w:rPr>
          <w:rFonts w:ascii="Garamond" w:eastAsia="Times New Roman" w:hAnsi="Garamond"/>
          <w:lang w:eastAsia="fr-FR"/>
        </w:rPr>
        <w:t>finances publiques</w:t>
      </w:r>
      <w:r>
        <w:rPr>
          <w:rFonts w:ascii="Garamond" w:eastAsia="Times New Roman" w:hAnsi="Garamond"/>
          <w:lang w:eastAsia="fr-FR"/>
        </w:rPr>
        <w:t xml:space="preserve"> locales</w:t>
      </w:r>
      <w:r w:rsidRPr="009B6D19">
        <w:rPr>
          <w:rFonts w:ascii="Garamond" w:eastAsia="Times New Roman" w:hAnsi="Garamond"/>
          <w:lang w:eastAsia="fr-FR"/>
        </w:rPr>
        <w:t>, intervenues sur la trajectoire de mise en œuvre de la décentralisation en RDC en général et dans la Ville-Province de Kinshasa en particulier. Ces déviances, s</w:t>
      </w:r>
      <w:r w:rsidR="00965DBA">
        <w:rPr>
          <w:rFonts w:ascii="Garamond" w:eastAsia="Times New Roman" w:hAnsi="Garamond"/>
          <w:lang w:eastAsia="fr-FR"/>
        </w:rPr>
        <w:t>o</w:t>
      </w:r>
      <w:r w:rsidRPr="009B6D19">
        <w:rPr>
          <w:rFonts w:ascii="Garamond" w:eastAsia="Times New Roman" w:hAnsi="Garamond"/>
          <w:lang w:eastAsia="fr-FR"/>
        </w:rPr>
        <w:t>nt le corollaire</w:t>
      </w:r>
      <w:r>
        <w:rPr>
          <w:rFonts w:ascii="Garamond" w:eastAsia="Times New Roman" w:hAnsi="Garamond"/>
          <w:lang w:eastAsia="fr-FR"/>
        </w:rPr>
        <w:t xml:space="preserve"> </w:t>
      </w:r>
      <w:r w:rsidRPr="009B6D19">
        <w:rPr>
          <w:rFonts w:ascii="Garamond" w:eastAsia="Times New Roman" w:hAnsi="Garamond"/>
          <w:lang w:eastAsia="fr-FR"/>
        </w:rPr>
        <w:t>d’une part, des</w:t>
      </w:r>
      <w:r>
        <w:rPr>
          <w:rFonts w:ascii="Garamond" w:eastAsia="Times New Roman" w:hAnsi="Garamond"/>
          <w:lang w:eastAsia="fr-FR"/>
        </w:rPr>
        <w:t xml:space="preserve"> </w:t>
      </w:r>
      <w:r w:rsidRPr="009B6D19">
        <w:rPr>
          <w:rFonts w:ascii="Garamond" w:eastAsia="Times New Roman" w:hAnsi="Garamond"/>
          <w:lang w:eastAsia="fr-FR"/>
        </w:rPr>
        <w:t>dynamiques socio-culturelles et politico-économiques avec comme effets notamment l’institutionnalisation des règles</w:t>
      </w:r>
      <w:r>
        <w:rPr>
          <w:rFonts w:ascii="Garamond" w:eastAsia="Times New Roman" w:hAnsi="Garamond"/>
          <w:lang w:eastAsia="fr-FR"/>
        </w:rPr>
        <w:t xml:space="preserve"> </w:t>
      </w:r>
      <w:r w:rsidRPr="009B6D19">
        <w:rPr>
          <w:rFonts w:ascii="Garamond" w:eastAsia="Times New Roman" w:hAnsi="Garamond"/>
          <w:lang w:eastAsia="fr-FR"/>
        </w:rPr>
        <w:t>formelles et informelles</w:t>
      </w:r>
      <w:r w:rsidR="00965DBA">
        <w:rPr>
          <w:rFonts w:ascii="Garamond" w:eastAsia="Times New Roman" w:hAnsi="Garamond"/>
          <w:lang w:eastAsia="fr-FR"/>
        </w:rPr>
        <w:t xml:space="preserve"> et d’autre part, so</w:t>
      </w:r>
      <w:r>
        <w:rPr>
          <w:rFonts w:ascii="Garamond" w:eastAsia="Times New Roman" w:hAnsi="Garamond"/>
          <w:lang w:eastAsia="fr-FR"/>
        </w:rPr>
        <w:t xml:space="preserve">nt la conséquence </w:t>
      </w:r>
      <w:r w:rsidRPr="009B6D19">
        <w:rPr>
          <w:rFonts w:ascii="Garamond" w:eastAsia="Times New Roman" w:hAnsi="Garamond"/>
          <w:lang w:eastAsia="fr-FR"/>
        </w:rPr>
        <w:t>d’une contrainte imposée par les bailleurs</w:t>
      </w:r>
      <w:r>
        <w:rPr>
          <w:rFonts w:ascii="Garamond" w:eastAsia="Times New Roman" w:hAnsi="Garamond"/>
          <w:lang w:eastAsia="fr-FR"/>
        </w:rPr>
        <w:t xml:space="preserve"> </w:t>
      </w:r>
      <w:r w:rsidRPr="009B6D19">
        <w:rPr>
          <w:rFonts w:ascii="Garamond" w:eastAsia="Times New Roman" w:hAnsi="Garamond"/>
          <w:lang w:eastAsia="fr-FR"/>
        </w:rPr>
        <w:t xml:space="preserve">des fonds. Ces deux dimensions permettent d’analyser la cohabitation entre les institutions préexistantes et celles véhiculées par la décentralisation.  </w:t>
      </w:r>
    </w:p>
    <w:p w14:paraId="488DD24E" w14:textId="77777777" w:rsidR="00804868" w:rsidRPr="009B6D19" w:rsidRDefault="00804868" w:rsidP="00804868">
      <w:pPr>
        <w:pStyle w:val="Heading3"/>
      </w:pPr>
      <w:bookmarkStart w:id="8" w:name="_Toc125594154"/>
      <w:bookmarkStart w:id="9" w:name="_Toc143577447"/>
      <w:r w:rsidRPr="009B6D19">
        <w:t>La Décentralisation</w:t>
      </w:r>
      <w:bookmarkEnd w:id="8"/>
      <w:bookmarkEnd w:id="9"/>
      <w:r w:rsidRPr="009B6D19">
        <w:t> </w:t>
      </w:r>
    </w:p>
    <w:p w14:paraId="03C9D168" w14:textId="3FA2A745" w:rsidR="00804868" w:rsidRPr="009B6D19" w:rsidRDefault="00804868" w:rsidP="00804868">
      <w:pPr>
        <w:rPr>
          <w:rFonts w:ascii="Garamond" w:hAnsi="Garamond"/>
        </w:rPr>
      </w:pPr>
      <w:r w:rsidRPr="009B6D19">
        <w:rPr>
          <w:rFonts w:ascii="Garamond" w:hAnsi="Garamond"/>
        </w:rPr>
        <w:t>P</w:t>
      </w:r>
      <w:r w:rsidRPr="009B6D19">
        <w:rPr>
          <w:rFonts w:ascii="Garamond" w:hAnsi="Garamond"/>
          <w:lang w:eastAsia="fr-FR"/>
        </w:rPr>
        <w:t xml:space="preserve">lusieurs auteurs ont essayé de définir la décentralisation. Ces définitions se distinguent le plus souvent par l’étendue du pouvoir à décentraliser. Toutefois, ces auteurs s’accordent tous </w:t>
      </w:r>
      <w:r>
        <w:rPr>
          <w:rFonts w:ascii="Garamond" w:hAnsi="Garamond"/>
          <w:lang w:eastAsia="fr-FR"/>
        </w:rPr>
        <w:t xml:space="preserve">sur le fait </w:t>
      </w:r>
      <w:r w:rsidRPr="009B6D19">
        <w:rPr>
          <w:rFonts w:ascii="Garamond" w:hAnsi="Garamond"/>
          <w:lang w:eastAsia="fr-FR"/>
        </w:rPr>
        <w:t>que la décentralisation constitue une forme d’organisation de l’Etat</w:t>
      </w:r>
      <w:r>
        <w:rPr>
          <w:rFonts w:ascii="Garamond" w:hAnsi="Garamond"/>
          <w:lang w:eastAsia="fr-FR"/>
        </w:rPr>
        <w:t xml:space="preserve"> </w:t>
      </w:r>
      <w:r w:rsidRPr="009B6D19">
        <w:rPr>
          <w:rFonts w:ascii="Garamond" w:hAnsi="Garamond"/>
          <w:lang w:eastAsia="fr-FR"/>
        </w:rPr>
        <w:t xml:space="preserve">(Lemieux, 2001 :39 ; </w:t>
      </w:r>
      <w:r w:rsidRPr="009B6D19">
        <w:rPr>
          <w:rFonts w:ascii="Garamond" w:hAnsi="Garamond"/>
          <w:lang w:eastAsia="fr-FR"/>
        </w:rPr>
        <w:lastRenderedPageBreak/>
        <w:t>Rondinelli, 1989</w:t>
      </w:r>
      <w:r>
        <w:rPr>
          <w:rFonts w:ascii="Garamond" w:hAnsi="Garamond"/>
          <w:lang w:eastAsia="fr-FR"/>
        </w:rPr>
        <w:t>)</w:t>
      </w:r>
      <w:r w:rsidRPr="009B6D19">
        <w:rPr>
          <w:rFonts w:ascii="Garamond" w:hAnsi="Garamond"/>
          <w:lang w:eastAsia="fr-FR"/>
        </w:rPr>
        <w:t> </w:t>
      </w:r>
      <w:r>
        <w:rPr>
          <w:rFonts w:ascii="Garamond" w:hAnsi="Garamond"/>
          <w:lang w:eastAsia="fr-FR"/>
        </w:rPr>
        <w:t xml:space="preserve">ou un </w:t>
      </w:r>
      <w:r w:rsidRPr="009B6D19">
        <w:rPr>
          <w:rFonts w:ascii="Garamond" w:hAnsi="Garamond"/>
          <w:lang w:eastAsia="fr-FR"/>
        </w:rPr>
        <w:t xml:space="preserve"> mouvement </w:t>
      </w:r>
      <w:r>
        <w:rPr>
          <w:rFonts w:ascii="Garamond" w:hAnsi="Garamond"/>
          <w:lang w:eastAsia="fr-FR"/>
        </w:rPr>
        <w:t xml:space="preserve">de transfert </w:t>
      </w:r>
      <w:r w:rsidRPr="009B6D19">
        <w:rPr>
          <w:rFonts w:ascii="Garamond" w:hAnsi="Garamond"/>
          <w:lang w:eastAsia="fr-FR"/>
        </w:rPr>
        <w:t xml:space="preserve">des ressources, des responsabilités et de pouvoir aux entités locales </w:t>
      </w:r>
      <w:r>
        <w:rPr>
          <w:rFonts w:ascii="Garamond" w:hAnsi="Garamond"/>
          <w:lang w:eastAsia="fr-FR"/>
        </w:rPr>
        <w:t>(</w:t>
      </w:r>
      <w:r w:rsidRPr="009B6D19">
        <w:rPr>
          <w:rFonts w:ascii="Garamond" w:hAnsi="Garamond"/>
          <w:lang w:eastAsia="fr-FR"/>
        </w:rPr>
        <w:t xml:space="preserve">Champagne, 2012 : 22, Mabiala, 2009 :15 ; Champagne &amp; </w:t>
      </w:r>
      <w:proofErr w:type="spellStart"/>
      <w:r>
        <w:rPr>
          <w:rFonts w:ascii="Garamond" w:hAnsi="Garamond"/>
        </w:rPr>
        <w:t>Ouedraogo</w:t>
      </w:r>
      <w:proofErr w:type="spellEnd"/>
      <w:r w:rsidRPr="009B6D19">
        <w:rPr>
          <w:rFonts w:ascii="Garamond" w:hAnsi="Garamond"/>
          <w:lang w:eastAsia="fr-FR"/>
        </w:rPr>
        <w:t>, 201</w:t>
      </w:r>
      <w:r>
        <w:rPr>
          <w:rFonts w:ascii="Garamond" w:hAnsi="Garamond"/>
          <w:lang w:eastAsia="fr-FR"/>
        </w:rPr>
        <w:t>0</w:t>
      </w:r>
      <w:r w:rsidRPr="009B6D19">
        <w:rPr>
          <w:rFonts w:ascii="Garamond" w:hAnsi="Garamond"/>
          <w:lang w:eastAsia="fr-FR"/>
        </w:rPr>
        <w:t xml:space="preserve">). Plus concrètement, elle est selon Rondinelli (1989), </w:t>
      </w:r>
      <w:r>
        <w:rPr>
          <w:rFonts w:ascii="Garamond" w:hAnsi="Garamond"/>
          <w:lang w:eastAsia="fr-FR"/>
        </w:rPr>
        <w:t>une cession de la compétence de planification, de la mobilisation des recettes et de l’affectation des ressources aux dépenses du Gouvernement central aux</w:t>
      </w:r>
      <w:r w:rsidRPr="009B6D19">
        <w:rPr>
          <w:rFonts w:ascii="Garamond" w:hAnsi="Garamond"/>
          <w:lang w:eastAsia="fr-FR"/>
        </w:rPr>
        <w:t> : (i) unités de terrain du gouvernement central, des ministères ou des agences ; (ii) des unités ou des niveaux de gouvernement subordonnés ; (iii) des</w:t>
      </w:r>
      <w:r>
        <w:rPr>
          <w:rFonts w:ascii="Garamond" w:hAnsi="Garamond"/>
          <w:lang w:eastAsia="fr-FR"/>
        </w:rPr>
        <w:t xml:space="preserve"> structures étatiques semi-autonomes </w:t>
      </w:r>
      <w:r w:rsidRPr="009B6D19">
        <w:rPr>
          <w:rFonts w:ascii="Garamond" w:hAnsi="Garamond"/>
          <w:lang w:eastAsia="fr-FR"/>
        </w:rPr>
        <w:t xml:space="preserve">; (iv) </w:t>
      </w:r>
      <w:r>
        <w:rPr>
          <w:rFonts w:ascii="Garamond" w:hAnsi="Garamond"/>
          <w:lang w:eastAsia="fr-FR"/>
        </w:rPr>
        <w:t xml:space="preserve">des responsables politiques ou administratifs des services régionaux ou provinciaux </w:t>
      </w:r>
      <w:r w:rsidRPr="009B6D19">
        <w:rPr>
          <w:rFonts w:ascii="Garamond" w:hAnsi="Garamond"/>
          <w:lang w:eastAsia="fr-FR"/>
        </w:rPr>
        <w:t>et (v) des organisations privées ou bénévoles non gouvernementales (p. 13). Elle a notamment pour objectifs de réduire la lourdeur et la congestion dans la chaine communicationnelle et managerielle (Ro</w:t>
      </w:r>
      <w:r>
        <w:rPr>
          <w:rFonts w:ascii="Garamond" w:hAnsi="Garamond"/>
          <w:lang w:eastAsia="fr-FR"/>
        </w:rPr>
        <w:t>ndinelli, 1983 :9). Le m</w:t>
      </w:r>
      <w:r w:rsidRPr="009B6D19">
        <w:rPr>
          <w:rFonts w:ascii="Garamond" w:hAnsi="Garamond"/>
          <w:lang w:eastAsia="fr-FR"/>
        </w:rPr>
        <w:t>ouvement de pouvoir qu’elle entrain</w:t>
      </w:r>
      <w:r>
        <w:rPr>
          <w:rFonts w:ascii="Garamond" w:hAnsi="Garamond"/>
          <w:lang w:eastAsia="fr-FR"/>
        </w:rPr>
        <w:t xml:space="preserve">e constitue un adjuvant à la prise en compte des priorités locales, à </w:t>
      </w:r>
      <w:r w:rsidR="00767D3F">
        <w:rPr>
          <w:rFonts w:ascii="Garamond" w:hAnsi="Garamond"/>
          <w:lang w:eastAsia="fr-FR"/>
        </w:rPr>
        <w:t xml:space="preserve">l’adoption </w:t>
      </w:r>
      <w:r>
        <w:rPr>
          <w:rFonts w:ascii="Garamond" w:hAnsi="Garamond"/>
          <w:lang w:eastAsia="fr-FR"/>
        </w:rPr>
        <w:t xml:space="preserve">des politiques locales inclusives et concertées ainsi qu’à la promotion de la culturelle redditionnelle </w:t>
      </w:r>
      <w:r w:rsidRPr="009B6D19">
        <w:rPr>
          <w:rFonts w:ascii="Garamond" w:hAnsi="Garamond"/>
          <w:lang w:eastAsia="fr-FR"/>
        </w:rPr>
        <w:t>(Champagne, 2012)</w:t>
      </w:r>
      <w:r>
        <w:rPr>
          <w:rFonts w:ascii="Garamond" w:hAnsi="Garamond"/>
          <w:lang w:eastAsia="fr-FR"/>
        </w:rPr>
        <w:t xml:space="preserve">. Dans la même veine, la réactivité des autorités locales vis-à-vis de leurs administrés améliore la qualité des services publics rendus. </w:t>
      </w:r>
      <w:r w:rsidRPr="009B6D19">
        <w:rPr>
          <w:rFonts w:ascii="Garamond" w:hAnsi="Garamond"/>
          <w:lang w:eastAsia="fr-FR"/>
        </w:rPr>
        <w:t xml:space="preserve">Par conséquent, </w:t>
      </w:r>
      <w:r>
        <w:rPr>
          <w:rFonts w:ascii="Garamond" w:hAnsi="Garamond"/>
          <w:lang w:eastAsia="fr-FR"/>
        </w:rPr>
        <w:t>la décentralisation</w:t>
      </w:r>
      <w:r w:rsidR="00767D3F">
        <w:rPr>
          <w:rFonts w:ascii="Garamond" w:hAnsi="Garamond"/>
          <w:lang w:eastAsia="fr-FR"/>
        </w:rPr>
        <w:t xml:space="preserve"> est censée d’une part, favoriser l’effectivité de la bonne gouvernance (Liégeois, </w:t>
      </w:r>
      <w:r w:rsidR="00767D3F">
        <w:rPr>
          <w:rFonts w:ascii="Garamond" w:hAnsi="Garamond"/>
        </w:rPr>
        <w:t>Liégeois, 2008)</w:t>
      </w:r>
      <w:r w:rsidR="00767D3F">
        <w:rPr>
          <w:rFonts w:ascii="Garamond" w:hAnsi="Garamond"/>
          <w:lang w:eastAsia="fr-FR"/>
        </w:rPr>
        <w:t xml:space="preserve"> et d’autre part,</w:t>
      </w:r>
      <w:r>
        <w:rPr>
          <w:rFonts w:ascii="Garamond" w:hAnsi="Garamond"/>
          <w:lang w:eastAsia="fr-FR"/>
        </w:rPr>
        <w:t xml:space="preserve"> constitue un véritable levier </w:t>
      </w:r>
      <w:r w:rsidR="00CA4C5D">
        <w:rPr>
          <w:rFonts w:ascii="Garamond" w:hAnsi="Garamond"/>
          <w:lang w:eastAsia="fr-FR"/>
        </w:rPr>
        <w:t>d’innovation managériale (</w:t>
      </w:r>
      <w:proofErr w:type="spellStart"/>
      <w:r w:rsidR="00CA4C5D">
        <w:rPr>
          <w:rFonts w:ascii="Garamond" w:hAnsi="Garamond"/>
          <w:lang w:eastAsia="fr-FR"/>
        </w:rPr>
        <w:t>Joumard</w:t>
      </w:r>
      <w:proofErr w:type="spellEnd"/>
      <w:r w:rsidR="00CA4C5D">
        <w:rPr>
          <w:rFonts w:ascii="Garamond" w:hAnsi="Garamond"/>
          <w:lang w:eastAsia="fr-FR"/>
        </w:rPr>
        <w:t xml:space="preserve">, 2005) et </w:t>
      </w:r>
      <w:r>
        <w:rPr>
          <w:rFonts w:ascii="Garamond" w:hAnsi="Garamond"/>
          <w:lang w:eastAsia="fr-FR"/>
        </w:rPr>
        <w:t>du développement local durable. De ce fait, elle favorise des interactions fructueuses entre acteurs locaux de nature à développer la fiscalité, à financer des politiques sociales prioritaires grâce à la participation de toutes les parties prenantes et à préserver des vies (</w:t>
      </w:r>
      <w:r w:rsidRPr="009B6D19">
        <w:rPr>
          <w:rFonts w:ascii="Garamond" w:hAnsi="Garamond"/>
          <w:lang w:eastAsia="fr-FR"/>
        </w:rPr>
        <w:t>OCDE, 20</w:t>
      </w:r>
      <w:r>
        <w:rPr>
          <w:rFonts w:ascii="Garamond" w:hAnsi="Garamond"/>
          <w:lang w:eastAsia="fr-FR"/>
        </w:rPr>
        <w:t>19</w:t>
      </w:r>
      <w:r w:rsidRPr="009B6D19">
        <w:rPr>
          <w:rFonts w:ascii="Garamond" w:hAnsi="Garamond"/>
          <w:lang w:eastAsia="fr-FR"/>
        </w:rPr>
        <w:t> </w:t>
      </w:r>
      <w:r w:rsidR="00FD640F">
        <w:rPr>
          <w:rFonts w:ascii="Garamond" w:hAnsi="Garamond"/>
          <w:lang w:eastAsia="fr-FR"/>
        </w:rPr>
        <w:t>: 145</w:t>
      </w:r>
      <w:r>
        <w:rPr>
          <w:rFonts w:ascii="Garamond" w:hAnsi="Garamond"/>
          <w:lang w:eastAsia="fr-FR"/>
        </w:rPr>
        <w:t>). C’est sous cet angle qu’Escobar-</w:t>
      </w:r>
      <w:proofErr w:type="spellStart"/>
      <w:r>
        <w:rPr>
          <w:rFonts w:ascii="Garamond" w:hAnsi="Garamond"/>
          <w:lang w:eastAsia="fr-FR"/>
        </w:rPr>
        <w:t>Lemmon</w:t>
      </w:r>
      <w:proofErr w:type="spellEnd"/>
      <w:r w:rsidR="00FD640F">
        <w:rPr>
          <w:rFonts w:ascii="Garamond" w:hAnsi="Garamond"/>
          <w:lang w:eastAsia="fr-FR"/>
        </w:rPr>
        <w:t xml:space="preserve"> &amp; Ross</w:t>
      </w:r>
      <w:r w:rsidRPr="009B6D19">
        <w:rPr>
          <w:rFonts w:ascii="Garamond" w:hAnsi="Garamond"/>
          <w:lang w:eastAsia="fr-FR"/>
        </w:rPr>
        <w:t xml:space="preserve"> (2014)</w:t>
      </w:r>
      <w:r>
        <w:rPr>
          <w:rFonts w:ascii="Garamond" w:hAnsi="Garamond"/>
          <w:lang w:eastAsia="fr-FR"/>
        </w:rPr>
        <w:t xml:space="preserve"> estime que la décentralisation est</w:t>
      </w:r>
      <w:r w:rsidRPr="009B6D19">
        <w:rPr>
          <w:rFonts w:ascii="Garamond" w:hAnsi="Garamond"/>
          <w:lang w:eastAsia="fr-FR"/>
        </w:rPr>
        <w:t xml:space="preserve"> une « </w:t>
      </w:r>
      <w:r w:rsidRPr="009B6D19">
        <w:rPr>
          <w:rFonts w:ascii="Garamond" w:hAnsi="Garamond"/>
          <w:i/>
          <w:lang w:eastAsia="fr-FR"/>
        </w:rPr>
        <w:t>architecture par excellence</w:t>
      </w:r>
      <w:r w:rsidRPr="009B6D19">
        <w:rPr>
          <w:rFonts w:ascii="Garamond" w:hAnsi="Garamond"/>
          <w:lang w:eastAsia="fr-FR"/>
        </w:rPr>
        <w:t xml:space="preserve"> » pour </w:t>
      </w:r>
      <w:r>
        <w:rPr>
          <w:rFonts w:ascii="Garamond" w:hAnsi="Garamond"/>
          <w:lang w:eastAsia="fr-FR"/>
        </w:rPr>
        <w:t>la responsabilisation des</w:t>
      </w:r>
      <w:r w:rsidRPr="009B6D19">
        <w:rPr>
          <w:rFonts w:ascii="Garamond" w:hAnsi="Garamond"/>
          <w:lang w:eastAsia="fr-FR"/>
        </w:rPr>
        <w:t xml:space="preserve"> </w:t>
      </w:r>
      <w:r>
        <w:rPr>
          <w:rFonts w:ascii="Garamond" w:hAnsi="Garamond"/>
          <w:lang w:eastAsia="fr-FR"/>
        </w:rPr>
        <w:t>autorités locales et de leur exiger des comptes au regard de leur proximité avec les administrés.</w:t>
      </w:r>
      <w:r w:rsidRPr="009B6D19">
        <w:rPr>
          <w:rFonts w:ascii="Garamond" w:hAnsi="Garamond"/>
        </w:rPr>
        <w:t xml:space="preserve"> Ceci explique le choix</w:t>
      </w:r>
      <w:r>
        <w:rPr>
          <w:rFonts w:ascii="Garamond" w:hAnsi="Garamond"/>
        </w:rPr>
        <w:t xml:space="preserve"> et l’intérêt que prêtent les partenaires au développement </w:t>
      </w:r>
      <w:r w:rsidR="00C75FD2">
        <w:rPr>
          <w:rFonts w:ascii="Garamond" w:hAnsi="Garamond"/>
        </w:rPr>
        <w:t>à</w:t>
      </w:r>
      <w:r>
        <w:rPr>
          <w:rFonts w:ascii="Garamond" w:hAnsi="Garamond"/>
        </w:rPr>
        <w:t xml:space="preserve"> la nécessité d’imposer cette réforme aux pays pauvres bénéficiaires de leurs financements. Bien qu’un certa</w:t>
      </w:r>
      <w:r w:rsidR="00C75FD2">
        <w:rPr>
          <w:rFonts w:ascii="Garamond" w:hAnsi="Garamond"/>
        </w:rPr>
        <w:t>in mimétisme s’en sui</w:t>
      </w:r>
      <w:r w:rsidR="003328EC">
        <w:rPr>
          <w:rFonts w:ascii="Garamond" w:hAnsi="Garamond"/>
        </w:rPr>
        <w:t>ve</w:t>
      </w:r>
      <w:r w:rsidR="00C75FD2">
        <w:rPr>
          <w:rFonts w:ascii="Garamond" w:hAnsi="Garamond"/>
        </w:rPr>
        <w:t xml:space="preserve"> dans s</w:t>
      </w:r>
      <w:r>
        <w:rPr>
          <w:rFonts w:ascii="Garamond" w:hAnsi="Garamond"/>
        </w:rPr>
        <w:t>a mise en œuvre, ils ont e</w:t>
      </w:r>
      <w:r w:rsidR="00C75FD2">
        <w:rPr>
          <w:rFonts w:ascii="Garamond" w:hAnsi="Garamond"/>
        </w:rPr>
        <w:t>spoir qu’une fois cette réforme soit rendue effective</w:t>
      </w:r>
      <w:r>
        <w:rPr>
          <w:rFonts w:ascii="Garamond" w:hAnsi="Garamond"/>
        </w:rPr>
        <w:t>, cela permettra d’endiguer la corruption</w:t>
      </w:r>
      <w:r w:rsidR="00B40ABD">
        <w:rPr>
          <w:rFonts w:ascii="Garamond" w:hAnsi="Garamond"/>
        </w:rPr>
        <w:t xml:space="preserve"> (</w:t>
      </w:r>
      <w:proofErr w:type="spellStart"/>
      <w:r w:rsidR="00B40ABD">
        <w:rPr>
          <w:rFonts w:ascii="Garamond" w:hAnsi="Garamond"/>
        </w:rPr>
        <w:t>Joumard</w:t>
      </w:r>
      <w:proofErr w:type="spellEnd"/>
      <w:r w:rsidR="00B40ABD">
        <w:rPr>
          <w:rFonts w:ascii="Garamond" w:hAnsi="Garamond"/>
        </w:rPr>
        <w:t>, 2005)</w:t>
      </w:r>
      <w:r>
        <w:rPr>
          <w:rFonts w:ascii="Garamond" w:hAnsi="Garamond"/>
        </w:rPr>
        <w:t>, favorisera une pr</w:t>
      </w:r>
      <w:r w:rsidR="00EE29A3">
        <w:rPr>
          <w:rFonts w:ascii="Garamond" w:hAnsi="Garamond"/>
        </w:rPr>
        <w:t xml:space="preserve">ise des décisions démocratique et </w:t>
      </w:r>
      <w:r>
        <w:rPr>
          <w:rFonts w:ascii="Garamond" w:hAnsi="Garamond"/>
        </w:rPr>
        <w:t>permettr</w:t>
      </w:r>
      <w:r w:rsidR="00EE29A3">
        <w:rPr>
          <w:rFonts w:ascii="Garamond" w:hAnsi="Garamond"/>
        </w:rPr>
        <w:t>a</w:t>
      </w:r>
      <w:r>
        <w:rPr>
          <w:rFonts w:ascii="Garamond" w:hAnsi="Garamond"/>
        </w:rPr>
        <w:t xml:space="preserve"> aux populations de demander des comptes à leurs autorités </w:t>
      </w:r>
      <w:r w:rsidRPr="009B6D19">
        <w:rPr>
          <w:rFonts w:ascii="Garamond" w:hAnsi="Garamond"/>
        </w:rPr>
        <w:t>(Rondinelli, 1989 :12, Escobar</w:t>
      </w:r>
      <w:r w:rsidR="00FD640F">
        <w:rPr>
          <w:rFonts w:ascii="Garamond" w:hAnsi="Garamond"/>
        </w:rPr>
        <w:t>-</w:t>
      </w:r>
      <w:proofErr w:type="spellStart"/>
      <w:r w:rsidR="00FD640F">
        <w:rPr>
          <w:rFonts w:ascii="Garamond" w:hAnsi="Garamond"/>
        </w:rPr>
        <w:t>Lemmon</w:t>
      </w:r>
      <w:proofErr w:type="spellEnd"/>
      <w:r w:rsidR="00FD640F">
        <w:rPr>
          <w:rFonts w:ascii="Garamond" w:hAnsi="Garamond"/>
        </w:rPr>
        <w:t xml:space="preserve"> &amp; </w:t>
      </w:r>
      <w:r w:rsidRPr="009B6D19">
        <w:rPr>
          <w:rFonts w:ascii="Garamond" w:hAnsi="Garamond"/>
        </w:rPr>
        <w:t xml:space="preserve">Ross, 2014). </w:t>
      </w:r>
    </w:p>
    <w:p w14:paraId="707338CD" w14:textId="75F516FF" w:rsidR="00804868" w:rsidRPr="009B6D19" w:rsidRDefault="00804868" w:rsidP="00804868">
      <w:pPr>
        <w:rPr>
          <w:rFonts w:ascii="Garamond" w:hAnsi="Garamond"/>
        </w:rPr>
      </w:pPr>
      <w:r w:rsidRPr="009B6D19">
        <w:rPr>
          <w:rFonts w:ascii="Garamond" w:hAnsi="Garamond"/>
        </w:rPr>
        <w:t>Toutefois, cette réform</w:t>
      </w:r>
      <w:r>
        <w:rPr>
          <w:rFonts w:ascii="Garamond" w:hAnsi="Garamond"/>
        </w:rPr>
        <w:t xml:space="preserve">e </w:t>
      </w:r>
      <w:r w:rsidRPr="009B6D19">
        <w:rPr>
          <w:rFonts w:ascii="Garamond" w:hAnsi="Garamond"/>
        </w:rPr>
        <w:t>n’est pas une</w:t>
      </w:r>
      <w:r>
        <w:rPr>
          <w:rFonts w:ascii="Garamond" w:hAnsi="Garamond"/>
        </w:rPr>
        <w:t xml:space="preserve"> </w:t>
      </w:r>
      <w:r w:rsidRPr="009B6D19">
        <w:rPr>
          <w:rFonts w:ascii="Garamond" w:hAnsi="Garamond"/>
        </w:rPr>
        <w:t>panacée en soi. Son implémentation n’a jamais suivi un modèle linéaire ni produit des effets statiques (Caldeira &amp; Rota-</w:t>
      </w:r>
      <w:proofErr w:type="spellStart"/>
      <w:r w:rsidRPr="009B6D19">
        <w:rPr>
          <w:rFonts w:ascii="Garamond" w:hAnsi="Garamond"/>
        </w:rPr>
        <w:t>Graziosi</w:t>
      </w:r>
      <w:proofErr w:type="spellEnd"/>
      <w:r w:rsidRPr="009B6D19">
        <w:rPr>
          <w:rFonts w:ascii="Garamond" w:hAnsi="Garamond"/>
        </w:rPr>
        <w:t>, 2014 : 23). Dans beaucoup des cas, la complexité de l’environnement social, politique, économique et culturel n’a cessé d’une part, d’influencer la trajectoire</w:t>
      </w:r>
      <w:r>
        <w:rPr>
          <w:rFonts w:ascii="Garamond" w:hAnsi="Garamond"/>
        </w:rPr>
        <w:t xml:space="preserve"> </w:t>
      </w:r>
      <w:r w:rsidRPr="009B6D19">
        <w:rPr>
          <w:rFonts w:ascii="Garamond" w:hAnsi="Garamond"/>
        </w:rPr>
        <w:t>de la décentralisation et</w:t>
      </w:r>
      <w:r>
        <w:rPr>
          <w:rFonts w:ascii="Garamond" w:hAnsi="Garamond"/>
        </w:rPr>
        <w:t xml:space="preserve"> </w:t>
      </w:r>
      <w:r w:rsidRPr="009B6D19">
        <w:rPr>
          <w:rFonts w:ascii="Garamond" w:hAnsi="Garamond"/>
        </w:rPr>
        <w:t>d’autre part, d’impacter la soutenabilité à long terme de cette réforme</w:t>
      </w:r>
      <w:r>
        <w:rPr>
          <w:rFonts w:ascii="Garamond" w:hAnsi="Garamond"/>
        </w:rPr>
        <w:t xml:space="preserve"> </w:t>
      </w:r>
      <w:r w:rsidRPr="009B6D19">
        <w:rPr>
          <w:rFonts w:ascii="Garamond" w:hAnsi="Garamond"/>
        </w:rPr>
        <w:t>ainsi que des « </w:t>
      </w:r>
      <w:r w:rsidRPr="009B6D19">
        <w:rPr>
          <w:rFonts w:ascii="Garamond" w:hAnsi="Garamond"/>
          <w:i/>
        </w:rPr>
        <w:t>agrégats de gouvernance</w:t>
      </w:r>
      <w:r w:rsidRPr="009B6D19">
        <w:rPr>
          <w:rFonts w:ascii="Garamond" w:hAnsi="Garamond"/>
        </w:rPr>
        <w:t xml:space="preserve"> » (Rouillard &amp; Burlone, 2008) qui en résultent. Ainsi, au pire des cas, ces agrégats de gouvernance constitués </w:t>
      </w:r>
      <w:r w:rsidRPr="009B6D19">
        <w:rPr>
          <w:rFonts w:ascii="Garamond" w:hAnsi="Garamond"/>
        </w:rPr>
        <w:lastRenderedPageBreak/>
        <w:t>principalement de la participation publique, la reddition de</w:t>
      </w:r>
      <w:r w:rsidR="001A3848">
        <w:rPr>
          <w:rFonts w:ascii="Garamond" w:hAnsi="Garamond"/>
        </w:rPr>
        <w:t>s comptes, la responsabilité</w:t>
      </w:r>
      <w:r w:rsidRPr="009B6D19">
        <w:rPr>
          <w:rFonts w:ascii="Garamond" w:hAnsi="Garamond"/>
        </w:rPr>
        <w:t xml:space="preserve">, etc.), une fois mis en œuvre de façon inadéquate, </w:t>
      </w:r>
      <w:r w:rsidR="00F5686D">
        <w:rPr>
          <w:rFonts w:ascii="Garamond" w:hAnsi="Garamond"/>
        </w:rPr>
        <w:t>peuvent</w:t>
      </w:r>
      <w:r w:rsidRPr="009B6D19">
        <w:rPr>
          <w:rFonts w:ascii="Garamond" w:hAnsi="Garamond"/>
        </w:rPr>
        <w:t xml:space="preserve"> constituer un terreau propice au développement d’une gestion dangereusement ambivalente en muant l’efficacité tant recherchée en inefficacité et le souci d’une gestion responsable et redditionnelle en irresponsabilité ainsi que l’autonomie administrative et financière en une dépendance structure</w:t>
      </w:r>
      <w:r w:rsidR="007E5BD6">
        <w:rPr>
          <w:rFonts w:ascii="Garamond" w:hAnsi="Garamond"/>
        </w:rPr>
        <w:t xml:space="preserve">lle (Atangana </w:t>
      </w:r>
      <w:proofErr w:type="spellStart"/>
      <w:r w:rsidR="007E5BD6">
        <w:rPr>
          <w:rFonts w:ascii="Garamond" w:hAnsi="Garamond"/>
        </w:rPr>
        <w:t>Mvogo</w:t>
      </w:r>
      <w:proofErr w:type="spellEnd"/>
      <w:r w:rsidR="007E5BD6">
        <w:rPr>
          <w:rFonts w:ascii="Garamond" w:hAnsi="Garamond"/>
        </w:rPr>
        <w:t>, 2019 : 174</w:t>
      </w:r>
      <w:r w:rsidRPr="009B6D19">
        <w:rPr>
          <w:rFonts w:ascii="Garamond" w:hAnsi="Garamond"/>
        </w:rPr>
        <w:t>). Pourtant, ces agrégats de gouvernance constituent la raison et l’essence même de</w:t>
      </w:r>
      <w:r>
        <w:rPr>
          <w:rFonts w:ascii="Garamond" w:hAnsi="Garamond"/>
        </w:rPr>
        <w:t xml:space="preserve"> </w:t>
      </w:r>
      <w:r w:rsidRPr="009B6D19">
        <w:rPr>
          <w:rFonts w:ascii="Garamond" w:hAnsi="Garamond"/>
        </w:rPr>
        <w:t>la politique de</w:t>
      </w:r>
      <w:r>
        <w:rPr>
          <w:rFonts w:ascii="Garamond" w:hAnsi="Garamond"/>
        </w:rPr>
        <w:t xml:space="preserve"> </w:t>
      </w:r>
      <w:r w:rsidRPr="009B6D19">
        <w:rPr>
          <w:rFonts w:ascii="Garamond" w:hAnsi="Garamond"/>
        </w:rPr>
        <w:t>décentralisation dans un contexte de gouvernance démocratique (Escobar-</w:t>
      </w:r>
      <w:proofErr w:type="spellStart"/>
      <w:r w:rsidRPr="009B6D19">
        <w:rPr>
          <w:rFonts w:ascii="Garamond" w:hAnsi="Garamond"/>
        </w:rPr>
        <w:t>Lemmon</w:t>
      </w:r>
      <w:proofErr w:type="spellEnd"/>
      <w:r w:rsidRPr="009B6D19">
        <w:rPr>
          <w:rFonts w:ascii="Garamond" w:hAnsi="Garamond"/>
        </w:rPr>
        <w:t xml:space="preserve"> &amp; D. Ross, 2014</w:t>
      </w:r>
      <w:r w:rsidRPr="009B6D19">
        <w:rPr>
          <w:rStyle w:val="markedcontent"/>
          <w:rFonts w:ascii="Garamond" w:hAnsi="Garamond"/>
        </w:rPr>
        <w:t xml:space="preserve"> ; </w:t>
      </w:r>
      <w:r w:rsidRPr="009B6D19">
        <w:rPr>
          <w:rFonts w:ascii="Garamond" w:hAnsi="Garamond"/>
        </w:rPr>
        <w:t>Caldeira &amp; Rota-</w:t>
      </w:r>
      <w:proofErr w:type="spellStart"/>
      <w:r w:rsidRPr="009B6D19">
        <w:rPr>
          <w:rFonts w:ascii="Garamond" w:hAnsi="Garamond"/>
        </w:rPr>
        <w:t>Graziosi</w:t>
      </w:r>
      <w:proofErr w:type="spellEnd"/>
      <w:r w:rsidRPr="009B6D19">
        <w:rPr>
          <w:rFonts w:ascii="Garamond" w:hAnsi="Garamond"/>
        </w:rPr>
        <w:t xml:space="preserve">, 2014 ; </w:t>
      </w:r>
      <w:proofErr w:type="spellStart"/>
      <w:r w:rsidRPr="009B6D19">
        <w:rPr>
          <w:rFonts w:ascii="Garamond" w:hAnsi="Garamond"/>
        </w:rPr>
        <w:t>Kithatu-Ki</w:t>
      </w:r>
      <w:r w:rsidR="00CF1E60">
        <w:rPr>
          <w:rFonts w:ascii="Garamond" w:hAnsi="Garamond"/>
        </w:rPr>
        <w:t>wekete</w:t>
      </w:r>
      <w:proofErr w:type="spellEnd"/>
      <w:r w:rsidR="00CF1E60">
        <w:rPr>
          <w:rFonts w:ascii="Garamond" w:hAnsi="Garamond"/>
        </w:rPr>
        <w:t>, 2017 ; Liégeois, 2008</w:t>
      </w:r>
      <w:r w:rsidRPr="009B6D19">
        <w:rPr>
          <w:rFonts w:ascii="Garamond" w:hAnsi="Garamond"/>
        </w:rPr>
        <w:t>)</w:t>
      </w:r>
      <w:r w:rsidR="003328EC">
        <w:rPr>
          <w:rFonts w:ascii="Garamond" w:hAnsi="Garamond"/>
        </w:rPr>
        <w:t xml:space="preserve">. Ceci </w:t>
      </w:r>
      <w:r w:rsidR="00A75DA8">
        <w:rPr>
          <w:rFonts w:ascii="Garamond" w:hAnsi="Garamond"/>
        </w:rPr>
        <w:t xml:space="preserve">ne </w:t>
      </w:r>
      <w:r w:rsidR="003328EC">
        <w:rPr>
          <w:rFonts w:ascii="Garamond" w:hAnsi="Garamond"/>
        </w:rPr>
        <w:t>voudrait</w:t>
      </w:r>
      <w:r w:rsidR="00A75DA8">
        <w:rPr>
          <w:rFonts w:ascii="Garamond" w:hAnsi="Garamond"/>
        </w:rPr>
        <w:t xml:space="preserve"> pas</w:t>
      </w:r>
      <w:r w:rsidR="003328EC">
        <w:rPr>
          <w:rFonts w:ascii="Garamond" w:hAnsi="Garamond"/>
        </w:rPr>
        <w:t xml:space="preserve"> dire que la décentralisat</w:t>
      </w:r>
      <w:r w:rsidR="00A75DA8">
        <w:rPr>
          <w:rFonts w:ascii="Garamond" w:hAnsi="Garamond"/>
        </w:rPr>
        <w:t xml:space="preserve">ion </w:t>
      </w:r>
      <w:r w:rsidR="003328EC">
        <w:rPr>
          <w:rFonts w:ascii="Garamond" w:hAnsi="Garamond"/>
        </w:rPr>
        <w:t>est intimement</w:t>
      </w:r>
      <w:r w:rsidR="00A75DA8">
        <w:rPr>
          <w:rFonts w:ascii="Garamond" w:hAnsi="Garamond"/>
        </w:rPr>
        <w:t xml:space="preserve"> liée </w:t>
      </w:r>
      <w:r w:rsidR="003328EC">
        <w:rPr>
          <w:rFonts w:ascii="Garamond" w:hAnsi="Garamond"/>
        </w:rPr>
        <w:t xml:space="preserve">à la démocratie moins encore à la gouvernance d’autant plus qu’un pays démocratique </w:t>
      </w:r>
      <w:r w:rsidR="00A75DA8">
        <w:rPr>
          <w:rFonts w:ascii="Garamond" w:hAnsi="Garamond"/>
        </w:rPr>
        <w:t>peut ne pas avoir la décentralisation comme mode d’organisation. De même, des pays respectueux des agrégats de gouvernance ne sont pas nécessairement décentralisés.</w:t>
      </w:r>
    </w:p>
    <w:p w14:paraId="0F570F41" w14:textId="3574D8FC" w:rsidR="00804868" w:rsidRPr="009B6D19" w:rsidRDefault="00804868" w:rsidP="00804868">
      <w:pPr>
        <w:rPr>
          <w:rFonts w:ascii="Garamond" w:hAnsi="Garamond"/>
          <w:lang w:eastAsia="fr-FR"/>
        </w:rPr>
      </w:pPr>
      <w:r w:rsidRPr="009B6D19">
        <w:rPr>
          <w:rFonts w:ascii="Garamond" w:hAnsi="Garamond"/>
          <w:lang w:eastAsia="fr-FR"/>
        </w:rPr>
        <w:t>Enfin, Lemieux (2001) et Champagne (2012) distinguent quatre formes de décentralisations. Il s’agit de la déconcentration ou la décentralisatio</w:t>
      </w:r>
      <w:r>
        <w:rPr>
          <w:rFonts w:ascii="Garamond" w:hAnsi="Garamond"/>
          <w:lang w:eastAsia="fr-FR"/>
        </w:rPr>
        <w:t xml:space="preserve">n administrative, la délégation </w:t>
      </w:r>
      <w:r w:rsidRPr="009B6D19">
        <w:rPr>
          <w:rFonts w:ascii="Garamond" w:hAnsi="Garamond"/>
          <w:lang w:eastAsia="fr-FR"/>
        </w:rPr>
        <w:t>ou la décentralisation fonctionnelle, la dévolution ou la décentralisation politique et la privatisation ou la décentralisation structurelle. Ces</w:t>
      </w:r>
      <w:r>
        <w:rPr>
          <w:rFonts w:ascii="Garamond" w:hAnsi="Garamond"/>
          <w:lang w:eastAsia="fr-FR"/>
        </w:rPr>
        <w:t xml:space="preserve"> formes sont</w:t>
      </w:r>
      <w:r w:rsidRPr="009B6D19">
        <w:rPr>
          <w:rFonts w:ascii="Garamond" w:hAnsi="Garamond"/>
          <w:lang w:eastAsia="fr-FR"/>
        </w:rPr>
        <w:t xml:space="preserve"> très complémentaires. Ainsi, certains gouverneme</w:t>
      </w:r>
      <w:r>
        <w:rPr>
          <w:rFonts w:ascii="Garamond" w:hAnsi="Garamond"/>
          <w:lang w:eastAsia="fr-FR"/>
        </w:rPr>
        <w:t>nt</w:t>
      </w:r>
      <w:r w:rsidR="005B63E2">
        <w:rPr>
          <w:rFonts w:ascii="Garamond" w:hAnsi="Garamond"/>
          <w:lang w:eastAsia="fr-FR"/>
        </w:rPr>
        <w:t>s</w:t>
      </w:r>
      <w:r>
        <w:rPr>
          <w:rFonts w:ascii="Garamond" w:hAnsi="Garamond"/>
          <w:lang w:eastAsia="fr-FR"/>
        </w:rPr>
        <w:t xml:space="preserve"> peuvent les mettre simultanément en œuvre </w:t>
      </w:r>
      <w:r w:rsidRPr="009B6D19">
        <w:rPr>
          <w:rFonts w:ascii="Garamond" w:hAnsi="Garamond"/>
          <w:lang w:eastAsia="fr-FR"/>
        </w:rPr>
        <w:t>pour parvenir à une « </w:t>
      </w:r>
      <w:r w:rsidRPr="009B6D19">
        <w:rPr>
          <w:rFonts w:ascii="Garamond" w:hAnsi="Garamond"/>
          <w:i/>
          <w:lang w:eastAsia="fr-FR"/>
        </w:rPr>
        <w:t>décentralisation multidimensionnelle</w:t>
      </w:r>
      <w:r w:rsidRPr="009B6D19">
        <w:rPr>
          <w:rFonts w:ascii="Garamond" w:hAnsi="Garamond"/>
          <w:lang w:eastAsia="fr-FR"/>
        </w:rPr>
        <w:t xml:space="preserve"> » (Lemieux, 2001 : 45). </w:t>
      </w:r>
    </w:p>
    <w:p w14:paraId="19F0F0FB" w14:textId="77777777" w:rsidR="00804868" w:rsidRPr="009B6D19" w:rsidRDefault="00804868" w:rsidP="00804868">
      <w:pPr>
        <w:pStyle w:val="Heading3"/>
      </w:pPr>
      <w:bookmarkStart w:id="10" w:name="_Toc125594155"/>
      <w:bookmarkStart w:id="11" w:name="_Toc143577448"/>
      <w:r w:rsidRPr="009B6D19">
        <w:t>La dévolution</w:t>
      </w:r>
      <w:bookmarkEnd w:id="10"/>
      <w:bookmarkEnd w:id="11"/>
      <w:r w:rsidRPr="009B6D19">
        <w:t xml:space="preserve"> </w:t>
      </w:r>
    </w:p>
    <w:p w14:paraId="4B5981C8" w14:textId="1DCE6C64" w:rsidR="00804868" w:rsidRPr="009B6D19" w:rsidRDefault="00804868" w:rsidP="00804868">
      <w:pPr>
        <w:rPr>
          <w:rFonts w:ascii="Garamond" w:hAnsi="Garamond"/>
          <w:lang w:eastAsia="fr-FR"/>
        </w:rPr>
      </w:pPr>
      <w:r w:rsidRPr="009B6D19">
        <w:rPr>
          <w:rFonts w:ascii="Garamond" w:hAnsi="Garamond"/>
          <w:lang w:eastAsia="fr-FR"/>
        </w:rPr>
        <w:t xml:space="preserve">La dévolution ou la décentralisation politique constitue selon Rondinelli (1989), une création des entités légalement, politiquement et financièrement autonomes. </w:t>
      </w:r>
      <w:r>
        <w:rPr>
          <w:rFonts w:ascii="Garamond" w:hAnsi="Garamond"/>
          <w:lang w:eastAsia="fr-FR"/>
        </w:rPr>
        <w:t xml:space="preserve">Son objectif est notamment de </w:t>
      </w:r>
      <w:r w:rsidR="00D3532D">
        <w:rPr>
          <w:rFonts w:ascii="Garamond" w:hAnsi="Garamond"/>
          <w:lang w:eastAsia="fr-FR"/>
        </w:rPr>
        <w:t>conforter</w:t>
      </w:r>
      <w:r>
        <w:rPr>
          <w:rFonts w:ascii="Garamond" w:hAnsi="Garamond"/>
          <w:lang w:eastAsia="fr-FR"/>
        </w:rPr>
        <w:t xml:space="preserve"> le p</w:t>
      </w:r>
      <w:r w:rsidRPr="009B6D19">
        <w:rPr>
          <w:rFonts w:ascii="Garamond" w:hAnsi="Garamond"/>
          <w:lang w:eastAsia="fr-FR"/>
        </w:rPr>
        <w:t>ouvoir décisionnel</w:t>
      </w:r>
      <w:r>
        <w:rPr>
          <w:rFonts w:ascii="Garamond" w:hAnsi="Garamond"/>
          <w:lang w:eastAsia="fr-FR"/>
        </w:rPr>
        <w:t>, de renforcer le souverain primaire dans son rôle de cheville ouvrière dans la mise à l’agenda, la conduite et le suivi-évaluation des politiques publiques locales</w:t>
      </w:r>
      <w:r w:rsidR="00D3532D">
        <w:rPr>
          <w:rFonts w:ascii="Garamond" w:hAnsi="Garamond"/>
          <w:lang w:eastAsia="fr-FR"/>
        </w:rPr>
        <w:t xml:space="preserve"> et</w:t>
      </w:r>
      <w:r>
        <w:rPr>
          <w:rFonts w:ascii="Garamond" w:hAnsi="Garamond"/>
          <w:lang w:eastAsia="fr-FR"/>
        </w:rPr>
        <w:t xml:space="preserve"> d’accroitre la cohérence et la pertinence des politiques publiques ainsi que l’efficacité dans</w:t>
      </w:r>
      <w:r>
        <w:t xml:space="preserve"> </w:t>
      </w:r>
      <w:r w:rsidR="00D3532D" w:rsidRPr="0075564C">
        <w:rPr>
          <w:rFonts w:ascii="Garamond" w:hAnsi="Garamond"/>
          <w:lang w:eastAsia="fr-FR"/>
        </w:rPr>
        <w:t xml:space="preserve">les </w:t>
      </w:r>
      <w:r>
        <w:rPr>
          <w:rFonts w:ascii="Garamond" w:hAnsi="Garamond"/>
          <w:lang w:eastAsia="fr-FR"/>
        </w:rPr>
        <w:t>interventions de l’exécutif local.</w:t>
      </w:r>
      <w:r w:rsidRPr="009B6D19">
        <w:rPr>
          <w:rFonts w:ascii="Garamond" w:hAnsi="Garamond"/>
          <w:lang w:eastAsia="fr-FR"/>
        </w:rPr>
        <w:t xml:space="preserve"> </w:t>
      </w:r>
      <w:r w:rsidR="00A75DA8">
        <w:rPr>
          <w:rFonts w:ascii="Garamond" w:hAnsi="Garamond"/>
          <w:lang w:eastAsia="fr-FR"/>
        </w:rPr>
        <w:t xml:space="preserve">C’est ce qui la rapproche de la démocratie représentative </w:t>
      </w:r>
      <w:r w:rsidR="00B40ABD">
        <w:rPr>
          <w:rFonts w:ascii="Garamond" w:hAnsi="Garamond"/>
          <w:lang w:eastAsia="fr-FR"/>
        </w:rPr>
        <w:t>du fait qu’elle conduite dans l’optique du rapprochement des citoyens de leurs institutions au travers le vote des leurs représentants élus lesquels contrôlent et demandent des comptes à l’exécutif local. Ce</w:t>
      </w:r>
      <w:r w:rsidRPr="009B6D19">
        <w:rPr>
          <w:rFonts w:ascii="Garamond" w:hAnsi="Garamond"/>
          <w:lang w:eastAsia="fr-FR"/>
        </w:rPr>
        <w:t xml:space="preserve"> rapprochement</w:t>
      </w:r>
      <w:r>
        <w:rPr>
          <w:rFonts w:ascii="Garamond" w:hAnsi="Garamond"/>
          <w:lang w:eastAsia="fr-FR"/>
        </w:rPr>
        <w:t xml:space="preserve"> et </w:t>
      </w:r>
      <w:r w:rsidR="00B40ABD">
        <w:rPr>
          <w:rFonts w:ascii="Garamond" w:hAnsi="Garamond"/>
          <w:lang w:eastAsia="fr-FR"/>
        </w:rPr>
        <w:t xml:space="preserve">cette </w:t>
      </w:r>
      <w:r>
        <w:rPr>
          <w:rFonts w:ascii="Garamond" w:hAnsi="Garamond"/>
          <w:lang w:eastAsia="fr-FR"/>
        </w:rPr>
        <w:t>synergie entre électeurs-élus favorables à la reddition des comptes.</w:t>
      </w:r>
      <w:r w:rsidRPr="009B6D19">
        <w:rPr>
          <w:rFonts w:ascii="Garamond" w:hAnsi="Garamond"/>
          <w:lang w:eastAsia="fr-FR"/>
        </w:rPr>
        <w:t xml:space="preserve"> Ainsi</w:t>
      </w:r>
      <w:r>
        <w:rPr>
          <w:rFonts w:ascii="Garamond" w:hAnsi="Garamond"/>
          <w:lang w:eastAsia="fr-FR"/>
        </w:rPr>
        <w:t>, le Gouvernement central n’a plus à intervenir directement sur certaines matières de compétence infranationale mais bien plus</w:t>
      </w:r>
      <w:r w:rsidR="0075564C">
        <w:rPr>
          <w:rFonts w:ascii="Garamond" w:hAnsi="Garamond"/>
          <w:lang w:eastAsia="fr-FR"/>
        </w:rPr>
        <w:t>,</w:t>
      </w:r>
      <w:r w:rsidRPr="009B6D19">
        <w:rPr>
          <w:rFonts w:ascii="Garamond" w:hAnsi="Garamond"/>
          <w:lang w:eastAsia="fr-FR"/>
        </w:rPr>
        <w:t xml:space="preserve"> pour un contrôle de régularité ou de tu</w:t>
      </w:r>
      <w:r>
        <w:rPr>
          <w:rFonts w:ascii="Garamond" w:hAnsi="Garamond"/>
          <w:lang w:eastAsia="fr-FR"/>
        </w:rPr>
        <w:t>telle ou encore de su</w:t>
      </w:r>
      <w:r w:rsidRPr="009B6D19">
        <w:rPr>
          <w:rFonts w:ascii="Garamond" w:hAnsi="Garamond"/>
          <w:lang w:eastAsia="fr-FR"/>
        </w:rPr>
        <w:t xml:space="preserve">pervision. </w:t>
      </w:r>
      <w:r>
        <w:rPr>
          <w:rFonts w:ascii="Garamond" w:hAnsi="Garamond"/>
          <w:lang w:eastAsia="fr-FR"/>
        </w:rPr>
        <w:t>S</w:t>
      </w:r>
      <w:r w:rsidRPr="009B6D19">
        <w:rPr>
          <w:rFonts w:ascii="Garamond" w:hAnsi="Garamond"/>
          <w:lang w:eastAsia="fr-FR"/>
        </w:rPr>
        <w:t xml:space="preserve">elon Lemieux (2001), </w:t>
      </w:r>
      <w:r>
        <w:rPr>
          <w:rFonts w:ascii="Garamond" w:hAnsi="Garamond"/>
          <w:lang w:eastAsia="fr-FR"/>
        </w:rPr>
        <w:t xml:space="preserve">c’est son </w:t>
      </w:r>
      <w:r w:rsidRPr="009B6D19">
        <w:rPr>
          <w:rFonts w:ascii="Garamond" w:hAnsi="Garamond"/>
          <w:lang w:eastAsia="fr-FR"/>
        </w:rPr>
        <w:t>caractère multidimensionnel et multisectoriel</w:t>
      </w:r>
      <w:r>
        <w:rPr>
          <w:rFonts w:ascii="Garamond" w:hAnsi="Garamond"/>
          <w:lang w:eastAsia="fr-FR"/>
        </w:rPr>
        <w:t xml:space="preserve"> qui la distingue d’autres formes de</w:t>
      </w:r>
      <w:r w:rsidRPr="009B6D19">
        <w:rPr>
          <w:rFonts w:ascii="Garamond" w:hAnsi="Garamond"/>
          <w:lang w:eastAsia="fr-FR"/>
        </w:rPr>
        <w:t xml:space="preserve"> </w:t>
      </w:r>
      <w:r>
        <w:rPr>
          <w:rFonts w:ascii="Garamond" w:hAnsi="Garamond"/>
          <w:lang w:eastAsia="fr-FR"/>
        </w:rPr>
        <w:t>décentralisations.</w:t>
      </w:r>
      <w:r w:rsidRPr="009B6D19">
        <w:rPr>
          <w:rFonts w:ascii="Garamond" w:hAnsi="Garamond"/>
          <w:lang w:eastAsia="fr-FR"/>
        </w:rPr>
        <w:t xml:space="preserve"> </w:t>
      </w:r>
    </w:p>
    <w:p w14:paraId="43D4C320" w14:textId="77777777" w:rsidR="00804868" w:rsidRDefault="00804868" w:rsidP="00804868">
      <w:pPr>
        <w:rPr>
          <w:rFonts w:ascii="Garamond" w:hAnsi="Garamond"/>
          <w:lang w:eastAsia="fr-FR"/>
        </w:rPr>
      </w:pPr>
      <w:r w:rsidRPr="009B6D19">
        <w:rPr>
          <w:rFonts w:ascii="Garamond" w:hAnsi="Garamond"/>
          <w:lang w:eastAsia="fr-FR"/>
        </w:rPr>
        <w:lastRenderedPageBreak/>
        <w:t>Rondinelli (1989) pense que les raisons qui concourent à la dévolution sont multiples. Dans certains cas, elle vise à rendre le processus décisionnel plus participatif et inclu</w:t>
      </w:r>
      <w:r>
        <w:rPr>
          <w:rFonts w:ascii="Garamond" w:hAnsi="Garamond"/>
          <w:lang w:eastAsia="fr-FR"/>
        </w:rPr>
        <w:t xml:space="preserve">sif dans l’optique de renforcer l’impact sur terrain des politiques et la participation publique dans un élan de développement. </w:t>
      </w:r>
      <w:r w:rsidRPr="009B6D19">
        <w:rPr>
          <w:rFonts w:ascii="Garamond" w:hAnsi="Garamond"/>
          <w:lang w:eastAsia="fr-FR"/>
        </w:rPr>
        <w:t>Dans d’autres cas, la dévolution permet aux entités locales d’apporter une solution locale plus rapide, mieux adapté</w:t>
      </w:r>
      <w:r>
        <w:rPr>
          <w:rFonts w:ascii="Garamond" w:hAnsi="Garamond"/>
          <w:lang w:eastAsia="fr-FR"/>
        </w:rPr>
        <w:t>e</w:t>
      </w:r>
      <w:r w:rsidRPr="009B6D19">
        <w:rPr>
          <w:rFonts w:ascii="Garamond" w:hAnsi="Garamond"/>
          <w:lang w:eastAsia="fr-FR"/>
        </w:rPr>
        <w:t xml:space="preserve"> et efficace aux préoccupations locales que le pouvoir central. De ce fait, elle renforce la responsabilité, la réactivité des </w:t>
      </w:r>
      <w:r>
        <w:rPr>
          <w:rFonts w:ascii="Garamond" w:hAnsi="Garamond"/>
          <w:lang w:eastAsia="fr-FR"/>
        </w:rPr>
        <w:t>acteurs locaux</w:t>
      </w:r>
      <w:r>
        <w:t xml:space="preserve"> </w:t>
      </w:r>
      <w:r w:rsidRPr="009B6D19">
        <w:rPr>
          <w:rFonts w:ascii="Garamond" w:hAnsi="Garamond"/>
          <w:lang w:eastAsia="fr-FR"/>
        </w:rPr>
        <w:t>et la célérité</w:t>
      </w:r>
      <w:r>
        <w:rPr>
          <w:rFonts w:ascii="Garamond" w:hAnsi="Garamond"/>
          <w:lang w:eastAsia="fr-FR"/>
        </w:rPr>
        <w:t xml:space="preserve">, l’efficacité ainsi que l’efficience des politiques locales. </w:t>
      </w:r>
      <w:r w:rsidRPr="009B6D19">
        <w:rPr>
          <w:rFonts w:ascii="Garamond" w:hAnsi="Garamond"/>
          <w:lang w:eastAsia="fr-FR"/>
        </w:rPr>
        <w:t xml:space="preserve"> </w:t>
      </w:r>
      <w:r>
        <w:rPr>
          <w:rFonts w:ascii="Garamond" w:hAnsi="Garamond"/>
          <w:lang w:eastAsia="fr-FR"/>
        </w:rPr>
        <w:t>Par conséquent, la contre-performance des dirigeants locaux élus est sanctionnée par la voie des élections.</w:t>
      </w:r>
    </w:p>
    <w:p w14:paraId="544E8AED" w14:textId="67733C3E" w:rsidR="00804868" w:rsidRPr="009B6D19" w:rsidRDefault="00804868" w:rsidP="00804868">
      <w:pPr>
        <w:rPr>
          <w:rFonts w:ascii="Garamond" w:hAnsi="Garamond"/>
          <w:lang w:eastAsia="fr-FR"/>
        </w:rPr>
      </w:pPr>
      <w:r w:rsidRPr="009B6D19">
        <w:rPr>
          <w:rFonts w:ascii="Garamond" w:hAnsi="Garamond"/>
          <w:lang w:eastAsia="fr-FR"/>
        </w:rPr>
        <w:t>Bien que des objectifs de désintégration ou de repli identitaire ou tribal puissent se cacher derrière une réforme de dévolution dans l’unique but de s’autogérer politiquement et financièrement, elle demeure une forme de décentralisation par excellence et plus complète</w:t>
      </w:r>
      <w:r>
        <w:rPr>
          <w:rFonts w:ascii="Garamond" w:hAnsi="Garamond"/>
          <w:lang w:eastAsia="fr-FR"/>
        </w:rPr>
        <w:t xml:space="preserve"> pour la simple raison qu’elle facilite aux </w:t>
      </w:r>
      <w:r w:rsidRPr="009B6D19">
        <w:rPr>
          <w:rFonts w:ascii="Garamond" w:hAnsi="Garamond"/>
          <w:lang w:eastAsia="fr-FR"/>
        </w:rPr>
        <w:t xml:space="preserve">instances locales d’interagir efficacement dans le processus décisionnel et </w:t>
      </w:r>
      <w:r>
        <w:rPr>
          <w:rFonts w:ascii="Garamond" w:hAnsi="Garamond"/>
          <w:lang w:eastAsia="fr-FR"/>
        </w:rPr>
        <w:t>d’être le pivot central de leur d</w:t>
      </w:r>
      <w:r w:rsidRPr="009B6D19">
        <w:rPr>
          <w:rFonts w:ascii="Garamond" w:hAnsi="Garamond"/>
          <w:lang w:eastAsia="fr-FR"/>
        </w:rPr>
        <w:t>éveloppement. Ce virage inattendu</w:t>
      </w:r>
      <w:r>
        <w:rPr>
          <w:rFonts w:ascii="Garamond" w:hAnsi="Garamond"/>
          <w:lang w:eastAsia="fr-FR"/>
        </w:rPr>
        <w:t xml:space="preserve"> construit l’argumentaire des pays pauvres et de faible niveau de gouvernance selon lequel rendre effective la responsabilité des instances locales et leur accorder plus des capacités le</w:t>
      </w:r>
      <w:r w:rsidR="00D3532D">
        <w:rPr>
          <w:rFonts w:ascii="Garamond" w:hAnsi="Garamond"/>
          <w:lang w:eastAsia="fr-FR"/>
        </w:rPr>
        <w:t>s</w:t>
      </w:r>
      <w:r>
        <w:rPr>
          <w:rFonts w:ascii="Garamond" w:hAnsi="Garamond"/>
          <w:lang w:eastAsia="fr-FR"/>
        </w:rPr>
        <w:t xml:space="preserve"> conduirai</w:t>
      </w:r>
      <w:r w:rsidR="00D3532D">
        <w:rPr>
          <w:rFonts w:ascii="Garamond" w:hAnsi="Garamond"/>
          <w:lang w:eastAsia="fr-FR"/>
        </w:rPr>
        <w:t>en</w:t>
      </w:r>
      <w:r>
        <w:rPr>
          <w:rFonts w:ascii="Garamond" w:hAnsi="Garamond"/>
          <w:lang w:eastAsia="fr-FR"/>
        </w:rPr>
        <w:t>t à la radicalisation ou à la rébellion</w:t>
      </w:r>
      <w:r w:rsidRPr="009B6D19">
        <w:rPr>
          <w:rFonts w:ascii="Garamond" w:hAnsi="Garamond"/>
          <w:lang w:eastAsia="fr-FR"/>
        </w:rPr>
        <w:t xml:space="preserve"> (Rondinelli, 1989).</w:t>
      </w:r>
      <w:r>
        <w:rPr>
          <w:rFonts w:ascii="Garamond" w:hAnsi="Garamond"/>
          <w:lang w:eastAsia="fr-FR"/>
        </w:rPr>
        <w:t xml:space="preserve"> </w:t>
      </w:r>
      <w:r w:rsidR="00791D09">
        <w:rPr>
          <w:rFonts w:ascii="Garamond" w:hAnsi="Garamond"/>
          <w:lang w:eastAsia="fr-FR"/>
        </w:rPr>
        <w:t>Bien que des</w:t>
      </w:r>
      <w:r>
        <w:rPr>
          <w:rFonts w:ascii="Garamond" w:hAnsi="Garamond"/>
          <w:lang w:eastAsia="fr-FR"/>
        </w:rPr>
        <w:t xml:space="preserve"> </w:t>
      </w:r>
      <w:proofErr w:type="spellStart"/>
      <w:r w:rsidRPr="00C76DAE">
        <w:rPr>
          <w:rFonts w:ascii="Garamond" w:hAnsi="Garamond"/>
          <w:i/>
          <w:lang w:eastAsia="fr-FR"/>
        </w:rPr>
        <w:t>s</w:t>
      </w:r>
      <w:r w:rsidRPr="009B6D19">
        <w:rPr>
          <w:rFonts w:ascii="Garamond" w:hAnsi="Garamond"/>
          <w:i/>
          <w:lang w:eastAsia="fr-FR"/>
        </w:rPr>
        <w:t>ucc</w:t>
      </w:r>
      <w:r>
        <w:rPr>
          <w:rFonts w:ascii="Garamond" w:hAnsi="Garamond"/>
          <w:i/>
          <w:lang w:eastAsia="fr-FR"/>
        </w:rPr>
        <w:t>e</w:t>
      </w:r>
      <w:r w:rsidRPr="009B6D19">
        <w:rPr>
          <w:rFonts w:ascii="Garamond" w:hAnsi="Garamond"/>
          <w:i/>
          <w:lang w:eastAsia="fr-FR"/>
        </w:rPr>
        <w:t>s</w:t>
      </w:r>
      <w:r>
        <w:rPr>
          <w:rFonts w:ascii="Garamond" w:hAnsi="Garamond"/>
          <w:i/>
          <w:lang w:eastAsia="fr-FR"/>
        </w:rPr>
        <w:t>s</w:t>
      </w:r>
      <w:proofErr w:type="spellEnd"/>
      <w:r>
        <w:rPr>
          <w:rFonts w:ascii="Garamond" w:hAnsi="Garamond"/>
          <w:i/>
          <w:lang w:eastAsia="fr-FR"/>
        </w:rPr>
        <w:t xml:space="preserve"> stories </w:t>
      </w:r>
      <w:r w:rsidRPr="00C76DAE">
        <w:rPr>
          <w:rFonts w:ascii="Garamond" w:hAnsi="Garamond"/>
          <w:lang w:eastAsia="fr-FR"/>
        </w:rPr>
        <w:t>so</w:t>
      </w:r>
      <w:r w:rsidR="00791D09">
        <w:rPr>
          <w:rFonts w:ascii="Garamond" w:hAnsi="Garamond"/>
          <w:lang w:eastAsia="fr-FR"/>
        </w:rPr>
        <w:t>ie</w:t>
      </w:r>
      <w:r w:rsidRPr="00C76DAE">
        <w:rPr>
          <w:rFonts w:ascii="Garamond" w:hAnsi="Garamond"/>
          <w:lang w:eastAsia="fr-FR"/>
        </w:rPr>
        <w:t>nt</w:t>
      </w:r>
      <w:r>
        <w:rPr>
          <w:rFonts w:ascii="Garamond" w:hAnsi="Garamond"/>
          <w:lang w:eastAsia="fr-FR"/>
        </w:rPr>
        <w:t xml:space="preserve"> légions</w:t>
      </w:r>
      <w:r w:rsidR="00791D09">
        <w:rPr>
          <w:rFonts w:ascii="Garamond" w:hAnsi="Garamond"/>
          <w:lang w:eastAsia="fr-FR"/>
        </w:rPr>
        <w:t xml:space="preserve">, il est toutefois important de </w:t>
      </w:r>
      <w:r w:rsidRPr="009B6D19">
        <w:rPr>
          <w:rFonts w:ascii="Garamond" w:hAnsi="Garamond"/>
          <w:lang w:eastAsia="fr-FR"/>
        </w:rPr>
        <w:t>faire ressortir le risque derrière cette</w:t>
      </w:r>
      <w:r>
        <w:rPr>
          <w:rFonts w:ascii="Garamond" w:hAnsi="Garamond"/>
          <w:lang w:eastAsia="fr-FR"/>
        </w:rPr>
        <w:t xml:space="preserve"> articulation de la décentralisation surtout lorsqu’elle est véhiculée</w:t>
      </w:r>
      <w:r w:rsidRPr="009B6D19">
        <w:rPr>
          <w:rFonts w:ascii="Garamond" w:hAnsi="Garamond"/>
          <w:lang w:eastAsia="fr-FR"/>
        </w:rPr>
        <w:t xml:space="preserve"> par un mobil</w:t>
      </w:r>
      <w:r w:rsidR="00791D09">
        <w:rPr>
          <w:rFonts w:ascii="Garamond" w:hAnsi="Garamond"/>
          <w:lang w:eastAsia="fr-FR"/>
        </w:rPr>
        <w:t>e civilisateur et pacificateur.</w:t>
      </w:r>
    </w:p>
    <w:p w14:paraId="643479F1" w14:textId="77777777" w:rsidR="00804868" w:rsidRPr="009B6D19" w:rsidRDefault="00804868" w:rsidP="00804868">
      <w:pPr>
        <w:pStyle w:val="Heading3"/>
      </w:pPr>
      <w:bookmarkStart w:id="12" w:name="_Toc125594156"/>
      <w:bookmarkStart w:id="13" w:name="_Toc143577449"/>
      <w:r w:rsidRPr="009B6D19">
        <w:t>La déconcentration</w:t>
      </w:r>
      <w:bookmarkEnd w:id="12"/>
      <w:bookmarkEnd w:id="13"/>
    </w:p>
    <w:p w14:paraId="2E1035F4" w14:textId="2271A5EA" w:rsidR="003E2FEC" w:rsidRDefault="00804868" w:rsidP="00804868">
      <w:pPr>
        <w:rPr>
          <w:rFonts w:ascii="Garamond" w:hAnsi="Garamond"/>
          <w:lang w:eastAsia="fr-FR"/>
        </w:rPr>
      </w:pPr>
      <w:r w:rsidRPr="009B6D19">
        <w:rPr>
          <w:rFonts w:ascii="Garamond" w:hAnsi="Garamond"/>
          <w:lang w:eastAsia="fr-FR"/>
        </w:rPr>
        <w:t>La déconcentration ou la décentralisation administrative renvoie à un transfert des responsabilités à des unités infranationales fortement dépendantes du pouvoir central (Champagne, 2012 ; Rondinelli, 1989 ; Lemieux, 2001</w:t>
      </w:r>
      <w:r w:rsidR="00F2774A">
        <w:rPr>
          <w:rFonts w:ascii="Garamond" w:hAnsi="Garamond"/>
          <w:lang w:eastAsia="fr-FR"/>
        </w:rPr>
        <w:t xml:space="preserve">, </w:t>
      </w:r>
      <w:proofErr w:type="spellStart"/>
      <w:r w:rsidR="00F2774A">
        <w:rPr>
          <w:rFonts w:ascii="Garamond" w:hAnsi="Garamond"/>
          <w:lang w:eastAsia="fr-FR"/>
        </w:rPr>
        <w:t>Divay</w:t>
      </w:r>
      <w:proofErr w:type="spellEnd"/>
      <w:r w:rsidR="00F2774A">
        <w:rPr>
          <w:rFonts w:ascii="Garamond" w:hAnsi="Garamond"/>
          <w:lang w:eastAsia="fr-FR"/>
        </w:rPr>
        <w:t>, 2012</w:t>
      </w:r>
      <w:r w:rsidRPr="009B6D19">
        <w:rPr>
          <w:rFonts w:ascii="Garamond" w:hAnsi="Garamond"/>
          <w:lang w:eastAsia="fr-FR"/>
        </w:rPr>
        <w:t xml:space="preserve">). </w:t>
      </w:r>
      <w:r w:rsidR="003E2FEC">
        <w:rPr>
          <w:rFonts w:ascii="Garamond" w:hAnsi="Garamond"/>
          <w:lang w:eastAsia="fr-FR"/>
        </w:rPr>
        <w:t xml:space="preserve">Elle peut prendre la forme d’une </w:t>
      </w:r>
      <w:r w:rsidR="001956FB">
        <w:rPr>
          <w:rFonts w:ascii="Garamond" w:hAnsi="Garamond"/>
          <w:lang w:eastAsia="fr-FR"/>
        </w:rPr>
        <w:t xml:space="preserve">déconcentration géographique </w:t>
      </w:r>
      <w:r w:rsidR="003E2FEC">
        <w:rPr>
          <w:rFonts w:ascii="Garamond" w:hAnsi="Garamond"/>
          <w:lang w:eastAsia="fr-FR"/>
        </w:rPr>
        <w:t>lors</w:t>
      </w:r>
      <w:r w:rsidR="001956FB">
        <w:rPr>
          <w:rFonts w:ascii="Garamond" w:hAnsi="Garamond"/>
          <w:lang w:eastAsia="fr-FR"/>
        </w:rPr>
        <w:t>qu’une certaine capacité de décision a été cédée aux services provinciaux ou locaux dépendant du pouvoir central (</w:t>
      </w:r>
      <w:proofErr w:type="spellStart"/>
      <w:r w:rsidR="001956FB">
        <w:rPr>
          <w:rFonts w:ascii="Garamond" w:hAnsi="Garamond"/>
          <w:lang w:eastAsia="fr-FR"/>
        </w:rPr>
        <w:t>Divay</w:t>
      </w:r>
      <w:proofErr w:type="spellEnd"/>
      <w:r w:rsidR="001956FB">
        <w:rPr>
          <w:rFonts w:ascii="Garamond" w:hAnsi="Garamond"/>
          <w:lang w:eastAsia="fr-FR"/>
        </w:rPr>
        <w:t>, 2012). Il peut s’agir également d’une déconcentration fonctionnelle qui</w:t>
      </w:r>
      <w:r w:rsidR="003E2FEC">
        <w:rPr>
          <w:rFonts w:ascii="Garamond" w:hAnsi="Garamond"/>
          <w:lang w:eastAsia="fr-FR"/>
        </w:rPr>
        <w:t xml:space="preserve"> consiste à accorder une certaine capacité de décider sur une certaine matière, à un service public ou privé en charge d’une mission d’intérêt public. </w:t>
      </w:r>
    </w:p>
    <w:p w14:paraId="4C36F634" w14:textId="4C5C7BA0" w:rsidR="00804868" w:rsidRPr="009B6D19" w:rsidRDefault="00EA3752" w:rsidP="00804868">
      <w:pPr>
        <w:rPr>
          <w:rFonts w:ascii="Garamond" w:hAnsi="Garamond"/>
          <w:lang w:eastAsia="fr-FR"/>
        </w:rPr>
      </w:pPr>
      <w:r>
        <w:rPr>
          <w:rFonts w:ascii="Garamond" w:hAnsi="Garamond"/>
          <w:lang w:eastAsia="fr-FR"/>
        </w:rPr>
        <w:t>L</w:t>
      </w:r>
      <w:r w:rsidR="00804868" w:rsidRPr="009B6D19">
        <w:rPr>
          <w:rFonts w:ascii="Garamond" w:hAnsi="Garamond"/>
          <w:lang w:eastAsia="fr-FR"/>
        </w:rPr>
        <w:t>es instances déconcentrées constituent le prolongement du pouvoir central qui exerce sur elles un contrôle de tutelle ou</w:t>
      </w:r>
      <w:r w:rsidR="00470043">
        <w:rPr>
          <w:rFonts w:ascii="Garamond" w:hAnsi="Garamond"/>
          <w:lang w:eastAsia="fr-FR"/>
        </w:rPr>
        <w:t xml:space="preserve"> hiérarchique. </w:t>
      </w:r>
      <w:r w:rsidR="00804868" w:rsidRPr="009B6D19">
        <w:rPr>
          <w:rFonts w:ascii="Garamond" w:hAnsi="Garamond"/>
          <w:lang w:eastAsia="fr-FR"/>
        </w:rPr>
        <w:t>Contrairement à la dévolution, la redistribution</w:t>
      </w:r>
      <w:r w:rsidR="00804868">
        <w:rPr>
          <w:rFonts w:ascii="Garamond" w:hAnsi="Garamond"/>
          <w:lang w:eastAsia="fr-FR"/>
        </w:rPr>
        <w:t xml:space="preserve"> de pouvoir </w:t>
      </w:r>
      <w:r w:rsidR="00470043">
        <w:rPr>
          <w:rFonts w:ascii="Garamond" w:hAnsi="Garamond"/>
          <w:lang w:eastAsia="fr-FR"/>
        </w:rPr>
        <w:t xml:space="preserve">entre le niveau </w:t>
      </w:r>
      <w:r w:rsidR="00804868">
        <w:rPr>
          <w:rFonts w:ascii="Garamond" w:hAnsi="Garamond"/>
          <w:lang w:eastAsia="fr-FR"/>
        </w:rPr>
        <w:t xml:space="preserve">central et les services déconcentrés  </w:t>
      </w:r>
      <w:r w:rsidR="00804868" w:rsidRPr="009B6D19">
        <w:rPr>
          <w:rFonts w:ascii="Garamond" w:hAnsi="Garamond"/>
          <w:lang w:eastAsia="fr-FR"/>
        </w:rPr>
        <w:t xml:space="preserve">n’est pas totale et ces instances dépendent entièrement du pouvoir central auprès duquel ils rendent compte. </w:t>
      </w:r>
    </w:p>
    <w:p w14:paraId="7390190E" w14:textId="118FD594" w:rsidR="00804868" w:rsidRDefault="00804868" w:rsidP="00804868">
      <w:pPr>
        <w:rPr>
          <w:rFonts w:ascii="Garamond" w:hAnsi="Garamond"/>
          <w:lang w:eastAsia="fr-FR"/>
        </w:rPr>
      </w:pPr>
      <w:r w:rsidRPr="009B6D19">
        <w:rPr>
          <w:rFonts w:ascii="Garamond" w:hAnsi="Garamond"/>
          <w:lang w:eastAsia="fr-FR"/>
        </w:rPr>
        <w:t>Le rapport de pouvoir entre le centre et la périphérie est souvent</w:t>
      </w:r>
      <w:r>
        <w:rPr>
          <w:rFonts w:ascii="Garamond" w:hAnsi="Garamond"/>
          <w:lang w:eastAsia="fr-FR"/>
        </w:rPr>
        <w:t xml:space="preserve"> unidirectionnel</w:t>
      </w:r>
      <w:r w:rsidRPr="009B6D19">
        <w:rPr>
          <w:rFonts w:ascii="Garamond" w:hAnsi="Garamond"/>
          <w:lang w:eastAsia="fr-FR"/>
        </w:rPr>
        <w:t xml:space="preserve"> (Lemieux, 2001). C’est-à-dire que des fonctionnaires du pouvoir central, en poste au sein des divisions provinciales </w:t>
      </w:r>
      <w:r w:rsidRPr="009B6D19">
        <w:rPr>
          <w:rFonts w:ascii="Garamond" w:hAnsi="Garamond"/>
          <w:lang w:eastAsia="fr-FR"/>
        </w:rPr>
        <w:lastRenderedPageBreak/>
        <w:t>(locales) des entités infranationales, exercent des responsabilités dévolues au pouvoir central. C</w:t>
      </w:r>
      <w:r w:rsidR="00FD10BD">
        <w:rPr>
          <w:rFonts w:ascii="Garamond" w:hAnsi="Garamond"/>
          <w:lang w:eastAsia="fr-FR"/>
        </w:rPr>
        <w:t xml:space="preserve">’est le cas des </w:t>
      </w:r>
      <w:r w:rsidRPr="009B6D19">
        <w:rPr>
          <w:rFonts w:ascii="Garamond" w:hAnsi="Garamond"/>
          <w:lang w:eastAsia="fr-FR"/>
        </w:rPr>
        <w:t>administrations de la défense nationale, des Finances, du Plan ou des Mines en RDC qui disposent des divisions provinciales comme articulation</w:t>
      </w:r>
      <w:r>
        <w:rPr>
          <w:rFonts w:ascii="Garamond" w:hAnsi="Garamond"/>
          <w:lang w:eastAsia="fr-FR"/>
        </w:rPr>
        <w:t xml:space="preserve"> des Secrétariats généraux du pouvoir central</w:t>
      </w:r>
      <w:r>
        <w:t xml:space="preserve"> </w:t>
      </w:r>
      <w:r w:rsidRPr="009B6D19">
        <w:rPr>
          <w:rFonts w:ascii="Garamond" w:hAnsi="Garamond"/>
          <w:lang w:eastAsia="fr-FR"/>
        </w:rPr>
        <w:t xml:space="preserve">mais qui demeurent sous </w:t>
      </w:r>
      <w:r>
        <w:rPr>
          <w:rFonts w:ascii="Garamond" w:hAnsi="Garamond"/>
          <w:lang w:eastAsia="fr-FR"/>
        </w:rPr>
        <w:t>leur</w:t>
      </w:r>
      <w:r w:rsidRPr="009B6D19">
        <w:rPr>
          <w:rFonts w:ascii="Garamond" w:hAnsi="Garamond"/>
          <w:lang w:eastAsia="fr-FR"/>
        </w:rPr>
        <w:t xml:space="preserve"> tutelle. Bien que sous la responsabilité du Gouverneur des Provinces (</w:t>
      </w:r>
      <w:proofErr w:type="spellStart"/>
      <w:r w:rsidRPr="009B6D19">
        <w:rPr>
          <w:rFonts w:ascii="Garamond" w:hAnsi="Garamond"/>
          <w:lang w:eastAsia="fr-FR"/>
        </w:rPr>
        <w:t>Zongwe</w:t>
      </w:r>
      <w:proofErr w:type="spellEnd"/>
      <w:r w:rsidRPr="009B6D19">
        <w:rPr>
          <w:rFonts w:ascii="Garamond" w:hAnsi="Garamond"/>
          <w:lang w:eastAsia="fr-FR"/>
        </w:rPr>
        <w:t>, 2019), la tutelle en assure le contrôle et supporte toutes les charges  liées à la rémunération, au fonctionnement et aux dépenses en capital.</w:t>
      </w:r>
    </w:p>
    <w:p w14:paraId="7A1E2B10" w14:textId="77777777" w:rsidR="00804868" w:rsidRPr="009B6D19" w:rsidRDefault="00804868" w:rsidP="00804868">
      <w:pPr>
        <w:pStyle w:val="Heading2"/>
        <w:numPr>
          <w:ilvl w:val="1"/>
          <w:numId w:val="14"/>
        </w:numPr>
        <w:rPr>
          <w:rFonts w:ascii="Garamond" w:hAnsi="Garamond"/>
          <w:szCs w:val="24"/>
        </w:rPr>
      </w:pPr>
      <w:bookmarkStart w:id="14" w:name="_Toc125594157"/>
      <w:bookmarkStart w:id="15" w:name="_Toc143577450"/>
      <w:r w:rsidRPr="009B6D19">
        <w:rPr>
          <w:rFonts w:ascii="Garamond" w:hAnsi="Garamond"/>
          <w:szCs w:val="24"/>
        </w:rPr>
        <w:t>Responsabilité financière et reddition des comptes</w:t>
      </w:r>
      <w:bookmarkEnd w:id="14"/>
      <w:bookmarkEnd w:id="15"/>
    </w:p>
    <w:p w14:paraId="7267041D" w14:textId="77777777" w:rsidR="00804868" w:rsidRPr="009B6D19" w:rsidRDefault="00804868" w:rsidP="00804868">
      <w:pPr>
        <w:pStyle w:val="Heading3"/>
      </w:pPr>
      <w:bookmarkStart w:id="16" w:name="_Toc125594158"/>
      <w:bookmarkStart w:id="17" w:name="_Toc143577451"/>
      <w:r w:rsidRPr="009B6D19">
        <w:t>Responsabilité financière</w:t>
      </w:r>
      <w:bookmarkEnd w:id="16"/>
      <w:bookmarkEnd w:id="17"/>
    </w:p>
    <w:p w14:paraId="5E545390" w14:textId="4247A7A1" w:rsidR="00C0542D" w:rsidRDefault="00804868" w:rsidP="00804868">
      <w:pPr>
        <w:rPr>
          <w:rFonts w:ascii="Garamond" w:hAnsi="Garamond"/>
          <w:lang w:eastAsia="fr-FR"/>
        </w:rPr>
      </w:pPr>
      <w:r w:rsidRPr="00CF1897">
        <w:rPr>
          <w:rFonts w:ascii="Garamond" w:hAnsi="Garamond"/>
          <w:lang w:eastAsia="fr-FR"/>
        </w:rPr>
        <w:t xml:space="preserve">Comme </w:t>
      </w:r>
      <w:r>
        <w:rPr>
          <w:rFonts w:ascii="Garamond" w:hAnsi="Garamond"/>
          <w:lang w:eastAsia="fr-FR"/>
        </w:rPr>
        <w:t xml:space="preserve">nous l’avons déjà souligné, </w:t>
      </w:r>
      <w:r w:rsidRPr="00CF1897">
        <w:rPr>
          <w:rFonts w:ascii="Garamond" w:hAnsi="Garamond"/>
          <w:lang w:eastAsia="fr-FR"/>
        </w:rPr>
        <w:t>la responsabilité est indissociable de la reddition des comptes</w:t>
      </w:r>
      <w:r w:rsidR="000A094B">
        <w:rPr>
          <w:rFonts w:ascii="Garamond" w:hAnsi="Garamond"/>
          <w:lang w:eastAsia="fr-FR"/>
        </w:rPr>
        <w:t xml:space="preserve"> (Lemieux, 2001)</w:t>
      </w:r>
      <w:r w:rsidR="00975B88">
        <w:rPr>
          <w:rFonts w:ascii="Garamond" w:hAnsi="Garamond"/>
          <w:lang w:eastAsia="fr-FR"/>
        </w:rPr>
        <w:t xml:space="preserve"> d’autant plus que </w:t>
      </w:r>
      <w:r w:rsidR="00A34C4D">
        <w:rPr>
          <w:rFonts w:ascii="Garamond" w:hAnsi="Garamond"/>
          <w:lang w:eastAsia="fr-FR"/>
        </w:rPr>
        <w:t xml:space="preserve">dans une perspective de bonne gouvernance publique, </w:t>
      </w:r>
      <w:r w:rsidR="00975B88">
        <w:rPr>
          <w:rFonts w:ascii="Garamond" w:hAnsi="Garamond"/>
          <w:lang w:eastAsia="fr-FR"/>
        </w:rPr>
        <w:t xml:space="preserve">tout acteur </w:t>
      </w:r>
      <w:r w:rsidR="00A34C4D">
        <w:rPr>
          <w:rFonts w:ascii="Garamond" w:hAnsi="Garamond"/>
          <w:lang w:eastAsia="fr-FR"/>
        </w:rPr>
        <w:t>public ou privé</w:t>
      </w:r>
      <w:r w:rsidR="00975B88">
        <w:rPr>
          <w:rFonts w:ascii="Garamond" w:hAnsi="Garamond"/>
          <w:lang w:eastAsia="fr-FR"/>
        </w:rPr>
        <w:t xml:space="preserve"> </w:t>
      </w:r>
      <w:r w:rsidR="000A094B">
        <w:rPr>
          <w:rFonts w:ascii="Garamond" w:hAnsi="Garamond"/>
          <w:lang w:eastAsia="fr-FR"/>
        </w:rPr>
        <w:t>responsabilisé</w:t>
      </w:r>
      <w:r w:rsidR="00975B88">
        <w:rPr>
          <w:rFonts w:ascii="Garamond" w:hAnsi="Garamond"/>
          <w:lang w:eastAsia="fr-FR"/>
        </w:rPr>
        <w:t xml:space="preserve"> est tenu, de rendre compte de l’atteinte des résultats assignés (Rouillard &amp; Burlone, 2011). </w:t>
      </w:r>
      <w:r w:rsidR="00A34C4D">
        <w:rPr>
          <w:rFonts w:ascii="Garamond" w:hAnsi="Garamond"/>
          <w:lang w:eastAsia="fr-FR"/>
        </w:rPr>
        <w:t>Cette</w:t>
      </w:r>
      <w:r w:rsidR="00C0542D">
        <w:rPr>
          <w:rFonts w:ascii="Garamond" w:hAnsi="Garamond"/>
          <w:lang w:eastAsia="fr-FR"/>
        </w:rPr>
        <w:t xml:space="preserve"> justification de ses choix </w:t>
      </w:r>
      <w:r w:rsidR="00874040">
        <w:rPr>
          <w:rFonts w:ascii="Garamond" w:hAnsi="Garamond"/>
          <w:lang w:eastAsia="fr-FR"/>
        </w:rPr>
        <w:t>politiques</w:t>
      </w:r>
      <w:r w:rsidR="006D37EC">
        <w:rPr>
          <w:rFonts w:ascii="Garamond" w:hAnsi="Garamond"/>
          <w:lang w:eastAsia="fr-FR"/>
        </w:rPr>
        <w:t>, de ses actes posés</w:t>
      </w:r>
      <w:r w:rsidR="00C0542D">
        <w:rPr>
          <w:rFonts w:ascii="Garamond" w:hAnsi="Garamond"/>
          <w:lang w:eastAsia="fr-FR"/>
        </w:rPr>
        <w:t xml:space="preserve"> et de la distribution de l’autorité</w:t>
      </w:r>
      <w:r w:rsidR="00934A16">
        <w:rPr>
          <w:rFonts w:ascii="Garamond" w:hAnsi="Garamond"/>
          <w:lang w:eastAsia="fr-FR"/>
        </w:rPr>
        <w:t xml:space="preserve"> par tout acteur responsabilisé</w:t>
      </w:r>
      <w:r w:rsidR="00874040">
        <w:rPr>
          <w:rFonts w:ascii="Garamond" w:hAnsi="Garamond"/>
          <w:lang w:eastAsia="fr-FR"/>
        </w:rPr>
        <w:t xml:space="preserve"> permet de renforcer la stabilité et la légitimité </w:t>
      </w:r>
      <w:r w:rsidR="00934A16">
        <w:rPr>
          <w:rFonts w:ascii="Garamond" w:hAnsi="Garamond"/>
          <w:lang w:eastAsia="fr-FR"/>
        </w:rPr>
        <w:t xml:space="preserve">de son pouvoir </w:t>
      </w:r>
      <w:r w:rsidR="00874040">
        <w:rPr>
          <w:rFonts w:ascii="Garamond" w:hAnsi="Garamond"/>
          <w:lang w:eastAsia="fr-FR"/>
        </w:rPr>
        <w:t>(</w:t>
      </w:r>
      <w:r w:rsidR="00C0542D">
        <w:rPr>
          <w:rFonts w:ascii="Garamond" w:hAnsi="Garamond"/>
          <w:lang w:eastAsia="fr-FR"/>
        </w:rPr>
        <w:t>Duran, 2009</w:t>
      </w:r>
      <w:r w:rsidR="006D37EC">
        <w:rPr>
          <w:rFonts w:ascii="Garamond" w:hAnsi="Garamond"/>
          <w:lang w:eastAsia="fr-FR"/>
        </w:rPr>
        <w:t> ; Hertzog, 2016</w:t>
      </w:r>
      <w:r w:rsidR="00C0542D">
        <w:rPr>
          <w:rFonts w:ascii="Garamond" w:hAnsi="Garamond"/>
          <w:lang w:eastAsia="fr-FR"/>
        </w:rPr>
        <w:t>)</w:t>
      </w:r>
      <w:r w:rsidR="00874040">
        <w:rPr>
          <w:rFonts w:ascii="Garamond" w:hAnsi="Garamond"/>
          <w:lang w:eastAsia="fr-FR"/>
        </w:rPr>
        <w:t>.</w:t>
      </w:r>
      <w:r w:rsidR="00C0542D">
        <w:rPr>
          <w:rFonts w:ascii="Garamond" w:hAnsi="Garamond"/>
          <w:lang w:eastAsia="fr-FR"/>
        </w:rPr>
        <w:t xml:space="preserve"> </w:t>
      </w:r>
      <w:r w:rsidR="00934A16">
        <w:rPr>
          <w:rFonts w:ascii="Garamond" w:hAnsi="Garamond"/>
          <w:lang w:eastAsia="fr-FR"/>
        </w:rPr>
        <w:t>Ainsi, ce mariage entre la reddition des comptes et la responsabilité a pour finalité d’accroitre l’efficacité, l’efficience et la qualité des services rendus.</w:t>
      </w:r>
    </w:p>
    <w:p w14:paraId="05FD53C5" w14:textId="095F40C8" w:rsidR="00CD1775" w:rsidRDefault="00934A16" w:rsidP="00804868">
      <w:pPr>
        <w:rPr>
          <w:rFonts w:ascii="Garamond" w:hAnsi="Garamond"/>
          <w:lang w:eastAsia="fr-FR"/>
        </w:rPr>
      </w:pPr>
      <w:r>
        <w:rPr>
          <w:rFonts w:ascii="Garamond" w:hAnsi="Garamond"/>
          <w:lang w:eastAsia="fr-FR"/>
        </w:rPr>
        <w:t>Par ailleurs</w:t>
      </w:r>
      <w:r w:rsidR="00975B88">
        <w:rPr>
          <w:rFonts w:ascii="Garamond" w:hAnsi="Garamond"/>
          <w:lang w:eastAsia="fr-FR"/>
        </w:rPr>
        <w:t xml:space="preserve">, la responsabilité se définit </w:t>
      </w:r>
      <w:r w:rsidR="00975B88" w:rsidRPr="00CF1897">
        <w:rPr>
          <w:rFonts w:ascii="Garamond" w:hAnsi="Garamond"/>
          <w:lang w:eastAsia="fr-FR"/>
        </w:rPr>
        <w:t>comme étant la</w:t>
      </w:r>
      <w:r w:rsidR="00975B88">
        <w:rPr>
          <w:rFonts w:ascii="Garamond" w:hAnsi="Garamond"/>
          <w:lang w:eastAsia="fr-FR"/>
        </w:rPr>
        <w:t xml:space="preserve"> </w:t>
      </w:r>
      <w:r w:rsidR="00975B88" w:rsidRPr="00CF1897">
        <w:rPr>
          <w:rFonts w:ascii="Garamond" w:hAnsi="Garamond"/>
          <w:lang w:eastAsia="fr-FR"/>
        </w:rPr>
        <w:t xml:space="preserve">cession d’une partie ou de la globalité de son pouvoir </w:t>
      </w:r>
      <w:r w:rsidR="00975B88">
        <w:rPr>
          <w:rFonts w:ascii="Garamond" w:hAnsi="Garamond"/>
          <w:lang w:eastAsia="fr-FR"/>
        </w:rPr>
        <w:t>décisionnel</w:t>
      </w:r>
      <w:r w:rsidR="00975B88" w:rsidRPr="00CF1897">
        <w:rPr>
          <w:rFonts w:ascii="Garamond" w:hAnsi="Garamond"/>
          <w:lang w:eastAsia="fr-FR"/>
        </w:rPr>
        <w:t xml:space="preserve"> ou de ses compétences à une institution, à un acteur politique, administratif ou privé en vue de participer et prendre position à son nom et pour son compt</w:t>
      </w:r>
      <w:r>
        <w:rPr>
          <w:rFonts w:ascii="Garamond" w:hAnsi="Garamond"/>
          <w:lang w:eastAsia="fr-FR"/>
        </w:rPr>
        <w:t xml:space="preserve">e. </w:t>
      </w:r>
      <w:r w:rsidR="00804868">
        <w:rPr>
          <w:rFonts w:ascii="Garamond" w:hAnsi="Garamond"/>
          <w:lang w:eastAsia="fr-FR"/>
        </w:rPr>
        <w:t>Elle peut prendre la forme d’une res</w:t>
      </w:r>
      <w:r w:rsidR="00C6018B">
        <w:rPr>
          <w:rFonts w:ascii="Garamond" w:hAnsi="Garamond"/>
          <w:lang w:eastAsia="fr-FR"/>
        </w:rPr>
        <w:t xml:space="preserve">ponsabilité déléguée </w:t>
      </w:r>
      <w:r w:rsidR="00804868" w:rsidRPr="009B6D19">
        <w:rPr>
          <w:rFonts w:ascii="Garamond" w:hAnsi="Garamond"/>
          <w:lang w:eastAsia="fr-FR"/>
        </w:rPr>
        <w:t>(Champagne, 2012), d’une représentation</w:t>
      </w:r>
      <w:r w:rsidR="00804868">
        <w:rPr>
          <w:rFonts w:ascii="Garamond" w:hAnsi="Garamond"/>
          <w:lang w:eastAsia="fr-FR"/>
        </w:rPr>
        <w:t xml:space="preserve"> </w:t>
      </w:r>
      <w:r w:rsidR="00804868" w:rsidRPr="009B6D19">
        <w:rPr>
          <w:rFonts w:ascii="Garamond" w:hAnsi="Garamond"/>
          <w:lang w:eastAsia="fr-FR"/>
        </w:rPr>
        <w:t>ou d’un</w:t>
      </w:r>
      <w:r w:rsidR="00B83E1F">
        <w:rPr>
          <w:rFonts w:ascii="Garamond" w:hAnsi="Garamond"/>
          <w:lang w:eastAsia="fr-FR"/>
        </w:rPr>
        <w:t xml:space="preserve"> </w:t>
      </w:r>
      <w:r w:rsidR="00804868" w:rsidRPr="009B6D19">
        <w:rPr>
          <w:rFonts w:ascii="Garamond" w:hAnsi="Garamond"/>
          <w:lang w:eastAsia="fr-FR"/>
        </w:rPr>
        <w:t>« </w:t>
      </w:r>
      <w:r w:rsidR="00804868" w:rsidRPr="009B6D19">
        <w:rPr>
          <w:rFonts w:ascii="Garamond" w:hAnsi="Garamond"/>
          <w:i/>
          <w:lang w:eastAsia="fr-FR"/>
        </w:rPr>
        <w:t>legs managérial</w:t>
      </w:r>
      <w:r w:rsidR="00804868" w:rsidRPr="009B6D19">
        <w:rPr>
          <w:rFonts w:ascii="Garamond" w:hAnsi="Garamond"/>
          <w:lang w:eastAsia="fr-FR"/>
        </w:rPr>
        <w:t xml:space="preserve"> » (Rouillard &amp; Burlone, 2011). </w:t>
      </w:r>
      <w:r w:rsidR="00D26F42">
        <w:rPr>
          <w:rFonts w:ascii="Garamond" w:hAnsi="Garamond"/>
          <w:lang w:eastAsia="fr-FR"/>
        </w:rPr>
        <w:t>Ces différentes formes</w:t>
      </w:r>
      <w:r w:rsidR="00066942">
        <w:rPr>
          <w:rFonts w:ascii="Garamond" w:hAnsi="Garamond"/>
          <w:lang w:eastAsia="fr-FR"/>
        </w:rPr>
        <w:t xml:space="preserve"> constituent ensemble l’essence de la légitimité </w:t>
      </w:r>
      <w:r w:rsidR="00CD1775">
        <w:rPr>
          <w:rFonts w:ascii="Garamond" w:hAnsi="Garamond"/>
          <w:lang w:eastAsia="fr-FR"/>
        </w:rPr>
        <w:t>car elles</w:t>
      </w:r>
      <w:r w:rsidR="00066942">
        <w:rPr>
          <w:rFonts w:ascii="Garamond" w:hAnsi="Garamond"/>
          <w:lang w:eastAsia="fr-FR"/>
        </w:rPr>
        <w:t xml:space="preserve"> permettent</w:t>
      </w:r>
      <w:r w:rsidR="00CD1775">
        <w:rPr>
          <w:rFonts w:ascii="Garamond" w:hAnsi="Garamond"/>
          <w:lang w:eastAsia="fr-FR"/>
        </w:rPr>
        <w:t xml:space="preserve"> à tout acteur responsabilisé</w:t>
      </w:r>
      <w:r w:rsidR="00066942">
        <w:rPr>
          <w:rFonts w:ascii="Garamond" w:hAnsi="Garamond"/>
          <w:lang w:eastAsia="fr-FR"/>
        </w:rPr>
        <w:t xml:space="preserve"> d’avoir accès</w:t>
      </w:r>
      <w:r w:rsidR="00CD1775">
        <w:rPr>
          <w:rFonts w:ascii="Garamond" w:hAnsi="Garamond"/>
          <w:lang w:eastAsia="fr-FR"/>
        </w:rPr>
        <w:t xml:space="preserve"> aux responsabilités </w:t>
      </w:r>
      <w:r w:rsidR="00066942">
        <w:rPr>
          <w:rFonts w:ascii="Garamond" w:hAnsi="Garamond"/>
          <w:lang w:eastAsia="fr-FR"/>
        </w:rPr>
        <w:t>et d</w:t>
      </w:r>
      <w:r w:rsidR="00D26F42">
        <w:rPr>
          <w:rFonts w:ascii="Garamond" w:hAnsi="Garamond"/>
          <w:lang w:eastAsia="fr-FR"/>
        </w:rPr>
        <w:t>e poser des actes de gestion, d</w:t>
      </w:r>
      <w:r w:rsidR="00066942">
        <w:rPr>
          <w:rFonts w:ascii="Garamond" w:hAnsi="Garamond"/>
          <w:lang w:eastAsia="fr-FR"/>
        </w:rPr>
        <w:t>’</w:t>
      </w:r>
      <w:r w:rsidR="00CD1775">
        <w:rPr>
          <w:rFonts w:ascii="Garamond" w:hAnsi="Garamond"/>
          <w:lang w:eastAsia="fr-FR"/>
        </w:rPr>
        <w:t>étendre son pouvoir, d’</w:t>
      </w:r>
      <w:r w:rsidR="00066942">
        <w:rPr>
          <w:rFonts w:ascii="Garamond" w:hAnsi="Garamond"/>
          <w:lang w:eastAsia="fr-FR"/>
        </w:rPr>
        <w:t>assurer les compétences dévolues</w:t>
      </w:r>
      <w:r w:rsidR="00CD1775">
        <w:rPr>
          <w:rFonts w:ascii="Garamond" w:hAnsi="Garamond"/>
          <w:lang w:eastAsia="fr-FR"/>
        </w:rPr>
        <w:t xml:space="preserve"> et d’en rendre compte</w:t>
      </w:r>
      <w:r w:rsidR="00066942">
        <w:rPr>
          <w:rFonts w:ascii="Garamond" w:hAnsi="Garamond"/>
          <w:lang w:eastAsia="fr-FR"/>
        </w:rPr>
        <w:t xml:space="preserve"> (Lefèvre, 2012).</w:t>
      </w:r>
      <w:r w:rsidR="00CD1775">
        <w:rPr>
          <w:rFonts w:ascii="Garamond" w:hAnsi="Garamond"/>
          <w:lang w:eastAsia="fr-FR"/>
        </w:rPr>
        <w:t xml:space="preserve"> Toutefois, selon Lefèvre (2012), plusieurs facteurs sont susceptibles d’influencer le cadre même de la responsabilité et de son exercice. Il s’agit notamment de l’environnement professionnel, du contexte socio-politique, du type d’institutions et d’acteurs </w:t>
      </w:r>
      <w:r w:rsidR="00D26F42">
        <w:rPr>
          <w:rFonts w:ascii="Garamond" w:hAnsi="Garamond"/>
          <w:lang w:eastAsia="fr-FR"/>
        </w:rPr>
        <w:t xml:space="preserve">devant </w:t>
      </w:r>
      <w:r w:rsidR="006D37EC">
        <w:rPr>
          <w:rFonts w:ascii="Garamond" w:hAnsi="Garamond"/>
          <w:lang w:eastAsia="fr-FR"/>
        </w:rPr>
        <w:t>interagir</w:t>
      </w:r>
      <w:r w:rsidR="00CD1775">
        <w:rPr>
          <w:rFonts w:ascii="Garamond" w:hAnsi="Garamond"/>
          <w:lang w:eastAsia="fr-FR"/>
        </w:rPr>
        <w:t>.</w:t>
      </w:r>
    </w:p>
    <w:p w14:paraId="782DBF38" w14:textId="1DDE8302" w:rsidR="00934A16" w:rsidRDefault="00066942" w:rsidP="00804868">
      <w:pPr>
        <w:rPr>
          <w:rFonts w:ascii="Garamond" w:hAnsi="Garamond"/>
          <w:lang w:eastAsia="fr-FR"/>
        </w:rPr>
      </w:pPr>
      <w:r>
        <w:rPr>
          <w:rFonts w:ascii="Garamond" w:hAnsi="Garamond"/>
          <w:lang w:eastAsia="fr-FR"/>
        </w:rPr>
        <w:t>Par ailleurs, ces différentes formes de responsabilité sus-évoquée ne devraient pas p</w:t>
      </w:r>
      <w:r w:rsidR="00804868">
        <w:rPr>
          <w:rFonts w:ascii="Garamond" w:hAnsi="Garamond"/>
          <w:lang w:eastAsia="fr-FR"/>
        </w:rPr>
        <w:t xml:space="preserve">rêter confusion </w:t>
      </w:r>
      <w:r>
        <w:rPr>
          <w:rFonts w:ascii="Garamond" w:hAnsi="Garamond"/>
          <w:lang w:eastAsia="fr-FR"/>
        </w:rPr>
        <w:t>avec</w:t>
      </w:r>
      <w:r w:rsidR="00DC53B3">
        <w:rPr>
          <w:rFonts w:ascii="Garamond" w:hAnsi="Garamond"/>
          <w:lang w:eastAsia="fr-FR"/>
        </w:rPr>
        <w:t xml:space="preserve"> les </w:t>
      </w:r>
      <w:r w:rsidR="00804868">
        <w:rPr>
          <w:rFonts w:ascii="Garamond" w:hAnsi="Garamond"/>
          <w:lang w:eastAsia="fr-FR"/>
        </w:rPr>
        <w:t xml:space="preserve">modes de gestion des services publics </w:t>
      </w:r>
      <w:r>
        <w:rPr>
          <w:rFonts w:ascii="Garamond" w:hAnsi="Garamond"/>
          <w:lang w:eastAsia="fr-FR"/>
        </w:rPr>
        <w:t xml:space="preserve">développés largement dans la littérature par </w:t>
      </w:r>
      <w:proofErr w:type="spellStart"/>
      <w:r>
        <w:rPr>
          <w:rFonts w:ascii="Garamond" w:hAnsi="Garamond"/>
          <w:lang w:eastAsia="fr-FR"/>
        </w:rPr>
        <w:t>Carassus</w:t>
      </w:r>
      <w:proofErr w:type="spellEnd"/>
      <w:r>
        <w:rPr>
          <w:rFonts w:ascii="Garamond" w:hAnsi="Garamond"/>
          <w:lang w:eastAsia="fr-FR"/>
        </w:rPr>
        <w:t xml:space="preserve"> &amp; Morin</w:t>
      </w:r>
      <w:r w:rsidR="00804868" w:rsidRPr="009B6D19">
        <w:rPr>
          <w:rFonts w:ascii="Garamond" w:hAnsi="Garamond"/>
          <w:lang w:eastAsia="fr-FR"/>
        </w:rPr>
        <w:t xml:space="preserve"> </w:t>
      </w:r>
      <w:r>
        <w:rPr>
          <w:rFonts w:ascii="Garamond" w:hAnsi="Garamond"/>
          <w:lang w:eastAsia="fr-FR"/>
        </w:rPr>
        <w:t>(</w:t>
      </w:r>
      <w:r w:rsidR="00804868" w:rsidRPr="009B6D19">
        <w:rPr>
          <w:rFonts w:ascii="Garamond" w:hAnsi="Garamond"/>
          <w:lang w:eastAsia="fr-FR"/>
        </w:rPr>
        <w:t>2014</w:t>
      </w:r>
      <w:r>
        <w:rPr>
          <w:rFonts w:ascii="Garamond" w:hAnsi="Garamond"/>
          <w:lang w:eastAsia="fr-FR"/>
        </w:rPr>
        <w:t>) et Long</w:t>
      </w:r>
      <w:r w:rsidR="00804868" w:rsidRPr="009B6D19">
        <w:rPr>
          <w:rFonts w:ascii="Garamond" w:hAnsi="Garamond"/>
          <w:lang w:eastAsia="fr-FR"/>
        </w:rPr>
        <w:t xml:space="preserve"> </w:t>
      </w:r>
      <w:r>
        <w:rPr>
          <w:rFonts w:ascii="Garamond" w:hAnsi="Garamond"/>
          <w:lang w:eastAsia="fr-FR"/>
        </w:rPr>
        <w:t>(</w:t>
      </w:r>
      <w:r w:rsidR="00804868" w:rsidRPr="009B6D19">
        <w:rPr>
          <w:rFonts w:ascii="Garamond" w:hAnsi="Garamond"/>
          <w:lang w:eastAsia="fr-FR"/>
        </w:rPr>
        <w:t>1996)</w:t>
      </w:r>
      <w:r>
        <w:rPr>
          <w:rFonts w:ascii="Garamond" w:hAnsi="Garamond"/>
          <w:lang w:eastAsia="fr-FR"/>
        </w:rPr>
        <w:t>. Ces chercheurs mettent en exergue trois formes de gestion des services publics qui sont</w:t>
      </w:r>
      <w:r w:rsidR="002D7C08">
        <w:rPr>
          <w:rFonts w:ascii="Garamond" w:hAnsi="Garamond"/>
          <w:lang w:eastAsia="fr-FR"/>
        </w:rPr>
        <w:t> :</w:t>
      </w:r>
      <w:r w:rsidR="00804868" w:rsidRPr="009B6D19">
        <w:rPr>
          <w:rFonts w:ascii="Garamond" w:hAnsi="Garamond"/>
          <w:lang w:eastAsia="fr-FR"/>
        </w:rPr>
        <w:t xml:space="preserve"> la gestion directe (régie simple, la régie avec autonomie financière et la régie avec autonomie morale), la gestion déléguée (la concession, l’affermage ou la régie intéressée)</w:t>
      </w:r>
      <w:r w:rsidR="00804868">
        <w:rPr>
          <w:rFonts w:ascii="Garamond" w:hAnsi="Garamond"/>
          <w:lang w:eastAsia="fr-FR"/>
        </w:rPr>
        <w:t xml:space="preserve"> ainsi que le P</w:t>
      </w:r>
      <w:r w:rsidR="00804868" w:rsidRPr="009B6D19">
        <w:rPr>
          <w:rFonts w:ascii="Garamond" w:hAnsi="Garamond"/>
          <w:lang w:eastAsia="fr-FR"/>
        </w:rPr>
        <w:t>artenariat Public-Privé (PPP</w:t>
      </w:r>
      <w:r w:rsidR="002D7C08">
        <w:rPr>
          <w:rFonts w:ascii="Garamond" w:hAnsi="Garamond"/>
          <w:lang w:eastAsia="fr-FR"/>
        </w:rPr>
        <w:t>). C</w:t>
      </w:r>
      <w:r w:rsidR="00804868">
        <w:rPr>
          <w:rFonts w:ascii="Garamond" w:hAnsi="Garamond"/>
          <w:lang w:eastAsia="fr-FR"/>
        </w:rPr>
        <w:t xml:space="preserve">es deux concepts se distinguent par </w:t>
      </w:r>
      <w:r w:rsidR="00804868">
        <w:rPr>
          <w:rFonts w:ascii="Garamond" w:hAnsi="Garamond"/>
          <w:lang w:eastAsia="fr-FR"/>
        </w:rPr>
        <w:lastRenderedPageBreak/>
        <w:t xml:space="preserve">le fait que le premier met l’accent sur les systèmes de pilotage et de gestion de l’action publique « fondées sur les relations partenariales, coopératives et consensuelles » et dont les efforts convergent vers l’atteinte des résultats collectifs » </w:t>
      </w:r>
      <w:r w:rsidR="00804868" w:rsidRPr="009B6D19">
        <w:rPr>
          <w:rFonts w:ascii="Garamond" w:hAnsi="Garamond"/>
          <w:lang w:eastAsia="fr-FR"/>
        </w:rPr>
        <w:t xml:space="preserve">(Favoreu, 2000, cité par </w:t>
      </w:r>
      <w:proofErr w:type="spellStart"/>
      <w:r w:rsidR="00804868" w:rsidRPr="009B6D19">
        <w:rPr>
          <w:rFonts w:ascii="Garamond" w:hAnsi="Garamond"/>
          <w:lang w:eastAsia="fr-FR"/>
        </w:rPr>
        <w:t>Carassus</w:t>
      </w:r>
      <w:proofErr w:type="spellEnd"/>
      <w:r w:rsidR="00804868" w:rsidRPr="009B6D19">
        <w:rPr>
          <w:rFonts w:ascii="Garamond" w:hAnsi="Garamond"/>
          <w:lang w:eastAsia="fr-FR"/>
        </w:rPr>
        <w:t xml:space="preserve"> &amp; Morin, 2014</w:t>
      </w:r>
      <w:r w:rsidR="00804868">
        <w:rPr>
          <w:rFonts w:ascii="Garamond" w:hAnsi="Garamond"/>
          <w:lang w:eastAsia="fr-FR"/>
        </w:rPr>
        <w:t>).</w:t>
      </w:r>
      <w:r w:rsidR="00804868" w:rsidRPr="009B6D19">
        <w:rPr>
          <w:rFonts w:ascii="Garamond" w:hAnsi="Garamond"/>
          <w:lang w:eastAsia="fr-FR"/>
        </w:rPr>
        <w:t xml:space="preserve"> Ainsi, la responsabilité déléguée constitue une habilitation accordée</w:t>
      </w:r>
      <w:r w:rsidR="00804868">
        <w:rPr>
          <w:rFonts w:ascii="Garamond" w:hAnsi="Garamond"/>
          <w:lang w:eastAsia="fr-FR"/>
        </w:rPr>
        <w:t xml:space="preserve"> aux entreprises privées</w:t>
      </w:r>
      <w:r w:rsidR="00D74E9A">
        <w:rPr>
          <w:rFonts w:ascii="Garamond" w:hAnsi="Garamond"/>
          <w:lang w:eastAsia="fr-FR"/>
        </w:rPr>
        <w:t xml:space="preserve"> ou publiques</w:t>
      </w:r>
      <w:r w:rsidR="00804868">
        <w:rPr>
          <w:rFonts w:ascii="Garamond" w:hAnsi="Garamond"/>
          <w:lang w:eastAsia="fr-FR"/>
        </w:rPr>
        <w:t xml:space="preserve"> qui ont la charge d’une mission de service public et dotées de prérogatives de puissance publique</w:t>
      </w:r>
      <w:r w:rsidR="00804868">
        <w:t xml:space="preserve"> </w:t>
      </w:r>
      <w:r w:rsidR="00804868" w:rsidRPr="008A11B5">
        <w:rPr>
          <w:rFonts w:ascii="Garamond" w:hAnsi="Garamond"/>
          <w:lang w:eastAsia="fr-FR"/>
        </w:rPr>
        <w:t>(</w:t>
      </w:r>
      <w:r w:rsidR="00804868" w:rsidRPr="009B6D19">
        <w:rPr>
          <w:rFonts w:ascii="Garamond" w:hAnsi="Garamond"/>
          <w:lang w:eastAsia="fr-FR"/>
        </w:rPr>
        <w:t xml:space="preserve">Duran, 2013 :590). </w:t>
      </w:r>
      <w:r w:rsidR="00D74E9A">
        <w:rPr>
          <w:rFonts w:ascii="Garamond" w:hAnsi="Garamond"/>
          <w:lang w:eastAsia="fr-FR"/>
        </w:rPr>
        <w:t>C’est ce qu’appelle Joubert (2014</w:t>
      </w:r>
      <w:r w:rsidR="00B51F52">
        <w:rPr>
          <w:rFonts w:ascii="Garamond" w:hAnsi="Garamond"/>
          <w:lang w:eastAsia="fr-FR"/>
        </w:rPr>
        <w:t> :138</w:t>
      </w:r>
      <w:r w:rsidR="00D74E9A">
        <w:rPr>
          <w:rFonts w:ascii="Garamond" w:hAnsi="Garamond"/>
          <w:lang w:eastAsia="fr-FR"/>
        </w:rPr>
        <w:t>) la « </w:t>
      </w:r>
      <w:r w:rsidR="00D74E9A" w:rsidRPr="00D74E9A">
        <w:rPr>
          <w:rFonts w:ascii="Garamond" w:hAnsi="Garamond"/>
          <w:i/>
          <w:lang w:eastAsia="fr-FR"/>
        </w:rPr>
        <w:t>dévolution de la capacité de décider</w:t>
      </w:r>
      <w:r w:rsidR="00D74E9A">
        <w:rPr>
          <w:rFonts w:ascii="Garamond" w:hAnsi="Garamond"/>
          <w:lang w:eastAsia="fr-FR"/>
        </w:rPr>
        <w:t xml:space="preserve"> ». </w:t>
      </w:r>
      <w:r w:rsidR="00804868" w:rsidRPr="009B6D19">
        <w:rPr>
          <w:rFonts w:ascii="Garamond" w:hAnsi="Garamond"/>
          <w:lang w:eastAsia="fr-FR"/>
        </w:rPr>
        <w:t xml:space="preserve">Toutefois, c’est au </w:t>
      </w:r>
      <w:r w:rsidR="002D3041">
        <w:rPr>
          <w:rFonts w:ascii="Garamond" w:hAnsi="Garamond"/>
          <w:lang w:eastAsia="fr-FR"/>
        </w:rPr>
        <w:t xml:space="preserve">seul </w:t>
      </w:r>
      <w:r w:rsidR="00804868" w:rsidRPr="009B6D19">
        <w:rPr>
          <w:rFonts w:ascii="Garamond" w:hAnsi="Garamond"/>
          <w:lang w:eastAsia="fr-FR"/>
        </w:rPr>
        <w:t>responsable</w:t>
      </w:r>
      <w:r w:rsidR="002D3041">
        <w:rPr>
          <w:rFonts w:ascii="Garamond" w:hAnsi="Garamond"/>
          <w:lang w:eastAsia="fr-FR"/>
        </w:rPr>
        <w:t xml:space="preserve"> politique investit par le Parlement qu’incombe </w:t>
      </w:r>
      <w:r w:rsidR="00804868" w:rsidRPr="009B6D19">
        <w:rPr>
          <w:rFonts w:ascii="Garamond" w:hAnsi="Garamond"/>
          <w:lang w:eastAsia="fr-FR"/>
        </w:rPr>
        <w:t>l’obligation de rendre compte</w:t>
      </w:r>
      <w:r w:rsidR="00D26F42">
        <w:rPr>
          <w:rFonts w:ascii="Garamond" w:hAnsi="Garamond"/>
          <w:lang w:eastAsia="fr-FR"/>
        </w:rPr>
        <w:t xml:space="preserve"> bien qu’à chaque niveau de compétence</w:t>
      </w:r>
      <w:r w:rsidR="00D72A12">
        <w:rPr>
          <w:rFonts w:ascii="Garamond" w:hAnsi="Garamond"/>
          <w:lang w:eastAsia="fr-FR"/>
        </w:rPr>
        <w:t>,</w:t>
      </w:r>
      <w:r w:rsidR="00D26F42">
        <w:rPr>
          <w:rFonts w:ascii="Garamond" w:hAnsi="Garamond"/>
          <w:lang w:eastAsia="fr-FR"/>
        </w:rPr>
        <w:t xml:space="preserve"> chaque intervenant est tenu de rendre compte</w:t>
      </w:r>
      <w:r w:rsidR="00804868" w:rsidRPr="009B6D19">
        <w:rPr>
          <w:rFonts w:ascii="Garamond" w:hAnsi="Garamond"/>
          <w:lang w:eastAsia="fr-FR"/>
        </w:rPr>
        <w:t xml:space="preserve">. </w:t>
      </w:r>
    </w:p>
    <w:p w14:paraId="271CFC15" w14:textId="0CED7EDE" w:rsidR="00804868" w:rsidRPr="009B6D19" w:rsidRDefault="00934A16" w:rsidP="00804868">
      <w:pPr>
        <w:rPr>
          <w:rFonts w:ascii="Garamond" w:hAnsi="Garamond"/>
          <w:lang w:eastAsia="fr-FR"/>
        </w:rPr>
      </w:pPr>
      <w:r>
        <w:rPr>
          <w:rFonts w:ascii="Garamond" w:hAnsi="Garamond"/>
          <w:lang w:eastAsia="fr-FR"/>
        </w:rPr>
        <w:t>Sur le plan de gestion des finances de l’Etat, c</w:t>
      </w:r>
      <w:r w:rsidR="00804868" w:rsidRPr="009B6D19">
        <w:rPr>
          <w:rFonts w:ascii="Garamond" w:hAnsi="Garamond"/>
          <w:lang w:eastAsia="fr-FR"/>
        </w:rPr>
        <w:t>ette délégation</w:t>
      </w:r>
      <w:r w:rsidR="001971BC">
        <w:rPr>
          <w:rFonts w:ascii="Garamond" w:hAnsi="Garamond"/>
          <w:lang w:eastAsia="fr-FR"/>
        </w:rPr>
        <w:t xml:space="preserve"> de </w:t>
      </w:r>
      <w:r w:rsidR="00D26F42">
        <w:rPr>
          <w:rFonts w:ascii="Garamond" w:hAnsi="Garamond"/>
          <w:lang w:eastAsia="fr-FR"/>
        </w:rPr>
        <w:t xml:space="preserve">la </w:t>
      </w:r>
      <w:r w:rsidR="001971BC">
        <w:rPr>
          <w:rFonts w:ascii="Garamond" w:hAnsi="Garamond"/>
          <w:lang w:eastAsia="fr-FR"/>
        </w:rPr>
        <w:t xml:space="preserve">responsabilité </w:t>
      </w:r>
      <w:r w:rsidR="003A05B1">
        <w:rPr>
          <w:rFonts w:ascii="Garamond" w:hAnsi="Garamond"/>
          <w:lang w:eastAsia="fr-FR"/>
        </w:rPr>
        <w:t>budgétaire</w:t>
      </w:r>
      <w:r w:rsidR="00804868" w:rsidRPr="009B6D19">
        <w:rPr>
          <w:rFonts w:ascii="Garamond" w:hAnsi="Garamond"/>
          <w:lang w:eastAsia="fr-FR"/>
        </w:rPr>
        <w:t xml:space="preserve"> consiste</w:t>
      </w:r>
      <w:r>
        <w:rPr>
          <w:rFonts w:ascii="Garamond" w:hAnsi="Garamond"/>
          <w:lang w:eastAsia="fr-FR"/>
        </w:rPr>
        <w:t>,</w:t>
      </w:r>
      <w:r w:rsidR="00804868" w:rsidRPr="009B6D19">
        <w:rPr>
          <w:rFonts w:ascii="Garamond" w:hAnsi="Garamond"/>
          <w:lang w:eastAsia="fr-FR"/>
        </w:rPr>
        <w:t xml:space="preserve"> à conférer à l’ordonnateur secondaire le pouvoir</w:t>
      </w:r>
      <w:r w:rsidR="00804868">
        <w:rPr>
          <w:rFonts w:ascii="Garamond" w:hAnsi="Garamond"/>
          <w:lang w:eastAsia="fr-FR"/>
        </w:rPr>
        <w:t xml:space="preserve"> d’assurer l’engagement, la liquidation et l’ordonnancement des dépenses de son secteur (RDC, 2011)</w:t>
      </w:r>
      <w:r w:rsidR="00804868" w:rsidRPr="009B6D19">
        <w:rPr>
          <w:rFonts w:ascii="Garamond" w:hAnsi="Garamond"/>
          <w:lang w:eastAsia="fr-FR"/>
        </w:rPr>
        <w:t>.</w:t>
      </w:r>
      <w:r w:rsidR="00804868">
        <w:rPr>
          <w:rFonts w:ascii="Garamond" w:hAnsi="Garamond"/>
          <w:lang w:eastAsia="fr-FR"/>
        </w:rPr>
        <w:t xml:space="preserve"> </w:t>
      </w:r>
      <w:r w:rsidR="002D3041">
        <w:rPr>
          <w:rFonts w:ascii="Garamond" w:hAnsi="Garamond"/>
          <w:lang w:eastAsia="fr-FR"/>
        </w:rPr>
        <w:t>Par ce décloisonnement de l’espace décisionnel, la responsabilisation financière concoure au renforcement de l’efficience et de l’efficacité dans la mise en œuvre des objectifs assignés aux programmes budgétaires</w:t>
      </w:r>
      <w:r w:rsidR="003A05B1">
        <w:rPr>
          <w:rFonts w:ascii="Garamond" w:hAnsi="Garamond"/>
          <w:lang w:eastAsia="fr-FR"/>
        </w:rPr>
        <w:t xml:space="preserve">. </w:t>
      </w:r>
      <w:r w:rsidR="001971BC">
        <w:rPr>
          <w:rFonts w:ascii="Garamond" w:hAnsi="Garamond"/>
          <w:lang w:eastAsia="fr-FR"/>
        </w:rPr>
        <w:t>Dans le cadre de budget-programme, cette responsabilisation fait ressortir deux acteurs majeurs dans le processus budgétaire. Il s’agit de</w:t>
      </w:r>
      <w:r w:rsidR="00804868">
        <w:rPr>
          <w:rFonts w:ascii="Garamond" w:hAnsi="Garamond"/>
          <w:lang w:eastAsia="fr-FR"/>
        </w:rPr>
        <w:t xml:space="preserve"> l’ordonnateur </w:t>
      </w:r>
      <w:r w:rsidR="001971BC">
        <w:rPr>
          <w:rFonts w:ascii="Garamond" w:hAnsi="Garamond"/>
          <w:lang w:eastAsia="fr-FR"/>
        </w:rPr>
        <w:t>qui assure une</w:t>
      </w:r>
      <w:r w:rsidR="00804868">
        <w:rPr>
          <w:rFonts w:ascii="Garamond" w:hAnsi="Garamond"/>
          <w:lang w:eastAsia="fr-FR"/>
        </w:rPr>
        <w:t xml:space="preserve"> responsabilité politique des programmes</w:t>
      </w:r>
      <w:r w:rsidR="001971BC">
        <w:rPr>
          <w:rFonts w:ascii="Garamond" w:hAnsi="Garamond"/>
          <w:lang w:eastAsia="fr-FR"/>
        </w:rPr>
        <w:t xml:space="preserve"> et qui en rend compte au Parlement et </w:t>
      </w:r>
      <w:r w:rsidR="003A05B1">
        <w:rPr>
          <w:rFonts w:ascii="Garamond" w:hAnsi="Garamond"/>
          <w:lang w:eastAsia="fr-FR"/>
        </w:rPr>
        <w:t>le</w:t>
      </w:r>
      <w:r w:rsidR="001971BC">
        <w:rPr>
          <w:rFonts w:ascii="Garamond" w:hAnsi="Garamond"/>
          <w:lang w:eastAsia="fr-FR"/>
        </w:rPr>
        <w:t xml:space="preserve"> responsable de programme qui assure </w:t>
      </w:r>
      <w:r w:rsidR="00804868">
        <w:rPr>
          <w:rFonts w:ascii="Garamond" w:hAnsi="Garamond"/>
          <w:lang w:eastAsia="fr-FR"/>
        </w:rPr>
        <w:t xml:space="preserve"> </w:t>
      </w:r>
      <w:r w:rsidR="001971BC">
        <w:rPr>
          <w:rFonts w:ascii="Garamond" w:hAnsi="Garamond"/>
          <w:lang w:eastAsia="fr-FR"/>
        </w:rPr>
        <w:t>une</w:t>
      </w:r>
      <w:r w:rsidR="00804868">
        <w:rPr>
          <w:rFonts w:ascii="Garamond" w:hAnsi="Garamond"/>
          <w:lang w:eastAsia="fr-FR"/>
        </w:rPr>
        <w:t xml:space="preserve"> responsabilité technique et en rend compte devant l’autorité ministérielle. </w:t>
      </w:r>
      <w:r w:rsidR="001971BC">
        <w:rPr>
          <w:rFonts w:ascii="Garamond" w:hAnsi="Garamond"/>
          <w:lang w:eastAsia="fr-FR"/>
        </w:rPr>
        <w:t>C</w:t>
      </w:r>
      <w:r w:rsidR="00804868" w:rsidRPr="009B6D19">
        <w:rPr>
          <w:rFonts w:ascii="Garamond" w:hAnsi="Garamond"/>
          <w:lang w:eastAsia="fr-FR"/>
        </w:rPr>
        <w:t xml:space="preserve">ette </w:t>
      </w:r>
      <w:r w:rsidR="001971BC">
        <w:rPr>
          <w:rFonts w:ascii="Garamond" w:hAnsi="Garamond"/>
          <w:lang w:eastAsia="fr-FR"/>
        </w:rPr>
        <w:t>responsabilité</w:t>
      </w:r>
      <w:r w:rsidR="003A05B1">
        <w:rPr>
          <w:rFonts w:ascii="Garamond" w:hAnsi="Garamond"/>
          <w:lang w:eastAsia="fr-FR"/>
        </w:rPr>
        <w:t xml:space="preserve"> déléguée</w:t>
      </w:r>
      <w:r w:rsidR="001971BC">
        <w:rPr>
          <w:rFonts w:ascii="Garamond" w:hAnsi="Garamond"/>
          <w:lang w:eastAsia="fr-FR"/>
        </w:rPr>
        <w:t xml:space="preserve"> est ainsi prévue</w:t>
      </w:r>
      <w:r w:rsidR="00804868" w:rsidRPr="009B6D19">
        <w:rPr>
          <w:rFonts w:ascii="Garamond" w:hAnsi="Garamond"/>
          <w:lang w:eastAsia="fr-FR"/>
        </w:rPr>
        <w:t xml:space="preserve"> en vue de suppléer, en cas d’absence ou d’empêchement, </w:t>
      </w:r>
      <w:r w:rsidR="00804868">
        <w:rPr>
          <w:rFonts w:ascii="Garamond" w:hAnsi="Garamond"/>
          <w:lang w:eastAsia="fr-FR"/>
        </w:rPr>
        <w:t xml:space="preserve">à </w:t>
      </w:r>
      <w:r w:rsidR="00804868" w:rsidRPr="009B6D19">
        <w:rPr>
          <w:rFonts w:ascii="Garamond" w:hAnsi="Garamond"/>
          <w:lang w:eastAsia="fr-FR"/>
        </w:rPr>
        <w:t xml:space="preserve">l’ordonnateur sur lequel repose la responsabilité politique et financière du secteur ou du département. </w:t>
      </w:r>
      <w:r w:rsidR="003A05B1">
        <w:rPr>
          <w:rFonts w:ascii="Garamond" w:hAnsi="Garamond"/>
          <w:lang w:eastAsia="fr-FR"/>
        </w:rPr>
        <w:t xml:space="preserve">A titre illustratif, la législation congolaise reconnait la qualité d’ordonnateur à </w:t>
      </w:r>
      <w:r w:rsidR="00804868">
        <w:rPr>
          <w:rFonts w:ascii="Garamond" w:hAnsi="Garamond"/>
          <w:lang w:eastAsia="fr-FR"/>
        </w:rPr>
        <w:t>« </w:t>
      </w:r>
      <w:r w:rsidR="003A05B1">
        <w:rPr>
          <w:rFonts w:ascii="Garamond" w:hAnsi="Garamond"/>
          <w:i/>
          <w:lang w:eastAsia="fr-FR"/>
        </w:rPr>
        <w:t>tout</w:t>
      </w:r>
      <w:r w:rsidR="00804868" w:rsidRPr="001D1F0D">
        <w:rPr>
          <w:rFonts w:ascii="Garamond" w:hAnsi="Garamond"/>
          <w:i/>
          <w:lang w:eastAsia="fr-FR"/>
        </w:rPr>
        <w:t xml:space="preserve"> responsable des institutions du pouvoir central, des provinces et des organes infranationales, les ministres du pouvoir central, les ministres provinciaux et les échevins, les responsables des services déconcentrés ainsi que les responsables des organismes auxiliaires et des comptes spéciaux</w:t>
      </w:r>
      <w:r w:rsidR="00804868">
        <w:rPr>
          <w:rFonts w:ascii="Garamond" w:hAnsi="Garamond"/>
          <w:lang w:eastAsia="fr-FR"/>
        </w:rPr>
        <w:t> » (RDC, 2013 :3)</w:t>
      </w:r>
      <w:r w:rsidR="00804868" w:rsidRPr="009B6D19">
        <w:rPr>
          <w:rFonts w:ascii="Garamond" w:hAnsi="Garamond"/>
          <w:lang w:eastAsia="fr-FR"/>
        </w:rPr>
        <w:t>.</w:t>
      </w:r>
      <w:r w:rsidR="00860E9C">
        <w:rPr>
          <w:rFonts w:ascii="Garamond" w:hAnsi="Garamond"/>
          <w:lang w:eastAsia="fr-FR"/>
        </w:rPr>
        <w:t xml:space="preserve"> A ce titre, il a la compétence d’assurer les engagements, les liquidations et les ordonnancements des dépenses.</w:t>
      </w:r>
    </w:p>
    <w:p w14:paraId="1DFF8481" w14:textId="51DA5BA7" w:rsidR="00804868" w:rsidRPr="009B6D19" w:rsidRDefault="00804868" w:rsidP="00804868">
      <w:pPr>
        <w:rPr>
          <w:rFonts w:ascii="Garamond" w:hAnsi="Garamond"/>
          <w:lang w:eastAsia="fr-FR"/>
        </w:rPr>
      </w:pPr>
      <w:r w:rsidRPr="009B6D19">
        <w:rPr>
          <w:rFonts w:ascii="Garamond" w:hAnsi="Garamond"/>
          <w:lang w:eastAsia="fr-FR"/>
        </w:rPr>
        <w:t xml:space="preserve">La représentation par contre, est cette responsabilité confiée aux élus ou aux experts par les électeurs en vue de siéger dans les forums dans lesquels se discutent les questions qui touchent directement les électeurs. Il peut s’agir également d’une cession d’une partie de son pouvoir à un fonctionnaire en vue de représenter un supérieur hiérarchique et lui faire rapport en retour. Enfin, le legs managérial </w:t>
      </w:r>
      <w:r w:rsidR="0056348F">
        <w:rPr>
          <w:rFonts w:ascii="Garamond" w:hAnsi="Garamond"/>
          <w:lang w:eastAsia="fr-FR"/>
        </w:rPr>
        <w:t>consiste</w:t>
      </w:r>
      <w:r>
        <w:rPr>
          <w:rFonts w:ascii="Garamond" w:hAnsi="Garamond"/>
          <w:lang w:eastAsia="fr-FR"/>
        </w:rPr>
        <w:t xml:space="preserve"> à céder totalement ou en partie la gestion d’une structure publique ou privée à une tierce personne (physique ou morale) pour  </w:t>
      </w:r>
      <w:r w:rsidRPr="009B6D19">
        <w:rPr>
          <w:rFonts w:ascii="Garamond" w:hAnsi="Garamond"/>
          <w:lang w:eastAsia="fr-FR"/>
        </w:rPr>
        <w:t>en répondre complétement de la gestion.</w:t>
      </w:r>
    </w:p>
    <w:p w14:paraId="18AA988F" w14:textId="0D90649E" w:rsidR="00502022" w:rsidRDefault="00804868" w:rsidP="00804868">
      <w:pPr>
        <w:rPr>
          <w:rFonts w:ascii="Garamond" w:hAnsi="Garamond"/>
          <w:lang w:eastAsia="fr-FR"/>
        </w:rPr>
      </w:pPr>
      <w:r w:rsidRPr="009B6D19">
        <w:rPr>
          <w:rFonts w:ascii="Garamond" w:hAnsi="Garamond"/>
          <w:lang w:eastAsia="fr-FR"/>
        </w:rPr>
        <w:lastRenderedPageBreak/>
        <w:t>Dans le cadre de la</w:t>
      </w:r>
      <w:r>
        <w:rPr>
          <w:rFonts w:ascii="Garamond" w:hAnsi="Garamond"/>
          <w:lang w:eastAsia="fr-FR"/>
        </w:rPr>
        <w:t xml:space="preserve"> </w:t>
      </w:r>
      <w:r w:rsidRPr="009B6D19">
        <w:rPr>
          <w:rFonts w:ascii="Garamond" w:hAnsi="Garamond"/>
          <w:lang w:eastAsia="fr-FR"/>
        </w:rPr>
        <w:t xml:space="preserve">décentralisation-dévolution, cette responsabilité </w:t>
      </w:r>
      <w:r>
        <w:rPr>
          <w:rFonts w:ascii="Garamond" w:hAnsi="Garamond"/>
          <w:lang w:eastAsia="fr-FR"/>
        </w:rPr>
        <w:t>est concomitamment</w:t>
      </w:r>
      <w:r w:rsidRPr="009B6D19">
        <w:rPr>
          <w:rFonts w:ascii="Garamond" w:hAnsi="Garamond"/>
          <w:lang w:eastAsia="fr-FR"/>
        </w:rPr>
        <w:t xml:space="preserve"> déléguée (déconcentration) et représentative (dévolution). De ce fait, elle se traduit par le transfert aux entités infranationales, par principe de subsidiarité, de certaines compétences qui peuvent trouver facilement et dans un laps de temps, satisfaction auprès des responsables locaux au regard de ressources à leur disposition et de leur proximité. Elle se traduit également par la relation électeur-élu ou mandataire-mandant dont l’équilibre est soutenue par la capacité à exiger des comptes, à rendre compte et au cas échéant, à sanctionner (</w:t>
      </w:r>
      <w:r w:rsidR="00502022" w:rsidRPr="009B6D19">
        <w:rPr>
          <w:rFonts w:ascii="Garamond" w:hAnsi="Garamond"/>
          <w:lang w:eastAsia="fr-FR"/>
        </w:rPr>
        <w:t>Lemieux</w:t>
      </w:r>
      <w:r w:rsidRPr="009B6D19">
        <w:rPr>
          <w:rFonts w:ascii="Garamond" w:hAnsi="Garamond"/>
          <w:lang w:eastAsia="fr-FR"/>
        </w:rPr>
        <w:t>, 2000 :55).</w:t>
      </w:r>
      <w:r w:rsidR="00502022">
        <w:rPr>
          <w:rFonts w:ascii="Garamond" w:hAnsi="Garamond"/>
          <w:lang w:eastAsia="fr-FR"/>
        </w:rPr>
        <w:t xml:space="preserve"> Ce pouvoir de sanction dont est revêtu le mandant qui amène la personne responsabilisée à agir en tenant compte des conséquences de ses actes (Burlone &amp; Giroux, 2005). </w:t>
      </w:r>
    </w:p>
    <w:p w14:paraId="43C5E4F3" w14:textId="4505EEC4" w:rsidR="00804868" w:rsidRPr="009B6D19" w:rsidRDefault="00804868" w:rsidP="00804868">
      <w:pPr>
        <w:rPr>
          <w:rFonts w:ascii="Garamond" w:hAnsi="Garamond"/>
          <w:lang w:eastAsia="fr-FR"/>
        </w:rPr>
      </w:pPr>
      <w:r w:rsidRPr="009B6D19">
        <w:rPr>
          <w:rFonts w:ascii="Garamond" w:hAnsi="Garamond"/>
          <w:lang w:eastAsia="fr-FR"/>
        </w:rPr>
        <w:t>Cela étant dit,</w:t>
      </w:r>
      <w:r>
        <w:rPr>
          <w:rFonts w:ascii="Garamond" w:hAnsi="Garamond"/>
          <w:lang w:eastAsia="fr-FR"/>
        </w:rPr>
        <w:t xml:space="preserve"> l’existence d’une responsabilité laisse entrevoir </w:t>
      </w:r>
      <w:r w:rsidR="00E1124B">
        <w:rPr>
          <w:rFonts w:ascii="Garamond" w:hAnsi="Garamond"/>
          <w:lang w:eastAsia="fr-FR"/>
        </w:rPr>
        <w:t xml:space="preserve">que </w:t>
      </w:r>
      <w:r>
        <w:rPr>
          <w:rFonts w:ascii="Garamond" w:hAnsi="Garamond"/>
          <w:lang w:eastAsia="fr-FR"/>
        </w:rPr>
        <w:t>des compétences</w:t>
      </w:r>
      <w:r w:rsidR="00E1124B">
        <w:rPr>
          <w:rFonts w:ascii="Garamond" w:hAnsi="Garamond"/>
          <w:lang w:eastAsia="fr-FR"/>
        </w:rPr>
        <w:t xml:space="preserve"> ont été cédées</w:t>
      </w:r>
      <w:r>
        <w:rPr>
          <w:rFonts w:ascii="Garamond" w:hAnsi="Garamond"/>
          <w:lang w:eastAsia="fr-FR"/>
        </w:rPr>
        <w:t xml:space="preserve"> </w:t>
      </w:r>
      <w:r w:rsidR="00E1124B">
        <w:rPr>
          <w:rFonts w:ascii="Garamond" w:hAnsi="Garamond"/>
          <w:lang w:eastAsia="fr-FR"/>
        </w:rPr>
        <w:t>ou</w:t>
      </w:r>
      <w:r w:rsidR="00207D1F">
        <w:rPr>
          <w:rFonts w:ascii="Garamond" w:hAnsi="Garamond"/>
          <w:lang w:eastAsia="fr-FR"/>
        </w:rPr>
        <w:t xml:space="preserve"> conférées en amont é</w:t>
      </w:r>
      <w:r>
        <w:rPr>
          <w:rFonts w:ascii="Garamond" w:hAnsi="Garamond"/>
          <w:lang w:eastAsia="fr-FR"/>
        </w:rPr>
        <w:t xml:space="preserve">tant donné que </w:t>
      </w:r>
      <w:r w:rsidRPr="006E7757">
        <w:rPr>
          <w:rFonts w:ascii="Garamond" w:hAnsi="Garamond"/>
          <w:lang w:eastAsia="fr-FR"/>
        </w:rPr>
        <w:t>la compétence est d’attribution</w:t>
      </w:r>
      <w:r w:rsidR="00CD6557">
        <w:rPr>
          <w:rFonts w:ascii="Garamond" w:hAnsi="Garamond"/>
          <w:lang w:eastAsia="fr-FR"/>
        </w:rPr>
        <w:t xml:space="preserve">. Cela voudrait dire </w:t>
      </w:r>
      <w:r>
        <w:rPr>
          <w:rFonts w:ascii="Garamond" w:hAnsi="Garamond"/>
          <w:lang w:eastAsia="fr-FR"/>
        </w:rPr>
        <w:t xml:space="preserve">que la capacité d’agir doit être fixée par les textes légaux ou règlementaires. </w:t>
      </w:r>
      <w:r w:rsidRPr="009B6D19">
        <w:rPr>
          <w:rFonts w:ascii="Garamond" w:hAnsi="Garamond"/>
          <w:lang w:eastAsia="fr-FR"/>
        </w:rPr>
        <w:t>Cette capacité ou aptitude légale</w:t>
      </w:r>
      <w:r>
        <w:rPr>
          <w:rFonts w:ascii="Garamond" w:hAnsi="Garamond"/>
          <w:lang w:eastAsia="fr-FR"/>
        </w:rPr>
        <w:t xml:space="preserve"> a pour avantages notamment de renforcer la légitimité et la légalité de chaque action posée par le décideur</w:t>
      </w:r>
      <w:r w:rsidR="00CD6557">
        <w:rPr>
          <w:rFonts w:ascii="Garamond" w:hAnsi="Garamond"/>
          <w:lang w:eastAsia="fr-FR"/>
        </w:rPr>
        <w:t xml:space="preserve"> responsabilisé</w:t>
      </w:r>
      <w:r>
        <w:rPr>
          <w:rFonts w:ascii="Garamond" w:hAnsi="Garamond"/>
          <w:lang w:eastAsia="fr-FR"/>
        </w:rPr>
        <w:t>, de</w:t>
      </w:r>
      <w:r w:rsidRPr="009B6D19">
        <w:rPr>
          <w:rFonts w:ascii="Garamond" w:hAnsi="Garamond"/>
          <w:lang w:eastAsia="fr-FR"/>
        </w:rPr>
        <w:t xml:space="preserve"> détermine</w:t>
      </w:r>
      <w:r>
        <w:rPr>
          <w:rFonts w:ascii="Garamond" w:hAnsi="Garamond"/>
          <w:lang w:eastAsia="fr-FR"/>
        </w:rPr>
        <w:t>r</w:t>
      </w:r>
      <w:r w:rsidRPr="009B6D19">
        <w:rPr>
          <w:rFonts w:ascii="Garamond" w:hAnsi="Garamond"/>
          <w:lang w:eastAsia="fr-FR"/>
        </w:rPr>
        <w:t xml:space="preserve"> </w:t>
      </w:r>
      <w:r>
        <w:rPr>
          <w:rFonts w:ascii="Garamond" w:hAnsi="Garamond"/>
          <w:lang w:eastAsia="fr-FR"/>
        </w:rPr>
        <w:t xml:space="preserve">les périmètres </w:t>
      </w:r>
      <w:r w:rsidR="008D260A">
        <w:rPr>
          <w:rFonts w:ascii="Garamond" w:hAnsi="Garamond"/>
          <w:lang w:eastAsia="fr-FR"/>
        </w:rPr>
        <w:t>et</w:t>
      </w:r>
      <w:r>
        <w:rPr>
          <w:rFonts w:ascii="Garamond" w:hAnsi="Garamond"/>
          <w:lang w:eastAsia="fr-FR"/>
        </w:rPr>
        <w:t xml:space="preserve"> </w:t>
      </w:r>
      <w:r w:rsidRPr="009B6D19">
        <w:rPr>
          <w:rFonts w:ascii="Garamond" w:hAnsi="Garamond"/>
          <w:lang w:eastAsia="fr-FR"/>
        </w:rPr>
        <w:t xml:space="preserve">les contours </w:t>
      </w:r>
      <w:r>
        <w:rPr>
          <w:rFonts w:ascii="Garamond" w:hAnsi="Garamond"/>
          <w:lang w:eastAsia="fr-FR"/>
        </w:rPr>
        <w:t>de son</w:t>
      </w:r>
      <w:r w:rsidRPr="009B6D19">
        <w:rPr>
          <w:rFonts w:ascii="Garamond" w:hAnsi="Garamond"/>
          <w:lang w:eastAsia="fr-FR"/>
        </w:rPr>
        <w:t xml:space="preserve"> pouvoir ainsi que</w:t>
      </w:r>
      <w:r>
        <w:rPr>
          <w:rFonts w:ascii="Garamond" w:hAnsi="Garamond"/>
          <w:lang w:eastAsia="fr-FR"/>
        </w:rPr>
        <w:t xml:space="preserve"> les synergies de collaboration entre parties prenantes. </w:t>
      </w:r>
      <w:r w:rsidRPr="009B6D19">
        <w:rPr>
          <w:rFonts w:ascii="Garamond" w:hAnsi="Garamond"/>
          <w:lang w:eastAsia="fr-FR"/>
        </w:rPr>
        <w:t>Ceci voudrait simplement dire qu’au-delà du fait que la responsabilité s’érige contre l’arbitraire, elle est indissociable de</w:t>
      </w:r>
      <w:r>
        <w:rPr>
          <w:rFonts w:ascii="Garamond" w:hAnsi="Garamond"/>
          <w:lang w:eastAsia="fr-FR"/>
        </w:rPr>
        <w:t xml:space="preserve"> </w:t>
      </w:r>
      <w:r w:rsidRPr="009B6D19">
        <w:rPr>
          <w:rFonts w:ascii="Garamond" w:hAnsi="Garamond"/>
          <w:lang w:eastAsia="fr-FR"/>
        </w:rPr>
        <w:t>l’exercice de</w:t>
      </w:r>
      <w:r>
        <w:rPr>
          <w:rFonts w:ascii="Garamond" w:hAnsi="Garamond"/>
          <w:lang w:eastAsia="fr-FR"/>
        </w:rPr>
        <w:t xml:space="preserve"> </w:t>
      </w:r>
      <w:r w:rsidRPr="009B6D19">
        <w:rPr>
          <w:rFonts w:ascii="Garamond" w:hAnsi="Garamond"/>
          <w:lang w:eastAsia="fr-FR"/>
        </w:rPr>
        <w:t>pouvoir. Ses prouesses dans la veille stratégique sur la cohérence</w:t>
      </w:r>
      <w:r>
        <w:rPr>
          <w:rFonts w:ascii="Garamond" w:hAnsi="Garamond"/>
          <w:lang w:eastAsia="fr-FR"/>
        </w:rPr>
        <w:t xml:space="preserve"> et l’efficacité de l’action du gouvernement ainsi que dans la promotion de la reddition des comptes </w:t>
      </w:r>
      <w:r w:rsidRPr="009B6D19">
        <w:rPr>
          <w:rFonts w:ascii="Garamond" w:hAnsi="Garamond"/>
          <w:lang w:eastAsia="fr-FR"/>
        </w:rPr>
        <w:t>font d’elle un ingrédient indispensable</w:t>
      </w:r>
      <w:r>
        <w:rPr>
          <w:rFonts w:ascii="Garamond" w:hAnsi="Garamond"/>
          <w:lang w:eastAsia="fr-FR"/>
        </w:rPr>
        <w:t xml:space="preserve"> à la gouvernance </w:t>
      </w:r>
      <w:r w:rsidR="008D260A">
        <w:rPr>
          <w:rFonts w:ascii="Garamond" w:hAnsi="Garamond"/>
          <w:lang w:eastAsia="fr-FR"/>
        </w:rPr>
        <w:t>démocratique</w:t>
      </w:r>
      <w:r w:rsidRPr="009B6D19">
        <w:rPr>
          <w:rFonts w:ascii="Garamond" w:hAnsi="Garamond"/>
          <w:lang w:eastAsia="fr-FR"/>
        </w:rPr>
        <w:t xml:space="preserve"> (Brière, 2014). C’est pourquoi, </w:t>
      </w:r>
      <w:proofErr w:type="spellStart"/>
      <w:r w:rsidRPr="009B6D19">
        <w:rPr>
          <w:rFonts w:ascii="Garamond" w:hAnsi="Garamond"/>
          <w:lang w:eastAsia="fr-FR"/>
        </w:rPr>
        <w:t>Eraly</w:t>
      </w:r>
      <w:proofErr w:type="spellEnd"/>
      <w:r w:rsidRPr="009B6D19">
        <w:rPr>
          <w:rFonts w:ascii="Garamond" w:hAnsi="Garamond"/>
          <w:lang w:eastAsia="fr-FR"/>
        </w:rPr>
        <w:t xml:space="preserve"> &amp; </w:t>
      </w:r>
      <w:proofErr w:type="spellStart"/>
      <w:r w:rsidRPr="009B6D19">
        <w:rPr>
          <w:rFonts w:ascii="Garamond" w:hAnsi="Garamond"/>
          <w:lang w:eastAsia="fr-FR"/>
        </w:rPr>
        <w:t>Hendriks</w:t>
      </w:r>
      <w:proofErr w:type="spellEnd"/>
      <w:r w:rsidRPr="009B6D19">
        <w:rPr>
          <w:rFonts w:ascii="Garamond" w:hAnsi="Garamond"/>
          <w:lang w:eastAsia="fr-FR"/>
        </w:rPr>
        <w:t xml:space="preserve"> (2007 : 197-198) énumèrent </w:t>
      </w:r>
      <w:r w:rsidR="00E1124B">
        <w:rPr>
          <w:rFonts w:ascii="Garamond" w:hAnsi="Garamond"/>
          <w:lang w:eastAsia="fr-FR"/>
        </w:rPr>
        <w:t>bon nombre des</w:t>
      </w:r>
      <w:r w:rsidRPr="009B6D19">
        <w:rPr>
          <w:rFonts w:ascii="Garamond" w:hAnsi="Garamond"/>
          <w:lang w:eastAsia="fr-FR"/>
        </w:rPr>
        <w:t xml:space="preserve"> préalables pour être responsabilisé. Il s’agit de</w:t>
      </w:r>
      <w:r>
        <w:rPr>
          <w:rFonts w:ascii="Garamond" w:hAnsi="Garamond"/>
          <w:lang w:eastAsia="fr-FR"/>
        </w:rPr>
        <w:t xml:space="preserve"> disposer de</w:t>
      </w:r>
      <w:r w:rsidRPr="009B6D19">
        <w:rPr>
          <w:rFonts w:ascii="Garamond" w:hAnsi="Garamond"/>
          <w:lang w:eastAsia="fr-FR"/>
        </w:rPr>
        <w:t xml:space="preserve"> : (i) </w:t>
      </w:r>
      <w:r>
        <w:rPr>
          <w:rFonts w:ascii="Garamond" w:hAnsi="Garamond"/>
          <w:lang w:eastAsia="fr-FR"/>
        </w:rPr>
        <w:t>missions et objectifs clairs</w:t>
      </w:r>
      <w:r w:rsidRPr="009B6D19">
        <w:rPr>
          <w:rFonts w:ascii="Garamond" w:hAnsi="Garamond"/>
          <w:lang w:eastAsia="fr-FR"/>
        </w:rPr>
        <w:t xml:space="preserve">; (ii) </w:t>
      </w:r>
      <w:r>
        <w:rPr>
          <w:rFonts w:ascii="Garamond" w:hAnsi="Garamond"/>
          <w:lang w:eastAsia="fr-FR"/>
        </w:rPr>
        <w:t>structures</w:t>
      </w:r>
      <w:r w:rsidRPr="009B6D19">
        <w:rPr>
          <w:rFonts w:ascii="Garamond" w:hAnsi="Garamond"/>
          <w:lang w:eastAsia="fr-FR"/>
        </w:rPr>
        <w:t xml:space="preserve"> ; (iii) </w:t>
      </w:r>
      <w:r>
        <w:rPr>
          <w:rFonts w:ascii="Garamond" w:hAnsi="Garamond"/>
          <w:lang w:eastAsia="fr-FR"/>
        </w:rPr>
        <w:t xml:space="preserve">mécanismes de </w:t>
      </w:r>
      <w:r w:rsidRPr="009B6D19">
        <w:rPr>
          <w:rFonts w:ascii="Garamond" w:hAnsi="Garamond"/>
          <w:lang w:eastAsia="fr-FR"/>
        </w:rPr>
        <w:t xml:space="preserve">délégation, donc l’octroi d’une autonomie de pouvoir et de décision ; (iv) </w:t>
      </w:r>
      <w:r>
        <w:rPr>
          <w:rFonts w:ascii="Garamond" w:hAnsi="Garamond"/>
          <w:lang w:eastAsia="fr-FR"/>
        </w:rPr>
        <w:t>compétences voulues ou recherchées</w:t>
      </w:r>
      <w:r w:rsidRPr="009B6D19">
        <w:rPr>
          <w:rFonts w:ascii="Garamond" w:hAnsi="Garamond"/>
          <w:lang w:eastAsia="fr-FR"/>
        </w:rPr>
        <w:t xml:space="preserve"> ; (v) </w:t>
      </w:r>
      <w:r>
        <w:rPr>
          <w:rFonts w:ascii="Garamond" w:hAnsi="Garamond"/>
          <w:lang w:eastAsia="fr-FR"/>
        </w:rPr>
        <w:t xml:space="preserve">mécanismes </w:t>
      </w:r>
      <w:r w:rsidRPr="009B6D19">
        <w:rPr>
          <w:rFonts w:ascii="Garamond" w:hAnsi="Garamond"/>
          <w:lang w:eastAsia="fr-FR"/>
        </w:rPr>
        <w:t xml:space="preserve"> d’évaluation et de reddition des comptes ; (vi) </w:t>
      </w:r>
      <w:r>
        <w:rPr>
          <w:rFonts w:ascii="Garamond" w:hAnsi="Garamond"/>
          <w:lang w:eastAsia="fr-FR"/>
        </w:rPr>
        <w:t xml:space="preserve">indicateurs de suivi-évaluation </w:t>
      </w:r>
      <w:r w:rsidRPr="009B6D19">
        <w:rPr>
          <w:rFonts w:ascii="Garamond" w:hAnsi="Garamond"/>
          <w:lang w:eastAsia="fr-FR"/>
        </w:rPr>
        <w:t xml:space="preserve">; g) </w:t>
      </w:r>
      <w:r>
        <w:rPr>
          <w:rFonts w:ascii="Garamond" w:hAnsi="Garamond"/>
          <w:lang w:eastAsia="fr-FR"/>
        </w:rPr>
        <w:t>mécanismes de sanctions (positives ou négatives).</w:t>
      </w:r>
    </w:p>
    <w:p w14:paraId="19ED186B" w14:textId="5A70AAA9" w:rsidR="00804868" w:rsidRPr="009B6D19" w:rsidRDefault="00804868" w:rsidP="00804868">
      <w:pPr>
        <w:rPr>
          <w:rFonts w:ascii="Garamond" w:hAnsi="Garamond"/>
          <w:lang w:eastAsia="fr-FR"/>
        </w:rPr>
      </w:pPr>
      <w:r w:rsidRPr="009B6D19">
        <w:rPr>
          <w:rFonts w:ascii="Garamond" w:hAnsi="Garamond"/>
          <w:lang w:eastAsia="fr-FR"/>
        </w:rPr>
        <w:t xml:space="preserve">En outre, </w:t>
      </w:r>
      <w:r>
        <w:rPr>
          <w:rFonts w:ascii="Garamond" w:hAnsi="Garamond"/>
          <w:lang w:eastAsia="fr-FR"/>
        </w:rPr>
        <w:t>Duran (20</w:t>
      </w:r>
      <w:r w:rsidR="006E536A">
        <w:rPr>
          <w:rFonts w:ascii="Garamond" w:hAnsi="Garamond"/>
          <w:lang w:eastAsia="fr-FR"/>
        </w:rPr>
        <w:t>09</w:t>
      </w:r>
      <w:r w:rsidRPr="009B6D19">
        <w:rPr>
          <w:rFonts w:ascii="Garamond" w:hAnsi="Garamond"/>
          <w:lang w:eastAsia="fr-FR"/>
        </w:rPr>
        <w:t xml:space="preserve">) pense que, </w:t>
      </w:r>
      <w:r>
        <w:rPr>
          <w:rFonts w:ascii="Garamond" w:hAnsi="Garamond"/>
          <w:lang w:eastAsia="fr-FR"/>
        </w:rPr>
        <w:t xml:space="preserve">que la responsabilité peut être appréhendée sous l’angle de la transformation de l’action publique. De ce fait, </w:t>
      </w:r>
      <w:r w:rsidRPr="009B6D19">
        <w:rPr>
          <w:rFonts w:ascii="Garamond" w:hAnsi="Garamond"/>
          <w:lang w:eastAsia="fr-FR"/>
        </w:rPr>
        <w:t xml:space="preserve">tout responsable devient automatiquement comptable devant </w:t>
      </w:r>
      <w:r w:rsidR="009C4281">
        <w:rPr>
          <w:rFonts w:ascii="Garamond" w:hAnsi="Garamond"/>
          <w:lang w:eastAsia="fr-FR"/>
        </w:rPr>
        <w:t>la personne physique ou morale qui l’a</w:t>
      </w:r>
      <w:r>
        <w:rPr>
          <w:rFonts w:ascii="Garamond" w:hAnsi="Garamond"/>
          <w:lang w:eastAsia="fr-FR"/>
        </w:rPr>
        <w:t xml:space="preserve"> responsabilisé. Dans le contexte de la </w:t>
      </w:r>
      <w:r w:rsidRPr="009B6D19">
        <w:rPr>
          <w:rFonts w:ascii="Garamond" w:hAnsi="Garamond"/>
          <w:lang w:eastAsia="fr-FR"/>
        </w:rPr>
        <w:t>« </w:t>
      </w:r>
      <w:r w:rsidRPr="009B6D19">
        <w:rPr>
          <w:rFonts w:ascii="Garamond" w:hAnsi="Garamond"/>
          <w:i/>
          <w:lang w:eastAsia="fr-FR"/>
        </w:rPr>
        <w:t>démocratie d’imputation</w:t>
      </w:r>
      <w:r w:rsidRPr="009B6D19">
        <w:rPr>
          <w:rFonts w:ascii="Garamond" w:hAnsi="Garamond"/>
          <w:lang w:eastAsia="fr-FR"/>
        </w:rPr>
        <w:t> » (</w:t>
      </w:r>
      <w:proofErr w:type="spellStart"/>
      <w:r w:rsidRPr="009B6D19">
        <w:rPr>
          <w:rFonts w:ascii="Garamond" w:hAnsi="Garamond"/>
          <w:lang w:eastAsia="fr-FR"/>
        </w:rPr>
        <w:t>Décary</w:t>
      </w:r>
      <w:proofErr w:type="spellEnd"/>
      <w:r w:rsidRPr="009B6D19">
        <w:rPr>
          <w:rFonts w:ascii="Garamond" w:hAnsi="Garamond"/>
          <w:lang w:eastAsia="fr-FR"/>
        </w:rPr>
        <w:t xml:space="preserve">-Secours, 2007 :151 ; Duran, 2013 ; </w:t>
      </w:r>
      <w:proofErr w:type="spellStart"/>
      <w:r w:rsidRPr="009B6D19">
        <w:rPr>
          <w:rFonts w:ascii="Garamond" w:hAnsi="Garamond"/>
          <w:lang w:eastAsia="fr-FR"/>
        </w:rPr>
        <w:t>Siné</w:t>
      </w:r>
      <w:proofErr w:type="spellEnd"/>
      <w:r w:rsidRPr="009B6D19">
        <w:rPr>
          <w:rFonts w:ascii="Garamond" w:hAnsi="Garamond"/>
          <w:lang w:eastAsia="fr-FR"/>
        </w:rPr>
        <w:t>, 2001)</w:t>
      </w:r>
      <w:r>
        <w:rPr>
          <w:rFonts w:ascii="Garamond" w:hAnsi="Garamond"/>
          <w:lang w:eastAsia="fr-FR"/>
        </w:rPr>
        <w:t>, elle permet au peuple</w:t>
      </w:r>
      <w:r w:rsidRPr="009B6D19">
        <w:rPr>
          <w:rFonts w:ascii="Garamond" w:hAnsi="Garamond"/>
          <w:lang w:eastAsia="fr-FR"/>
        </w:rPr>
        <w:t xml:space="preserve">-juge </w:t>
      </w:r>
      <w:r>
        <w:rPr>
          <w:rFonts w:ascii="Garamond" w:hAnsi="Garamond"/>
          <w:lang w:eastAsia="fr-FR"/>
        </w:rPr>
        <w:t>d’infliger des sanctions à ses élus</w:t>
      </w:r>
      <w:r w:rsidRPr="009B6D19">
        <w:rPr>
          <w:rFonts w:ascii="Garamond" w:hAnsi="Garamond"/>
          <w:lang w:eastAsia="fr-FR"/>
        </w:rPr>
        <w:t>. Par conséquent, la responsabilité et la reddition des comptes s’érigent contre une démocratie de confrontation. Les instruments qui les sous-tendent, deviennent une « </w:t>
      </w:r>
      <w:r w:rsidRPr="009B6D19">
        <w:rPr>
          <w:rFonts w:ascii="Garamond" w:hAnsi="Garamond"/>
          <w:i/>
          <w:lang w:eastAsia="fr-FR"/>
        </w:rPr>
        <w:t>dimension cruciale de la légitimité quand la capacité à obtenir des résultats définit une responsabilité</w:t>
      </w:r>
      <w:r w:rsidRPr="009B6D19">
        <w:rPr>
          <w:rFonts w:ascii="Garamond" w:hAnsi="Garamond"/>
          <w:lang w:eastAsia="fr-FR"/>
        </w:rPr>
        <w:t> » (Duran, 2013 : 590). En grosso modo, une responsabilité mal définie ou non suffisamment exécutée est un véritable déboitement</w:t>
      </w:r>
      <w:r>
        <w:rPr>
          <w:rFonts w:ascii="Garamond" w:hAnsi="Garamond"/>
          <w:lang w:eastAsia="fr-FR"/>
        </w:rPr>
        <w:t xml:space="preserve"> de l’a</w:t>
      </w:r>
      <w:r w:rsidRPr="009B6D19">
        <w:rPr>
          <w:rFonts w:ascii="Garamond" w:hAnsi="Garamond"/>
          <w:lang w:eastAsia="fr-FR"/>
        </w:rPr>
        <w:t xml:space="preserve">rticulation de la </w:t>
      </w:r>
      <w:r w:rsidR="009C4281">
        <w:rPr>
          <w:rFonts w:ascii="Garamond" w:hAnsi="Garamond"/>
          <w:lang w:eastAsia="fr-FR"/>
        </w:rPr>
        <w:t>gouvernance</w:t>
      </w:r>
      <w:r w:rsidRPr="009B6D19">
        <w:rPr>
          <w:rFonts w:ascii="Garamond" w:hAnsi="Garamond"/>
          <w:lang w:eastAsia="fr-FR"/>
        </w:rPr>
        <w:t xml:space="preserve">. Elle se veut donc un impératif pour que l’Etat parvienne à remplir efficacement sa mission, celle de </w:t>
      </w:r>
      <w:r w:rsidRPr="009B6D19">
        <w:rPr>
          <w:rFonts w:ascii="Garamond" w:hAnsi="Garamond"/>
          <w:lang w:eastAsia="fr-FR"/>
        </w:rPr>
        <w:lastRenderedPageBreak/>
        <w:t xml:space="preserve">concourir à l’atteinte de l’intérêt général par l’offre des services de qualité à ses citoyens. Ce déboitement se retrouve aggravé toutes les fois que des compétences sont cédées et clairement établies sans que cette cession soit traduite fidèlement dans la pratique ou qu’elle se fasse accompagner des moyens nécessaires à l’accomplissement de compétences confiées (OCDE, 2019). Cela étant dit, la responsabilité financière et la reddition des comptes ainsi que les instruments qui les sous-tendent doivent être exempts de toute équivoque ou d’ambiguïté. </w:t>
      </w:r>
      <w:r>
        <w:rPr>
          <w:rFonts w:ascii="Garamond" w:hAnsi="Garamond"/>
          <w:lang w:eastAsia="fr-FR"/>
        </w:rPr>
        <w:t>Ce</w:t>
      </w:r>
      <w:r w:rsidRPr="009B6D19">
        <w:rPr>
          <w:rFonts w:ascii="Garamond" w:hAnsi="Garamond"/>
          <w:lang w:eastAsia="fr-FR"/>
        </w:rPr>
        <w:t>s</w:t>
      </w:r>
      <w:r>
        <w:rPr>
          <w:rFonts w:ascii="Garamond" w:hAnsi="Garamond"/>
          <w:lang w:eastAsia="fr-FR"/>
        </w:rPr>
        <w:t xml:space="preserve"> instruments</w:t>
      </w:r>
      <w:r w:rsidRPr="009B6D19">
        <w:rPr>
          <w:rFonts w:ascii="Garamond" w:hAnsi="Garamond"/>
          <w:lang w:eastAsia="fr-FR"/>
        </w:rPr>
        <w:t xml:space="preserve"> doivent égalem</w:t>
      </w:r>
      <w:r>
        <w:rPr>
          <w:rFonts w:ascii="Garamond" w:hAnsi="Garamond"/>
          <w:lang w:eastAsia="fr-FR"/>
        </w:rPr>
        <w:t xml:space="preserve">ent être constamment vulgarisés de telle sorte que les gouvernés soient constamment informés sur le moment et </w:t>
      </w:r>
      <w:r w:rsidR="009C4281">
        <w:rPr>
          <w:rFonts w:ascii="Garamond" w:hAnsi="Garamond"/>
          <w:lang w:eastAsia="fr-FR"/>
        </w:rPr>
        <w:t>la manière de</w:t>
      </w:r>
      <w:r>
        <w:rPr>
          <w:rFonts w:ascii="Garamond" w:hAnsi="Garamond"/>
          <w:lang w:eastAsia="fr-FR"/>
        </w:rPr>
        <w:t xml:space="preserve"> demander des comptes a</w:t>
      </w:r>
      <w:r w:rsidRPr="009B6D19">
        <w:rPr>
          <w:rFonts w:ascii="Garamond" w:hAnsi="Garamond"/>
          <w:lang w:eastAsia="fr-FR"/>
        </w:rPr>
        <w:t xml:space="preserve">ux gouvernants responsabilisés. </w:t>
      </w:r>
    </w:p>
    <w:p w14:paraId="37CE880E" w14:textId="0AFE4BD3" w:rsidR="00804868" w:rsidRPr="009B6D19" w:rsidRDefault="00804868" w:rsidP="00804868">
      <w:pPr>
        <w:rPr>
          <w:rFonts w:ascii="Garamond" w:hAnsi="Garamond"/>
          <w:lang w:eastAsia="fr-FR"/>
        </w:rPr>
      </w:pPr>
      <w:r w:rsidRPr="009B6D19">
        <w:rPr>
          <w:rFonts w:ascii="Garamond" w:hAnsi="Garamond"/>
          <w:lang w:eastAsia="fr-FR"/>
        </w:rPr>
        <w:t>Enfin, selon Escobar-</w:t>
      </w:r>
      <w:proofErr w:type="spellStart"/>
      <w:r w:rsidRPr="009B6D19">
        <w:rPr>
          <w:rFonts w:ascii="Garamond" w:hAnsi="Garamond"/>
          <w:lang w:eastAsia="fr-FR"/>
        </w:rPr>
        <w:t>Lemmon</w:t>
      </w:r>
      <w:proofErr w:type="spellEnd"/>
      <w:r w:rsidRPr="009B6D19">
        <w:rPr>
          <w:rFonts w:ascii="Garamond" w:hAnsi="Garamond"/>
          <w:lang w:eastAsia="fr-FR"/>
        </w:rPr>
        <w:t xml:space="preserve"> &amp; D. Ross (2014), la responsabilisation peut être verticale ou horizontale. Elle est verticale lorsque les électeurs confient, par voie référendaire ou par les élections, des charges ou des responsabilités aux gouvernants ou aux élus. Par contre, elle est horizontale lorsqu’il existe des services étatiques désireux, capables et légalement autorisés à prendre des mesures qui vont de la surveillance aux sanctions ou à la mise</w:t>
      </w:r>
      <w:r w:rsidR="00A527EF">
        <w:rPr>
          <w:rFonts w:ascii="Garamond" w:hAnsi="Garamond"/>
          <w:lang w:eastAsia="fr-FR"/>
        </w:rPr>
        <w:t xml:space="preserve"> en accusation</w:t>
      </w:r>
      <w:r w:rsidRPr="009B6D19">
        <w:rPr>
          <w:rFonts w:ascii="Garamond" w:hAnsi="Garamond"/>
          <w:lang w:eastAsia="fr-FR"/>
        </w:rPr>
        <w:t>.</w:t>
      </w:r>
    </w:p>
    <w:p w14:paraId="094649FF" w14:textId="77777777" w:rsidR="00804868" w:rsidRPr="009B6D19" w:rsidRDefault="00804868" w:rsidP="00804868">
      <w:pPr>
        <w:pStyle w:val="Heading3"/>
      </w:pPr>
      <w:bookmarkStart w:id="18" w:name="_Toc125594159"/>
      <w:bookmarkStart w:id="19" w:name="_Toc143577452"/>
      <w:r w:rsidRPr="009B6D19">
        <w:t>La reddition des comptes</w:t>
      </w:r>
      <w:bookmarkEnd w:id="18"/>
      <w:bookmarkEnd w:id="19"/>
    </w:p>
    <w:p w14:paraId="689164FF" w14:textId="120F01A8" w:rsidR="00804868" w:rsidRPr="009B6D19" w:rsidRDefault="00804868" w:rsidP="00804868">
      <w:pPr>
        <w:rPr>
          <w:rFonts w:ascii="Garamond" w:hAnsi="Garamond"/>
          <w:lang w:eastAsia="fr-FR"/>
        </w:rPr>
      </w:pPr>
      <w:r w:rsidRPr="009B6D19">
        <w:rPr>
          <w:rFonts w:ascii="Garamond" w:hAnsi="Garamond"/>
          <w:lang w:eastAsia="fr-FR"/>
        </w:rPr>
        <w:t xml:space="preserve">La reddition des comptes constitue le noyau central de la responsabilisation (Lemieux, 2000 ; Hertzog, 2016 :1013). L’obligation redditionnelle est une véritable contrainte vis-à-vis du Gouvernement ou de tout autre acteur responsabilisé. C’est l’unique moyen de l’amener à être </w:t>
      </w:r>
      <w:r w:rsidR="00487688" w:rsidRPr="009B6D19">
        <w:rPr>
          <w:rFonts w:ascii="Garamond" w:hAnsi="Garamond"/>
          <w:lang w:eastAsia="fr-FR"/>
        </w:rPr>
        <w:t xml:space="preserve">plus </w:t>
      </w:r>
      <w:r w:rsidRPr="009B6D19">
        <w:rPr>
          <w:rFonts w:ascii="Garamond" w:hAnsi="Garamond"/>
          <w:lang w:eastAsia="fr-FR"/>
        </w:rPr>
        <w:t>transparent, réactif et responsable de ses choix politiques.</w:t>
      </w:r>
    </w:p>
    <w:p w14:paraId="2CDC6EAB" w14:textId="67CBE413" w:rsidR="00804868" w:rsidRPr="009B6D19" w:rsidRDefault="00804868" w:rsidP="00804868">
      <w:pPr>
        <w:rPr>
          <w:rFonts w:ascii="Garamond" w:hAnsi="Garamond"/>
          <w:lang w:eastAsia="fr-FR"/>
        </w:rPr>
      </w:pPr>
      <w:r w:rsidRPr="009B6D19">
        <w:rPr>
          <w:rFonts w:ascii="Garamond" w:hAnsi="Garamond"/>
          <w:lang w:eastAsia="fr-FR"/>
        </w:rPr>
        <w:t>Par ailleurs, si certains auteurs prennent la reddition des comptes comme synonyme de l’imputabilité, Rouillard</w:t>
      </w:r>
      <w:r w:rsidR="00AB77C6">
        <w:rPr>
          <w:rFonts w:ascii="Garamond" w:hAnsi="Garamond"/>
          <w:lang w:eastAsia="fr-FR"/>
        </w:rPr>
        <w:t xml:space="preserve"> &amp; Hudon</w:t>
      </w:r>
      <w:r w:rsidRPr="009B6D19">
        <w:rPr>
          <w:rFonts w:ascii="Garamond" w:hAnsi="Garamond"/>
          <w:lang w:eastAsia="fr-FR"/>
        </w:rPr>
        <w:t xml:space="preserve"> (2007 : 10) </w:t>
      </w:r>
      <w:r w:rsidR="00AB77C6">
        <w:rPr>
          <w:rFonts w:ascii="Garamond" w:hAnsi="Garamond"/>
          <w:lang w:eastAsia="fr-FR"/>
        </w:rPr>
        <w:t>font</w:t>
      </w:r>
      <w:r>
        <w:rPr>
          <w:rFonts w:ascii="Garamond" w:hAnsi="Garamond"/>
          <w:lang w:eastAsia="fr-FR"/>
        </w:rPr>
        <w:t xml:space="preserve"> un distinguo entre les deux concepts</w:t>
      </w:r>
      <w:r w:rsidRPr="009B6D19">
        <w:rPr>
          <w:rFonts w:ascii="Garamond" w:hAnsi="Garamond"/>
          <w:lang w:eastAsia="fr-FR"/>
        </w:rPr>
        <w:t xml:space="preserve">. Cette distinction s’oriente beaucoup plus sur l’aspect téléologique de la gestion. De ce fait, l’imputabilité </w:t>
      </w:r>
      <w:r>
        <w:rPr>
          <w:rFonts w:ascii="Garamond" w:hAnsi="Garamond"/>
          <w:lang w:eastAsia="fr-FR"/>
        </w:rPr>
        <w:t>prend une orientation vers la logique des résultats</w:t>
      </w:r>
      <w:r>
        <w:t xml:space="preserve"> </w:t>
      </w:r>
      <w:r w:rsidRPr="009B6D19">
        <w:rPr>
          <w:rFonts w:ascii="Garamond" w:hAnsi="Garamond"/>
          <w:lang w:eastAsia="fr-FR"/>
        </w:rPr>
        <w:t>tandis que la reddition des comptes a pour objet d’assurer la gestion des rendements. Selon Lemieux (2001),</w:t>
      </w:r>
      <w:r>
        <w:rPr>
          <w:rFonts w:ascii="Garamond" w:hAnsi="Garamond"/>
          <w:lang w:eastAsia="fr-FR"/>
        </w:rPr>
        <w:t xml:space="preserve"> la déconcentration et la délégation se prêtent mieux à </w:t>
      </w:r>
      <w:r w:rsidRPr="009B6D19">
        <w:rPr>
          <w:rFonts w:ascii="Garamond" w:hAnsi="Garamond"/>
          <w:lang w:eastAsia="fr-FR"/>
        </w:rPr>
        <w:t xml:space="preserve">l’imputabilité que </w:t>
      </w:r>
      <w:r w:rsidR="00A15127">
        <w:rPr>
          <w:rFonts w:ascii="Garamond" w:hAnsi="Garamond"/>
          <w:lang w:eastAsia="fr-FR"/>
        </w:rPr>
        <w:t>la dévolution</w:t>
      </w:r>
      <w:r w:rsidRPr="009B6D19">
        <w:rPr>
          <w:rFonts w:ascii="Garamond" w:hAnsi="Garamond"/>
          <w:lang w:eastAsia="fr-FR"/>
        </w:rPr>
        <w:t>. Cette facilité d’imputabilité dans ces deux types de décentralisation s’explique par la clarification du degré d’habilitation et la progression d’autonomie des entités locales en termes des ressources, d’autorité légale et des capacités organisationnelles.</w:t>
      </w:r>
    </w:p>
    <w:p w14:paraId="0945AD67" w14:textId="32F252A7" w:rsidR="002A218E" w:rsidRDefault="00804868" w:rsidP="00804868">
      <w:pPr>
        <w:rPr>
          <w:rFonts w:ascii="Garamond" w:hAnsi="Garamond"/>
          <w:lang w:eastAsia="fr-FR"/>
        </w:rPr>
      </w:pPr>
      <w:r w:rsidRPr="009B6D19">
        <w:rPr>
          <w:rFonts w:ascii="Garamond" w:hAnsi="Garamond"/>
          <w:lang w:eastAsia="fr-FR"/>
        </w:rPr>
        <w:t>En plus, la reddition</w:t>
      </w:r>
      <w:r>
        <w:rPr>
          <w:rFonts w:ascii="Garamond" w:hAnsi="Garamond"/>
          <w:lang w:eastAsia="fr-FR"/>
        </w:rPr>
        <w:t xml:space="preserve"> </w:t>
      </w:r>
      <w:r w:rsidRPr="009B6D19">
        <w:rPr>
          <w:rFonts w:ascii="Garamond" w:hAnsi="Garamond"/>
          <w:lang w:eastAsia="fr-FR"/>
        </w:rPr>
        <w:t>des comptes ne</w:t>
      </w:r>
      <w:r>
        <w:rPr>
          <w:rFonts w:ascii="Garamond" w:hAnsi="Garamond"/>
          <w:lang w:eastAsia="fr-FR"/>
        </w:rPr>
        <w:t xml:space="preserve"> </w:t>
      </w:r>
      <w:r w:rsidRPr="009B6D19">
        <w:rPr>
          <w:rFonts w:ascii="Garamond" w:hAnsi="Garamond"/>
          <w:lang w:eastAsia="fr-FR"/>
        </w:rPr>
        <w:t>doit pas s’appréhender uniquement sous l’angle managérial mais bien plus sous l’angle d’un droit inaliénable à chaque citoyen</w:t>
      </w:r>
      <w:r>
        <w:rPr>
          <w:rFonts w:ascii="Garamond" w:hAnsi="Garamond"/>
          <w:lang w:eastAsia="fr-FR"/>
        </w:rPr>
        <w:t xml:space="preserve">. En effet, </w:t>
      </w:r>
      <w:r w:rsidRPr="009B6D19">
        <w:rPr>
          <w:rFonts w:ascii="Garamond" w:hAnsi="Garamond"/>
          <w:lang w:eastAsia="fr-FR"/>
        </w:rPr>
        <w:t xml:space="preserve">tout agent public est tenu à rendre des comptes et chaque société dispose </w:t>
      </w:r>
      <w:r w:rsidR="00A15127">
        <w:rPr>
          <w:rFonts w:ascii="Garamond" w:hAnsi="Garamond"/>
          <w:lang w:eastAsia="fr-FR"/>
        </w:rPr>
        <w:t>le</w:t>
      </w:r>
      <w:r w:rsidRPr="009B6D19">
        <w:rPr>
          <w:rFonts w:ascii="Garamond" w:hAnsi="Garamond"/>
          <w:lang w:eastAsia="fr-FR"/>
        </w:rPr>
        <w:t xml:space="preserve"> plein droit d’exiger des comptes à ses dirigeants </w:t>
      </w:r>
      <w:r>
        <w:rPr>
          <w:rFonts w:ascii="Garamond" w:hAnsi="Garamond"/>
          <w:lang w:eastAsia="fr-FR"/>
        </w:rPr>
        <w:t xml:space="preserve">(Article 15 de la Déclaration Universelle des Droits de l’homme). </w:t>
      </w:r>
      <w:r w:rsidR="00411CB0">
        <w:rPr>
          <w:rFonts w:ascii="Garamond" w:hAnsi="Garamond"/>
          <w:lang w:eastAsia="fr-FR"/>
        </w:rPr>
        <w:t xml:space="preserve">Dans le cadre de la </w:t>
      </w:r>
      <w:r w:rsidR="00411CB0">
        <w:rPr>
          <w:rFonts w:ascii="Garamond" w:hAnsi="Garamond"/>
          <w:lang w:eastAsia="fr-FR"/>
        </w:rPr>
        <w:lastRenderedPageBreak/>
        <w:t>gestion des finances publiques, d</w:t>
      </w:r>
      <w:r w:rsidRPr="009B6D19">
        <w:rPr>
          <w:rFonts w:ascii="Garamond" w:hAnsi="Garamond"/>
          <w:lang w:eastAsia="fr-FR"/>
        </w:rPr>
        <w:t>éroger à ce principe revient à marche</w:t>
      </w:r>
      <w:r w:rsidR="00A15127">
        <w:rPr>
          <w:rFonts w:ascii="Garamond" w:hAnsi="Garamond"/>
          <w:lang w:eastAsia="fr-FR"/>
        </w:rPr>
        <w:t>r sur le</w:t>
      </w:r>
      <w:r>
        <w:rPr>
          <w:rFonts w:ascii="Garamond" w:hAnsi="Garamond"/>
          <w:lang w:eastAsia="fr-FR"/>
        </w:rPr>
        <w:t xml:space="preserve">s droits </w:t>
      </w:r>
      <w:r w:rsidR="00A15127">
        <w:rPr>
          <w:rFonts w:ascii="Garamond" w:hAnsi="Garamond"/>
          <w:lang w:eastAsia="fr-FR"/>
        </w:rPr>
        <w:t>des citoyens d’autant plus que</w:t>
      </w:r>
      <w:r>
        <w:rPr>
          <w:rFonts w:ascii="Garamond" w:hAnsi="Garamond"/>
          <w:lang w:eastAsia="fr-FR"/>
        </w:rPr>
        <w:t xml:space="preserve"> der</w:t>
      </w:r>
      <w:r w:rsidRPr="009B6D19">
        <w:rPr>
          <w:rFonts w:ascii="Garamond" w:hAnsi="Garamond"/>
          <w:lang w:eastAsia="fr-FR"/>
        </w:rPr>
        <w:t>rière le Budget, se cachent non seulement</w:t>
      </w:r>
      <w:r w:rsidR="005B63E2">
        <w:rPr>
          <w:rFonts w:ascii="Garamond" w:hAnsi="Garamond"/>
          <w:lang w:eastAsia="fr-FR"/>
        </w:rPr>
        <w:t xml:space="preserve"> </w:t>
      </w:r>
      <w:r w:rsidRPr="009B6D19">
        <w:rPr>
          <w:rFonts w:ascii="Garamond" w:hAnsi="Garamond"/>
          <w:lang w:eastAsia="fr-FR"/>
        </w:rPr>
        <w:t xml:space="preserve">les droits de l’homme mais également les objectifs socio-économiques assortis d’indicateurs de performance (Norton &amp; </w:t>
      </w:r>
      <w:proofErr w:type="spellStart"/>
      <w:r w:rsidRPr="009B6D19">
        <w:rPr>
          <w:rFonts w:ascii="Garamond" w:hAnsi="Garamond"/>
          <w:lang w:eastAsia="fr-FR"/>
        </w:rPr>
        <w:t>Elson</w:t>
      </w:r>
      <w:proofErr w:type="spellEnd"/>
      <w:r w:rsidRPr="009B6D19">
        <w:rPr>
          <w:rFonts w:ascii="Garamond" w:hAnsi="Garamond"/>
          <w:lang w:eastAsia="fr-FR"/>
        </w:rPr>
        <w:t xml:space="preserve">, 2002). </w:t>
      </w:r>
    </w:p>
    <w:p w14:paraId="1F8E5C68" w14:textId="1559B1B4" w:rsidR="00804868" w:rsidRPr="009B6D19" w:rsidRDefault="00804868" w:rsidP="00804868">
      <w:pPr>
        <w:rPr>
          <w:rFonts w:ascii="Garamond" w:hAnsi="Garamond"/>
        </w:rPr>
      </w:pPr>
      <w:r w:rsidRPr="009B6D19">
        <w:rPr>
          <w:rFonts w:ascii="Garamond" w:hAnsi="Garamond"/>
          <w:lang w:eastAsia="fr-FR"/>
        </w:rPr>
        <w:t>Cette reddition des comptes découle en finances publiques, du principe sacrosaint de « concomitance » selon lequel les finances publiques suivent les fonctions d’une part, et l’autorité qui décide doit également garantir le financement</w:t>
      </w:r>
      <w:r w:rsidRPr="009B6D19">
        <w:rPr>
          <w:rFonts w:ascii="Garamond" w:hAnsi="Garamond"/>
        </w:rPr>
        <w:t xml:space="preserve"> </w:t>
      </w:r>
      <w:r w:rsidRPr="009B6D19">
        <w:rPr>
          <w:rFonts w:ascii="Garamond" w:hAnsi="Garamond"/>
          <w:lang w:eastAsia="fr-FR"/>
        </w:rPr>
        <w:t xml:space="preserve">d’autre part </w:t>
      </w:r>
      <w:r w:rsidRPr="009B6D19">
        <w:rPr>
          <w:rFonts w:ascii="Garamond" w:hAnsi="Garamond"/>
        </w:rPr>
        <w:t>(</w:t>
      </w:r>
      <w:proofErr w:type="spellStart"/>
      <w:r w:rsidRPr="009B6D19">
        <w:rPr>
          <w:rFonts w:ascii="Garamond" w:hAnsi="Garamond"/>
        </w:rPr>
        <w:t>Dafflon</w:t>
      </w:r>
      <w:proofErr w:type="spellEnd"/>
      <w:r w:rsidRPr="009B6D19">
        <w:rPr>
          <w:rFonts w:ascii="Garamond" w:hAnsi="Garamond"/>
        </w:rPr>
        <w:t>, 2011 :42-43). Selon, ce chercheur, une gestion des finances publiques ne se limite pas uniquement à collecter des impôts mais bien plus, se prolonge vers l’intelligence mise en place pour garantir les meilleurs choix politiques que le gestionnaire sera capable d’assumer. Cette capacité à s’assumer n’est donc possible que si l’on dispose d’une véritable souveraineté décisionnelle en matière budgétaire. Etant donné que</w:t>
      </w:r>
      <w:r w:rsidR="00487688">
        <w:rPr>
          <w:rFonts w:ascii="Garamond" w:hAnsi="Garamond"/>
        </w:rPr>
        <w:t xml:space="preserve"> dans le cadre de la gouvernance démocratique</w:t>
      </w:r>
      <w:r w:rsidR="001E10B0">
        <w:rPr>
          <w:rFonts w:ascii="Garamond" w:hAnsi="Garamond"/>
        </w:rPr>
        <w:t>,</w:t>
      </w:r>
      <w:r w:rsidRPr="009B6D19">
        <w:rPr>
          <w:rFonts w:ascii="Garamond" w:hAnsi="Garamond"/>
        </w:rPr>
        <w:t xml:space="preserve"> cette souveraineté décisionnelle en matière budgétaire revient au peuple</w:t>
      </w:r>
      <w:r w:rsidR="00487688">
        <w:rPr>
          <w:rFonts w:ascii="Garamond" w:hAnsi="Garamond"/>
        </w:rPr>
        <w:t>-contribuable</w:t>
      </w:r>
      <w:r w:rsidRPr="009B6D19">
        <w:rPr>
          <w:rFonts w:ascii="Garamond" w:hAnsi="Garamond"/>
        </w:rPr>
        <w:t xml:space="preserve"> qui la délègue à l’organe délibérant, ce d</w:t>
      </w:r>
      <w:r w:rsidR="001E10B0">
        <w:rPr>
          <w:rFonts w:ascii="Garamond" w:hAnsi="Garamond"/>
        </w:rPr>
        <w:t xml:space="preserve">ernier </w:t>
      </w:r>
      <w:r w:rsidRPr="009B6D19">
        <w:rPr>
          <w:rFonts w:ascii="Garamond" w:hAnsi="Garamond"/>
        </w:rPr>
        <w:t>vote le Budget destiné à financer le plan de développement local. Par cet acte législatif, l’exécutif est responsabilisé et est tenu de rendre compte. Il rend compte à la fois de sa performance sur le plan de la mobilisation des ressources publiques que de l’affectation de</w:t>
      </w:r>
      <w:r w:rsidR="002A218E">
        <w:rPr>
          <w:rFonts w:ascii="Garamond" w:hAnsi="Garamond"/>
        </w:rPr>
        <w:t xml:space="preserve"> ces</w:t>
      </w:r>
      <w:r w:rsidRPr="009B6D19">
        <w:rPr>
          <w:rFonts w:ascii="Garamond" w:hAnsi="Garamond"/>
        </w:rPr>
        <w:t xml:space="preserve"> ressources aux dépenses. </w:t>
      </w:r>
    </w:p>
    <w:p w14:paraId="337BC3CB" w14:textId="2CC9C187" w:rsidR="00804868" w:rsidRPr="009B6D19" w:rsidRDefault="00804868" w:rsidP="00804868">
      <w:pPr>
        <w:rPr>
          <w:rFonts w:ascii="Garamond" w:hAnsi="Garamond"/>
        </w:rPr>
      </w:pPr>
      <w:r w:rsidRPr="009B6D19">
        <w:rPr>
          <w:rFonts w:ascii="Garamond" w:hAnsi="Garamond"/>
        </w:rPr>
        <w:t xml:space="preserve">Tous ces faits sus-évoqués démontrent à suffisance que plusieurs préalables doivent être réunis pour qu’une instance de prise de décision soit capable de bien rendre compte. En plus, rendre des comptes suppose l’existence des acteurs engagés à demander des comptes et qui y veillent constamment (Lemieux, 2001 ; </w:t>
      </w:r>
      <w:proofErr w:type="spellStart"/>
      <w:r w:rsidRPr="009B6D19">
        <w:rPr>
          <w:rFonts w:ascii="Garamond" w:hAnsi="Garamond"/>
        </w:rPr>
        <w:t>Dafflon</w:t>
      </w:r>
      <w:proofErr w:type="spellEnd"/>
      <w:r w:rsidRPr="009B6D19">
        <w:rPr>
          <w:rFonts w:ascii="Garamond" w:hAnsi="Garamond"/>
        </w:rPr>
        <w:t xml:space="preserve">, 2011). Pour que ces derniers soient à mesure d’exiger des comptes, ils doivent participer activement et disposer de toutes les informations sur les assignations gouvernementales des recettes à mobiliser et sur le profil des dépenses </w:t>
      </w:r>
      <w:r w:rsidR="00E569E1">
        <w:rPr>
          <w:rFonts w:ascii="Garamond" w:hAnsi="Garamond"/>
        </w:rPr>
        <w:t xml:space="preserve">à exécuter </w:t>
      </w:r>
      <w:r w:rsidRPr="009B6D19">
        <w:rPr>
          <w:rFonts w:ascii="Garamond" w:hAnsi="Garamond"/>
        </w:rPr>
        <w:t xml:space="preserve">ainsi que sur les dettes à contracter. C’est à ce stade que les consultations pré-budgétaires restent incontournables comme cadre de priorisation, d’appropriation, de participation et de </w:t>
      </w:r>
      <w:proofErr w:type="spellStart"/>
      <w:r w:rsidRPr="009B6D19">
        <w:rPr>
          <w:rFonts w:ascii="Garamond" w:hAnsi="Garamond"/>
        </w:rPr>
        <w:t>co</w:t>
      </w:r>
      <w:proofErr w:type="spellEnd"/>
      <w:r w:rsidRPr="009B6D19">
        <w:rPr>
          <w:rFonts w:ascii="Garamond" w:hAnsi="Garamond"/>
        </w:rPr>
        <w:t xml:space="preserve">-responsabilisation budgétaires (Tellier, 2015). </w:t>
      </w:r>
    </w:p>
    <w:p w14:paraId="2E131D90" w14:textId="052E2868" w:rsidR="00804868" w:rsidRPr="009B6D19" w:rsidRDefault="00B72A65" w:rsidP="00804868">
      <w:pPr>
        <w:rPr>
          <w:rFonts w:ascii="Garamond" w:hAnsi="Garamond"/>
          <w:lang w:eastAsia="fr-FR"/>
        </w:rPr>
      </w:pPr>
      <w:r>
        <w:rPr>
          <w:rFonts w:ascii="Garamond" w:hAnsi="Garamond"/>
          <w:lang w:eastAsia="fr-FR"/>
        </w:rPr>
        <w:t xml:space="preserve">Enfin, </w:t>
      </w:r>
      <w:proofErr w:type="spellStart"/>
      <w:r>
        <w:rPr>
          <w:rFonts w:ascii="Garamond" w:hAnsi="Garamond"/>
          <w:lang w:eastAsia="fr-FR"/>
        </w:rPr>
        <w:t>Devas</w:t>
      </w:r>
      <w:proofErr w:type="spellEnd"/>
      <w:r>
        <w:rPr>
          <w:rFonts w:ascii="Garamond" w:hAnsi="Garamond"/>
          <w:lang w:eastAsia="fr-FR"/>
        </w:rPr>
        <w:t xml:space="preserve"> &amp; Grant (2003</w:t>
      </w:r>
      <w:r w:rsidR="00804868" w:rsidRPr="009B6D19">
        <w:rPr>
          <w:rFonts w:ascii="Garamond" w:hAnsi="Garamond"/>
          <w:lang w:eastAsia="fr-FR"/>
        </w:rPr>
        <w:t xml:space="preserve">) relèvent trois formes ou aspects de redevabilités assorties d’acteurs soumis à l’obligation redditionnelle. Il s’agit de la redevabilité horizontale, de la redevabilité descendante et de la responsabilité ascendante. La redevabilité horizontale est cette obligation qui incombe au bureaucrate, mieux à tout fonctionnaire, de donner des comptes à la hiérarchie (à la tutelle). La redevabilité descendante est cette obligation des élus de rendre des comptes à leurs électeurs pour qu’ils leur témoignent </w:t>
      </w:r>
      <w:r w:rsidR="002A218E">
        <w:rPr>
          <w:rFonts w:ascii="Garamond" w:hAnsi="Garamond"/>
          <w:lang w:eastAsia="fr-FR"/>
        </w:rPr>
        <w:t>la</w:t>
      </w:r>
      <w:r w:rsidR="00804868" w:rsidRPr="009B6D19">
        <w:rPr>
          <w:rFonts w:ascii="Garamond" w:hAnsi="Garamond"/>
          <w:lang w:eastAsia="fr-FR"/>
        </w:rPr>
        <w:t xml:space="preserve"> confiance. Enfin,  la redevabilité ascendante désigne cette obligation redditionnelle des collectivités locales  vis-à-vis du Gouvernement central. </w:t>
      </w:r>
    </w:p>
    <w:p w14:paraId="2E61D67C" w14:textId="77777777" w:rsidR="00804868" w:rsidRPr="009B6D19" w:rsidRDefault="00804868" w:rsidP="00804868">
      <w:pPr>
        <w:pStyle w:val="Heading2"/>
        <w:numPr>
          <w:ilvl w:val="1"/>
          <w:numId w:val="14"/>
        </w:numPr>
        <w:rPr>
          <w:rFonts w:ascii="Garamond" w:hAnsi="Garamond"/>
          <w:szCs w:val="24"/>
        </w:rPr>
      </w:pPr>
      <w:bookmarkStart w:id="20" w:name="_Toc125594160"/>
      <w:bookmarkStart w:id="21" w:name="_Toc143577453"/>
      <w:r w:rsidRPr="009B6D19">
        <w:rPr>
          <w:rFonts w:ascii="Garamond" w:hAnsi="Garamond"/>
          <w:szCs w:val="24"/>
        </w:rPr>
        <w:lastRenderedPageBreak/>
        <w:t>Néo-institutionnalisme historique (NIH)</w:t>
      </w:r>
      <w:bookmarkEnd w:id="20"/>
      <w:bookmarkEnd w:id="21"/>
    </w:p>
    <w:p w14:paraId="1889317C" w14:textId="0C2E41BE" w:rsidR="00D339A9" w:rsidRDefault="00804868" w:rsidP="00804868">
      <w:pPr>
        <w:rPr>
          <w:rFonts w:ascii="Garamond" w:hAnsi="Garamond"/>
        </w:rPr>
      </w:pPr>
      <w:r w:rsidRPr="009B6D19">
        <w:rPr>
          <w:rFonts w:ascii="Garamond" w:hAnsi="Garamond"/>
        </w:rPr>
        <w:t>Le NIH est l’une des quatre approches néo-institutionnelles (historique, des choix rationnels, sociologique et discursive) qui  furent leur apparition vers les années 1980 aux Etats Unis</w:t>
      </w:r>
      <w:r w:rsidR="00D339A9">
        <w:rPr>
          <w:rFonts w:ascii="Garamond" w:hAnsi="Garamond"/>
        </w:rPr>
        <w:t>. Sur le plan empirique, le NIH cherche</w:t>
      </w:r>
      <w:r w:rsidRPr="009B6D19">
        <w:rPr>
          <w:rFonts w:ascii="Garamond" w:hAnsi="Garamond"/>
        </w:rPr>
        <w:t xml:space="preserve"> à analyser l’origine, le déploiement</w:t>
      </w:r>
      <w:r w:rsidR="00D339A9">
        <w:rPr>
          <w:rFonts w:ascii="Garamond" w:hAnsi="Garamond"/>
        </w:rPr>
        <w:t>, la transformation</w:t>
      </w:r>
      <w:r w:rsidRPr="009B6D19">
        <w:rPr>
          <w:rFonts w:ascii="Garamond" w:hAnsi="Garamond"/>
        </w:rPr>
        <w:t xml:space="preserve"> et le déclin des institutions </w:t>
      </w:r>
      <w:r w:rsidR="00A2020F" w:rsidRPr="009B6D19">
        <w:rPr>
          <w:rFonts w:ascii="Garamond" w:hAnsi="Garamond"/>
        </w:rPr>
        <w:t>(</w:t>
      </w:r>
      <w:proofErr w:type="spellStart"/>
      <w:r w:rsidR="00A2020F" w:rsidRPr="009B6D19">
        <w:rPr>
          <w:rFonts w:ascii="Garamond" w:hAnsi="Garamond"/>
        </w:rPr>
        <w:t>Gazibo</w:t>
      </w:r>
      <w:proofErr w:type="spellEnd"/>
      <w:r w:rsidR="00A2020F" w:rsidRPr="009B6D19">
        <w:rPr>
          <w:rFonts w:ascii="Garamond" w:hAnsi="Garamond"/>
        </w:rPr>
        <w:t xml:space="preserve">, 2002 ; </w:t>
      </w:r>
      <w:proofErr w:type="spellStart"/>
      <w:r w:rsidR="00A2020F" w:rsidRPr="009B6D19">
        <w:rPr>
          <w:rFonts w:ascii="Garamond" w:hAnsi="Garamond"/>
        </w:rPr>
        <w:t>Ogbazghi</w:t>
      </w:r>
      <w:proofErr w:type="spellEnd"/>
      <w:r w:rsidR="00A2020F" w:rsidRPr="009B6D19">
        <w:rPr>
          <w:rFonts w:ascii="Garamond" w:hAnsi="Garamond"/>
        </w:rPr>
        <w:t>, 2022</w:t>
      </w:r>
      <w:r w:rsidR="00A2020F">
        <w:rPr>
          <w:rFonts w:ascii="Garamond" w:hAnsi="Garamond"/>
        </w:rPr>
        <w:t xml:space="preserve"> ; </w:t>
      </w:r>
      <w:proofErr w:type="spellStart"/>
      <w:r w:rsidR="00A2020F" w:rsidRPr="00A2020F">
        <w:rPr>
          <w:rFonts w:ascii="Garamond" w:hAnsi="Garamond"/>
        </w:rPr>
        <w:t>Fioretos</w:t>
      </w:r>
      <w:proofErr w:type="spellEnd"/>
      <w:r w:rsidR="00D339A9">
        <w:rPr>
          <w:rFonts w:ascii="Garamond" w:hAnsi="Garamond"/>
        </w:rPr>
        <w:t xml:space="preserve"> &amp; al</w:t>
      </w:r>
      <w:r w:rsidR="00A2020F" w:rsidRPr="00A2020F">
        <w:rPr>
          <w:rFonts w:ascii="Garamond" w:hAnsi="Garamond"/>
        </w:rPr>
        <w:t>,</w:t>
      </w:r>
      <w:r w:rsidR="00A2020F">
        <w:rPr>
          <w:rFonts w:ascii="SourceSansPro-Regular" w:hAnsi="SourceSansPro-Regular" w:cs="SourceSansPro-Regular"/>
          <w:color w:val="2A2A2A"/>
          <w:sz w:val="20"/>
          <w:szCs w:val="20"/>
        </w:rPr>
        <w:t xml:space="preserve"> </w:t>
      </w:r>
      <w:r w:rsidR="00A2020F" w:rsidRPr="00A2020F">
        <w:rPr>
          <w:rFonts w:ascii="Garamond" w:hAnsi="Garamond"/>
        </w:rPr>
        <w:t>2016</w:t>
      </w:r>
      <w:r w:rsidR="00837E75">
        <w:rPr>
          <w:rFonts w:ascii="Garamond" w:hAnsi="Garamond"/>
        </w:rPr>
        <w:t xml:space="preserve">, </w:t>
      </w:r>
      <w:hyperlink r:id="rId9" w:history="1">
        <w:proofErr w:type="spellStart"/>
        <w:r w:rsidR="00837E75" w:rsidRPr="009B6D19">
          <w:rPr>
            <w:rFonts w:ascii="Garamond" w:hAnsi="Garamond"/>
          </w:rPr>
          <w:t>Billaudot</w:t>
        </w:r>
        <w:proofErr w:type="spellEnd"/>
      </w:hyperlink>
      <w:r w:rsidR="00837E75">
        <w:rPr>
          <w:rFonts w:ascii="Garamond" w:hAnsi="Garamond"/>
        </w:rPr>
        <w:t xml:space="preserve">, </w:t>
      </w:r>
      <w:r w:rsidR="00837E75" w:rsidRPr="009B6D19">
        <w:rPr>
          <w:rFonts w:ascii="Garamond" w:hAnsi="Garamond"/>
        </w:rPr>
        <w:t>2009)</w:t>
      </w:r>
      <w:r w:rsidR="00A2020F" w:rsidRPr="009B6D19">
        <w:rPr>
          <w:rFonts w:ascii="Garamond" w:hAnsi="Garamond"/>
        </w:rPr>
        <w:t xml:space="preserve">) </w:t>
      </w:r>
      <w:r w:rsidR="00D339A9">
        <w:rPr>
          <w:rFonts w:ascii="Garamond" w:hAnsi="Garamond"/>
        </w:rPr>
        <w:t xml:space="preserve">qui assurent la gestion des affaires politiques et économiques. Il cherche également à comprendre le </w:t>
      </w:r>
      <w:r w:rsidRPr="009B6D19">
        <w:rPr>
          <w:rFonts w:ascii="Garamond" w:hAnsi="Garamond"/>
        </w:rPr>
        <w:t xml:space="preserve">rôle </w:t>
      </w:r>
      <w:r w:rsidR="00D339A9">
        <w:rPr>
          <w:rFonts w:ascii="Garamond" w:hAnsi="Garamond"/>
        </w:rPr>
        <w:t xml:space="preserve">de ces institutions mises en place dans une région et à un moment bien déterminé dans </w:t>
      </w:r>
      <w:r w:rsidRPr="009B6D19">
        <w:rPr>
          <w:rFonts w:ascii="Garamond" w:hAnsi="Garamond"/>
        </w:rPr>
        <w:t>la « </w:t>
      </w:r>
      <w:r w:rsidRPr="009B6D19">
        <w:rPr>
          <w:rFonts w:ascii="Garamond" w:hAnsi="Garamond"/>
          <w:i/>
        </w:rPr>
        <w:t>détermination des résultats sociaux et politiques </w:t>
      </w:r>
      <w:r w:rsidRPr="009B6D19">
        <w:rPr>
          <w:rFonts w:ascii="Garamond" w:hAnsi="Garamond"/>
        </w:rPr>
        <w:t xml:space="preserve">» (Payre &amp; </w:t>
      </w:r>
      <w:proofErr w:type="spellStart"/>
      <w:r w:rsidRPr="009B6D19">
        <w:rPr>
          <w:rFonts w:ascii="Garamond" w:hAnsi="Garamond"/>
        </w:rPr>
        <w:t>Guiral</w:t>
      </w:r>
      <w:proofErr w:type="spellEnd"/>
      <w:r w:rsidRPr="009B6D19">
        <w:rPr>
          <w:rFonts w:ascii="Garamond" w:hAnsi="Garamond"/>
        </w:rPr>
        <w:t>-Treuil, 2018 : 43). Ces résultats sont considérés comme étant déterminés notamment par les conceptions de classe, les philosophies publiques, les facteurs historiques, la préférence des élites et du public et leur interaction avec les structures institutionnelles (</w:t>
      </w:r>
      <w:proofErr w:type="spellStart"/>
      <w:r w:rsidRPr="009B6D19">
        <w:rPr>
          <w:rFonts w:ascii="Garamond" w:hAnsi="Garamond"/>
        </w:rPr>
        <w:t>Thelen</w:t>
      </w:r>
      <w:proofErr w:type="spellEnd"/>
      <w:r w:rsidRPr="009B6D19">
        <w:rPr>
          <w:rFonts w:ascii="Garamond" w:hAnsi="Garamond"/>
        </w:rPr>
        <w:t xml:space="preserve">, 1999). </w:t>
      </w:r>
    </w:p>
    <w:p w14:paraId="6E40884D" w14:textId="75870DE5" w:rsidR="00D339A9" w:rsidRDefault="00804868" w:rsidP="00D339A9">
      <w:pPr>
        <w:rPr>
          <w:rFonts w:ascii="Garamond" w:hAnsi="Garamond"/>
        </w:rPr>
      </w:pPr>
      <w:r w:rsidRPr="009B6D19">
        <w:rPr>
          <w:rFonts w:ascii="Garamond" w:hAnsi="Garamond"/>
        </w:rPr>
        <w:t xml:space="preserve">Par ailleurs, cette approche se prête mieux aux analyses sur </w:t>
      </w:r>
      <w:r>
        <w:rPr>
          <w:rFonts w:ascii="Garamond" w:hAnsi="Garamond"/>
        </w:rPr>
        <w:t xml:space="preserve">les </w:t>
      </w:r>
      <w:r w:rsidRPr="009B6D19">
        <w:rPr>
          <w:rFonts w:ascii="Garamond" w:hAnsi="Garamond"/>
        </w:rPr>
        <w:t>politiques publiques, aux études sur la gouvernance multiniveaux, sur les réformes étatiques et sur les chan</w:t>
      </w:r>
      <w:r w:rsidR="00FC5099">
        <w:rPr>
          <w:rFonts w:ascii="Garamond" w:hAnsi="Garamond"/>
        </w:rPr>
        <w:t>gements de régime (Lecours, 2002</w:t>
      </w:r>
      <w:r w:rsidRPr="009B6D19">
        <w:rPr>
          <w:rFonts w:ascii="Garamond" w:hAnsi="Garamond"/>
        </w:rPr>
        <w:t xml:space="preserve">). </w:t>
      </w:r>
      <w:r w:rsidR="00D339A9">
        <w:rPr>
          <w:rFonts w:ascii="Garamond" w:hAnsi="Garamond"/>
        </w:rPr>
        <w:t>Par contre, au-delà de l’origine et de la transformation des institutions, les récentes études sur le NIH se focalisent plus sur une série des problématiques récentes et actuelles notamment « l’origine des Etats ; les révolutions, les guerres et leurs conséquences ; la persistance des crises économiques et des inégalités sociales</w:t>
      </w:r>
      <w:r w:rsidR="00390AB7">
        <w:rPr>
          <w:rFonts w:ascii="Garamond" w:hAnsi="Garamond"/>
        </w:rPr>
        <w:t> » (</w:t>
      </w:r>
      <w:proofErr w:type="spellStart"/>
      <w:r w:rsidR="00390AB7" w:rsidRPr="00A2020F">
        <w:rPr>
          <w:rFonts w:ascii="Garamond" w:hAnsi="Garamond"/>
        </w:rPr>
        <w:t>Fioretos</w:t>
      </w:r>
      <w:proofErr w:type="spellEnd"/>
      <w:r w:rsidR="00390AB7">
        <w:rPr>
          <w:rFonts w:ascii="Garamond" w:hAnsi="Garamond"/>
        </w:rPr>
        <w:t xml:space="preserve"> &amp; al</w:t>
      </w:r>
      <w:r w:rsidR="00390AB7" w:rsidRPr="00A2020F">
        <w:rPr>
          <w:rFonts w:ascii="Garamond" w:hAnsi="Garamond"/>
        </w:rPr>
        <w:t>,</w:t>
      </w:r>
      <w:r w:rsidR="00390AB7">
        <w:rPr>
          <w:rFonts w:ascii="SourceSansPro-Regular" w:hAnsi="SourceSansPro-Regular" w:cs="SourceSansPro-Regular"/>
          <w:color w:val="2A2A2A"/>
          <w:sz w:val="20"/>
          <w:szCs w:val="20"/>
        </w:rPr>
        <w:t xml:space="preserve"> </w:t>
      </w:r>
      <w:r w:rsidR="00390AB7" w:rsidRPr="00A2020F">
        <w:rPr>
          <w:rFonts w:ascii="Garamond" w:hAnsi="Garamond"/>
        </w:rPr>
        <w:t>2016</w:t>
      </w:r>
      <w:r w:rsidR="00390AB7">
        <w:rPr>
          <w:rFonts w:ascii="Garamond" w:hAnsi="Garamond"/>
        </w:rPr>
        <w:t> :4). C’est dans cette perspective que cette approche a été mobilisée pour analyser la problématique de la responsabilité financière et de la reddition des comptes dans le contexte de la décentralisation en RDC.</w:t>
      </w:r>
      <w:r w:rsidR="00677F61">
        <w:rPr>
          <w:rFonts w:ascii="Garamond" w:hAnsi="Garamond"/>
        </w:rPr>
        <w:t xml:space="preserve"> Il permet à cet effet de comprendre comment les séquences temporelles ont </w:t>
      </w:r>
      <w:r w:rsidR="00AB252E">
        <w:rPr>
          <w:rFonts w:ascii="Garamond" w:hAnsi="Garamond"/>
        </w:rPr>
        <w:t>façonné</w:t>
      </w:r>
      <w:r w:rsidR="00677F61">
        <w:rPr>
          <w:rFonts w:ascii="Garamond" w:hAnsi="Garamond"/>
        </w:rPr>
        <w:t xml:space="preserve"> la conduite de la politique de décentralisation et </w:t>
      </w:r>
      <w:r w:rsidR="00AB252E">
        <w:rPr>
          <w:rFonts w:ascii="Garamond" w:hAnsi="Garamond"/>
        </w:rPr>
        <w:t>la distribution des responsabilités ainsi que la reddition des comptes.</w:t>
      </w:r>
    </w:p>
    <w:p w14:paraId="6D640D2A" w14:textId="02810AC0" w:rsidR="00804868" w:rsidRPr="009B6D19" w:rsidRDefault="00804868" w:rsidP="00804868">
      <w:pPr>
        <w:rPr>
          <w:rFonts w:ascii="Garamond" w:hAnsi="Garamond"/>
        </w:rPr>
      </w:pPr>
      <w:r w:rsidRPr="009B6D19">
        <w:rPr>
          <w:rFonts w:ascii="Garamond" w:hAnsi="Garamond"/>
        </w:rPr>
        <w:t xml:space="preserve">Selon </w:t>
      </w:r>
      <w:r w:rsidR="00AB252E">
        <w:rPr>
          <w:rFonts w:ascii="Garamond" w:hAnsi="Garamond"/>
        </w:rPr>
        <w:t>le néo-institutionnalisme historique</w:t>
      </w:r>
      <w:r>
        <w:rPr>
          <w:rFonts w:ascii="Garamond" w:hAnsi="Garamond"/>
        </w:rPr>
        <w:t xml:space="preserve">, les institutions sont en même temps des </w:t>
      </w:r>
      <w:r w:rsidRPr="009B6D19">
        <w:rPr>
          <w:rFonts w:ascii="Garamond" w:hAnsi="Garamond"/>
        </w:rPr>
        <w:t>organisations formelles et des règles et procédures informelles qui tracent la c</w:t>
      </w:r>
      <w:r w:rsidR="00FC5099">
        <w:rPr>
          <w:rFonts w:ascii="Garamond" w:hAnsi="Garamond"/>
        </w:rPr>
        <w:t>onduite à suivre (</w:t>
      </w:r>
      <w:proofErr w:type="spellStart"/>
      <w:r w:rsidR="00FC5099">
        <w:rPr>
          <w:rFonts w:ascii="Garamond" w:hAnsi="Garamond"/>
        </w:rPr>
        <w:t>Thelen</w:t>
      </w:r>
      <w:proofErr w:type="spellEnd"/>
      <w:r w:rsidR="00FC5099">
        <w:rPr>
          <w:rFonts w:ascii="Garamond" w:hAnsi="Garamond"/>
        </w:rPr>
        <w:t>, 1999</w:t>
      </w:r>
      <w:r w:rsidRPr="009B6D19">
        <w:rPr>
          <w:rFonts w:ascii="Garamond" w:hAnsi="Garamond"/>
        </w:rPr>
        <w:t>). Au-delà du caractère formel ou informel des institutions, Peter Hall, l’une de figures de proue du néon-institutionnalisme, ajoute</w:t>
      </w:r>
      <w:r>
        <w:rPr>
          <w:rFonts w:ascii="Garamond" w:hAnsi="Garamond"/>
        </w:rPr>
        <w:t xml:space="preserve"> que ces institutions sont</w:t>
      </w:r>
      <w:r w:rsidRPr="009B6D19">
        <w:rPr>
          <w:rFonts w:ascii="Garamond" w:hAnsi="Garamond"/>
        </w:rPr>
        <w:t xml:space="preserve"> également des « </w:t>
      </w:r>
      <w:r w:rsidRPr="009B6D19">
        <w:rPr>
          <w:rFonts w:ascii="Garamond" w:hAnsi="Garamond"/>
          <w:i/>
        </w:rPr>
        <w:t>pratiques opératoires standards</w:t>
      </w:r>
      <w:r w:rsidRPr="009B6D19">
        <w:rPr>
          <w:rFonts w:ascii="Garamond" w:hAnsi="Garamond"/>
        </w:rPr>
        <w:t> », élargissant ainsi</w:t>
      </w:r>
      <w:r>
        <w:rPr>
          <w:rFonts w:ascii="Garamond" w:hAnsi="Garamond"/>
        </w:rPr>
        <w:t xml:space="preserve"> </w:t>
      </w:r>
      <w:r w:rsidRPr="009B6D19">
        <w:rPr>
          <w:rFonts w:ascii="Garamond" w:hAnsi="Garamond"/>
        </w:rPr>
        <w:t>le champ d’analyse institutionnelle. En effet, si le périmètre des règles formelles qui sont le plus souvent assorties des mécanismes de sanction (lois, règlements, etc.) peut être clairement délimité, il n’en est pas le cas pour celles informelles (les traditions, jurisprudences, consensus, etc.) (Novak, 2017 : 92). Moins encore pour le cas des pratiques opératoires même si elles sont standardisées</w:t>
      </w:r>
      <w:r w:rsidR="00CD52C1">
        <w:rPr>
          <w:rFonts w:ascii="Garamond" w:hAnsi="Garamond"/>
        </w:rPr>
        <w:t>, elles ne sont ni codifiées ni opposables à tous</w:t>
      </w:r>
      <w:r w:rsidRPr="009B6D19">
        <w:rPr>
          <w:rFonts w:ascii="Garamond" w:hAnsi="Garamond"/>
        </w:rPr>
        <w:t>.</w:t>
      </w:r>
      <w:r w:rsidR="00CD52C1">
        <w:rPr>
          <w:rFonts w:ascii="Garamond" w:hAnsi="Garamond"/>
        </w:rPr>
        <w:t xml:space="preserve"> </w:t>
      </w:r>
      <w:r w:rsidRPr="009B6D19">
        <w:rPr>
          <w:rFonts w:ascii="Garamond" w:hAnsi="Garamond"/>
        </w:rPr>
        <w:t>Cette extension et ambiguïté du périmètre institutionnel ont pour conséquence notamment de plébisciter les « méta-choix » (</w:t>
      </w:r>
      <w:proofErr w:type="spellStart"/>
      <w:r w:rsidRPr="009B6D19">
        <w:rPr>
          <w:rFonts w:ascii="Garamond" w:hAnsi="Garamond"/>
        </w:rPr>
        <w:t>Smyrl</w:t>
      </w:r>
      <w:proofErr w:type="spellEnd"/>
      <w:r w:rsidRPr="009B6D19">
        <w:rPr>
          <w:rFonts w:ascii="Garamond" w:hAnsi="Garamond"/>
        </w:rPr>
        <w:t xml:space="preserve">, 2005) d’une part, et de rendre difficile l’encadrement du </w:t>
      </w:r>
      <w:r w:rsidRPr="009B6D19">
        <w:rPr>
          <w:rFonts w:ascii="Garamond" w:hAnsi="Garamond"/>
        </w:rPr>
        <w:lastRenderedPageBreak/>
        <w:t>processus décisionnel d’autre part, laissant libre champ aux acteurs dominants d’imposer leurs propres</w:t>
      </w:r>
      <w:r w:rsidR="00241D30">
        <w:rPr>
          <w:rFonts w:ascii="Garamond" w:hAnsi="Garamond"/>
        </w:rPr>
        <w:t xml:space="preserve"> préférences,</w:t>
      </w:r>
      <w:r w:rsidRPr="009B6D19">
        <w:rPr>
          <w:rFonts w:ascii="Garamond" w:hAnsi="Garamond"/>
        </w:rPr>
        <w:t xml:space="preserve"> idées et pratiques. Pourtant, ces méta-choix</w:t>
      </w:r>
      <w:r w:rsidR="005314BA">
        <w:rPr>
          <w:rFonts w:ascii="Garamond" w:hAnsi="Garamond"/>
        </w:rPr>
        <w:t xml:space="preserve"> qui </w:t>
      </w:r>
      <w:r w:rsidR="006909F0">
        <w:rPr>
          <w:rFonts w:ascii="Garamond" w:hAnsi="Garamond"/>
        </w:rPr>
        <w:t>sont la conséquence d’une ambiguïté des règles formelles, influencent considérablement</w:t>
      </w:r>
      <w:r w:rsidR="005314BA">
        <w:rPr>
          <w:rFonts w:ascii="Garamond" w:hAnsi="Garamond"/>
        </w:rPr>
        <w:t xml:space="preserve"> les résultats de politiques publiques mises en </w:t>
      </w:r>
      <w:r w:rsidR="006909F0">
        <w:rPr>
          <w:rFonts w:ascii="Garamond" w:hAnsi="Garamond"/>
        </w:rPr>
        <w:t xml:space="preserve">œuvre. Ils </w:t>
      </w:r>
      <w:r w:rsidRPr="009B6D19">
        <w:rPr>
          <w:rFonts w:ascii="Garamond" w:hAnsi="Garamond"/>
        </w:rPr>
        <w:t xml:space="preserve">constituent </w:t>
      </w:r>
      <w:r w:rsidR="006909F0">
        <w:rPr>
          <w:rFonts w:ascii="Garamond" w:hAnsi="Garamond"/>
        </w:rPr>
        <w:t xml:space="preserve">à cet effet, </w:t>
      </w:r>
      <w:r w:rsidRPr="009B6D19">
        <w:rPr>
          <w:rFonts w:ascii="Garamond" w:hAnsi="Garamond"/>
        </w:rPr>
        <w:t>des points de bifurcation dans une chaine de dépendance au sentier</w:t>
      </w:r>
      <w:r w:rsidR="005314BA">
        <w:rPr>
          <w:rFonts w:ascii="Garamond" w:hAnsi="Garamond"/>
        </w:rPr>
        <w:t xml:space="preserve"> par le fait qu’ils </w:t>
      </w:r>
      <w:r w:rsidR="006909F0">
        <w:rPr>
          <w:rFonts w:ascii="Garamond" w:hAnsi="Garamond"/>
        </w:rPr>
        <w:t xml:space="preserve">profitent de cette ambigüité pour </w:t>
      </w:r>
      <w:r w:rsidR="005314BA">
        <w:rPr>
          <w:rFonts w:ascii="Garamond" w:hAnsi="Garamond"/>
        </w:rPr>
        <w:t>s’érige</w:t>
      </w:r>
      <w:r w:rsidR="006909F0">
        <w:rPr>
          <w:rFonts w:ascii="Garamond" w:hAnsi="Garamond"/>
        </w:rPr>
        <w:t>r</w:t>
      </w:r>
      <w:r w:rsidR="005314BA">
        <w:rPr>
          <w:rFonts w:ascii="Garamond" w:hAnsi="Garamond"/>
        </w:rPr>
        <w:t xml:space="preserve"> en cadre d’interprétation ou en référentiels</w:t>
      </w:r>
      <w:r w:rsidRPr="009B6D19">
        <w:rPr>
          <w:rFonts w:ascii="Garamond" w:hAnsi="Garamond"/>
        </w:rPr>
        <w:t xml:space="preserve">. </w:t>
      </w:r>
    </w:p>
    <w:p w14:paraId="3259EF08" w14:textId="3B4DE7B0" w:rsidR="00804868" w:rsidRPr="009B6D19" w:rsidRDefault="00804868" w:rsidP="00804868">
      <w:pPr>
        <w:rPr>
          <w:rFonts w:ascii="Garamond" w:hAnsi="Garamond"/>
        </w:rPr>
      </w:pPr>
      <w:r w:rsidRPr="009B6D19">
        <w:rPr>
          <w:rFonts w:ascii="Garamond" w:hAnsi="Garamond"/>
        </w:rPr>
        <w:t>Le NIH constitue à cet effet, un cadre d’analyse permettant d’étudier en profondeur la distribution inégale sur la trajectoire institutionnelle des ressources entre acteurs dominants et les </w:t>
      </w:r>
      <w:proofErr w:type="spellStart"/>
      <w:r w:rsidRPr="009B6D19">
        <w:rPr>
          <w:rFonts w:ascii="Garamond" w:hAnsi="Garamond"/>
          <w:i/>
        </w:rPr>
        <w:t>policy</w:t>
      </w:r>
      <w:proofErr w:type="spellEnd"/>
      <w:r w:rsidRPr="009B6D19">
        <w:rPr>
          <w:rFonts w:ascii="Garamond" w:hAnsi="Garamond"/>
          <w:i/>
        </w:rPr>
        <w:t xml:space="preserve"> outsiders</w:t>
      </w:r>
      <w:r w:rsidR="00CD52C1">
        <w:rPr>
          <w:rFonts w:ascii="Garamond" w:hAnsi="Garamond"/>
          <w:i/>
        </w:rPr>
        <w:t xml:space="preserve"> </w:t>
      </w:r>
      <w:r w:rsidR="00CD52C1">
        <w:rPr>
          <w:rFonts w:ascii="Garamond" w:hAnsi="Garamond"/>
        </w:rPr>
        <w:t>(Dupuy &amp; Halpern, 2009)</w:t>
      </w:r>
      <w:r w:rsidR="00227826">
        <w:rPr>
          <w:rFonts w:ascii="Garamond" w:hAnsi="Garamond"/>
        </w:rPr>
        <w:t xml:space="preserve">. </w:t>
      </w:r>
      <w:r w:rsidRPr="009B6D19">
        <w:rPr>
          <w:rFonts w:ascii="Garamond" w:hAnsi="Garamond"/>
        </w:rPr>
        <w:t xml:space="preserve">Il offre également </w:t>
      </w:r>
      <w:r w:rsidR="006909F0">
        <w:rPr>
          <w:rFonts w:ascii="Garamond" w:hAnsi="Garamond"/>
        </w:rPr>
        <w:t>un cadre</w:t>
      </w:r>
      <w:r w:rsidR="0030337C">
        <w:rPr>
          <w:rFonts w:ascii="Garamond" w:hAnsi="Garamond"/>
        </w:rPr>
        <w:t xml:space="preserve"> d’analyse </w:t>
      </w:r>
      <w:r w:rsidRPr="009B6D19">
        <w:rPr>
          <w:rFonts w:ascii="Garamond" w:hAnsi="Garamond"/>
        </w:rPr>
        <w:t>des institutions</w:t>
      </w:r>
      <w:r>
        <w:rPr>
          <w:rFonts w:ascii="Garamond" w:hAnsi="Garamond"/>
        </w:rPr>
        <w:t xml:space="preserve"> avec un focus sur les </w:t>
      </w:r>
      <w:r w:rsidRPr="009B6D19">
        <w:rPr>
          <w:rFonts w:ascii="Garamond" w:hAnsi="Garamond"/>
        </w:rPr>
        <w:t xml:space="preserve">facteurs entretenus </w:t>
      </w:r>
      <w:r>
        <w:rPr>
          <w:rFonts w:ascii="Garamond" w:hAnsi="Garamond"/>
        </w:rPr>
        <w:t>par des pratiques</w:t>
      </w:r>
      <w:r w:rsidRPr="009B6D19">
        <w:rPr>
          <w:rFonts w:ascii="Garamond" w:hAnsi="Garamond"/>
        </w:rPr>
        <w:t xml:space="preserve"> formelles ou informelles ayant concour</w:t>
      </w:r>
      <w:r>
        <w:rPr>
          <w:rFonts w:ascii="Garamond" w:hAnsi="Garamond"/>
        </w:rPr>
        <w:t>u au montage du de</w:t>
      </w:r>
      <w:r w:rsidRPr="009B6D19">
        <w:rPr>
          <w:rFonts w:ascii="Garamond" w:hAnsi="Garamond"/>
        </w:rPr>
        <w:t>sign institutionnel. Dans cette même perspective, Lecours (2003) avait déjà souligné que le NIH offrait un cadre d’analyse explicitement ouvert contrairement aux études sur la société et les mouvements behaviouristes. Ces derniers se servent des institutions comme cadre équilibré pour la « </w:t>
      </w:r>
      <w:r w:rsidRPr="009B6D19">
        <w:rPr>
          <w:rFonts w:ascii="Garamond" w:hAnsi="Garamond"/>
          <w:i/>
        </w:rPr>
        <w:t>compétition et la coopération politique</w:t>
      </w:r>
      <w:r w:rsidRPr="009B6D19">
        <w:rPr>
          <w:rFonts w:ascii="Garamond" w:hAnsi="Garamond"/>
        </w:rPr>
        <w:t> » (Stone, 1992).</w:t>
      </w:r>
    </w:p>
    <w:p w14:paraId="3F33D99A" w14:textId="5E795827" w:rsidR="00804868" w:rsidRPr="009B6D19" w:rsidRDefault="00804868" w:rsidP="00804868">
      <w:pPr>
        <w:rPr>
          <w:rFonts w:ascii="Garamond" w:hAnsi="Garamond"/>
        </w:rPr>
      </w:pPr>
      <w:r w:rsidRPr="009B6D19">
        <w:rPr>
          <w:rFonts w:ascii="Garamond" w:hAnsi="Garamond"/>
        </w:rPr>
        <w:t>En plus des règles, procédures et pratiques, Béland (2002) souligne que le NIH permet de mettre en adéquation les idées, les intérêts et les institutions tout au long de la trajectoire de transformation institutionnelle. Cela étant dit, l’approche néo-institutionnelle historique a le mérite encore une fois, de creuser dans les idées, les règles et les pratiques formelles ou informelles desquelles une in</w:t>
      </w:r>
      <w:r w:rsidR="0030337C">
        <w:rPr>
          <w:rFonts w:ascii="Garamond" w:hAnsi="Garamond"/>
        </w:rPr>
        <w:t>stitution tire ses racines, offr</w:t>
      </w:r>
      <w:r w:rsidRPr="009B6D19">
        <w:rPr>
          <w:rFonts w:ascii="Garamond" w:hAnsi="Garamond"/>
        </w:rPr>
        <w:t xml:space="preserve">ant ainsi des outils nécessaires à la déconstruction institutionnelle. </w:t>
      </w:r>
    </w:p>
    <w:p w14:paraId="432FBEAA" w14:textId="56AAF6A9" w:rsidR="00804868" w:rsidRPr="009B6D19" w:rsidRDefault="00804868" w:rsidP="00E95B5B">
      <w:pPr>
        <w:rPr>
          <w:rFonts w:ascii="Garamond" w:hAnsi="Garamond"/>
        </w:rPr>
      </w:pPr>
      <w:r w:rsidRPr="009B6D19">
        <w:rPr>
          <w:rFonts w:ascii="Garamond" w:hAnsi="Garamond"/>
        </w:rPr>
        <w:t>Etant donné qu</w:t>
      </w:r>
      <w:r w:rsidR="000C66F1">
        <w:rPr>
          <w:rFonts w:ascii="Garamond" w:hAnsi="Garamond"/>
        </w:rPr>
        <w:t>’à la manière de Bentham,</w:t>
      </w:r>
      <w:r w:rsidRPr="009B6D19">
        <w:rPr>
          <w:rFonts w:ascii="Garamond" w:hAnsi="Garamond"/>
        </w:rPr>
        <w:t xml:space="preserve"> les institutions</w:t>
      </w:r>
      <w:r>
        <w:rPr>
          <w:rFonts w:ascii="Garamond" w:hAnsi="Garamond"/>
        </w:rPr>
        <w:t xml:space="preserve"> </w:t>
      </w:r>
      <w:r w:rsidR="00871CA0">
        <w:rPr>
          <w:rFonts w:ascii="Garamond" w:hAnsi="Garamond"/>
        </w:rPr>
        <w:t>politiques</w:t>
      </w:r>
      <w:r w:rsidRPr="009B6D19">
        <w:rPr>
          <w:rFonts w:ascii="Garamond" w:hAnsi="Garamond"/>
        </w:rPr>
        <w:t xml:space="preserve"> ont une vocation utilitariste</w:t>
      </w:r>
      <w:r w:rsidR="000C66F1">
        <w:rPr>
          <w:rFonts w:ascii="Garamond" w:hAnsi="Garamond"/>
        </w:rPr>
        <w:t xml:space="preserve"> (Cléro, 2011)</w:t>
      </w:r>
      <w:r w:rsidRPr="009B6D19">
        <w:rPr>
          <w:rFonts w:ascii="Garamond" w:hAnsi="Garamond"/>
        </w:rPr>
        <w:t>, c’est-à-dire qu’elles sont destinées</w:t>
      </w:r>
      <w:r w:rsidR="00AB252E">
        <w:rPr>
          <w:rFonts w:ascii="Garamond" w:hAnsi="Garamond"/>
        </w:rPr>
        <w:t xml:space="preserve"> à</w:t>
      </w:r>
      <w:r w:rsidR="00871CA0">
        <w:rPr>
          <w:rFonts w:ascii="Garamond" w:hAnsi="Garamond"/>
        </w:rPr>
        <w:t xml:space="preserve"> l’offre des services publics,</w:t>
      </w:r>
      <w:r w:rsidRPr="009B6D19">
        <w:rPr>
          <w:rFonts w:ascii="Garamond" w:hAnsi="Garamond"/>
        </w:rPr>
        <w:t xml:space="preserve"> </w:t>
      </w:r>
      <w:r w:rsidR="00AB252E">
        <w:rPr>
          <w:rFonts w:ascii="Garamond" w:hAnsi="Garamond"/>
        </w:rPr>
        <w:t>de façon à</w:t>
      </w:r>
      <w:r w:rsidRPr="009B6D19">
        <w:rPr>
          <w:rFonts w:ascii="Garamond" w:hAnsi="Garamond"/>
        </w:rPr>
        <w:t xml:space="preserve"> procurer du bonheur à la satisfaction d’un grand nombre des personnes</w:t>
      </w:r>
      <w:r w:rsidR="003B5346">
        <w:rPr>
          <w:rFonts w:ascii="Garamond" w:hAnsi="Garamond"/>
        </w:rPr>
        <w:t>,</w:t>
      </w:r>
      <w:r w:rsidR="003B5346" w:rsidRPr="003B5346">
        <w:rPr>
          <w:rFonts w:ascii="Garamond" w:hAnsi="Garamond"/>
        </w:rPr>
        <w:t xml:space="preserve"> </w:t>
      </w:r>
      <w:r w:rsidR="003B5346" w:rsidRPr="009B6D19">
        <w:rPr>
          <w:rFonts w:ascii="Garamond" w:hAnsi="Garamond"/>
        </w:rPr>
        <w:t>elles revêtent des grands enjeux.</w:t>
      </w:r>
      <w:r w:rsidR="003B5346">
        <w:rPr>
          <w:rFonts w:ascii="Garamond" w:hAnsi="Garamond"/>
        </w:rPr>
        <w:t xml:space="preserve"> En plus, elles constituent </w:t>
      </w:r>
      <w:r w:rsidR="001B5B83">
        <w:rPr>
          <w:rFonts w:ascii="Garamond" w:hAnsi="Garamond"/>
        </w:rPr>
        <w:t>dans une perspective</w:t>
      </w:r>
      <w:r w:rsidR="001B5B83" w:rsidRPr="009B6D19">
        <w:rPr>
          <w:rFonts w:ascii="Garamond" w:hAnsi="Garamond"/>
        </w:rPr>
        <w:t xml:space="preserve"> </w:t>
      </w:r>
      <w:r w:rsidR="001B5B83" w:rsidRPr="00240119">
        <w:rPr>
          <w:rFonts w:ascii="Garamond" w:hAnsi="Garamond"/>
          <w:i/>
        </w:rPr>
        <w:t>top-down</w:t>
      </w:r>
      <w:r w:rsidR="001B5B83" w:rsidRPr="0030038F">
        <w:rPr>
          <w:rFonts w:ascii="Garamond" w:hAnsi="Garamond"/>
        </w:rPr>
        <w:t>,</w:t>
      </w:r>
      <w:r w:rsidR="001B5B83">
        <w:rPr>
          <w:rFonts w:ascii="Garamond" w:hAnsi="Garamond"/>
        </w:rPr>
        <w:t xml:space="preserve"> </w:t>
      </w:r>
      <w:r w:rsidR="003B5346">
        <w:rPr>
          <w:rFonts w:ascii="Garamond" w:hAnsi="Garamond"/>
        </w:rPr>
        <w:t>un</w:t>
      </w:r>
      <w:r w:rsidRPr="009B6D19">
        <w:rPr>
          <w:rFonts w:ascii="Garamond" w:hAnsi="Garamond"/>
        </w:rPr>
        <w:t xml:space="preserve"> cadre d’entérinement</w:t>
      </w:r>
      <w:r w:rsidR="0030038F">
        <w:rPr>
          <w:rFonts w:ascii="Garamond" w:hAnsi="Garamond"/>
        </w:rPr>
        <w:t xml:space="preserve"> </w:t>
      </w:r>
      <w:r w:rsidR="00871CA0">
        <w:rPr>
          <w:rFonts w:ascii="Garamond" w:hAnsi="Garamond"/>
        </w:rPr>
        <w:t>des décisions</w:t>
      </w:r>
      <w:r w:rsidR="001B5B83">
        <w:rPr>
          <w:rFonts w:ascii="Garamond" w:hAnsi="Garamond"/>
        </w:rPr>
        <w:t>. C’est pourquoi, l</w:t>
      </w:r>
      <w:r w:rsidRPr="009B6D19">
        <w:rPr>
          <w:rFonts w:ascii="Garamond" w:hAnsi="Garamond"/>
        </w:rPr>
        <w:t xml:space="preserve">e risque de les détourner à leur profit ou de perpétuer </w:t>
      </w:r>
      <w:r w:rsidR="00953AE3">
        <w:rPr>
          <w:rFonts w:ascii="Garamond" w:hAnsi="Garamond"/>
        </w:rPr>
        <w:t xml:space="preserve">les méta-choix </w:t>
      </w:r>
      <w:r w:rsidRPr="009B6D19">
        <w:rPr>
          <w:rFonts w:ascii="Garamond" w:hAnsi="Garamond"/>
        </w:rPr>
        <w:t xml:space="preserve">est plus </w:t>
      </w:r>
      <w:r w:rsidR="00953AE3">
        <w:rPr>
          <w:rFonts w:ascii="Garamond" w:hAnsi="Garamond"/>
        </w:rPr>
        <w:t xml:space="preserve">élevé </w:t>
      </w:r>
      <w:r w:rsidR="0030038F">
        <w:rPr>
          <w:rFonts w:ascii="Garamond" w:hAnsi="Garamond"/>
        </w:rPr>
        <w:t>(Signé, 2014)</w:t>
      </w:r>
      <w:r w:rsidRPr="009B6D19">
        <w:rPr>
          <w:rFonts w:ascii="Garamond" w:hAnsi="Garamond"/>
        </w:rPr>
        <w:t xml:space="preserve">. </w:t>
      </w:r>
      <w:r>
        <w:rPr>
          <w:rFonts w:ascii="Garamond" w:hAnsi="Garamond"/>
        </w:rPr>
        <w:t>C’est la raison pour laquelle le N</w:t>
      </w:r>
      <w:r w:rsidRPr="009B6D19">
        <w:rPr>
          <w:rFonts w:ascii="Garamond" w:hAnsi="Garamond"/>
        </w:rPr>
        <w:t xml:space="preserve">IH </w:t>
      </w:r>
      <w:r>
        <w:rPr>
          <w:rFonts w:ascii="Garamond" w:hAnsi="Garamond"/>
        </w:rPr>
        <w:t xml:space="preserve">aborde </w:t>
      </w:r>
      <w:r w:rsidRPr="009B6D19">
        <w:rPr>
          <w:rFonts w:ascii="Garamond" w:hAnsi="Garamond"/>
        </w:rPr>
        <w:t xml:space="preserve">également </w:t>
      </w:r>
      <w:r>
        <w:rPr>
          <w:rFonts w:ascii="Garamond" w:hAnsi="Garamond"/>
        </w:rPr>
        <w:t xml:space="preserve">la question relative aux </w:t>
      </w:r>
      <w:r w:rsidRPr="009B6D19">
        <w:rPr>
          <w:rFonts w:ascii="Garamond" w:hAnsi="Garamond"/>
        </w:rPr>
        <w:t>valeurs nationales</w:t>
      </w:r>
      <w:r>
        <w:rPr>
          <w:rFonts w:ascii="Garamond" w:hAnsi="Garamond"/>
        </w:rPr>
        <w:t xml:space="preserve">, au développement économique et </w:t>
      </w:r>
      <w:r w:rsidR="00953AE3">
        <w:rPr>
          <w:rFonts w:ascii="Garamond" w:hAnsi="Garamond"/>
        </w:rPr>
        <w:t xml:space="preserve">à </w:t>
      </w:r>
      <w:r>
        <w:rPr>
          <w:rFonts w:ascii="Garamond" w:hAnsi="Garamond"/>
        </w:rPr>
        <w:t>l’inclusion des groupes d’intérêts</w:t>
      </w:r>
      <w:r w:rsidRPr="009B6D19">
        <w:rPr>
          <w:rFonts w:ascii="Garamond" w:hAnsi="Garamond"/>
        </w:rPr>
        <w:t xml:space="preserve"> (Béland, 2002). Ces trois facteurs permettent</w:t>
      </w:r>
      <w:r>
        <w:rPr>
          <w:rFonts w:ascii="Garamond" w:hAnsi="Garamond"/>
        </w:rPr>
        <w:t xml:space="preserve"> de mettre en adéquation les résultats atteints et</w:t>
      </w:r>
      <w:r>
        <w:t xml:space="preserve"> </w:t>
      </w:r>
      <w:r w:rsidRPr="009B6D19">
        <w:rPr>
          <w:rFonts w:ascii="Garamond" w:hAnsi="Garamond"/>
        </w:rPr>
        <w:t>une complexité d’avenants socio-économiques ou politiques</w:t>
      </w:r>
      <w:r>
        <w:rPr>
          <w:rFonts w:ascii="Garamond" w:hAnsi="Garamond"/>
        </w:rPr>
        <w:t xml:space="preserve">. Face à cette complexité, le NIH procède par la recherche des réponses aux questions fondamentales soulevées par </w:t>
      </w:r>
      <w:r w:rsidRPr="009B6D19">
        <w:rPr>
          <w:rFonts w:ascii="Garamond" w:hAnsi="Garamond"/>
        </w:rPr>
        <w:t xml:space="preserve">Hall &amp; </w:t>
      </w:r>
      <w:r w:rsidR="00630C5B">
        <w:rPr>
          <w:rFonts w:ascii="Garamond" w:hAnsi="Garamond"/>
        </w:rPr>
        <w:t>al.</w:t>
      </w:r>
      <w:r w:rsidRPr="009B6D19">
        <w:rPr>
          <w:rFonts w:ascii="Garamond" w:hAnsi="Garamond"/>
        </w:rPr>
        <w:t xml:space="preserve"> (1997). La première consiste à savoir comment arriver à construire une relation entre institutions et comportements ; et la seconde s’interroge sur le processus par lequel les institutions naissent ou se modifient. </w:t>
      </w:r>
    </w:p>
    <w:p w14:paraId="19B251CF" w14:textId="5E9EE5F1" w:rsidR="00804868" w:rsidRPr="009B6D19" w:rsidRDefault="00227826" w:rsidP="00804868">
      <w:pPr>
        <w:rPr>
          <w:rFonts w:ascii="Garamond" w:hAnsi="Garamond"/>
        </w:rPr>
      </w:pPr>
      <w:r>
        <w:rPr>
          <w:rFonts w:ascii="Garamond" w:hAnsi="Garamond"/>
        </w:rPr>
        <w:lastRenderedPageBreak/>
        <w:t>En effet</w:t>
      </w:r>
      <w:r w:rsidR="00804868">
        <w:rPr>
          <w:rFonts w:ascii="Garamond" w:hAnsi="Garamond"/>
        </w:rPr>
        <w:t>, la</w:t>
      </w:r>
      <w:r w:rsidR="00804868" w:rsidRPr="009B6D19">
        <w:rPr>
          <w:rFonts w:ascii="Garamond" w:hAnsi="Garamond"/>
        </w:rPr>
        <w:t xml:space="preserve"> naissance et la modification des institutions résultent de la question des origines des préférences. Ces dernières émergent notamment de la « </w:t>
      </w:r>
      <w:r w:rsidR="00804868" w:rsidRPr="009B6D19">
        <w:rPr>
          <w:rFonts w:ascii="Garamond" w:hAnsi="Garamond"/>
          <w:i/>
        </w:rPr>
        <w:t>modélisation</w:t>
      </w:r>
      <w:r w:rsidR="00804868">
        <w:rPr>
          <w:rFonts w:ascii="Garamond" w:hAnsi="Garamond"/>
          <w:i/>
        </w:rPr>
        <w:t xml:space="preserve"> des interactions entre acteurs dans le temps et dans l’espace</w:t>
      </w:r>
      <w:r w:rsidR="00804868" w:rsidRPr="009B6D19">
        <w:rPr>
          <w:rFonts w:ascii="Garamond" w:hAnsi="Garamond"/>
        </w:rPr>
        <w:t xml:space="preserve">» </w:t>
      </w:r>
      <w:proofErr w:type="spellStart"/>
      <w:r w:rsidR="00804868" w:rsidRPr="009B6D19">
        <w:rPr>
          <w:rFonts w:ascii="Garamond" w:hAnsi="Garamond"/>
        </w:rPr>
        <w:t>Smyrl</w:t>
      </w:r>
      <w:proofErr w:type="spellEnd"/>
      <w:r w:rsidR="00804868" w:rsidRPr="009B6D19">
        <w:rPr>
          <w:rFonts w:ascii="Garamond" w:hAnsi="Garamond"/>
        </w:rPr>
        <w:t xml:space="preserve"> (2020 :9)</w:t>
      </w:r>
      <w:r w:rsidR="00804868">
        <w:rPr>
          <w:rFonts w:ascii="Garamond" w:hAnsi="Garamond"/>
        </w:rPr>
        <w:t xml:space="preserve"> </w:t>
      </w:r>
      <w:r w:rsidR="00804868" w:rsidRPr="009B6D19">
        <w:rPr>
          <w:rFonts w:ascii="Garamond" w:hAnsi="Garamond"/>
        </w:rPr>
        <w:t xml:space="preserve">et des rituels récurrents et sont susceptibles de subir l’influence des contextes locaux (Di </w:t>
      </w:r>
      <w:proofErr w:type="spellStart"/>
      <w:r w:rsidR="00804868" w:rsidRPr="009B6D19">
        <w:rPr>
          <w:rFonts w:ascii="Garamond" w:hAnsi="Garamond"/>
        </w:rPr>
        <w:t>Maggio</w:t>
      </w:r>
      <w:proofErr w:type="spellEnd"/>
      <w:r w:rsidR="00804868" w:rsidRPr="009B6D19">
        <w:rPr>
          <w:rFonts w:ascii="Garamond" w:hAnsi="Garamond"/>
        </w:rPr>
        <w:t xml:space="preserve"> &amp; Walter, 1997). </w:t>
      </w:r>
      <w:r w:rsidR="005314BA">
        <w:rPr>
          <w:rFonts w:ascii="Garamond" w:hAnsi="Garamond"/>
        </w:rPr>
        <w:t>Elles sont également dictées par le cadre cognitif et le modèle programmatique préexistant et applicable (</w:t>
      </w:r>
      <w:proofErr w:type="spellStart"/>
      <w:r w:rsidR="005314BA">
        <w:rPr>
          <w:rFonts w:ascii="Garamond" w:hAnsi="Garamond"/>
        </w:rPr>
        <w:t>Smyrl</w:t>
      </w:r>
      <w:proofErr w:type="spellEnd"/>
      <w:r w:rsidR="005314BA">
        <w:rPr>
          <w:rFonts w:ascii="Garamond" w:hAnsi="Garamond"/>
        </w:rPr>
        <w:t xml:space="preserve">, </w:t>
      </w:r>
      <w:r w:rsidR="00953AE3">
        <w:rPr>
          <w:rFonts w:ascii="Garamond" w:hAnsi="Garamond"/>
        </w:rPr>
        <w:t>2020)</w:t>
      </w:r>
      <w:r w:rsidR="005314BA">
        <w:rPr>
          <w:rFonts w:ascii="Garamond" w:hAnsi="Garamond"/>
        </w:rPr>
        <w:t xml:space="preserve">. </w:t>
      </w:r>
      <w:r w:rsidR="00953AE3">
        <w:rPr>
          <w:rFonts w:ascii="Garamond" w:hAnsi="Garamond"/>
        </w:rPr>
        <w:t>Dans ce cadre</w:t>
      </w:r>
      <w:r w:rsidR="00804868" w:rsidRPr="009B6D19">
        <w:rPr>
          <w:rFonts w:ascii="Garamond" w:hAnsi="Garamond"/>
        </w:rPr>
        <w:t>,</w:t>
      </w:r>
      <w:r w:rsidR="00953AE3">
        <w:rPr>
          <w:rFonts w:ascii="Garamond" w:hAnsi="Garamond"/>
        </w:rPr>
        <w:t xml:space="preserve"> l’on peut facilement comprendre que</w:t>
      </w:r>
      <w:r w:rsidR="00804868" w:rsidRPr="009B6D19">
        <w:rPr>
          <w:rFonts w:ascii="Garamond" w:hAnsi="Garamond"/>
        </w:rPr>
        <w:t xml:space="preserve"> les institutions diffèrent selon les limites nationales car l’histoire, la culture, la structure et les pratiques, propres à chaque pays ou entité, finissent par configurer un </w:t>
      </w:r>
      <w:r w:rsidR="00804868" w:rsidRPr="009B6D19">
        <w:rPr>
          <w:rFonts w:ascii="Garamond" w:hAnsi="Garamond"/>
          <w:i/>
        </w:rPr>
        <w:t>design</w:t>
      </w:r>
      <w:r w:rsidR="00804868" w:rsidRPr="009B6D19">
        <w:rPr>
          <w:rFonts w:ascii="Garamond" w:hAnsi="Garamond"/>
        </w:rPr>
        <w:t xml:space="preserve"> institutionnel particulier. Le changement </w:t>
      </w:r>
      <w:r>
        <w:rPr>
          <w:rFonts w:ascii="Garamond" w:hAnsi="Garamond"/>
        </w:rPr>
        <w:t>constitue</w:t>
      </w:r>
      <w:r w:rsidR="00804868" w:rsidRPr="009B6D19">
        <w:rPr>
          <w:rFonts w:ascii="Garamond" w:hAnsi="Garamond"/>
        </w:rPr>
        <w:t xml:space="preserve"> ici </w:t>
      </w:r>
      <w:r>
        <w:rPr>
          <w:rFonts w:ascii="Garamond" w:hAnsi="Garamond"/>
        </w:rPr>
        <w:t>une</w:t>
      </w:r>
      <w:r w:rsidR="00804868">
        <w:rPr>
          <w:rFonts w:ascii="Garamond" w:hAnsi="Garamond"/>
        </w:rPr>
        <w:t xml:space="preserve"> conséquence</w:t>
      </w:r>
      <w:r w:rsidR="00804868" w:rsidRPr="009B6D19">
        <w:rPr>
          <w:rFonts w:ascii="Garamond" w:hAnsi="Garamond"/>
        </w:rPr>
        <w:t xml:space="preserve"> </w:t>
      </w:r>
      <w:r w:rsidR="00804868">
        <w:rPr>
          <w:rFonts w:ascii="Garamond" w:hAnsi="Garamond"/>
        </w:rPr>
        <w:t xml:space="preserve">d’effets </w:t>
      </w:r>
      <w:r w:rsidR="00804868" w:rsidRPr="009B6D19">
        <w:rPr>
          <w:rFonts w:ascii="Garamond" w:hAnsi="Garamond"/>
        </w:rPr>
        <w:t>d’accumulation des processus de « </w:t>
      </w:r>
      <w:r w:rsidR="00804868" w:rsidRPr="009B6D19">
        <w:rPr>
          <w:rFonts w:ascii="Garamond" w:hAnsi="Garamond"/>
          <w:i/>
        </w:rPr>
        <w:t>routinisation</w:t>
      </w:r>
      <w:r w:rsidR="00804868">
        <w:rPr>
          <w:rFonts w:ascii="Garamond" w:hAnsi="Garamond"/>
          <w:i/>
        </w:rPr>
        <w:t xml:space="preserve"> </w:t>
      </w:r>
      <w:r w:rsidR="00804868" w:rsidRPr="009B6D19">
        <w:rPr>
          <w:rFonts w:ascii="Garamond" w:hAnsi="Garamond"/>
          <w:i/>
        </w:rPr>
        <w:t>des pratiques et des prérogatives</w:t>
      </w:r>
      <w:r w:rsidR="00804868">
        <w:rPr>
          <w:rFonts w:ascii="Garamond" w:hAnsi="Garamond"/>
          <w:i/>
        </w:rPr>
        <w:t xml:space="preserve"> </w:t>
      </w:r>
      <w:r w:rsidR="00804868" w:rsidRPr="009B6D19">
        <w:rPr>
          <w:rFonts w:ascii="Garamond" w:hAnsi="Garamond"/>
          <w:i/>
        </w:rPr>
        <w:t>administratives</w:t>
      </w:r>
      <w:r w:rsidR="00804868" w:rsidRPr="009B6D19">
        <w:rPr>
          <w:rFonts w:ascii="Garamond" w:hAnsi="Garamond"/>
        </w:rPr>
        <w:t xml:space="preserve"> » (Palier &amp; </w:t>
      </w:r>
      <w:proofErr w:type="spellStart"/>
      <w:r w:rsidR="00804868" w:rsidRPr="009B6D19">
        <w:rPr>
          <w:rFonts w:ascii="Garamond" w:hAnsi="Garamond"/>
        </w:rPr>
        <w:t>Surel</w:t>
      </w:r>
      <w:proofErr w:type="spellEnd"/>
      <w:r w:rsidR="00804868" w:rsidRPr="009B6D19">
        <w:rPr>
          <w:rFonts w:ascii="Garamond" w:hAnsi="Garamond"/>
        </w:rPr>
        <w:t xml:space="preserve">, 2010 : 27). Ceci étant dit, les institutions apparaissent aux yeux des institutionnalistes historiques comme étant des procédures, normes, protocoles et conventions officiels et officieux se rapportant à </w:t>
      </w:r>
      <w:proofErr w:type="gramStart"/>
      <w:r w:rsidR="00804868" w:rsidRPr="009B6D19">
        <w:rPr>
          <w:rFonts w:ascii="Garamond" w:hAnsi="Garamond"/>
        </w:rPr>
        <w:t>une  structure</w:t>
      </w:r>
      <w:proofErr w:type="gramEnd"/>
      <w:r w:rsidR="00804868" w:rsidRPr="009B6D19">
        <w:rPr>
          <w:rFonts w:ascii="Garamond" w:hAnsi="Garamond"/>
        </w:rPr>
        <w:t xml:space="preserve"> organisationnelle et don</w:t>
      </w:r>
      <w:r w:rsidR="00804868">
        <w:rPr>
          <w:rFonts w:ascii="Garamond" w:hAnsi="Garamond"/>
        </w:rPr>
        <w:t>t le</w:t>
      </w:r>
      <w:r w:rsidR="001C27B5">
        <w:rPr>
          <w:rFonts w:ascii="Garamond" w:hAnsi="Garamond"/>
        </w:rPr>
        <w:t>s</w:t>
      </w:r>
      <w:r w:rsidR="00804868">
        <w:rPr>
          <w:rFonts w:ascii="Garamond" w:hAnsi="Garamond"/>
        </w:rPr>
        <w:t xml:space="preserve"> processus de construction et de consolidation puisent dans le passé</w:t>
      </w:r>
      <w:r w:rsidR="00E90832">
        <w:rPr>
          <w:rFonts w:ascii="Garamond" w:hAnsi="Garamond"/>
        </w:rPr>
        <w:t xml:space="preserve"> </w:t>
      </w:r>
      <w:r w:rsidR="001F38EF">
        <w:rPr>
          <w:rFonts w:ascii="Garamond" w:hAnsi="Garamond"/>
        </w:rPr>
        <w:t>(Hall &amp; al., 1997</w:t>
      </w:r>
      <w:r w:rsidR="00804868" w:rsidRPr="009B6D19">
        <w:rPr>
          <w:rFonts w:ascii="Garamond" w:hAnsi="Garamond"/>
        </w:rPr>
        <w:t xml:space="preserve">; Lecours, 2002, Payre &amp; </w:t>
      </w:r>
      <w:proofErr w:type="spellStart"/>
      <w:r w:rsidR="00804868" w:rsidRPr="009B6D19">
        <w:rPr>
          <w:rFonts w:ascii="Garamond" w:hAnsi="Garamond"/>
        </w:rPr>
        <w:t>Guiral</w:t>
      </w:r>
      <w:proofErr w:type="spellEnd"/>
      <w:r w:rsidR="00804868" w:rsidRPr="009B6D19">
        <w:rPr>
          <w:rFonts w:ascii="Garamond" w:hAnsi="Garamond"/>
        </w:rPr>
        <w:t xml:space="preserve">-Treuil, 2018 : 46 ; </w:t>
      </w:r>
      <w:proofErr w:type="spellStart"/>
      <w:r w:rsidR="00804868" w:rsidRPr="009B6D19">
        <w:rPr>
          <w:rFonts w:ascii="Garamond" w:hAnsi="Garamond"/>
        </w:rPr>
        <w:t>Ogbazghi</w:t>
      </w:r>
      <w:proofErr w:type="spellEnd"/>
      <w:r w:rsidR="00804868" w:rsidRPr="009B6D19">
        <w:rPr>
          <w:rFonts w:ascii="Garamond" w:hAnsi="Garamond"/>
        </w:rPr>
        <w:t xml:space="preserve">, 2022). </w:t>
      </w:r>
    </w:p>
    <w:p w14:paraId="68F921B4" w14:textId="38C63314" w:rsidR="00804868" w:rsidRPr="009B6D19" w:rsidRDefault="00804868" w:rsidP="00804868">
      <w:pPr>
        <w:rPr>
          <w:rFonts w:ascii="Garamond" w:hAnsi="Garamond"/>
        </w:rPr>
      </w:pPr>
      <w:r>
        <w:rPr>
          <w:rFonts w:ascii="Garamond" w:hAnsi="Garamond"/>
        </w:rPr>
        <w:t>D</w:t>
      </w:r>
      <w:r w:rsidRPr="009B6D19">
        <w:rPr>
          <w:rFonts w:ascii="Garamond" w:hAnsi="Garamond"/>
        </w:rPr>
        <w:t>ans l</w:t>
      </w:r>
      <w:r>
        <w:rPr>
          <w:rFonts w:ascii="Garamond" w:hAnsi="Garamond"/>
        </w:rPr>
        <w:t>a même veine,</w:t>
      </w:r>
      <w:r w:rsidRPr="009B6D19">
        <w:rPr>
          <w:rFonts w:ascii="Garamond" w:hAnsi="Garamond"/>
        </w:rPr>
        <w:t xml:space="preserve"> la naissance d’une institution est la conséquence d’un compromis des processus historiques concrets et de la coopération entre divers acteurs en interaction. Le fait que l’action de différents acteurs en interaction soit l’expression pure et simple de leurs </w:t>
      </w:r>
      <w:r w:rsidR="00953AE3">
        <w:rPr>
          <w:rFonts w:ascii="Garamond" w:hAnsi="Garamond"/>
        </w:rPr>
        <w:t>préférence</w:t>
      </w:r>
      <w:r w:rsidRPr="009B6D19">
        <w:rPr>
          <w:rFonts w:ascii="Garamond" w:hAnsi="Garamond"/>
        </w:rPr>
        <w:t xml:space="preserve">s, expose la trajectoire de formation institutionnelle à la confrontation des rapports de force. Même après </w:t>
      </w:r>
      <w:r w:rsidR="001C27B5">
        <w:rPr>
          <w:rFonts w:ascii="Garamond" w:hAnsi="Garamond"/>
        </w:rPr>
        <w:t>sa</w:t>
      </w:r>
      <w:r w:rsidRPr="009B6D19">
        <w:rPr>
          <w:rFonts w:ascii="Garamond" w:hAnsi="Garamond"/>
        </w:rPr>
        <w:t xml:space="preserve"> naissance,</w:t>
      </w:r>
      <w:r>
        <w:rPr>
          <w:rFonts w:ascii="Garamond" w:hAnsi="Garamond"/>
        </w:rPr>
        <w:t xml:space="preserve"> chaque institution suit sa trajectoire dont l’orientation peut subir des secousses culturelles, politiques ou économiques. Il est donc possible que </w:t>
      </w:r>
      <w:r w:rsidR="001C27B5">
        <w:rPr>
          <w:rFonts w:ascii="Garamond" w:hAnsi="Garamond"/>
        </w:rPr>
        <w:t xml:space="preserve">les </w:t>
      </w:r>
      <w:r w:rsidRPr="009B6D19">
        <w:rPr>
          <w:rFonts w:ascii="Garamond" w:hAnsi="Garamond"/>
        </w:rPr>
        <w:t xml:space="preserve">réformes et les processus politiques </w:t>
      </w:r>
      <w:r>
        <w:rPr>
          <w:rFonts w:ascii="Garamond" w:hAnsi="Garamond"/>
        </w:rPr>
        <w:t xml:space="preserve">puissent </w:t>
      </w:r>
      <w:r w:rsidRPr="009B6D19">
        <w:rPr>
          <w:rFonts w:ascii="Garamond" w:hAnsi="Garamond"/>
        </w:rPr>
        <w:t>subi</w:t>
      </w:r>
      <w:r>
        <w:rPr>
          <w:rFonts w:ascii="Garamond" w:hAnsi="Garamond"/>
        </w:rPr>
        <w:t>r</w:t>
      </w:r>
      <w:r w:rsidRPr="009B6D19">
        <w:rPr>
          <w:rFonts w:ascii="Garamond" w:hAnsi="Garamond"/>
        </w:rPr>
        <w:t xml:space="preserve"> continuellement l’influence des codes culturels propres à chaque contexte institutionnel (Lecours, 2002 :8)</w:t>
      </w:r>
      <w:r w:rsidR="00E90832">
        <w:rPr>
          <w:rFonts w:ascii="Garamond" w:hAnsi="Garamond"/>
        </w:rPr>
        <w:t>, à chaque moment historique et à chaque espace (</w:t>
      </w:r>
      <w:proofErr w:type="spellStart"/>
      <w:r w:rsidR="00E90832" w:rsidRPr="00A2020F">
        <w:rPr>
          <w:rFonts w:ascii="Garamond" w:hAnsi="Garamond"/>
        </w:rPr>
        <w:t>Fioretos</w:t>
      </w:r>
      <w:proofErr w:type="spellEnd"/>
      <w:r w:rsidR="00E90832">
        <w:rPr>
          <w:rFonts w:ascii="Garamond" w:hAnsi="Garamond"/>
        </w:rPr>
        <w:t xml:space="preserve"> &amp; al</w:t>
      </w:r>
      <w:r w:rsidR="00E90832" w:rsidRPr="00A2020F">
        <w:rPr>
          <w:rFonts w:ascii="Garamond" w:hAnsi="Garamond"/>
        </w:rPr>
        <w:t>,</w:t>
      </w:r>
      <w:r w:rsidR="00E90832">
        <w:rPr>
          <w:rFonts w:ascii="SourceSansPro-Regular" w:hAnsi="SourceSansPro-Regular" w:cs="SourceSansPro-Regular"/>
          <w:color w:val="2A2A2A"/>
          <w:sz w:val="20"/>
          <w:szCs w:val="20"/>
        </w:rPr>
        <w:t xml:space="preserve"> </w:t>
      </w:r>
      <w:r w:rsidR="00E90832" w:rsidRPr="00A2020F">
        <w:rPr>
          <w:rFonts w:ascii="Garamond" w:hAnsi="Garamond"/>
        </w:rPr>
        <w:t>2016</w:t>
      </w:r>
      <w:r w:rsidR="00E90832">
        <w:rPr>
          <w:rFonts w:ascii="Garamond" w:hAnsi="Garamond"/>
        </w:rPr>
        <w:t>)</w:t>
      </w:r>
      <w:r w:rsidRPr="009B6D19">
        <w:rPr>
          <w:rFonts w:ascii="Garamond" w:hAnsi="Garamond"/>
        </w:rPr>
        <w:t xml:space="preserve">. Ce qui voudrait dire que la création des institutions, leur expression et développement font face à une série  des dynamiques qui forgent une orientation propre à chaque institution. </w:t>
      </w:r>
      <w:r w:rsidR="001C27B5">
        <w:rPr>
          <w:rFonts w:ascii="Garamond" w:hAnsi="Garamond"/>
        </w:rPr>
        <w:t>De ce fait</w:t>
      </w:r>
      <w:r w:rsidRPr="009B6D19">
        <w:rPr>
          <w:rFonts w:ascii="Garamond" w:hAnsi="Garamond"/>
        </w:rPr>
        <w:t xml:space="preserve">, chaque institution est un ensemble à part entière des cultures, des valeurs et des préférences </w:t>
      </w:r>
      <w:r w:rsidR="007470BE">
        <w:rPr>
          <w:rFonts w:ascii="Garamond" w:hAnsi="Garamond"/>
        </w:rPr>
        <w:t>particulières</w:t>
      </w:r>
      <w:r w:rsidRPr="009B6D19">
        <w:rPr>
          <w:rFonts w:ascii="Garamond" w:hAnsi="Garamond"/>
        </w:rPr>
        <w:t>.</w:t>
      </w:r>
      <w:r w:rsidR="007470BE">
        <w:rPr>
          <w:rFonts w:ascii="Garamond" w:hAnsi="Garamond"/>
        </w:rPr>
        <w:t xml:space="preserve"> </w:t>
      </w:r>
      <w:r w:rsidR="00D32788">
        <w:rPr>
          <w:rFonts w:ascii="Garamond" w:hAnsi="Garamond"/>
        </w:rPr>
        <w:t>Par conséquent</w:t>
      </w:r>
      <w:r w:rsidR="007470BE">
        <w:rPr>
          <w:rFonts w:ascii="Garamond" w:hAnsi="Garamond"/>
        </w:rPr>
        <w:t>, les politiques publiques qui en découlent et les réformes qu’elles mettent en œuvre sont tout à fait uniques et particulières.</w:t>
      </w:r>
      <w:r w:rsidRPr="009B6D19">
        <w:rPr>
          <w:rFonts w:ascii="Garamond" w:hAnsi="Garamond"/>
        </w:rPr>
        <w:t xml:space="preserve"> </w:t>
      </w:r>
    </w:p>
    <w:p w14:paraId="388ED660" w14:textId="77777777" w:rsidR="00804868" w:rsidRPr="009B6D19" w:rsidRDefault="00804868" w:rsidP="00804868">
      <w:pPr>
        <w:pStyle w:val="Heading2"/>
        <w:numPr>
          <w:ilvl w:val="1"/>
          <w:numId w:val="14"/>
        </w:numPr>
        <w:rPr>
          <w:rFonts w:ascii="Garamond" w:hAnsi="Garamond"/>
          <w:szCs w:val="24"/>
        </w:rPr>
      </w:pPr>
      <w:bookmarkStart w:id="22" w:name="_Toc125594161"/>
      <w:bookmarkStart w:id="23" w:name="_Toc143577454"/>
      <w:r w:rsidRPr="009B6D19">
        <w:rPr>
          <w:rFonts w:ascii="Garamond" w:hAnsi="Garamond"/>
          <w:szCs w:val="24"/>
        </w:rPr>
        <w:t>Théorie de la dépendance au sentier</w:t>
      </w:r>
      <w:bookmarkEnd w:id="22"/>
      <w:bookmarkEnd w:id="23"/>
    </w:p>
    <w:p w14:paraId="5AC2EE80" w14:textId="524CB899" w:rsidR="00804868" w:rsidRPr="009B6D19" w:rsidRDefault="00804868" w:rsidP="00804868">
      <w:pPr>
        <w:rPr>
          <w:rFonts w:ascii="Garamond" w:hAnsi="Garamond"/>
        </w:rPr>
      </w:pPr>
      <w:r w:rsidRPr="009B6D19">
        <w:rPr>
          <w:rFonts w:ascii="Garamond" w:hAnsi="Garamond"/>
        </w:rPr>
        <w:t xml:space="preserve">La théorie de la dépendance au sentier (DS) ou l’effet du sentier constitue la base même et la dimension principale d’analyse de l’approche NIH (Béland, 2002, </w:t>
      </w:r>
      <w:proofErr w:type="spellStart"/>
      <w:r w:rsidRPr="009B6D19">
        <w:rPr>
          <w:rFonts w:ascii="Garamond" w:hAnsi="Garamond"/>
        </w:rPr>
        <w:t>Bezes</w:t>
      </w:r>
      <w:proofErr w:type="spellEnd"/>
      <w:r w:rsidRPr="009B6D19">
        <w:rPr>
          <w:rFonts w:ascii="Garamond" w:hAnsi="Garamond"/>
        </w:rPr>
        <w:t xml:space="preserve"> &amp; Palier, 2018 ; Hall &amp; al., 1997).</w:t>
      </w:r>
      <w:r w:rsidR="00A9462D">
        <w:rPr>
          <w:rFonts w:ascii="Garamond" w:hAnsi="Garamond"/>
        </w:rPr>
        <w:t xml:space="preserve"> Si au départ, elle s’intéressait à la stabilité institutionnelle, elle s’oriente de plus en plus vers les facteurs qui entrainent les changements institutionnels (</w:t>
      </w:r>
      <w:proofErr w:type="spellStart"/>
      <w:r w:rsidR="00A9462D">
        <w:rPr>
          <w:rFonts w:ascii="Garamond" w:hAnsi="Garamond"/>
        </w:rPr>
        <w:t>Thelen</w:t>
      </w:r>
      <w:proofErr w:type="spellEnd"/>
      <w:r w:rsidR="00A9462D">
        <w:rPr>
          <w:rFonts w:ascii="Garamond" w:hAnsi="Garamond"/>
        </w:rPr>
        <w:t xml:space="preserve"> &amp; </w:t>
      </w:r>
      <w:proofErr w:type="spellStart"/>
      <w:r w:rsidR="00A9462D">
        <w:rPr>
          <w:rFonts w:ascii="Garamond" w:hAnsi="Garamond"/>
        </w:rPr>
        <w:t>Conran</w:t>
      </w:r>
      <w:proofErr w:type="spellEnd"/>
      <w:r w:rsidR="00A9462D">
        <w:rPr>
          <w:rFonts w:ascii="Garamond" w:hAnsi="Garamond"/>
        </w:rPr>
        <w:t xml:space="preserve">, 2016). </w:t>
      </w:r>
      <w:r w:rsidRPr="009B6D19">
        <w:rPr>
          <w:rFonts w:ascii="Garamond" w:hAnsi="Garamond"/>
        </w:rPr>
        <w:t xml:space="preserve"> Elle s’apparente à la théorie évolutionniste selon laquelle les voies routinières empruntées dans le </w:t>
      </w:r>
      <w:r w:rsidRPr="009B6D19">
        <w:rPr>
          <w:rFonts w:ascii="Garamond" w:hAnsi="Garamond"/>
        </w:rPr>
        <w:lastRenderedPageBreak/>
        <w:t xml:space="preserve">passé, façonnent et confortent les institutions (Archambault, 2011 : 90). En d’autres termes, le temps et la culture forgent la trajectoire des institutions qui laissent des empreintes sur leur passage. Ils s’incrustent dans la façon de penser et d’agir collectifs de telle sorte que toute tentative d’ouverture vers de nouvelles bifurcations se trouve butée à des pesanteurs </w:t>
      </w:r>
      <w:r w:rsidR="009979CA" w:rsidRPr="009B6D19">
        <w:rPr>
          <w:rFonts w:ascii="Garamond" w:hAnsi="Garamond"/>
        </w:rPr>
        <w:t>d’autant plus que sur le long terme, les comportements collectifs, les valeurs et les habitudes partagées, qui du reste sont subjectifs, se sont institutionnalisés et ont balisé leur propre trajectoire.</w:t>
      </w:r>
      <w:r w:rsidR="009979CA">
        <w:rPr>
          <w:rFonts w:ascii="Garamond" w:hAnsi="Garamond"/>
        </w:rPr>
        <w:t xml:space="preserve"> </w:t>
      </w:r>
      <w:r w:rsidRPr="009B6D19">
        <w:rPr>
          <w:rFonts w:ascii="Garamond" w:hAnsi="Garamond"/>
        </w:rPr>
        <w:t>Ces pesanteurs constituent un facteur structurant des comportements collectifs (</w:t>
      </w:r>
      <w:proofErr w:type="spellStart"/>
      <w:r w:rsidRPr="009B6D19">
        <w:rPr>
          <w:rFonts w:ascii="Garamond" w:hAnsi="Garamond"/>
        </w:rPr>
        <w:t>Ogbazghi</w:t>
      </w:r>
      <w:proofErr w:type="spellEnd"/>
      <w:r w:rsidRPr="009B6D19">
        <w:rPr>
          <w:rFonts w:ascii="Garamond" w:hAnsi="Garamond"/>
        </w:rPr>
        <w:t>, 2022) et entretiennent une sorte d’« </w:t>
      </w:r>
      <w:r w:rsidRPr="009B6D19">
        <w:rPr>
          <w:rFonts w:ascii="Garamond" w:hAnsi="Garamond"/>
          <w:i/>
        </w:rPr>
        <w:t>d’allégorie de la caverne</w:t>
      </w:r>
      <w:r w:rsidRPr="009B6D19">
        <w:rPr>
          <w:rFonts w:ascii="Garamond" w:hAnsi="Garamond"/>
        </w:rPr>
        <w:t xml:space="preserve"> » platonicienne. </w:t>
      </w:r>
    </w:p>
    <w:p w14:paraId="0344853D" w14:textId="2F053230" w:rsidR="00804868" w:rsidRPr="009B6D19" w:rsidRDefault="00804868" w:rsidP="00804868">
      <w:pPr>
        <w:rPr>
          <w:rFonts w:ascii="Garamond" w:hAnsi="Garamond"/>
        </w:rPr>
      </w:pPr>
      <w:r w:rsidRPr="009B6D19">
        <w:rPr>
          <w:rFonts w:ascii="Garamond" w:hAnsi="Garamond"/>
        </w:rPr>
        <w:t>Il existe une série des définitions de la théorie de la DS parmi lesquelles celles qui définissent clairement la DS sont rares. Dans sa conception plus large, elle pourrait signifier tout simplement la « </w:t>
      </w:r>
      <w:r w:rsidRPr="009B6D19">
        <w:rPr>
          <w:rFonts w:ascii="Garamond" w:hAnsi="Garamond"/>
          <w:i/>
        </w:rPr>
        <w:t>pertinence causale des étapes précédentes dans une séquence temporelle</w:t>
      </w:r>
      <w:r w:rsidRPr="009B6D19">
        <w:rPr>
          <w:rFonts w:ascii="Garamond" w:hAnsi="Garamond"/>
        </w:rPr>
        <w:t xml:space="preserve"> » </w:t>
      </w:r>
      <w:r w:rsidR="009979CA">
        <w:rPr>
          <w:rFonts w:ascii="Garamond" w:hAnsi="Garamond"/>
        </w:rPr>
        <w:t xml:space="preserve">(Pierson, </w:t>
      </w:r>
      <w:r w:rsidRPr="009B6D19">
        <w:rPr>
          <w:rFonts w:ascii="Garamond" w:hAnsi="Garamond"/>
        </w:rPr>
        <w:t>2000</w:t>
      </w:r>
      <w:r w:rsidR="009A2169">
        <w:rPr>
          <w:rFonts w:ascii="Garamond" w:hAnsi="Garamond"/>
        </w:rPr>
        <w:t> :251</w:t>
      </w:r>
      <w:r w:rsidRPr="009B6D19">
        <w:rPr>
          <w:rFonts w:ascii="Garamond" w:hAnsi="Garamond"/>
        </w:rPr>
        <w:t>). David (1985) cité par Merrien (2000) qu</w:t>
      </w:r>
      <w:r>
        <w:rPr>
          <w:rFonts w:ascii="Garamond" w:hAnsi="Garamond"/>
        </w:rPr>
        <w:t>i est le premier à é</w:t>
      </w:r>
      <w:r w:rsidRPr="009B6D19">
        <w:rPr>
          <w:rFonts w:ascii="Garamond" w:hAnsi="Garamond"/>
        </w:rPr>
        <w:t>voquer cette théorie dans ses recherches,</w:t>
      </w:r>
      <w:r>
        <w:rPr>
          <w:rFonts w:ascii="Garamond" w:hAnsi="Garamond"/>
        </w:rPr>
        <w:t xml:space="preserve"> revient sur le fait que</w:t>
      </w:r>
      <w:r w:rsidRPr="009B6D19">
        <w:rPr>
          <w:rFonts w:ascii="Garamond" w:hAnsi="Garamond"/>
        </w:rPr>
        <w:t> </w:t>
      </w:r>
      <w:r>
        <w:rPr>
          <w:rFonts w:ascii="Garamond" w:hAnsi="Garamond"/>
        </w:rPr>
        <w:t>« </w:t>
      </w:r>
      <w:r w:rsidRPr="009B6D19">
        <w:rPr>
          <w:rFonts w:ascii="Garamond" w:hAnsi="Garamond"/>
          <w:i/>
        </w:rPr>
        <w:t xml:space="preserve">toute  décision optimale prise dans le temps peut exercer sur le long terme des dépendances et des contraintes accompagnées d'effets </w:t>
      </w:r>
      <w:proofErr w:type="spellStart"/>
      <w:r w:rsidRPr="009B6D19">
        <w:rPr>
          <w:rFonts w:ascii="Garamond" w:hAnsi="Garamond"/>
          <w:i/>
        </w:rPr>
        <w:t>sub-optimaux</w:t>
      </w:r>
      <w:proofErr w:type="spellEnd"/>
      <w:r w:rsidRPr="009B6D19">
        <w:rPr>
          <w:rFonts w:ascii="Garamond" w:hAnsi="Garamond"/>
        </w:rPr>
        <w:t> ». Selon cet auteur, à force d’emprunter un sentier, les pas quotidiens laissent des traces mieux illustrées par le clavier QWERTY de l’ordinateur pianoté régulièrement par un dactylographe. Par extrapolation, les institutions formelles ou informelles, dans leur processus de maturation se trouvent façonnées par des facteurs qui ne sont que la conséquence de leur exposition aux conditions historiq</w:t>
      </w:r>
      <w:r w:rsidR="00BF39A3">
        <w:rPr>
          <w:rFonts w:ascii="Garamond" w:hAnsi="Garamond"/>
        </w:rPr>
        <w:t xml:space="preserve">ues antécédentes (Mahoney, 2001 ; </w:t>
      </w:r>
      <w:proofErr w:type="spellStart"/>
      <w:r w:rsidR="00BF39A3">
        <w:rPr>
          <w:rFonts w:ascii="Garamond" w:hAnsi="Garamond"/>
        </w:rPr>
        <w:t>Mahoney</w:t>
      </w:r>
      <w:proofErr w:type="spellEnd"/>
      <w:r w:rsidR="00BF39A3">
        <w:rPr>
          <w:rFonts w:ascii="Garamond" w:hAnsi="Garamond"/>
        </w:rPr>
        <w:t xml:space="preserve"> 2000 ;</w:t>
      </w:r>
      <w:r w:rsidRPr="009B6D19">
        <w:rPr>
          <w:rFonts w:ascii="Garamond" w:hAnsi="Garamond"/>
        </w:rPr>
        <w:t xml:space="preserve"> </w:t>
      </w:r>
      <w:proofErr w:type="spellStart"/>
      <w:r w:rsidRPr="009B6D19">
        <w:rPr>
          <w:rFonts w:ascii="Garamond" w:hAnsi="Garamond"/>
        </w:rPr>
        <w:t>Kpadé</w:t>
      </w:r>
      <w:proofErr w:type="spellEnd"/>
      <w:r w:rsidRPr="009B6D19">
        <w:rPr>
          <w:rFonts w:ascii="Garamond" w:hAnsi="Garamond"/>
        </w:rPr>
        <w:t xml:space="preserve"> &amp; </w:t>
      </w:r>
      <w:proofErr w:type="spellStart"/>
      <w:r w:rsidRPr="009B6D19">
        <w:rPr>
          <w:rFonts w:ascii="Garamond" w:hAnsi="Garamond"/>
        </w:rPr>
        <w:t>Boinon</w:t>
      </w:r>
      <w:proofErr w:type="spellEnd"/>
      <w:r w:rsidRPr="009B6D19">
        <w:rPr>
          <w:rFonts w:ascii="Garamond" w:hAnsi="Garamond"/>
        </w:rPr>
        <w:t xml:space="preserve">, 2011 :59). Ce sont ces conditions qui démontrent </w:t>
      </w:r>
      <w:r w:rsidR="003F42EF" w:rsidRPr="009B6D19">
        <w:rPr>
          <w:rFonts w:ascii="Garamond" w:hAnsi="Garamond"/>
        </w:rPr>
        <w:t xml:space="preserve">déformer </w:t>
      </w:r>
      <w:r w:rsidRPr="009B6D19">
        <w:rPr>
          <w:rFonts w:ascii="Garamond" w:hAnsi="Garamond"/>
        </w:rPr>
        <w:t>à suffisance que l’histoire pèse de tout son poids dans le balisage des institutions de façon à influencer ou à</w:t>
      </w:r>
      <w:r w:rsidR="00630C5B">
        <w:rPr>
          <w:rFonts w:ascii="Garamond" w:hAnsi="Garamond"/>
        </w:rPr>
        <w:t xml:space="preserve"> affiner</w:t>
      </w:r>
      <w:r w:rsidRPr="009B6D19">
        <w:rPr>
          <w:rFonts w:ascii="Garamond" w:hAnsi="Garamond"/>
        </w:rPr>
        <w:t xml:space="preserve"> le </w:t>
      </w:r>
      <w:r w:rsidRPr="009B6D19">
        <w:rPr>
          <w:rFonts w:ascii="Garamond" w:hAnsi="Garamond"/>
          <w:i/>
        </w:rPr>
        <w:t>design</w:t>
      </w:r>
      <w:r w:rsidRPr="009B6D19">
        <w:rPr>
          <w:rFonts w:ascii="Garamond" w:hAnsi="Garamond"/>
        </w:rPr>
        <w:t xml:space="preserve"> institutionnel final (Sewell, 1996 : 262-3 cité par Pierson, 2000 ; </w:t>
      </w:r>
      <w:proofErr w:type="spellStart"/>
      <w:r w:rsidRPr="009B6D19">
        <w:rPr>
          <w:rFonts w:ascii="Garamond" w:hAnsi="Garamond"/>
        </w:rPr>
        <w:t>Dafflon</w:t>
      </w:r>
      <w:proofErr w:type="spellEnd"/>
      <w:r w:rsidRPr="009B6D19">
        <w:rPr>
          <w:rFonts w:ascii="Garamond" w:hAnsi="Garamond"/>
        </w:rPr>
        <w:t xml:space="preserve">, 2011 :26 ; Le Bourhis &amp; </w:t>
      </w:r>
      <w:proofErr w:type="spellStart"/>
      <w:r w:rsidRPr="009B6D19">
        <w:rPr>
          <w:rFonts w:ascii="Garamond" w:hAnsi="Garamond"/>
        </w:rPr>
        <w:t>Lascoumes</w:t>
      </w:r>
      <w:proofErr w:type="spellEnd"/>
      <w:r w:rsidRPr="009B6D19">
        <w:rPr>
          <w:rFonts w:ascii="Garamond" w:hAnsi="Garamond"/>
        </w:rPr>
        <w:t>, 2011).</w:t>
      </w:r>
      <w:r>
        <w:rPr>
          <w:rFonts w:ascii="Garamond" w:hAnsi="Garamond"/>
        </w:rPr>
        <w:t xml:space="preserve"> C’est le cas de certaines réformes entreprises dans beaucoup des pays africains mais qui ont conservé les tares des institutions préexistantes auxquel</w:t>
      </w:r>
      <w:r w:rsidR="00FC3A25">
        <w:rPr>
          <w:rFonts w:ascii="Garamond" w:hAnsi="Garamond"/>
        </w:rPr>
        <w:t>les</w:t>
      </w:r>
      <w:r>
        <w:rPr>
          <w:rFonts w:ascii="Garamond" w:hAnsi="Garamond"/>
        </w:rPr>
        <w:t xml:space="preserve"> </w:t>
      </w:r>
      <w:r w:rsidR="00353DEA">
        <w:rPr>
          <w:rFonts w:ascii="Garamond" w:hAnsi="Garamond"/>
        </w:rPr>
        <w:t>elles</w:t>
      </w:r>
      <w:r>
        <w:rPr>
          <w:rFonts w:ascii="Garamond" w:hAnsi="Garamond"/>
        </w:rPr>
        <w:t xml:space="preserve"> ont été longtemps exposé</w:t>
      </w:r>
      <w:r w:rsidR="00353DEA">
        <w:rPr>
          <w:rFonts w:ascii="Garamond" w:hAnsi="Garamond"/>
        </w:rPr>
        <w:t>e</w:t>
      </w:r>
      <w:r>
        <w:rPr>
          <w:rFonts w:ascii="Garamond" w:hAnsi="Garamond"/>
        </w:rPr>
        <w:t>s</w:t>
      </w:r>
      <w:r w:rsidR="009A2169">
        <w:rPr>
          <w:rFonts w:ascii="Garamond" w:hAnsi="Garamond"/>
        </w:rPr>
        <w:t xml:space="preserve"> (Signé, 2014)</w:t>
      </w:r>
      <w:r>
        <w:rPr>
          <w:rFonts w:ascii="Garamond" w:hAnsi="Garamond"/>
        </w:rPr>
        <w:t xml:space="preserve">.  </w:t>
      </w:r>
    </w:p>
    <w:p w14:paraId="76B81560" w14:textId="5AB946AC" w:rsidR="00804868" w:rsidRPr="009B6D19" w:rsidRDefault="00804868" w:rsidP="00804868">
      <w:pPr>
        <w:rPr>
          <w:rFonts w:ascii="Garamond" w:hAnsi="Garamond"/>
        </w:rPr>
      </w:pPr>
      <w:r w:rsidRPr="009B6D19">
        <w:rPr>
          <w:rFonts w:ascii="Garamond" w:hAnsi="Garamond"/>
        </w:rPr>
        <w:t>Cependant, la question qui persiste est celle de savoir s’il est possible de se défaire du poids de l’histoire qui a forgé la trajectoire</w:t>
      </w:r>
      <w:r>
        <w:rPr>
          <w:rFonts w:ascii="Garamond" w:hAnsi="Garamond"/>
        </w:rPr>
        <w:t xml:space="preserve"> et le développement i</w:t>
      </w:r>
      <w:r w:rsidRPr="009B6D19">
        <w:rPr>
          <w:rFonts w:ascii="Garamond" w:hAnsi="Garamond"/>
        </w:rPr>
        <w:t xml:space="preserve">nstitutionnels. Pour y répondre, </w:t>
      </w:r>
      <w:proofErr w:type="spellStart"/>
      <w:r w:rsidRPr="009B6D19">
        <w:rPr>
          <w:rFonts w:ascii="Garamond" w:hAnsi="Garamond"/>
        </w:rPr>
        <w:t>Kessy</w:t>
      </w:r>
      <w:proofErr w:type="spellEnd"/>
      <w:r w:rsidRPr="009B6D19">
        <w:rPr>
          <w:rFonts w:ascii="Garamond" w:hAnsi="Garamond"/>
        </w:rPr>
        <w:t xml:space="preserve"> (2018) évoque notamment la problématique de « </w:t>
      </w:r>
      <w:r w:rsidRPr="009B6D19">
        <w:rPr>
          <w:rFonts w:ascii="Garamond" w:hAnsi="Garamond"/>
          <w:i/>
        </w:rPr>
        <w:t>coûts de retour</w:t>
      </w:r>
      <w:r w:rsidRPr="009B6D19">
        <w:rPr>
          <w:rFonts w:ascii="Garamond" w:hAnsi="Garamond"/>
        </w:rPr>
        <w:t> ».</w:t>
      </w:r>
      <w:r>
        <w:rPr>
          <w:rFonts w:ascii="Garamond" w:hAnsi="Garamond"/>
        </w:rPr>
        <w:t xml:space="preserve"> La raison est simple. </w:t>
      </w:r>
      <w:r w:rsidR="005B63E2">
        <w:rPr>
          <w:rFonts w:ascii="Garamond" w:hAnsi="Garamond"/>
        </w:rPr>
        <w:t>C</w:t>
      </w:r>
      <w:r>
        <w:rPr>
          <w:rFonts w:ascii="Garamond" w:hAnsi="Garamond"/>
        </w:rPr>
        <w:t>erta</w:t>
      </w:r>
      <w:r w:rsidR="005B63E2">
        <w:rPr>
          <w:rFonts w:ascii="Garamond" w:hAnsi="Garamond"/>
        </w:rPr>
        <w:t>ins</w:t>
      </w:r>
      <w:r w:rsidRPr="009B6D19">
        <w:rPr>
          <w:rFonts w:ascii="Garamond" w:hAnsi="Garamond"/>
        </w:rPr>
        <w:t xml:space="preserve"> facteurs renforcent la dépendance institutionnelle. C’est le cas notamment des ressources investies par les acteurs dans une perspective de profits, les effets d’apprentissage qui de leur part, servent à conforter la valeur et l’utilité ainsi que les effets de coordination (</w:t>
      </w:r>
      <w:proofErr w:type="spellStart"/>
      <w:r w:rsidRPr="009B6D19">
        <w:rPr>
          <w:rFonts w:ascii="Garamond" w:hAnsi="Garamond"/>
        </w:rPr>
        <w:t>Awortwi</w:t>
      </w:r>
      <w:proofErr w:type="spellEnd"/>
      <w:r w:rsidRPr="009B6D19">
        <w:rPr>
          <w:rFonts w:ascii="Garamond" w:hAnsi="Garamond"/>
        </w:rPr>
        <w:t>, 2011) et le prestige que ces derniers procurent</w:t>
      </w:r>
      <w:r w:rsidR="00C1089D">
        <w:rPr>
          <w:rFonts w:ascii="Garamond" w:hAnsi="Garamond"/>
        </w:rPr>
        <w:t xml:space="preserve"> (</w:t>
      </w:r>
      <w:proofErr w:type="spellStart"/>
      <w:r w:rsidR="00301B8C">
        <w:rPr>
          <w:rFonts w:ascii="Garamond" w:hAnsi="Garamond"/>
        </w:rPr>
        <w:t>Kpadé</w:t>
      </w:r>
      <w:proofErr w:type="spellEnd"/>
      <w:r w:rsidR="00301B8C">
        <w:rPr>
          <w:rFonts w:ascii="Garamond" w:hAnsi="Garamond"/>
        </w:rPr>
        <w:t xml:space="preserve">, &amp; </w:t>
      </w:r>
      <w:proofErr w:type="spellStart"/>
      <w:r w:rsidR="00301B8C">
        <w:rPr>
          <w:rFonts w:ascii="Garamond" w:hAnsi="Garamond"/>
        </w:rPr>
        <w:t>Boinon</w:t>
      </w:r>
      <w:proofErr w:type="spellEnd"/>
      <w:r w:rsidR="00301B8C">
        <w:rPr>
          <w:rFonts w:ascii="Garamond" w:hAnsi="Garamond"/>
        </w:rPr>
        <w:t xml:space="preserve">, </w:t>
      </w:r>
      <w:r w:rsidR="00C1089D" w:rsidRPr="009B6D19">
        <w:rPr>
          <w:rFonts w:ascii="Garamond" w:hAnsi="Garamond"/>
        </w:rPr>
        <w:t>2011)</w:t>
      </w:r>
      <w:r w:rsidRPr="009B6D19">
        <w:rPr>
          <w:rFonts w:ascii="Garamond" w:hAnsi="Garamond"/>
        </w:rPr>
        <w:t xml:space="preserve">. Ainsi, au regard du caractère onéreux de ces facteurs de dépendance institutionnelle, toute tentative de table rase </w:t>
      </w:r>
      <w:r w:rsidR="00353DEA">
        <w:rPr>
          <w:rFonts w:ascii="Garamond" w:hAnsi="Garamond"/>
        </w:rPr>
        <w:t xml:space="preserve">institutionnelle </w:t>
      </w:r>
      <w:r w:rsidRPr="009B6D19">
        <w:rPr>
          <w:rFonts w:ascii="Garamond" w:hAnsi="Garamond"/>
        </w:rPr>
        <w:t>reviendrait à effectuer une analyse d’avantages comparatifs qui, la plupart de fois, plaide en faveur de la capitalisation des acquis. Avec le temps, ces facteurs et mécanismes s’auto-</w:t>
      </w:r>
      <w:r w:rsidRPr="009B6D19">
        <w:rPr>
          <w:rFonts w:ascii="Garamond" w:hAnsi="Garamond"/>
        </w:rPr>
        <w:lastRenderedPageBreak/>
        <w:t>renforcent, se développent et se consolident de façon à ériger une barrière de résistance contre toute tentative de réforme à telle enseigne qu’envisager un autre choix revient à s’accommoder aux arrangements institutionnels préexistants. C’est ce que Merrien (2000 : 41) désigne par « </w:t>
      </w:r>
      <w:r w:rsidR="00353DEA">
        <w:rPr>
          <w:rFonts w:ascii="Garamond" w:hAnsi="Garamond"/>
          <w:i/>
        </w:rPr>
        <w:t>empreintes d’</w:t>
      </w:r>
      <w:r w:rsidRPr="009B6D19">
        <w:rPr>
          <w:rFonts w:ascii="Garamond" w:hAnsi="Garamond"/>
          <w:i/>
        </w:rPr>
        <w:t>origine</w:t>
      </w:r>
      <w:r w:rsidRPr="009B6D19">
        <w:rPr>
          <w:rFonts w:ascii="Garamond" w:hAnsi="Garamond"/>
        </w:rPr>
        <w:t> ». La persistance de ces dernières s’explique notamment</w:t>
      </w:r>
      <w:r>
        <w:rPr>
          <w:rFonts w:ascii="Garamond" w:hAnsi="Garamond"/>
        </w:rPr>
        <w:t xml:space="preserve"> </w:t>
      </w:r>
      <w:r w:rsidRPr="009B6D19">
        <w:rPr>
          <w:rFonts w:ascii="Garamond" w:hAnsi="Garamond"/>
        </w:rPr>
        <w:t>par la nécessité de</w:t>
      </w:r>
      <w:r>
        <w:rPr>
          <w:rFonts w:ascii="Garamond" w:hAnsi="Garamond"/>
        </w:rPr>
        <w:t xml:space="preserve"> </w:t>
      </w:r>
      <w:r w:rsidRPr="009B6D19">
        <w:rPr>
          <w:rFonts w:ascii="Garamond" w:hAnsi="Garamond"/>
        </w:rPr>
        <w:t>couvrir parfaitement les intérêts des acteurs institutionnels dominants (</w:t>
      </w:r>
      <w:proofErr w:type="spellStart"/>
      <w:r w:rsidRPr="009B6D19">
        <w:rPr>
          <w:rFonts w:ascii="Garamond" w:hAnsi="Garamond"/>
        </w:rPr>
        <w:t>Awortwi</w:t>
      </w:r>
      <w:proofErr w:type="spellEnd"/>
      <w:r w:rsidRPr="009B6D19">
        <w:rPr>
          <w:rFonts w:ascii="Garamond" w:hAnsi="Garamond"/>
        </w:rPr>
        <w:t>, 2011) et la peur d’abandonner les sentiers battus, pour ne pas</w:t>
      </w:r>
      <w:r>
        <w:t xml:space="preserve"> </w:t>
      </w:r>
      <w:r w:rsidRPr="009B6D19">
        <w:rPr>
          <w:rFonts w:ascii="Garamond" w:hAnsi="Garamond"/>
        </w:rPr>
        <w:t>dire, la peur du changement. En disposer autrement, reviendrait à supporter les coûts de retour. C’est pourquoi, plus une institution est en place pendant longtemps, plus elle a tendance à se pérenniser et à consacrer la routine (</w:t>
      </w:r>
      <w:proofErr w:type="spellStart"/>
      <w:r w:rsidRPr="009B6D19">
        <w:rPr>
          <w:rFonts w:ascii="Garamond" w:hAnsi="Garamond"/>
        </w:rPr>
        <w:t>Kessy</w:t>
      </w:r>
      <w:proofErr w:type="spellEnd"/>
      <w:r w:rsidRPr="009B6D19">
        <w:rPr>
          <w:rFonts w:ascii="Garamond" w:hAnsi="Garamond"/>
        </w:rPr>
        <w:t xml:space="preserve">, 2018, </w:t>
      </w:r>
      <w:proofErr w:type="spellStart"/>
      <w:r w:rsidRPr="009B6D19">
        <w:rPr>
          <w:rFonts w:ascii="Garamond" w:hAnsi="Garamond"/>
        </w:rPr>
        <w:t>Bèzes</w:t>
      </w:r>
      <w:proofErr w:type="spellEnd"/>
      <w:r w:rsidRPr="009B6D19">
        <w:rPr>
          <w:rFonts w:ascii="Garamond" w:hAnsi="Garamond"/>
        </w:rPr>
        <w:t xml:space="preserve"> &amp; Palier 2018 : 1086). C’est ce qui explique le </w:t>
      </w:r>
      <w:r w:rsidRPr="009B6D19">
        <w:rPr>
          <w:rFonts w:ascii="Garamond" w:hAnsi="Garamond"/>
          <w:i/>
        </w:rPr>
        <w:t>statu quo</w:t>
      </w:r>
      <w:r w:rsidRPr="009B6D19">
        <w:rPr>
          <w:rFonts w:ascii="Garamond" w:hAnsi="Garamond"/>
        </w:rPr>
        <w:t xml:space="preserve"> et la résistance</w:t>
      </w:r>
      <w:r>
        <w:rPr>
          <w:rFonts w:ascii="Garamond" w:hAnsi="Garamond"/>
        </w:rPr>
        <w:t xml:space="preserve"> lors de la mise en œuvre des </w:t>
      </w:r>
      <w:r w:rsidRPr="009B6D19">
        <w:rPr>
          <w:rFonts w:ascii="Garamond" w:hAnsi="Garamond"/>
        </w:rPr>
        <w:t>réformes notamment celles tendant à rendre aux entités locales leur</w:t>
      </w:r>
      <w:r>
        <w:rPr>
          <w:rFonts w:ascii="Garamond" w:hAnsi="Garamond"/>
        </w:rPr>
        <w:t xml:space="preserve"> autonomie sur le plan financier. </w:t>
      </w:r>
      <w:r w:rsidRPr="009B6D19">
        <w:rPr>
          <w:rFonts w:ascii="Garamond" w:hAnsi="Garamond"/>
        </w:rPr>
        <w:t xml:space="preserve">Ces </w:t>
      </w:r>
      <w:r w:rsidRPr="009B6D19">
        <w:rPr>
          <w:rFonts w:ascii="Garamond" w:hAnsi="Garamond"/>
          <w:i/>
        </w:rPr>
        <w:t>statu quo</w:t>
      </w:r>
      <w:r w:rsidRPr="009B6D19">
        <w:rPr>
          <w:rFonts w:ascii="Garamond" w:hAnsi="Garamond"/>
        </w:rPr>
        <w:t xml:space="preserve"> et inerties sont la conséquence </w:t>
      </w:r>
      <w:r>
        <w:rPr>
          <w:rFonts w:ascii="Garamond" w:hAnsi="Garamond"/>
        </w:rPr>
        <w:t>de l’impact</w:t>
      </w:r>
      <w:r w:rsidRPr="009B6D19">
        <w:rPr>
          <w:rFonts w:ascii="Garamond" w:hAnsi="Garamond"/>
        </w:rPr>
        <w:t xml:space="preserve"> que jouent les constructions mentales (North, 1990) sur la persistance d’institutions inefficaces et incapables d’impulser le changement. </w:t>
      </w:r>
    </w:p>
    <w:p w14:paraId="0F190821" w14:textId="7F4AA89A" w:rsidR="00804868" w:rsidRPr="009B6D19" w:rsidRDefault="00804868" w:rsidP="00804868">
      <w:pPr>
        <w:rPr>
          <w:rFonts w:ascii="Garamond" w:hAnsi="Garamond"/>
        </w:rPr>
      </w:pPr>
      <w:r w:rsidRPr="009B6D19">
        <w:rPr>
          <w:rFonts w:ascii="Garamond" w:hAnsi="Garamond"/>
        </w:rPr>
        <w:t>Par ailleurs, parvenir à faire sauter le verrou institutionnel constitue un véritable défi dans la conduite des réformes. Si certains</w:t>
      </w:r>
      <w:r w:rsidR="003A7E9A">
        <w:rPr>
          <w:rFonts w:ascii="Garamond" w:hAnsi="Garamond"/>
        </w:rPr>
        <w:t xml:space="preserve"> chercheurs</w:t>
      </w:r>
      <w:r w:rsidRPr="009B6D19">
        <w:rPr>
          <w:rFonts w:ascii="Garamond" w:hAnsi="Garamond"/>
        </w:rPr>
        <w:t xml:space="preserve"> pensent que seule une pression exogène est susceptible d’entrainer une « </w:t>
      </w:r>
      <w:r w:rsidRPr="009B6D19">
        <w:rPr>
          <w:rFonts w:ascii="Garamond" w:hAnsi="Garamond"/>
          <w:i/>
        </w:rPr>
        <w:t>conjoncture critique</w:t>
      </w:r>
      <w:r w:rsidRPr="009B6D19">
        <w:rPr>
          <w:rFonts w:ascii="Garamond" w:hAnsi="Garamond"/>
        </w:rPr>
        <w:t> » (Pierson, 2000), d’autres encore estiment que les facteurs endogènes peuvent également conduire vers de nouvelles bifurcations (</w:t>
      </w:r>
      <w:proofErr w:type="spellStart"/>
      <w:r w:rsidRPr="009B6D19">
        <w:rPr>
          <w:rFonts w:ascii="Garamond" w:hAnsi="Garamond"/>
        </w:rPr>
        <w:t>Ke</w:t>
      </w:r>
      <w:r w:rsidR="00EC24E5">
        <w:rPr>
          <w:rFonts w:ascii="Garamond" w:hAnsi="Garamond"/>
        </w:rPr>
        <w:t>ssey</w:t>
      </w:r>
      <w:proofErr w:type="spellEnd"/>
      <w:r w:rsidR="00EC24E5">
        <w:rPr>
          <w:rFonts w:ascii="Garamond" w:hAnsi="Garamond"/>
        </w:rPr>
        <w:t xml:space="preserve">, 2018 ; </w:t>
      </w:r>
      <w:proofErr w:type="spellStart"/>
      <w:r w:rsidRPr="009B6D19">
        <w:rPr>
          <w:rFonts w:ascii="Garamond" w:hAnsi="Garamond"/>
        </w:rPr>
        <w:t>Awortwi</w:t>
      </w:r>
      <w:proofErr w:type="spellEnd"/>
      <w:r w:rsidRPr="009B6D19">
        <w:rPr>
          <w:rFonts w:ascii="Garamond" w:hAnsi="Garamond"/>
        </w:rPr>
        <w:t xml:space="preserve">, 2011 ; </w:t>
      </w:r>
      <w:proofErr w:type="spellStart"/>
      <w:r w:rsidR="00A97E3B">
        <w:rPr>
          <w:rFonts w:ascii="Garamond" w:hAnsi="Garamond"/>
        </w:rPr>
        <w:t>Mahoney</w:t>
      </w:r>
      <w:proofErr w:type="spellEnd"/>
      <w:r w:rsidR="00A97E3B">
        <w:rPr>
          <w:rFonts w:ascii="Garamond" w:hAnsi="Garamond"/>
        </w:rPr>
        <w:t xml:space="preserve"> &amp; </w:t>
      </w:r>
      <w:proofErr w:type="spellStart"/>
      <w:r w:rsidRPr="009B6D19">
        <w:rPr>
          <w:rFonts w:ascii="Garamond" w:hAnsi="Garamond"/>
        </w:rPr>
        <w:t>Thelen</w:t>
      </w:r>
      <w:proofErr w:type="spellEnd"/>
      <w:r w:rsidRPr="009B6D19">
        <w:rPr>
          <w:rFonts w:ascii="Garamond" w:hAnsi="Garamond"/>
        </w:rPr>
        <w:t>, 20</w:t>
      </w:r>
      <w:r w:rsidR="00A97E3B">
        <w:rPr>
          <w:rFonts w:ascii="Garamond" w:hAnsi="Garamond"/>
        </w:rPr>
        <w:t>1</w:t>
      </w:r>
      <w:r w:rsidRPr="009B6D19">
        <w:rPr>
          <w:rFonts w:ascii="Garamond" w:hAnsi="Garamond"/>
        </w:rPr>
        <w:t>0). Les premiers penseurs estiment que toute pression exogène</w:t>
      </w:r>
      <w:r>
        <w:rPr>
          <w:rFonts w:ascii="Garamond" w:hAnsi="Garamond"/>
        </w:rPr>
        <w:t xml:space="preserve"> accompagnée d’une</w:t>
      </w:r>
      <w:r>
        <w:t xml:space="preserve"> </w:t>
      </w:r>
      <w:r w:rsidRPr="009B6D19">
        <w:rPr>
          <w:rFonts w:ascii="Garamond" w:hAnsi="Garamond"/>
        </w:rPr>
        <w:t xml:space="preserve">contrepartie, permet de se défaire de la dépendance au sentier et </w:t>
      </w:r>
      <w:r>
        <w:rPr>
          <w:rFonts w:ascii="Garamond" w:hAnsi="Garamond"/>
        </w:rPr>
        <w:t xml:space="preserve">d’accroitre l’efficience et l’efficacité des </w:t>
      </w:r>
      <w:r w:rsidRPr="009B6D19">
        <w:rPr>
          <w:rFonts w:ascii="Garamond" w:hAnsi="Garamond"/>
        </w:rPr>
        <w:t>réformes. Ils illustrent leur argumentaire par l’instauration de la réforme de la décentralisation entreprise dans beaucoup</w:t>
      </w:r>
      <w:r>
        <w:rPr>
          <w:rFonts w:ascii="Garamond" w:hAnsi="Garamond"/>
        </w:rPr>
        <w:t xml:space="preserve"> des pays africains </w:t>
      </w:r>
      <w:r w:rsidRPr="009B6D19">
        <w:rPr>
          <w:rFonts w:ascii="Garamond" w:hAnsi="Garamond"/>
        </w:rPr>
        <w:t>comme contrepartie de bénéficier d’un emprunt auprès du FMI. D’autres facteurs exogènes inattendus, peuvent entrainer l’orientation vers de nouvelles bifurcations. C’est le cas notamment la crise économique internationale de 2008 qui, selon Tellier (2020) a entra</w:t>
      </w:r>
      <w:r>
        <w:rPr>
          <w:rFonts w:ascii="Garamond" w:hAnsi="Garamond"/>
        </w:rPr>
        <w:t xml:space="preserve">iné la modification en profondeur des rôles et responsabilités des </w:t>
      </w:r>
      <w:r w:rsidRPr="009B6D19">
        <w:rPr>
          <w:rFonts w:ascii="Garamond" w:hAnsi="Garamond"/>
        </w:rPr>
        <w:t xml:space="preserve">autorités budgétaires. </w:t>
      </w:r>
    </w:p>
    <w:p w14:paraId="4E5994F5" w14:textId="7FC5B3FF" w:rsidR="00804868" w:rsidRPr="009B6D19" w:rsidRDefault="00804868" w:rsidP="00804868">
      <w:pPr>
        <w:rPr>
          <w:rFonts w:ascii="Garamond" w:hAnsi="Garamond"/>
        </w:rPr>
      </w:pPr>
      <w:r w:rsidRPr="009B6D19">
        <w:rPr>
          <w:rFonts w:ascii="Garamond" w:hAnsi="Garamond"/>
        </w:rPr>
        <w:t xml:space="preserve">De leur part, les défenseurs de la seconde </w:t>
      </w:r>
      <w:r w:rsidR="003A7E9A">
        <w:rPr>
          <w:rFonts w:ascii="Garamond" w:hAnsi="Garamond"/>
        </w:rPr>
        <w:t>thèse</w:t>
      </w:r>
      <w:r w:rsidRPr="009B6D19">
        <w:rPr>
          <w:rFonts w:ascii="Garamond" w:hAnsi="Garamond"/>
        </w:rPr>
        <w:t xml:space="preserve"> motivent leur point de vue par le fait que des crises internes ou des situations des conflits peuvent déclencher des tables rondes ou au pire des cas, des révolution</w:t>
      </w:r>
      <w:r>
        <w:rPr>
          <w:rFonts w:ascii="Garamond" w:hAnsi="Garamond"/>
        </w:rPr>
        <w:t>s</w:t>
      </w:r>
      <w:r w:rsidRPr="009B6D19">
        <w:rPr>
          <w:rFonts w:ascii="Garamond" w:hAnsi="Garamond"/>
        </w:rPr>
        <w:t xml:space="preserve"> qui déboucheront sur des réformes comme mécanisme de résolution pacifique des conflits. Nonobstant ces pressions endogènes ou exogènes, beaucoup des réformes n’ont pas quitté l’aspect formel, c’est-à-dire, qu’elles existent juste parce qu’elles sont coulées sous forme des lois ou règlements. </w:t>
      </w:r>
      <w:r>
        <w:rPr>
          <w:rFonts w:ascii="Garamond" w:hAnsi="Garamond"/>
        </w:rPr>
        <w:t>Entre temps</w:t>
      </w:r>
      <w:r w:rsidRPr="009B6D19">
        <w:rPr>
          <w:rFonts w:ascii="Garamond" w:hAnsi="Garamond"/>
        </w:rPr>
        <w:t xml:space="preserve">, sur le plan pratique, une place de choix est accordée aux </w:t>
      </w:r>
      <w:r w:rsidR="00FC3A25">
        <w:rPr>
          <w:rFonts w:ascii="Garamond" w:hAnsi="Garamond"/>
        </w:rPr>
        <w:t>méta-choix, lesquel</w:t>
      </w:r>
      <w:r w:rsidRPr="009B6D19">
        <w:rPr>
          <w:rFonts w:ascii="Garamond" w:hAnsi="Garamond"/>
        </w:rPr>
        <w:t>s ne sont que la résultante des normes sociales, des conventions et codes d</w:t>
      </w:r>
      <w:r w:rsidR="00B60AA6">
        <w:rPr>
          <w:rFonts w:ascii="Garamond" w:hAnsi="Garamond"/>
        </w:rPr>
        <w:t>es conduites. Tant que ces de</w:t>
      </w:r>
      <w:r w:rsidR="003747D6">
        <w:rPr>
          <w:rFonts w:ascii="Garamond" w:hAnsi="Garamond"/>
        </w:rPr>
        <w:t>r</w:t>
      </w:r>
      <w:r w:rsidR="00FC3A25">
        <w:rPr>
          <w:rFonts w:ascii="Garamond" w:hAnsi="Garamond"/>
        </w:rPr>
        <w:t>nie</w:t>
      </w:r>
      <w:r w:rsidRPr="009B6D19">
        <w:rPr>
          <w:rFonts w:ascii="Garamond" w:hAnsi="Garamond"/>
        </w:rPr>
        <w:t>rs continuent à assurer les intérêts des acteurs dominants, entrevoir un quelconque changement devient hypothétique. La stagnation</w:t>
      </w:r>
      <w:r>
        <w:rPr>
          <w:rFonts w:ascii="Garamond" w:hAnsi="Garamond"/>
        </w:rPr>
        <w:t xml:space="preserve"> de la réforme de la </w:t>
      </w:r>
      <w:r>
        <w:rPr>
          <w:rFonts w:ascii="Garamond" w:hAnsi="Garamond"/>
        </w:rPr>
        <w:lastRenderedPageBreak/>
        <w:t xml:space="preserve">décentralisation malgré les fortes pressions et la contrepartie qui </w:t>
      </w:r>
      <w:r w:rsidR="003A7E9A">
        <w:rPr>
          <w:rFonts w:ascii="Garamond" w:hAnsi="Garamond"/>
        </w:rPr>
        <w:t>sont</w:t>
      </w:r>
      <w:r>
        <w:rPr>
          <w:rFonts w:ascii="Garamond" w:hAnsi="Garamond"/>
        </w:rPr>
        <w:t xml:space="preserve"> mise</w:t>
      </w:r>
      <w:r w:rsidR="005E574F">
        <w:rPr>
          <w:rFonts w:ascii="Garamond" w:hAnsi="Garamond"/>
        </w:rPr>
        <w:t>s</w:t>
      </w:r>
      <w:r>
        <w:rPr>
          <w:rFonts w:ascii="Garamond" w:hAnsi="Garamond"/>
        </w:rPr>
        <w:t xml:space="preserve"> en jeu, </w:t>
      </w:r>
      <w:r w:rsidRPr="009B6D19">
        <w:rPr>
          <w:rFonts w:ascii="Garamond" w:hAnsi="Garamond"/>
        </w:rPr>
        <w:t xml:space="preserve">démontre </w:t>
      </w:r>
      <w:r>
        <w:rPr>
          <w:rFonts w:ascii="Garamond" w:hAnsi="Garamond"/>
        </w:rPr>
        <w:t>que les acteurs dominants</w:t>
      </w:r>
      <w:r>
        <w:t xml:space="preserve"> </w:t>
      </w:r>
      <w:r w:rsidRPr="009B6D19">
        <w:rPr>
          <w:rFonts w:ascii="Garamond" w:hAnsi="Garamond"/>
        </w:rPr>
        <w:t>tiennent mordicus</w:t>
      </w:r>
      <w:r>
        <w:rPr>
          <w:rFonts w:ascii="Garamond" w:hAnsi="Garamond"/>
        </w:rPr>
        <w:t xml:space="preserve"> aux intérêts multiformes.</w:t>
      </w:r>
      <w:r w:rsidRPr="009B6D19">
        <w:rPr>
          <w:rFonts w:ascii="Garamond" w:hAnsi="Garamond"/>
        </w:rPr>
        <w:t xml:space="preserve"> </w:t>
      </w:r>
    </w:p>
    <w:p w14:paraId="5DB452F8" w14:textId="4AD52EED" w:rsidR="00804868" w:rsidRPr="009B6D19" w:rsidRDefault="00804868" w:rsidP="00804868">
      <w:pPr>
        <w:rPr>
          <w:rFonts w:ascii="Garamond" w:hAnsi="Garamond"/>
        </w:rPr>
      </w:pPr>
      <w:proofErr w:type="spellStart"/>
      <w:r w:rsidRPr="009B6D19">
        <w:rPr>
          <w:rFonts w:ascii="Garamond" w:hAnsi="Garamond"/>
        </w:rPr>
        <w:t>Awortwi</w:t>
      </w:r>
      <w:proofErr w:type="spellEnd"/>
      <w:r w:rsidRPr="009B6D19">
        <w:rPr>
          <w:rFonts w:ascii="Garamond" w:hAnsi="Garamond"/>
        </w:rPr>
        <w:t xml:space="preserve"> (2011) pense par contre, que seule une démarche méthodique peut parvenir à déclencher des réactions visant à se défaire d’enracinements institutionnels et </w:t>
      </w:r>
      <w:r w:rsidR="00B60AA6">
        <w:rPr>
          <w:rFonts w:ascii="Garamond" w:hAnsi="Garamond"/>
        </w:rPr>
        <w:t>conduire à</w:t>
      </w:r>
      <w:r w:rsidRPr="009B6D19">
        <w:rPr>
          <w:rFonts w:ascii="Garamond" w:hAnsi="Garamond"/>
        </w:rPr>
        <w:t xml:space="preserve"> de nouvelles bifurcations. Pour cet auteur, les trois facteurs principaux susceptibles d’influencer l’évolution vers des nouvelles bifurcations sont les suivants : (i) la stratification institutionnelle, (ii) la conversion et, (iii) acteurs marginaux. Si la stratification institutionnelle procède par l’utilisation, d’une autre manière, des institutions préexistantes, la conversion quant à elle, consiste à se servir des institutions existantes. Cette conversion institutionnelle contribue simultanément à la continuité et aux changements institutionnels au fil du temps (</w:t>
      </w:r>
      <w:proofErr w:type="spellStart"/>
      <w:r w:rsidRPr="009B6D19">
        <w:rPr>
          <w:rFonts w:ascii="Garamond" w:hAnsi="Garamond"/>
        </w:rPr>
        <w:t>Thelen</w:t>
      </w:r>
      <w:proofErr w:type="spellEnd"/>
      <w:r w:rsidRPr="009B6D19">
        <w:rPr>
          <w:rFonts w:ascii="Garamond" w:hAnsi="Garamond"/>
        </w:rPr>
        <w:t>, 2000 : 105). En fin, les acteurs marginaux utilisent les mécanismes existants pour orienter une trajectoire dans</w:t>
      </w:r>
      <w:r w:rsidR="00B60AA6">
        <w:rPr>
          <w:rFonts w:ascii="Garamond" w:hAnsi="Garamond"/>
        </w:rPr>
        <w:t xml:space="preserve"> une autre direction. Toutefois et </w:t>
      </w:r>
      <w:r w:rsidRPr="009B6D19">
        <w:rPr>
          <w:rFonts w:ascii="Garamond" w:hAnsi="Garamond"/>
        </w:rPr>
        <w:t xml:space="preserve">dans tous les cas, le niveau de leadership, </w:t>
      </w:r>
      <w:r w:rsidR="00B60AA6">
        <w:rPr>
          <w:rFonts w:ascii="Garamond" w:hAnsi="Garamond"/>
        </w:rPr>
        <w:t>la</w:t>
      </w:r>
      <w:r w:rsidRPr="009B6D19">
        <w:rPr>
          <w:rFonts w:ascii="Garamond" w:hAnsi="Garamond"/>
        </w:rPr>
        <w:t xml:space="preserve"> volonté politique et la maturité politique des acteurs de la société civile constituent des tremplins importants pour propulser les réformes y compris celles de la responsabilisation financière et de la reddition des comptes dans un contexte de décentralisation. </w:t>
      </w:r>
    </w:p>
    <w:p w14:paraId="69DFD75F" w14:textId="23AF722C" w:rsidR="00804868" w:rsidRPr="009B6D19" w:rsidRDefault="00804868" w:rsidP="00804868">
      <w:pPr>
        <w:rPr>
          <w:rFonts w:ascii="Garamond" w:hAnsi="Garamond"/>
        </w:rPr>
      </w:pPr>
      <w:r w:rsidRPr="009B6D19">
        <w:rPr>
          <w:rFonts w:ascii="Garamond" w:hAnsi="Garamond"/>
        </w:rPr>
        <w:t>En outre, une étude se servant de la théorie de la dépendance au sentier doit nécessairement passer par les cinq séquences ou composantes mobilisées par Mahoney (2001), comme dimensions</w:t>
      </w:r>
      <w:r>
        <w:rPr>
          <w:rFonts w:ascii="Garamond" w:hAnsi="Garamond"/>
        </w:rPr>
        <w:t xml:space="preserve"> </w:t>
      </w:r>
      <w:r w:rsidR="00B60AA6">
        <w:rPr>
          <w:rFonts w:ascii="Garamond" w:hAnsi="Garamond"/>
        </w:rPr>
        <w:t>d’</w:t>
      </w:r>
      <w:r w:rsidR="003A7E9A">
        <w:rPr>
          <w:rFonts w:ascii="Garamond" w:hAnsi="Garamond"/>
        </w:rPr>
        <w:t>analyse de la</w:t>
      </w:r>
      <w:r>
        <w:rPr>
          <w:rFonts w:ascii="Garamond" w:hAnsi="Garamond"/>
        </w:rPr>
        <w:t xml:space="preserve"> trajectoire institutionnelle</w:t>
      </w:r>
      <w:r w:rsidRPr="009B6D19">
        <w:rPr>
          <w:rFonts w:ascii="Garamond" w:hAnsi="Garamond"/>
        </w:rPr>
        <w:t xml:space="preserve"> (</w:t>
      </w:r>
      <w:proofErr w:type="spellStart"/>
      <w:r w:rsidRPr="009B6D19">
        <w:rPr>
          <w:rFonts w:ascii="Garamond" w:hAnsi="Garamond"/>
        </w:rPr>
        <w:t>Kessy</w:t>
      </w:r>
      <w:proofErr w:type="spellEnd"/>
      <w:r w:rsidRPr="009B6D19">
        <w:rPr>
          <w:rFonts w:ascii="Garamond" w:hAnsi="Garamond"/>
        </w:rPr>
        <w:t xml:space="preserve">, 2018 ; </w:t>
      </w:r>
      <w:proofErr w:type="spellStart"/>
      <w:r w:rsidRPr="009B6D19">
        <w:rPr>
          <w:rFonts w:ascii="Garamond" w:hAnsi="Garamond"/>
        </w:rPr>
        <w:t>Kpadé</w:t>
      </w:r>
      <w:proofErr w:type="spellEnd"/>
      <w:r w:rsidRPr="009B6D19">
        <w:rPr>
          <w:rFonts w:ascii="Garamond" w:hAnsi="Garamond"/>
        </w:rPr>
        <w:t xml:space="preserve"> &amp; </w:t>
      </w:r>
      <w:proofErr w:type="spellStart"/>
      <w:r w:rsidRPr="009B6D19">
        <w:rPr>
          <w:rFonts w:ascii="Garamond" w:hAnsi="Garamond"/>
        </w:rPr>
        <w:t>Boinon</w:t>
      </w:r>
      <w:proofErr w:type="spellEnd"/>
      <w:r w:rsidRPr="009B6D19">
        <w:rPr>
          <w:rFonts w:ascii="Garamond" w:hAnsi="Garamond"/>
        </w:rPr>
        <w:t xml:space="preserve">, 2011 :59). Ces composantes sont les suivantes : (i) les conditions historiques antécédentes, (ii) le point critique, (iii) la persistance institutionnelle ou structure, (iv) la séance réactive et (v) le résultat final. </w:t>
      </w:r>
    </w:p>
    <w:p w14:paraId="4B564B33" w14:textId="4ADFFADE" w:rsidR="00804868" w:rsidRPr="009B6D19" w:rsidRDefault="00804868" w:rsidP="00804868">
      <w:pPr>
        <w:rPr>
          <w:rFonts w:ascii="Garamond" w:hAnsi="Garamond"/>
        </w:rPr>
      </w:pPr>
      <w:r w:rsidRPr="009B6D19">
        <w:rPr>
          <w:rFonts w:ascii="Garamond" w:hAnsi="Garamond"/>
        </w:rPr>
        <w:t xml:space="preserve">La phase de conditions historiques antécédentes consiste à définir les différentes options dont disposent les acteurs au moment du choix clé. C’est ce que David (1994), cité par </w:t>
      </w:r>
      <w:proofErr w:type="spellStart"/>
      <w:r w:rsidRPr="009B6D19">
        <w:rPr>
          <w:rFonts w:ascii="Garamond" w:hAnsi="Garamond"/>
        </w:rPr>
        <w:t>Kessey</w:t>
      </w:r>
      <w:proofErr w:type="spellEnd"/>
      <w:r w:rsidRPr="009B6D19">
        <w:rPr>
          <w:rFonts w:ascii="Garamond" w:hAnsi="Garamond"/>
        </w:rPr>
        <w:t xml:space="preserve"> (2018), va appeler « </w:t>
      </w:r>
      <w:r w:rsidRPr="009B6D19">
        <w:rPr>
          <w:rFonts w:ascii="Garamond" w:hAnsi="Garamond"/>
          <w:i/>
        </w:rPr>
        <w:t>les conditions du point initial</w:t>
      </w:r>
      <w:r w:rsidRPr="009B6D19">
        <w:rPr>
          <w:rFonts w:ascii="Garamond" w:hAnsi="Garamond"/>
        </w:rPr>
        <w:t xml:space="preserve"> ». Cette étape est plus importante parce que c’est à ce stade que des choix cruciaux sont faits par les décideurs politiques qui deviendront par la suite, le point de référence. Selon </w:t>
      </w:r>
      <w:proofErr w:type="spellStart"/>
      <w:r w:rsidRPr="009B6D19">
        <w:rPr>
          <w:rFonts w:ascii="Garamond" w:hAnsi="Garamond"/>
        </w:rPr>
        <w:t>Kpadé</w:t>
      </w:r>
      <w:proofErr w:type="spellEnd"/>
      <w:r w:rsidRPr="009B6D19">
        <w:rPr>
          <w:rFonts w:ascii="Garamond" w:hAnsi="Garamond"/>
        </w:rPr>
        <w:t xml:space="preserve"> &amp; </w:t>
      </w:r>
      <w:proofErr w:type="spellStart"/>
      <w:r w:rsidRPr="009B6D19">
        <w:rPr>
          <w:rFonts w:ascii="Garamond" w:hAnsi="Garamond"/>
        </w:rPr>
        <w:t>Boinon</w:t>
      </w:r>
      <w:proofErr w:type="spellEnd"/>
      <w:r w:rsidRPr="009B6D19">
        <w:rPr>
          <w:rFonts w:ascii="Garamond" w:hAnsi="Garamond"/>
        </w:rPr>
        <w:t xml:space="preserve"> (2011), leur degré d’impacts</w:t>
      </w:r>
      <w:r>
        <w:rPr>
          <w:rFonts w:ascii="Garamond" w:hAnsi="Garamond"/>
        </w:rPr>
        <w:t xml:space="preserve"> présage la vitesse des choix à opérer</w:t>
      </w:r>
      <w:r w:rsidRPr="009B6D19">
        <w:rPr>
          <w:rFonts w:ascii="Garamond" w:hAnsi="Garamond"/>
        </w:rPr>
        <w:t>. Toutefois</w:t>
      </w:r>
      <w:r w:rsidR="00E50D8E">
        <w:rPr>
          <w:rFonts w:ascii="Garamond" w:hAnsi="Garamond"/>
        </w:rPr>
        <w:t>, Mahoney (2001) ne spécifie pas</w:t>
      </w:r>
      <w:r w:rsidRPr="009B6D19">
        <w:rPr>
          <w:rFonts w:ascii="Garamond" w:hAnsi="Garamond"/>
        </w:rPr>
        <w:t xml:space="preserve"> le cadre de maturation et de filtrage de ces conditions antécédentes et les facteurs qui favorisent leur émergence. Il ne précise pas non plus les critères de choix des conditions antécédentes</w:t>
      </w:r>
      <w:r>
        <w:rPr>
          <w:rFonts w:ascii="Garamond" w:hAnsi="Garamond"/>
        </w:rPr>
        <w:t xml:space="preserve"> dans le but de leur p</w:t>
      </w:r>
      <w:r w:rsidRPr="009B6D19">
        <w:rPr>
          <w:rFonts w:ascii="Garamond" w:hAnsi="Garamond"/>
        </w:rPr>
        <w:t xml:space="preserve">riorisation. </w:t>
      </w:r>
    </w:p>
    <w:p w14:paraId="488FCEC0" w14:textId="77777777" w:rsidR="00804868" w:rsidRPr="009B6D19" w:rsidRDefault="00804868" w:rsidP="00804868">
      <w:pPr>
        <w:rPr>
          <w:rFonts w:ascii="Garamond" w:hAnsi="Garamond"/>
        </w:rPr>
      </w:pPr>
      <w:r w:rsidRPr="009B6D19">
        <w:rPr>
          <w:rFonts w:ascii="Garamond" w:hAnsi="Garamond"/>
        </w:rPr>
        <w:t>En ce qui concerne la phase</w:t>
      </w:r>
      <w:r>
        <w:rPr>
          <w:rFonts w:ascii="Garamond" w:hAnsi="Garamond"/>
        </w:rPr>
        <w:t xml:space="preserve"> </w:t>
      </w:r>
      <w:r w:rsidRPr="009B6D19">
        <w:rPr>
          <w:rFonts w:ascii="Garamond" w:hAnsi="Garamond"/>
        </w:rPr>
        <w:t>du « point critique », elle constitue un événement ou une option particulière levée notamment en termes des politiques publiques, des réformes, de choix politiques ou de coalitions institutionnelles (</w:t>
      </w:r>
      <w:proofErr w:type="spellStart"/>
      <w:r w:rsidRPr="009B6D19">
        <w:rPr>
          <w:rFonts w:ascii="Garamond" w:hAnsi="Garamond"/>
        </w:rPr>
        <w:t>Mahoney</w:t>
      </w:r>
      <w:proofErr w:type="spellEnd"/>
      <w:r w:rsidRPr="009B6D19">
        <w:rPr>
          <w:rFonts w:ascii="Garamond" w:hAnsi="Garamond"/>
        </w:rPr>
        <w:t xml:space="preserve">, 2001 ; </w:t>
      </w:r>
      <w:proofErr w:type="spellStart"/>
      <w:r w:rsidRPr="009B6D19">
        <w:rPr>
          <w:rFonts w:ascii="Garamond" w:hAnsi="Garamond"/>
        </w:rPr>
        <w:t>Kessey</w:t>
      </w:r>
      <w:proofErr w:type="spellEnd"/>
      <w:r w:rsidRPr="009B6D19">
        <w:rPr>
          <w:rFonts w:ascii="Garamond" w:hAnsi="Garamond"/>
        </w:rPr>
        <w:t>, 2018). En effet, une fois que le choix est porté sur une option,</w:t>
      </w:r>
      <w:r>
        <w:rPr>
          <w:rFonts w:ascii="Garamond" w:hAnsi="Garamond"/>
        </w:rPr>
        <w:t xml:space="preserve"> il devient progressivement difficile de faire un demi-tour </w:t>
      </w:r>
      <w:r>
        <w:rPr>
          <w:rFonts w:ascii="Garamond" w:hAnsi="Garamond"/>
        </w:rPr>
        <w:lastRenderedPageBreak/>
        <w:t xml:space="preserve">quand bien même le choix d’autres alternatives demeure possible. </w:t>
      </w:r>
      <w:r w:rsidRPr="009B6D19">
        <w:rPr>
          <w:rFonts w:ascii="Garamond" w:hAnsi="Garamond"/>
        </w:rPr>
        <w:t xml:space="preserve">Ce point critique constitue un moment déterminant, une situation ou une circonstance particulière au cours desquels des changements radicaux et courageux sont portés en vue d’une rupture </w:t>
      </w:r>
      <w:r>
        <w:rPr>
          <w:rFonts w:ascii="Garamond" w:hAnsi="Garamond"/>
        </w:rPr>
        <w:t xml:space="preserve">avec </w:t>
      </w:r>
      <w:r w:rsidRPr="009B6D19">
        <w:rPr>
          <w:rFonts w:ascii="Garamond" w:hAnsi="Garamond"/>
        </w:rPr>
        <w:t xml:space="preserve">les équilibres passés historiquement constitués (Palier et </w:t>
      </w:r>
      <w:proofErr w:type="spellStart"/>
      <w:r w:rsidRPr="009B6D19">
        <w:rPr>
          <w:rFonts w:ascii="Garamond" w:hAnsi="Garamond"/>
        </w:rPr>
        <w:t>Surel</w:t>
      </w:r>
      <w:proofErr w:type="spellEnd"/>
      <w:r w:rsidRPr="009B6D19">
        <w:rPr>
          <w:rFonts w:ascii="Garamond" w:hAnsi="Garamond"/>
        </w:rPr>
        <w:t xml:space="preserve">, 2010 :23-24, </w:t>
      </w:r>
      <w:proofErr w:type="spellStart"/>
      <w:r w:rsidRPr="009B6D19">
        <w:rPr>
          <w:rFonts w:ascii="Garamond" w:hAnsi="Garamond"/>
        </w:rPr>
        <w:t>Kessey</w:t>
      </w:r>
      <w:proofErr w:type="spellEnd"/>
      <w:r w:rsidRPr="009B6D19">
        <w:rPr>
          <w:rFonts w:ascii="Garamond" w:hAnsi="Garamond"/>
        </w:rPr>
        <w:t xml:space="preserve">, 2018). Ainsi, des politiques publiques longtemps caractérisées par une inertie suite aux pesanteurs culturelles, politiques et économiques, connaissent des changements de façon brusque ou incrémentale. Les circonstances de ces changements d’avant la consécration de réformes par les textes légaux et règlementaires permettent de mieux comprendre ces pesanteurs.  </w:t>
      </w:r>
    </w:p>
    <w:p w14:paraId="4FFB72D1" w14:textId="1B1F311F" w:rsidR="00804868" w:rsidRPr="009B6D19" w:rsidRDefault="00804868" w:rsidP="00804868">
      <w:pPr>
        <w:rPr>
          <w:rFonts w:ascii="Garamond" w:hAnsi="Garamond"/>
        </w:rPr>
      </w:pPr>
      <w:r w:rsidRPr="009B6D19">
        <w:rPr>
          <w:rFonts w:ascii="Garamond" w:hAnsi="Garamond"/>
        </w:rPr>
        <w:t>La phase de « </w:t>
      </w:r>
      <w:r w:rsidRPr="009B6D19">
        <w:rPr>
          <w:rFonts w:ascii="Garamond" w:hAnsi="Garamond"/>
          <w:i/>
        </w:rPr>
        <w:t>persistance institutionnelle ou structurelle</w:t>
      </w:r>
      <w:r w:rsidRPr="009B6D19">
        <w:rPr>
          <w:rFonts w:ascii="Garamond" w:hAnsi="Garamond"/>
        </w:rPr>
        <w:t> » quant à elle, est consécutive aux effets d’auto-renforcements ou « </w:t>
      </w:r>
      <w:proofErr w:type="spellStart"/>
      <w:r w:rsidRPr="009B6D19">
        <w:rPr>
          <w:rFonts w:ascii="Garamond" w:hAnsi="Garamond"/>
          <w:i/>
        </w:rPr>
        <w:t>increasing</w:t>
      </w:r>
      <w:proofErr w:type="spellEnd"/>
      <w:r w:rsidRPr="009B6D19">
        <w:rPr>
          <w:rFonts w:ascii="Garamond" w:hAnsi="Garamond"/>
          <w:i/>
        </w:rPr>
        <w:t xml:space="preserve"> </w:t>
      </w:r>
      <w:proofErr w:type="spellStart"/>
      <w:r w:rsidRPr="009B6D19">
        <w:rPr>
          <w:rFonts w:ascii="Garamond" w:hAnsi="Garamond"/>
          <w:i/>
        </w:rPr>
        <w:t>returns</w:t>
      </w:r>
      <w:proofErr w:type="spellEnd"/>
      <w:r w:rsidRPr="009B6D19">
        <w:rPr>
          <w:rFonts w:ascii="Garamond" w:hAnsi="Garamond"/>
        </w:rPr>
        <w:t> » (Pierson, 2000) induits par les moments critiques. C’est l’étape au cours de laquelle</w:t>
      </w:r>
      <w:r>
        <w:rPr>
          <w:rFonts w:ascii="Garamond" w:hAnsi="Garamond"/>
        </w:rPr>
        <w:t xml:space="preserve"> </w:t>
      </w:r>
      <w:r w:rsidRPr="009B6D19">
        <w:rPr>
          <w:rFonts w:ascii="Garamond" w:hAnsi="Garamond"/>
        </w:rPr>
        <w:t>se forment des institutions persistantes, résistantes au changement et difficilement transformables (</w:t>
      </w:r>
      <w:proofErr w:type="spellStart"/>
      <w:r w:rsidRPr="009B6D19">
        <w:rPr>
          <w:rFonts w:ascii="Garamond" w:hAnsi="Garamond"/>
        </w:rPr>
        <w:t>Kpadé</w:t>
      </w:r>
      <w:proofErr w:type="spellEnd"/>
      <w:r w:rsidRPr="009B6D19">
        <w:rPr>
          <w:rFonts w:ascii="Garamond" w:hAnsi="Garamond"/>
        </w:rPr>
        <w:t xml:space="preserve"> &amp; </w:t>
      </w:r>
      <w:proofErr w:type="spellStart"/>
      <w:r w:rsidRPr="009B6D19">
        <w:rPr>
          <w:rFonts w:ascii="Garamond" w:hAnsi="Garamond"/>
        </w:rPr>
        <w:t>Boinon</w:t>
      </w:r>
      <w:proofErr w:type="spellEnd"/>
      <w:r w:rsidRPr="009B6D19">
        <w:rPr>
          <w:rFonts w:ascii="Garamond" w:hAnsi="Garamond"/>
        </w:rPr>
        <w:t xml:space="preserve">, 2011 ; </w:t>
      </w:r>
      <w:proofErr w:type="spellStart"/>
      <w:r w:rsidRPr="009B6D19">
        <w:rPr>
          <w:rFonts w:ascii="Garamond" w:hAnsi="Garamond"/>
        </w:rPr>
        <w:t>Bezes</w:t>
      </w:r>
      <w:proofErr w:type="spellEnd"/>
      <w:r w:rsidRPr="009B6D19">
        <w:rPr>
          <w:rFonts w:ascii="Garamond" w:hAnsi="Garamond"/>
        </w:rPr>
        <w:t xml:space="preserve"> &amp; Palier, 2018). Elle consiste à placer une sorte de verrou institutionnel moralement, culturellement et politiquement encré de telle sorte qu’un pas franchi sur la trajectoire accroit l’engagement envers le choix initial et la réticence à changer (</w:t>
      </w:r>
      <w:r w:rsidR="00D1485A">
        <w:rPr>
          <w:rFonts w:ascii="Garamond" w:hAnsi="Garamond"/>
        </w:rPr>
        <w:t xml:space="preserve">Mc Court, 2010 cité par </w:t>
      </w:r>
      <w:proofErr w:type="spellStart"/>
      <w:r w:rsidR="00D1485A">
        <w:rPr>
          <w:rFonts w:ascii="Garamond" w:hAnsi="Garamond"/>
        </w:rPr>
        <w:t>Kessey</w:t>
      </w:r>
      <w:proofErr w:type="spellEnd"/>
      <w:r w:rsidR="00D1485A">
        <w:rPr>
          <w:rFonts w:ascii="Garamond" w:hAnsi="Garamond"/>
        </w:rPr>
        <w:t xml:space="preserve">, </w:t>
      </w:r>
      <w:r w:rsidRPr="009B6D19">
        <w:rPr>
          <w:rFonts w:ascii="Garamond" w:hAnsi="Garamond"/>
        </w:rPr>
        <w:t xml:space="preserve">2018). </w:t>
      </w:r>
    </w:p>
    <w:p w14:paraId="7C70984F" w14:textId="58419A1B" w:rsidR="00804868" w:rsidRPr="009B6D19" w:rsidRDefault="00804868" w:rsidP="00804868">
      <w:pPr>
        <w:rPr>
          <w:rFonts w:ascii="Garamond" w:hAnsi="Garamond"/>
        </w:rPr>
      </w:pPr>
      <w:r w:rsidRPr="009B6D19">
        <w:rPr>
          <w:rFonts w:ascii="Garamond" w:hAnsi="Garamond"/>
        </w:rPr>
        <w:t xml:space="preserve">C’est dans cette perspective que les acteurs dominants entretiennent les conditions d’auto-renforcement des trajectoires institutionnelles de nature à répondre favorablement à leurs intérêts. </w:t>
      </w:r>
      <w:r w:rsidR="00D1485A">
        <w:rPr>
          <w:rFonts w:ascii="Garamond" w:hAnsi="Garamond"/>
        </w:rPr>
        <w:t>Ils</w:t>
      </w:r>
      <w:r w:rsidRPr="009B6D19">
        <w:rPr>
          <w:rFonts w:ascii="Garamond" w:hAnsi="Garamond"/>
        </w:rPr>
        <w:t xml:space="preserve"> n’hésitent pas de tendre des embûches pour étouffer toute réforme envisageable ou toute autre initiative tendant à conduire vers de nouvelles bifurcations. C’est dans ce cadre que </w:t>
      </w:r>
      <w:proofErr w:type="spellStart"/>
      <w:r w:rsidRPr="009B6D19">
        <w:rPr>
          <w:rFonts w:ascii="Garamond" w:hAnsi="Garamond"/>
        </w:rPr>
        <w:t>Bezes</w:t>
      </w:r>
      <w:proofErr w:type="spellEnd"/>
      <w:r w:rsidRPr="009B6D19">
        <w:rPr>
          <w:rFonts w:ascii="Garamond" w:hAnsi="Garamond"/>
        </w:rPr>
        <w:t xml:space="preserve"> &amp; Palier (2018 : 1087) pensent que « </w:t>
      </w:r>
      <w:r w:rsidRPr="009B6D19">
        <w:rPr>
          <w:rFonts w:ascii="Garamond" w:hAnsi="Garamond"/>
          <w:i/>
        </w:rPr>
        <w:t>les arrangements institutionnels hérités sont solidement protégés par des règles qui encadrent les conditions de leur réforme ; ils sont défendus par des acteurs-veto prompts à se mobiliser pour garantir le statu quo</w:t>
      </w:r>
      <w:r w:rsidRPr="009B6D19">
        <w:rPr>
          <w:rFonts w:ascii="Garamond" w:hAnsi="Garamond"/>
        </w:rPr>
        <w:t> »</w:t>
      </w:r>
    </w:p>
    <w:p w14:paraId="06900D7B" w14:textId="77777777" w:rsidR="00804868" w:rsidRPr="009B6D19" w:rsidRDefault="00804868" w:rsidP="00804868">
      <w:pPr>
        <w:rPr>
          <w:rFonts w:ascii="Garamond" w:hAnsi="Garamond"/>
        </w:rPr>
      </w:pPr>
      <w:r w:rsidRPr="009B6D19">
        <w:rPr>
          <w:rFonts w:ascii="Garamond" w:hAnsi="Garamond"/>
        </w:rPr>
        <w:t xml:space="preserve">Cette situation de </w:t>
      </w:r>
      <w:r w:rsidRPr="009B6D19">
        <w:rPr>
          <w:rFonts w:ascii="Garamond" w:hAnsi="Garamond"/>
          <w:i/>
        </w:rPr>
        <w:t>statu quo</w:t>
      </w:r>
      <w:r w:rsidRPr="009B6D19">
        <w:rPr>
          <w:rFonts w:ascii="Garamond" w:hAnsi="Garamond"/>
        </w:rPr>
        <w:t xml:space="preserve"> est à la base du déclenchement, par des acteurs acquis au changement, de la quatrième étape dénommée séquence réactive. Cette dernière consiste à provoquer une réaction de la part d’autres acteurs suite aux arrangements institutionnels culturellement et politiquement encrés et portés par les acteurs dominants comme réponse ou contre-réponse prévisibles. C’est l’étape la plus déterminante de la trajectoire du fait que si les autres acteurs ne s’impliquent ni participent activement aux différentes discussions dans les forums, des virages inattendus et illégitimes peuvent être empruntés. Toutefois, ils peuvent permettre aux acteurs dominants d’atteindre le « résultat final » prémédité. Ce dernier constitue la dernière phase d’une analyse de trajectoire institutionnelle sous l’angle de la dépendance au sentier. Elle est la résultante d’une évaluation de la trajectoire, à un temps donné, par rapports aux objectifs préalablement fixés. </w:t>
      </w:r>
    </w:p>
    <w:p w14:paraId="5F61E80C" w14:textId="67C1EA14" w:rsidR="00804868" w:rsidRDefault="00804868" w:rsidP="00804868">
      <w:pPr>
        <w:rPr>
          <w:rFonts w:ascii="Garamond" w:hAnsi="Garamond"/>
        </w:rPr>
      </w:pPr>
      <w:r w:rsidRPr="009B6D19">
        <w:rPr>
          <w:rFonts w:ascii="Garamond" w:hAnsi="Garamond"/>
        </w:rPr>
        <w:lastRenderedPageBreak/>
        <w:t>Enfin, à la lumière de toutes ces composantes</w:t>
      </w:r>
      <w:r>
        <w:rPr>
          <w:rFonts w:ascii="Garamond" w:hAnsi="Garamond"/>
        </w:rPr>
        <w:t xml:space="preserve"> d’analyse de la trajectoire institutionnelle, il est à constater que le poids du passé </w:t>
      </w:r>
      <w:r w:rsidRPr="009B6D19">
        <w:rPr>
          <w:rFonts w:ascii="Garamond" w:hAnsi="Garamond"/>
        </w:rPr>
        <w:t>peut être favorable à un saut qualitatif dans le futur ou alors ériger un système réfractaire au changement. Tel est le cas d’une série des réformes conditionnelles entreprises dans beaucoup des pays en voie de développement notamment la  RDC.</w:t>
      </w:r>
    </w:p>
    <w:p w14:paraId="4A0FEF52" w14:textId="77777777" w:rsidR="00B83E1F" w:rsidRDefault="00B83E1F">
      <w:pPr>
        <w:autoSpaceDE/>
        <w:autoSpaceDN/>
        <w:adjustRightInd/>
        <w:spacing w:before="0" w:after="200" w:line="276" w:lineRule="auto"/>
        <w:jc w:val="left"/>
        <w:rPr>
          <w:rFonts w:ascii="Garamond" w:hAnsi="Garamond"/>
        </w:rPr>
      </w:pPr>
      <w:bookmarkStart w:id="24" w:name="_Toc125594162"/>
      <w:r>
        <w:rPr>
          <w:rFonts w:ascii="Garamond" w:hAnsi="Garamond"/>
          <w:b/>
          <w:bCs/>
        </w:rPr>
        <w:br w:type="page"/>
      </w:r>
    </w:p>
    <w:p w14:paraId="605D0A42" w14:textId="77777777" w:rsidR="00804868" w:rsidRPr="009B6D19" w:rsidRDefault="00804868" w:rsidP="00804868">
      <w:pPr>
        <w:pStyle w:val="Heading1"/>
        <w:numPr>
          <w:ilvl w:val="0"/>
          <w:numId w:val="14"/>
        </w:numPr>
        <w:rPr>
          <w:rFonts w:ascii="Garamond" w:hAnsi="Garamond"/>
          <w:szCs w:val="24"/>
        </w:rPr>
      </w:pPr>
      <w:bookmarkStart w:id="25" w:name="_Toc143577455"/>
      <w:r w:rsidRPr="009B6D19">
        <w:rPr>
          <w:rFonts w:ascii="Garamond" w:hAnsi="Garamond"/>
          <w:szCs w:val="24"/>
        </w:rPr>
        <w:lastRenderedPageBreak/>
        <w:t>STRATEGIE DE RECHERCHE</w:t>
      </w:r>
      <w:bookmarkEnd w:id="5"/>
      <w:bookmarkEnd w:id="24"/>
      <w:bookmarkEnd w:id="25"/>
    </w:p>
    <w:p w14:paraId="6C5F6E46" w14:textId="77777777" w:rsidR="00804868" w:rsidRPr="009B6D19" w:rsidRDefault="00804868" w:rsidP="00804868">
      <w:pPr>
        <w:pStyle w:val="Heading2"/>
        <w:numPr>
          <w:ilvl w:val="1"/>
          <w:numId w:val="14"/>
        </w:numPr>
        <w:rPr>
          <w:rFonts w:ascii="Garamond" w:hAnsi="Garamond"/>
          <w:szCs w:val="24"/>
        </w:rPr>
      </w:pPr>
      <w:bookmarkStart w:id="26" w:name="_Toc119144802"/>
      <w:bookmarkStart w:id="27" w:name="_Toc125594163"/>
      <w:bookmarkStart w:id="28" w:name="_Toc143577456"/>
      <w:r w:rsidRPr="009B6D19">
        <w:rPr>
          <w:rFonts w:ascii="Garamond" w:hAnsi="Garamond"/>
          <w:szCs w:val="24"/>
        </w:rPr>
        <w:t>Objectif de recherche</w:t>
      </w:r>
      <w:bookmarkEnd w:id="26"/>
      <w:bookmarkEnd w:id="27"/>
      <w:bookmarkEnd w:id="28"/>
    </w:p>
    <w:p w14:paraId="24166DA4" w14:textId="4367677D" w:rsidR="00804868" w:rsidRPr="009B6D19" w:rsidRDefault="00804868" w:rsidP="00804868">
      <w:pPr>
        <w:rPr>
          <w:rFonts w:ascii="Garamond" w:hAnsi="Garamond"/>
        </w:rPr>
      </w:pPr>
      <w:r w:rsidRPr="009B6D19">
        <w:rPr>
          <w:rFonts w:ascii="Garamond" w:hAnsi="Garamond"/>
        </w:rPr>
        <w:t>Par la Constitution de 2006 adoptée par référendum populaire, la RDC entame le processus de démocratisation de son système politique en instaurant la décentralisation comme mode d’organisation politique, administrative et financière de l’Etat en vue notamment d’impulser le développement à la base</w:t>
      </w:r>
      <w:r w:rsidR="00E50D8E">
        <w:rPr>
          <w:rFonts w:ascii="Garamond" w:hAnsi="Garamond"/>
        </w:rPr>
        <w:t xml:space="preserve"> et de rétablir le peuple souverain dans son rôle d’électeur et de contrôleur de l’action gouvernementale</w:t>
      </w:r>
      <w:r w:rsidRPr="009B6D19">
        <w:rPr>
          <w:rFonts w:ascii="Garamond" w:hAnsi="Garamond"/>
        </w:rPr>
        <w:t xml:space="preserve">. Bientôt deux décennies après l’instauration de cette politique, la présente étude cherche à comprendre comment les choix opérés sur la trajectoire de la décentralisation en RDC en général, et dans la Ville-Province de Kinshasa en particulier, ont influencé l’effectivité ou l’ineffectivité de la responsabilité financière et de la reddition des comptes.  </w:t>
      </w:r>
    </w:p>
    <w:p w14:paraId="0B78E9F3" w14:textId="77777777" w:rsidR="00804868" w:rsidRPr="009B6D19" w:rsidRDefault="00804868" w:rsidP="00804868">
      <w:pPr>
        <w:pStyle w:val="Heading2"/>
        <w:numPr>
          <w:ilvl w:val="1"/>
          <w:numId w:val="14"/>
        </w:numPr>
        <w:rPr>
          <w:rFonts w:ascii="Garamond" w:hAnsi="Garamond"/>
          <w:szCs w:val="24"/>
        </w:rPr>
      </w:pPr>
      <w:bookmarkStart w:id="29" w:name="_Toc119144803"/>
      <w:bookmarkStart w:id="30" w:name="_Toc125594164"/>
      <w:bookmarkStart w:id="31" w:name="_Toc143577457"/>
      <w:r w:rsidRPr="009B6D19">
        <w:rPr>
          <w:rFonts w:ascii="Garamond" w:hAnsi="Garamond"/>
          <w:szCs w:val="24"/>
        </w:rPr>
        <w:t>Question de recherche</w:t>
      </w:r>
      <w:bookmarkEnd w:id="29"/>
      <w:bookmarkEnd w:id="30"/>
      <w:bookmarkEnd w:id="31"/>
    </w:p>
    <w:p w14:paraId="38B3B9B0" w14:textId="72B7ABDB" w:rsidR="00804868" w:rsidRPr="009B6D19" w:rsidRDefault="00804868" w:rsidP="00804868">
      <w:pPr>
        <w:rPr>
          <w:rFonts w:ascii="Garamond" w:hAnsi="Garamond"/>
        </w:rPr>
      </w:pPr>
      <w:r w:rsidRPr="009B6D19">
        <w:rPr>
          <w:rFonts w:ascii="Garamond" w:hAnsi="Garamond"/>
        </w:rPr>
        <w:t>Sachant que la décentralisation est un terreau favorable à la mise œuvre</w:t>
      </w:r>
      <w:r>
        <w:rPr>
          <w:rFonts w:ascii="Garamond" w:hAnsi="Garamond"/>
        </w:rPr>
        <w:t xml:space="preserve"> des agrégats de la gouvernance démocratique notamment la responsabilité et la reddition des comptes, cette étude s’arcboute autour de la question </w:t>
      </w:r>
      <w:r w:rsidRPr="009B6D19">
        <w:rPr>
          <w:rFonts w:ascii="Garamond" w:hAnsi="Garamond"/>
        </w:rPr>
        <w:t xml:space="preserve">ci-après : </w:t>
      </w:r>
      <w:r w:rsidRPr="00090B69">
        <w:rPr>
          <w:rFonts w:ascii="Garamond" w:hAnsi="Garamond"/>
          <w:b/>
          <w:bCs/>
          <w:i/>
          <w:iCs/>
        </w:rPr>
        <w:t xml:space="preserve">Quels sont les facteurs qui favorisent ou limitent la responsabilisation financière et l’effectivité de la reddition des comptes au sein des ETD de la ville-Province de Kinshasa ? </w:t>
      </w:r>
    </w:p>
    <w:p w14:paraId="61E7676F" w14:textId="77777777" w:rsidR="00804868" w:rsidRPr="009B6D19" w:rsidRDefault="00804868" w:rsidP="00804868">
      <w:pPr>
        <w:rPr>
          <w:rFonts w:ascii="Garamond" w:hAnsi="Garamond"/>
        </w:rPr>
      </w:pPr>
      <w:r w:rsidRPr="009B6D19">
        <w:rPr>
          <w:rFonts w:ascii="Garamond" w:hAnsi="Garamond"/>
        </w:rPr>
        <w:t>En se posant cette question, nous arriverons à comprendre les mécanismes et les facteurs qui marquent la trajectoire de la responsabilité financière</w:t>
      </w:r>
      <w:r>
        <w:rPr>
          <w:rFonts w:ascii="Garamond" w:hAnsi="Garamond"/>
        </w:rPr>
        <w:t xml:space="preserve"> et la redevabilité des acteurs responsabilisés vis-à-vis de la population locale au </w:t>
      </w:r>
      <w:r w:rsidRPr="009B6D19">
        <w:rPr>
          <w:rFonts w:ascii="Garamond" w:hAnsi="Garamond"/>
        </w:rPr>
        <w:t>sein des ETD de Kinshasa, de repérer les points critiques ainsi que les facteurs de persistance institutionnelle et enfin, de comparer systématiquement les processus politiques qui ont concouru à l’adoption de ces réformes aux séquences réactives inhérentes au blocage de l’effectivité de la responsabilisation financière des ETD. Ceci nous permettra de porter un regard analytique sur l’histoire de l’organisation politique et financière de</w:t>
      </w:r>
      <w:r>
        <w:rPr>
          <w:rFonts w:ascii="Garamond" w:hAnsi="Garamond"/>
        </w:rPr>
        <w:t xml:space="preserve"> </w:t>
      </w:r>
      <w:r w:rsidRPr="009B6D19">
        <w:rPr>
          <w:rFonts w:ascii="Garamond" w:hAnsi="Garamond"/>
        </w:rPr>
        <w:t>l’Etat congolais,</w:t>
      </w:r>
      <w:r>
        <w:rPr>
          <w:rFonts w:ascii="Garamond" w:hAnsi="Garamond"/>
        </w:rPr>
        <w:t xml:space="preserve"> sur le cadre légal et réglementaire</w:t>
      </w:r>
      <w:r w:rsidRPr="009B6D19">
        <w:rPr>
          <w:rFonts w:ascii="Garamond" w:hAnsi="Garamond"/>
        </w:rPr>
        <w:t xml:space="preserve"> sur lequel sont assises la responsabilisation financière et la reddition des comptes ainsi que sur les facteurs prépondérants susceptibles de favoriser ou de limiter l’effectivité de la responsabilisation et la reddition des comptes</w:t>
      </w:r>
    </w:p>
    <w:p w14:paraId="0577E6A5" w14:textId="77777777" w:rsidR="00804868" w:rsidRPr="009B6D19" w:rsidRDefault="00804868" w:rsidP="00804868">
      <w:pPr>
        <w:pStyle w:val="Heading2"/>
        <w:numPr>
          <w:ilvl w:val="1"/>
          <w:numId w:val="14"/>
        </w:numPr>
        <w:rPr>
          <w:rFonts w:ascii="Garamond" w:hAnsi="Garamond"/>
          <w:szCs w:val="24"/>
        </w:rPr>
      </w:pPr>
      <w:bookmarkStart w:id="32" w:name="_Toc125594165"/>
      <w:bookmarkStart w:id="33" w:name="_Toc143577458"/>
      <w:r w:rsidRPr="009B6D19">
        <w:rPr>
          <w:rFonts w:ascii="Garamond" w:hAnsi="Garamond"/>
          <w:szCs w:val="24"/>
        </w:rPr>
        <w:t>Cadre théorique : la théorie de la dépendance au sentier</w:t>
      </w:r>
      <w:bookmarkEnd w:id="32"/>
      <w:bookmarkEnd w:id="33"/>
    </w:p>
    <w:p w14:paraId="63D7E8D5" w14:textId="7C0B74AD" w:rsidR="00804868" w:rsidRPr="009B6D19" w:rsidRDefault="00804868" w:rsidP="00804868">
      <w:pPr>
        <w:rPr>
          <w:rFonts w:ascii="Garamond" w:hAnsi="Garamond"/>
        </w:rPr>
      </w:pPr>
      <w:r w:rsidRPr="009B6D19">
        <w:rPr>
          <w:rFonts w:ascii="Garamond" w:hAnsi="Garamond"/>
        </w:rPr>
        <w:t xml:space="preserve">En complément de ce qui a été développé dans le chapitre précédent, cette section fixe la démarche qui sera suivie en vue de parvenir à démontrer que la réforme de la décentralisation amorcée depuis 2006 en RDC et de laquelle découlent la responsabilité financière et la reddition des comptes des ETD connait réellement des blocages. Ces blocages sont l’œuvre d’une </w:t>
      </w:r>
      <w:r w:rsidRPr="009B6D19">
        <w:rPr>
          <w:rFonts w:ascii="Garamond" w:hAnsi="Garamond"/>
        </w:rPr>
        <w:lastRenderedPageBreak/>
        <w:t xml:space="preserve">complexité des facteurs tant culturels, institutionnels, manageriels et financiers ayant contribué à l’amenuisement des capacités des animateurs des ETD et des acteurs de la Société civile. L’ancrage de ces facteurs </w:t>
      </w:r>
      <w:r>
        <w:rPr>
          <w:rFonts w:ascii="Garamond" w:hAnsi="Garamond"/>
        </w:rPr>
        <w:t>dans les</w:t>
      </w:r>
      <w:r w:rsidRPr="009B6D19">
        <w:rPr>
          <w:rFonts w:ascii="Garamond" w:hAnsi="Garamond"/>
        </w:rPr>
        <w:t xml:space="preserve"> valeurs historiquement constituées, maintient la réforme dans une certaine dépendance au sentier. Cette dernière en constitue le facteur principal de stabilité. Enfin, par cette section, nous déroulerons ainsi la façon dont la théorie de la « dépendance au sentier » qui se sert du </w:t>
      </w:r>
      <w:r w:rsidRPr="005B63E2">
        <w:rPr>
          <w:rFonts w:ascii="Garamond" w:hAnsi="Garamond"/>
          <w:i/>
        </w:rPr>
        <w:t>Causal Process Tracing</w:t>
      </w:r>
      <w:r w:rsidRPr="009B6D19">
        <w:rPr>
          <w:rFonts w:ascii="Garamond" w:hAnsi="Garamond"/>
        </w:rPr>
        <w:t xml:space="preserve"> (ou la reconstitution du processus de causalité) comme méthode de recherche, permet de pénétrer les rétroactions politiques, économiques et légales ou règlementaires.</w:t>
      </w:r>
    </w:p>
    <w:p w14:paraId="6D0C299D" w14:textId="4DF27204" w:rsidR="00804868" w:rsidRPr="009B6D19" w:rsidRDefault="00804868" w:rsidP="00804868">
      <w:pPr>
        <w:rPr>
          <w:rFonts w:ascii="Garamond" w:hAnsi="Garamond"/>
        </w:rPr>
      </w:pPr>
      <w:r w:rsidRPr="009B6D19">
        <w:rPr>
          <w:rFonts w:ascii="Garamond" w:hAnsi="Garamond"/>
        </w:rPr>
        <w:t>Comme souligné dans les sections précédentes, la RDC a entrepris depuis 2006, la réforme de la décentralisation entre autres, pour placer les entités locales devant leurs responsabilités administratives, financières et politiques. C’est ce qui a</w:t>
      </w:r>
      <w:r w:rsidR="004B0E16">
        <w:rPr>
          <w:rFonts w:ascii="Garamond" w:hAnsi="Garamond"/>
        </w:rPr>
        <w:t xml:space="preserve"> a</w:t>
      </w:r>
      <w:r w:rsidRPr="009B6D19">
        <w:rPr>
          <w:rFonts w:ascii="Garamond" w:hAnsi="Garamond"/>
        </w:rPr>
        <w:t>m</w:t>
      </w:r>
      <w:r w:rsidR="004B0E16">
        <w:rPr>
          <w:rFonts w:ascii="Garamond" w:hAnsi="Garamond"/>
        </w:rPr>
        <w:t>e</w:t>
      </w:r>
      <w:r w:rsidRPr="009B6D19">
        <w:rPr>
          <w:rFonts w:ascii="Garamond" w:hAnsi="Garamond"/>
        </w:rPr>
        <w:t>n</w:t>
      </w:r>
      <w:r w:rsidR="004B0E16">
        <w:rPr>
          <w:rFonts w:ascii="Garamond" w:hAnsi="Garamond"/>
        </w:rPr>
        <w:t>é</w:t>
      </w:r>
      <w:r w:rsidRPr="009B6D19">
        <w:rPr>
          <w:rFonts w:ascii="Garamond" w:hAnsi="Garamond"/>
        </w:rPr>
        <w:t xml:space="preserve"> les décideurs locaux, qui désormais jouissent d’une autonomie de gestion</w:t>
      </w:r>
      <w:r w:rsidR="005100FA">
        <w:rPr>
          <w:rFonts w:ascii="Garamond" w:hAnsi="Garamond"/>
        </w:rPr>
        <w:t xml:space="preserve"> (RDC, 2008a)</w:t>
      </w:r>
      <w:r w:rsidRPr="009B6D19">
        <w:rPr>
          <w:rFonts w:ascii="Garamond" w:hAnsi="Garamond"/>
        </w:rPr>
        <w:t>, d’être redevables d’autant plus qu’ils sont représentants du peuple et garants de l’intérêt public.</w:t>
      </w:r>
      <w:r>
        <w:rPr>
          <w:rFonts w:ascii="Garamond" w:hAnsi="Garamond"/>
        </w:rPr>
        <w:t xml:space="preserve"> </w:t>
      </w:r>
      <w:r w:rsidRPr="009B6D19">
        <w:rPr>
          <w:rFonts w:ascii="Garamond" w:hAnsi="Garamond"/>
        </w:rPr>
        <w:t>C’est dans le</w:t>
      </w:r>
      <w:r>
        <w:rPr>
          <w:rFonts w:ascii="Garamond" w:hAnsi="Garamond"/>
        </w:rPr>
        <w:t xml:space="preserve"> </w:t>
      </w:r>
      <w:r w:rsidRPr="009B6D19">
        <w:rPr>
          <w:rFonts w:ascii="Garamond" w:hAnsi="Garamond"/>
        </w:rPr>
        <w:t xml:space="preserve">sillage de cette nouvelle dynamique impulsée depuis bientôt deux décennies, que nous nous positionnons sur cette trajectoire de la décentralisation en RDC pour se poser la question de savoir quels sont les facteurs qui favorisent ou limitent la responsabilisation financière et l’effectivité de la reddition des comptes au sein des ETD de la ville-Province de Kinshasa ? Plus concrètement, de se rassurer si les règles formelles ou informelles héritées à la fois de l’histoire, </w:t>
      </w:r>
      <w:r w:rsidR="0036140E">
        <w:rPr>
          <w:rFonts w:ascii="Garamond" w:hAnsi="Garamond"/>
        </w:rPr>
        <w:t xml:space="preserve">de </w:t>
      </w:r>
      <w:r w:rsidRPr="009B6D19">
        <w:rPr>
          <w:rFonts w:ascii="Garamond" w:hAnsi="Garamond"/>
        </w:rPr>
        <w:t xml:space="preserve">la culture politique et de gestion de la chose publique, comme essence institutionnelle (Hall &amp; </w:t>
      </w:r>
      <w:r w:rsidR="00EC24E5">
        <w:rPr>
          <w:rFonts w:ascii="Garamond" w:hAnsi="Garamond"/>
        </w:rPr>
        <w:t>al.</w:t>
      </w:r>
      <w:r w:rsidRPr="009B6D19">
        <w:rPr>
          <w:rFonts w:ascii="Garamond" w:hAnsi="Garamond"/>
        </w:rPr>
        <w:t xml:space="preserve">, 1997 ; </w:t>
      </w:r>
      <w:proofErr w:type="spellStart"/>
      <w:r w:rsidRPr="009B6D19">
        <w:rPr>
          <w:rFonts w:ascii="Garamond" w:hAnsi="Garamond"/>
        </w:rPr>
        <w:t>Awortwi</w:t>
      </w:r>
      <w:proofErr w:type="spellEnd"/>
      <w:r w:rsidRPr="009B6D19">
        <w:rPr>
          <w:rFonts w:ascii="Garamond" w:hAnsi="Garamond"/>
        </w:rPr>
        <w:t xml:space="preserve">, 2011, </w:t>
      </w:r>
      <w:proofErr w:type="spellStart"/>
      <w:r w:rsidRPr="009B6D19">
        <w:rPr>
          <w:rFonts w:ascii="Garamond" w:hAnsi="Garamond"/>
        </w:rPr>
        <w:t>Kessey</w:t>
      </w:r>
      <w:proofErr w:type="spellEnd"/>
      <w:r w:rsidRPr="009B6D19">
        <w:rPr>
          <w:rFonts w:ascii="Garamond" w:hAnsi="Garamond"/>
        </w:rPr>
        <w:t>, 2010), n’ont pas affecté l’effectivité de la responsabilité financière et de la reddition des comptes. Dans la même veine, il s’agit également d’exploiter le contexte qui a prévalu à l’atteinte du point critique ou à l’adoption de la décentralisation ainsi que les facteurs qui sont favorables à la consolidation institutionnelle ou à la réaction des groupes d’intérêts. Ceci nous permettra d</w:t>
      </w:r>
      <w:r w:rsidR="004B0E16">
        <w:rPr>
          <w:rFonts w:ascii="Garamond" w:hAnsi="Garamond"/>
        </w:rPr>
        <w:t xml:space="preserve">’affirmer ou d’infirmer </w:t>
      </w:r>
      <w:r w:rsidRPr="009B6D19">
        <w:rPr>
          <w:rFonts w:ascii="Garamond" w:hAnsi="Garamond"/>
        </w:rPr>
        <w:t xml:space="preserve">clairement, à la lumière des néo-institutionnalistes historiques </w:t>
      </w:r>
      <w:proofErr w:type="spellStart"/>
      <w:r w:rsidRPr="009B6D19">
        <w:rPr>
          <w:rFonts w:ascii="Garamond" w:hAnsi="Garamond"/>
        </w:rPr>
        <w:t>Thelen</w:t>
      </w:r>
      <w:proofErr w:type="spellEnd"/>
      <w:r w:rsidRPr="009B6D19">
        <w:rPr>
          <w:rFonts w:ascii="Garamond" w:hAnsi="Garamond"/>
        </w:rPr>
        <w:t xml:space="preserve"> (2000) et </w:t>
      </w:r>
      <w:proofErr w:type="spellStart"/>
      <w:r w:rsidRPr="009B6D19">
        <w:rPr>
          <w:rFonts w:ascii="Garamond" w:hAnsi="Garamond"/>
        </w:rPr>
        <w:t>Awortwi</w:t>
      </w:r>
      <w:proofErr w:type="spellEnd"/>
      <w:r w:rsidRPr="009B6D19">
        <w:rPr>
          <w:rFonts w:ascii="Garamond" w:hAnsi="Garamond"/>
        </w:rPr>
        <w:t xml:space="preserve"> (2011), </w:t>
      </w:r>
      <w:r w:rsidR="005B63E2">
        <w:rPr>
          <w:rFonts w:ascii="Garamond" w:hAnsi="Garamond"/>
        </w:rPr>
        <w:t xml:space="preserve">que </w:t>
      </w:r>
      <w:r w:rsidRPr="009B6D19">
        <w:rPr>
          <w:rFonts w:ascii="Garamond" w:hAnsi="Garamond"/>
        </w:rPr>
        <w:t>les résultats actuels de la responsabilité financière et de la reddition des comptes dans la Ville-Province de Kinshasa sont le fruit d’une stratification, d’une conversion ou alors de la pression des acteurs marginaux.</w:t>
      </w:r>
    </w:p>
    <w:p w14:paraId="3C3E8350" w14:textId="1DAB5857" w:rsidR="003C28DE" w:rsidRDefault="00804868" w:rsidP="00804868">
      <w:pPr>
        <w:rPr>
          <w:rFonts w:ascii="Garamond" w:hAnsi="Garamond"/>
          <w:lang w:eastAsia="fr-FR"/>
        </w:rPr>
      </w:pPr>
      <w:r w:rsidRPr="009B6D19">
        <w:rPr>
          <w:rFonts w:ascii="Garamond" w:hAnsi="Garamond"/>
        </w:rPr>
        <w:t>Il sied tout d’abord de ra</w:t>
      </w:r>
      <w:r w:rsidR="000C7B97">
        <w:rPr>
          <w:rFonts w:ascii="Garamond" w:hAnsi="Garamond"/>
        </w:rPr>
        <w:t xml:space="preserve">ppeler que la décentralisation </w:t>
      </w:r>
      <w:r w:rsidRPr="009B6D19">
        <w:rPr>
          <w:rFonts w:ascii="Garamond" w:hAnsi="Garamond"/>
        </w:rPr>
        <w:t xml:space="preserve">constitue </w:t>
      </w:r>
      <w:r w:rsidRPr="009B6D19">
        <w:rPr>
          <w:rFonts w:ascii="Garamond" w:hAnsi="Garamond"/>
          <w:lang w:eastAsia="fr-FR"/>
        </w:rPr>
        <w:t>un processus de transfert des ressources et des responsabilités aux entités locales. Le fa</w:t>
      </w:r>
      <w:r>
        <w:rPr>
          <w:rFonts w:ascii="Garamond" w:hAnsi="Garamond"/>
          <w:lang w:eastAsia="fr-FR"/>
        </w:rPr>
        <w:t>it qu’elle passe par une mise en œuvre p</w:t>
      </w:r>
      <w:r w:rsidRPr="009B6D19">
        <w:rPr>
          <w:rFonts w:ascii="Garamond" w:hAnsi="Garamond"/>
          <w:lang w:eastAsia="fr-FR"/>
        </w:rPr>
        <w:t>rocessuelle, incrémentale et itérative,</w:t>
      </w:r>
      <w:r>
        <w:rPr>
          <w:rFonts w:ascii="Garamond" w:hAnsi="Garamond"/>
          <w:lang w:eastAsia="fr-FR"/>
        </w:rPr>
        <w:t xml:space="preserve"> elle peut donc être un projet en perpétuel réajus</w:t>
      </w:r>
      <w:r w:rsidRPr="009B6D19">
        <w:rPr>
          <w:rFonts w:ascii="Garamond" w:hAnsi="Garamond"/>
          <w:lang w:eastAsia="fr-FR"/>
        </w:rPr>
        <w:t>tement</w:t>
      </w:r>
      <w:r>
        <w:rPr>
          <w:rFonts w:ascii="Garamond" w:hAnsi="Garamond"/>
          <w:lang w:eastAsia="fr-FR"/>
        </w:rPr>
        <w:t xml:space="preserve">. </w:t>
      </w:r>
      <w:r w:rsidR="009D1A03">
        <w:rPr>
          <w:rFonts w:ascii="Garamond" w:hAnsi="Garamond"/>
          <w:lang w:eastAsia="fr-FR"/>
        </w:rPr>
        <w:t xml:space="preserve">Ce dernier est souvent la conséquence du rapport des forces entre parties prenantes, du contexte dans lequel la réforme a été implantée ou encore des ressources et des capacités requises pour son effectivité. </w:t>
      </w:r>
      <w:r w:rsidR="003C28DE">
        <w:rPr>
          <w:rFonts w:ascii="Garamond" w:hAnsi="Garamond"/>
          <w:lang w:eastAsia="fr-FR"/>
        </w:rPr>
        <w:t xml:space="preserve">Toutefois, sa finalité demeure cette ambition </w:t>
      </w:r>
      <w:r w:rsidR="003C28DE" w:rsidRPr="009B6D19">
        <w:rPr>
          <w:rFonts w:ascii="Garamond" w:hAnsi="Garamond"/>
          <w:lang w:eastAsia="fr-FR"/>
        </w:rPr>
        <w:t xml:space="preserve">à rendre les collectivités locales, les organismes publics ou privés responsables, autonomes et proches de la population, mais aussi, de </w:t>
      </w:r>
      <w:r w:rsidR="003C28DE" w:rsidRPr="009B6D19">
        <w:rPr>
          <w:rFonts w:ascii="Garamond" w:hAnsi="Garamond"/>
          <w:lang w:eastAsia="fr-FR"/>
        </w:rPr>
        <w:lastRenderedPageBreak/>
        <w:t xml:space="preserve">bien assurer l’offre des services </w:t>
      </w:r>
      <w:r w:rsidR="003C28DE">
        <w:rPr>
          <w:rFonts w:ascii="Garamond" w:hAnsi="Garamond"/>
          <w:lang w:eastAsia="fr-FR"/>
        </w:rPr>
        <w:t xml:space="preserve">locaux </w:t>
      </w:r>
      <w:r w:rsidR="003C28DE" w:rsidRPr="009B6D19">
        <w:rPr>
          <w:rFonts w:ascii="Garamond" w:hAnsi="Garamond"/>
          <w:lang w:eastAsia="fr-FR"/>
        </w:rPr>
        <w:t>ainsi que d’en rendre compte (</w:t>
      </w:r>
      <w:proofErr w:type="spellStart"/>
      <w:r w:rsidR="003C28DE" w:rsidRPr="009B6D19">
        <w:rPr>
          <w:rFonts w:ascii="Garamond" w:hAnsi="Garamond"/>
          <w:lang w:eastAsia="fr-FR"/>
        </w:rPr>
        <w:t>Ogbazghi</w:t>
      </w:r>
      <w:proofErr w:type="spellEnd"/>
      <w:r w:rsidR="003C28DE" w:rsidRPr="009B6D19">
        <w:rPr>
          <w:rFonts w:ascii="Garamond" w:hAnsi="Garamond"/>
          <w:lang w:eastAsia="fr-FR"/>
        </w:rPr>
        <w:t xml:space="preserve">, 2022 ; </w:t>
      </w:r>
      <w:proofErr w:type="spellStart"/>
      <w:r w:rsidR="003C28DE" w:rsidRPr="009B6D19">
        <w:rPr>
          <w:rFonts w:ascii="Garamond" w:hAnsi="Garamond"/>
          <w:lang w:eastAsia="fr-FR"/>
        </w:rPr>
        <w:t>Northon</w:t>
      </w:r>
      <w:proofErr w:type="spellEnd"/>
      <w:r w:rsidR="003C28DE" w:rsidRPr="009B6D19">
        <w:rPr>
          <w:rFonts w:ascii="Garamond" w:hAnsi="Garamond"/>
          <w:lang w:eastAsia="fr-FR"/>
        </w:rPr>
        <w:t xml:space="preserve"> &amp; </w:t>
      </w:r>
      <w:proofErr w:type="spellStart"/>
      <w:r w:rsidR="003C28DE" w:rsidRPr="009B6D19">
        <w:rPr>
          <w:rFonts w:ascii="Garamond" w:hAnsi="Garamond"/>
          <w:lang w:eastAsia="fr-FR"/>
        </w:rPr>
        <w:t>Elson</w:t>
      </w:r>
      <w:proofErr w:type="spellEnd"/>
      <w:r w:rsidR="003C28DE" w:rsidRPr="009B6D19">
        <w:rPr>
          <w:rFonts w:ascii="Garamond" w:hAnsi="Garamond"/>
          <w:lang w:eastAsia="fr-FR"/>
        </w:rPr>
        <w:t>, 2002).</w:t>
      </w:r>
    </w:p>
    <w:p w14:paraId="06A55E01" w14:textId="318698AA" w:rsidR="00804868" w:rsidRPr="009B6D19" w:rsidRDefault="00804868" w:rsidP="00804868">
      <w:pPr>
        <w:rPr>
          <w:rFonts w:ascii="Garamond" w:hAnsi="Garamond"/>
          <w:lang w:eastAsia="fr-FR"/>
        </w:rPr>
      </w:pPr>
      <w:r w:rsidRPr="009B6D19">
        <w:rPr>
          <w:rFonts w:ascii="Garamond" w:hAnsi="Garamond"/>
          <w:lang w:eastAsia="fr-FR"/>
        </w:rPr>
        <w:t>Cette mise en œuvre itérative comporte</w:t>
      </w:r>
      <w:r>
        <w:rPr>
          <w:rFonts w:ascii="Garamond" w:hAnsi="Garamond"/>
          <w:lang w:eastAsia="fr-FR"/>
        </w:rPr>
        <w:t xml:space="preserve"> à la fois des forces et des faiblesses. </w:t>
      </w:r>
      <w:r w:rsidRPr="009B6D19">
        <w:rPr>
          <w:rFonts w:ascii="Garamond" w:hAnsi="Garamond"/>
          <w:lang w:eastAsia="fr-FR"/>
        </w:rPr>
        <w:t xml:space="preserve">Parmi les </w:t>
      </w:r>
      <w:r>
        <w:rPr>
          <w:rFonts w:ascii="Garamond" w:hAnsi="Garamond"/>
          <w:lang w:eastAsia="fr-FR"/>
        </w:rPr>
        <w:t>force</w:t>
      </w:r>
      <w:r w:rsidRPr="009B6D19">
        <w:rPr>
          <w:rFonts w:ascii="Garamond" w:hAnsi="Garamond"/>
          <w:lang w:eastAsia="fr-FR"/>
        </w:rPr>
        <w:t>s, il sied de souligner</w:t>
      </w:r>
      <w:r>
        <w:rPr>
          <w:rFonts w:ascii="Garamond" w:hAnsi="Garamond"/>
          <w:lang w:eastAsia="fr-FR"/>
        </w:rPr>
        <w:t xml:space="preserve"> notamment la p</w:t>
      </w:r>
      <w:r w:rsidRPr="009B6D19">
        <w:rPr>
          <w:rFonts w:ascii="Garamond" w:hAnsi="Garamond"/>
          <w:lang w:eastAsia="fr-FR"/>
        </w:rPr>
        <w:t>réparation du cadre légal et réglementaire, la capacitation des acteurs et des institutions ainsi que la concertation et la mobilisation des parties prenantes en vue de l’ad</w:t>
      </w:r>
      <w:r w:rsidR="0036140E">
        <w:rPr>
          <w:rFonts w:ascii="Garamond" w:hAnsi="Garamond"/>
          <w:lang w:eastAsia="fr-FR"/>
        </w:rPr>
        <w:t xml:space="preserve">hésion au processus et de son </w:t>
      </w:r>
      <w:r w:rsidRPr="009B6D19">
        <w:rPr>
          <w:rFonts w:ascii="Garamond" w:hAnsi="Garamond"/>
          <w:lang w:eastAsia="fr-FR"/>
        </w:rPr>
        <w:t xml:space="preserve">appropriation. Par contre, </w:t>
      </w:r>
      <w:r>
        <w:rPr>
          <w:rFonts w:ascii="Garamond" w:hAnsi="Garamond"/>
          <w:lang w:eastAsia="fr-FR"/>
        </w:rPr>
        <w:t>cette démarche itérative a notamment pour faiblesses d’accorder pl</w:t>
      </w:r>
      <w:r w:rsidRPr="009B6D19">
        <w:rPr>
          <w:rFonts w:ascii="Garamond" w:hAnsi="Garamond"/>
          <w:lang w:eastAsia="fr-FR"/>
        </w:rPr>
        <w:t>us de temps aux acteurs dominants, surtout lorsque les points critiques sur la trajectoire ont été provoqués par les facteurs exogènes, de concocter des stratégies</w:t>
      </w:r>
      <w:r>
        <w:rPr>
          <w:rFonts w:ascii="Garamond" w:hAnsi="Garamond"/>
          <w:lang w:eastAsia="fr-FR"/>
        </w:rPr>
        <w:t xml:space="preserve"> de résistance ou de remise e</w:t>
      </w:r>
      <w:r w:rsidR="0036140E">
        <w:rPr>
          <w:rFonts w:ascii="Garamond" w:hAnsi="Garamond"/>
          <w:lang w:eastAsia="fr-FR"/>
        </w:rPr>
        <w:t xml:space="preserve">n cause des réformes envisagées </w:t>
      </w:r>
      <w:r>
        <w:rPr>
          <w:rFonts w:ascii="Garamond" w:hAnsi="Garamond"/>
          <w:lang w:eastAsia="fr-FR"/>
        </w:rPr>
        <w:t xml:space="preserve">dans le seul but de </w:t>
      </w:r>
      <w:r w:rsidR="0036140E">
        <w:rPr>
          <w:rFonts w:ascii="Garamond" w:hAnsi="Garamond"/>
          <w:lang w:eastAsia="fr-FR"/>
        </w:rPr>
        <w:t>maintenir</w:t>
      </w:r>
      <w:r>
        <w:rPr>
          <w:rFonts w:ascii="Garamond" w:hAnsi="Garamond"/>
          <w:lang w:eastAsia="fr-FR"/>
        </w:rPr>
        <w:t xml:space="preserve"> le </w:t>
      </w:r>
      <w:r w:rsidRPr="009B6D19">
        <w:rPr>
          <w:rFonts w:ascii="Garamond" w:hAnsi="Garamond"/>
          <w:i/>
          <w:lang w:eastAsia="fr-FR"/>
        </w:rPr>
        <w:t>statu quo</w:t>
      </w:r>
      <w:r w:rsidRPr="009B6D19">
        <w:rPr>
          <w:rFonts w:ascii="Garamond" w:hAnsi="Garamond"/>
          <w:lang w:eastAsia="fr-FR"/>
        </w:rPr>
        <w:t>. Dans cette situation, la priorisation des actions à entreprendre</w:t>
      </w:r>
      <w:r>
        <w:rPr>
          <w:rFonts w:ascii="Garamond" w:hAnsi="Garamond"/>
          <w:lang w:eastAsia="fr-FR"/>
        </w:rPr>
        <w:t xml:space="preserve"> se fait en fonction de </w:t>
      </w:r>
      <w:r w:rsidR="003C28DE">
        <w:rPr>
          <w:rFonts w:ascii="Garamond" w:hAnsi="Garamond"/>
          <w:lang w:eastAsia="fr-FR"/>
        </w:rPr>
        <w:t xml:space="preserve">la </w:t>
      </w:r>
      <w:r>
        <w:rPr>
          <w:rFonts w:ascii="Garamond" w:hAnsi="Garamond"/>
          <w:lang w:eastAsia="fr-FR"/>
        </w:rPr>
        <w:t>flexibilité</w:t>
      </w:r>
      <w:r w:rsidR="003C28DE">
        <w:rPr>
          <w:rFonts w:ascii="Garamond" w:hAnsi="Garamond"/>
          <w:lang w:eastAsia="fr-FR"/>
        </w:rPr>
        <w:t xml:space="preserve"> des réformes</w:t>
      </w:r>
      <w:r>
        <w:rPr>
          <w:rFonts w:ascii="Garamond" w:hAnsi="Garamond"/>
          <w:lang w:eastAsia="fr-FR"/>
        </w:rPr>
        <w:t xml:space="preserve"> ou de leur capacité à assurer la stabilité politique ou </w:t>
      </w:r>
      <w:r w:rsidRPr="009B6D19">
        <w:rPr>
          <w:rFonts w:ascii="Garamond" w:hAnsi="Garamond"/>
          <w:lang w:eastAsia="fr-FR"/>
        </w:rPr>
        <w:t>à pérenniser les avantages</w:t>
      </w:r>
      <w:r>
        <w:rPr>
          <w:rFonts w:ascii="Garamond" w:hAnsi="Garamond"/>
          <w:lang w:eastAsia="fr-FR"/>
        </w:rPr>
        <w:t xml:space="preserve"> issus de la rente (</w:t>
      </w:r>
      <w:proofErr w:type="spellStart"/>
      <w:r w:rsidRPr="009B6D19">
        <w:rPr>
          <w:rFonts w:ascii="Garamond" w:hAnsi="Garamond"/>
          <w:lang w:eastAsia="fr-FR"/>
        </w:rPr>
        <w:t>Moshonas</w:t>
      </w:r>
      <w:proofErr w:type="spellEnd"/>
      <w:r w:rsidRPr="009B6D19">
        <w:rPr>
          <w:rFonts w:ascii="Garamond" w:hAnsi="Garamond"/>
          <w:lang w:eastAsia="fr-FR"/>
        </w:rPr>
        <w:t>, 2018</w:t>
      </w:r>
      <w:r w:rsidR="00323E99">
        <w:rPr>
          <w:rFonts w:ascii="Garamond" w:hAnsi="Garamond"/>
          <w:lang w:eastAsia="fr-FR"/>
        </w:rPr>
        <w:t xml:space="preserve">, </w:t>
      </w:r>
      <w:r w:rsidR="00323E99" w:rsidRPr="009B6D19">
        <w:rPr>
          <w:rFonts w:ascii="Garamond" w:hAnsi="Garamond"/>
        </w:rPr>
        <w:t xml:space="preserve">International </w:t>
      </w:r>
      <w:proofErr w:type="spellStart"/>
      <w:r w:rsidR="00323E99" w:rsidRPr="009B6D19">
        <w:rPr>
          <w:rFonts w:ascii="Garamond" w:hAnsi="Garamond"/>
        </w:rPr>
        <w:t>Monetary</w:t>
      </w:r>
      <w:proofErr w:type="spellEnd"/>
      <w:r w:rsidR="00323E99" w:rsidRPr="009B6D19">
        <w:rPr>
          <w:rFonts w:ascii="Garamond" w:hAnsi="Garamond"/>
        </w:rPr>
        <w:t xml:space="preserve"> </w:t>
      </w:r>
      <w:proofErr w:type="spellStart"/>
      <w:r w:rsidR="00323E99" w:rsidRPr="009B6D19">
        <w:rPr>
          <w:rFonts w:ascii="Garamond" w:hAnsi="Garamond"/>
        </w:rPr>
        <w:t>Found</w:t>
      </w:r>
      <w:proofErr w:type="spellEnd"/>
      <w:r w:rsidR="00323E99" w:rsidRPr="009B6D19">
        <w:rPr>
          <w:rFonts w:ascii="Garamond" w:hAnsi="Garamond"/>
        </w:rPr>
        <w:t>, 2021</w:t>
      </w:r>
      <w:r w:rsidR="00323E99">
        <w:rPr>
          <w:rFonts w:ascii="Garamond" w:hAnsi="Garamond"/>
        </w:rPr>
        <w:t xml:space="preserve">, </w:t>
      </w:r>
      <w:proofErr w:type="spellStart"/>
      <w:r w:rsidR="00323E99">
        <w:rPr>
          <w:rFonts w:ascii="Garamond" w:hAnsi="Garamond"/>
        </w:rPr>
        <w:t>Magrin</w:t>
      </w:r>
      <w:proofErr w:type="spellEnd"/>
      <w:r w:rsidR="00323E99">
        <w:rPr>
          <w:rFonts w:ascii="Garamond" w:hAnsi="Garamond"/>
        </w:rPr>
        <w:t>, 2013</w:t>
      </w:r>
      <w:r w:rsidR="005744B5">
        <w:rPr>
          <w:rFonts w:ascii="Garamond" w:hAnsi="Garamond"/>
        </w:rPr>
        <w:t xml:space="preserve">, </w:t>
      </w:r>
      <w:proofErr w:type="spellStart"/>
      <w:r w:rsidR="005744B5">
        <w:rPr>
          <w:rFonts w:ascii="Garamond" w:hAnsi="Garamond"/>
        </w:rPr>
        <w:t>Mustaq</w:t>
      </w:r>
      <w:proofErr w:type="spellEnd"/>
      <w:r w:rsidR="005744B5">
        <w:rPr>
          <w:rFonts w:ascii="Garamond" w:hAnsi="Garamond"/>
        </w:rPr>
        <w:t>, 2003)</w:t>
      </w:r>
      <w:r w:rsidRPr="009B6D19">
        <w:rPr>
          <w:rFonts w:ascii="Garamond" w:hAnsi="Garamond"/>
          <w:lang w:eastAsia="fr-FR"/>
        </w:rPr>
        <w:t xml:space="preserve">. </w:t>
      </w:r>
      <w:r w:rsidR="003C28DE">
        <w:rPr>
          <w:rFonts w:ascii="Garamond" w:hAnsi="Garamond"/>
          <w:lang w:eastAsia="fr-FR"/>
        </w:rPr>
        <w:t xml:space="preserve">Le </w:t>
      </w:r>
      <w:r w:rsidRPr="009B6D19">
        <w:rPr>
          <w:rFonts w:ascii="Garamond" w:hAnsi="Garamond"/>
          <w:i/>
          <w:lang w:eastAsia="fr-FR"/>
        </w:rPr>
        <w:t>statu quo</w:t>
      </w:r>
      <w:r w:rsidRPr="009B6D19">
        <w:rPr>
          <w:rFonts w:ascii="Garamond" w:hAnsi="Garamond"/>
          <w:lang w:eastAsia="fr-FR"/>
        </w:rPr>
        <w:t xml:space="preserve"> ou </w:t>
      </w:r>
      <w:r w:rsidR="003C28DE">
        <w:rPr>
          <w:rFonts w:ascii="Garamond" w:hAnsi="Garamond"/>
          <w:lang w:eastAsia="fr-FR"/>
        </w:rPr>
        <w:t>mieux</w:t>
      </w:r>
      <w:r w:rsidRPr="009B6D19">
        <w:rPr>
          <w:rFonts w:ascii="Garamond" w:hAnsi="Garamond"/>
          <w:lang w:eastAsia="fr-FR"/>
        </w:rPr>
        <w:t xml:space="preserve"> </w:t>
      </w:r>
      <w:r w:rsidR="003C28DE">
        <w:rPr>
          <w:rFonts w:ascii="Garamond" w:hAnsi="Garamond"/>
          <w:lang w:eastAsia="fr-FR"/>
        </w:rPr>
        <w:t>le</w:t>
      </w:r>
      <w:r w:rsidRPr="009B6D19">
        <w:rPr>
          <w:rFonts w:ascii="Garamond" w:hAnsi="Garamond"/>
          <w:lang w:eastAsia="fr-FR"/>
        </w:rPr>
        <w:t xml:space="preserve"> ralentissement</w:t>
      </w:r>
      <w:r w:rsidR="003C28DE">
        <w:rPr>
          <w:rFonts w:ascii="Garamond" w:hAnsi="Garamond"/>
          <w:lang w:eastAsia="fr-FR"/>
        </w:rPr>
        <w:t xml:space="preserve"> qui en résultent</w:t>
      </w:r>
      <w:r w:rsidRPr="009B6D19">
        <w:rPr>
          <w:rFonts w:ascii="Garamond" w:hAnsi="Garamond"/>
          <w:lang w:eastAsia="fr-FR"/>
        </w:rPr>
        <w:t>, s’exacerbe</w:t>
      </w:r>
      <w:r w:rsidR="003C28DE">
        <w:rPr>
          <w:rFonts w:ascii="Garamond" w:hAnsi="Garamond"/>
          <w:lang w:eastAsia="fr-FR"/>
        </w:rPr>
        <w:t>nt</w:t>
      </w:r>
      <w:r w:rsidRPr="009B6D19">
        <w:rPr>
          <w:rFonts w:ascii="Garamond" w:hAnsi="Garamond"/>
          <w:lang w:eastAsia="fr-FR"/>
        </w:rPr>
        <w:t xml:space="preserve"> davantage dans le contexte de faible volonté politique, de manque de continuité des services publics et de faible niveau d’interaction avec d’autres</w:t>
      </w:r>
      <w:r>
        <w:rPr>
          <w:rFonts w:ascii="Garamond" w:hAnsi="Garamond"/>
          <w:lang w:eastAsia="fr-FR"/>
        </w:rPr>
        <w:t xml:space="preserve"> </w:t>
      </w:r>
      <w:r w:rsidRPr="009B6D19">
        <w:rPr>
          <w:rFonts w:ascii="Garamond" w:hAnsi="Garamond"/>
          <w:lang w:eastAsia="fr-FR"/>
        </w:rPr>
        <w:t xml:space="preserve">parties prenantes, surtout celles de la société civile devant constituer le contrepoids. </w:t>
      </w:r>
    </w:p>
    <w:p w14:paraId="48E2DA6A" w14:textId="32376605" w:rsidR="00804868" w:rsidRPr="009B6D19" w:rsidRDefault="00804868" w:rsidP="00804868">
      <w:pPr>
        <w:rPr>
          <w:rFonts w:ascii="Garamond" w:hAnsi="Garamond"/>
          <w:lang w:eastAsia="fr-FR"/>
        </w:rPr>
      </w:pPr>
      <w:r w:rsidRPr="009B6D19">
        <w:rPr>
          <w:rFonts w:ascii="Garamond" w:hAnsi="Garamond"/>
          <w:lang w:eastAsia="fr-FR"/>
        </w:rPr>
        <w:t>Toutefois, en tant que réforme, la décentralisation ne vient pas s’implanter sur un terrain institutionnellement vide mais s’insère dans un environnement culturellement, historiquement et moralement institutionnalisé. Cette institutionnalisation est une construction des contraintes (formelles ou informelles) par l’homme en vue d’orienter les comportements et les actions  dans le système (</w:t>
      </w:r>
      <w:proofErr w:type="spellStart"/>
      <w:r w:rsidR="003E35B5">
        <w:fldChar w:fldCharType="begin"/>
      </w:r>
      <w:r w:rsidR="003E35B5">
        <w:instrText xml:space="preserve"> HYPERLINK "https://www.cairn.info/publications-de-Thierry-Delpeuch--38928.htm" </w:instrText>
      </w:r>
      <w:r w:rsidR="003E35B5">
        <w:fldChar w:fldCharType="separate"/>
      </w:r>
      <w:r w:rsidRPr="009B6D19">
        <w:rPr>
          <w:rFonts w:ascii="Garamond" w:hAnsi="Garamond"/>
          <w:lang w:eastAsia="fr-FR"/>
        </w:rPr>
        <w:t>Delpeuch</w:t>
      </w:r>
      <w:proofErr w:type="spellEnd"/>
      <w:r w:rsidR="003E35B5">
        <w:rPr>
          <w:rFonts w:ascii="Garamond" w:hAnsi="Garamond"/>
          <w:lang w:eastAsia="fr-FR"/>
        </w:rPr>
        <w:fldChar w:fldCharType="end"/>
      </w:r>
      <w:r w:rsidRPr="009B6D19">
        <w:rPr>
          <w:rFonts w:ascii="Garamond" w:hAnsi="Garamond"/>
          <w:lang w:eastAsia="fr-FR"/>
        </w:rPr>
        <w:t xml:space="preserve"> &amp; </w:t>
      </w:r>
      <w:proofErr w:type="spellStart"/>
      <w:r w:rsidR="003E35B5">
        <w:fldChar w:fldCharType="begin"/>
      </w:r>
      <w:r w:rsidR="003E35B5">
        <w:instrText xml:space="preserve"> HYPERLINK "https://www.cairn.info/publications-de-C%C3%A9cile-Vigour--24296.htm" </w:instrText>
      </w:r>
      <w:r w:rsidR="003E35B5">
        <w:fldChar w:fldCharType="separate"/>
      </w:r>
      <w:r w:rsidRPr="009B6D19">
        <w:rPr>
          <w:rFonts w:ascii="Garamond" w:hAnsi="Garamond"/>
          <w:lang w:eastAsia="fr-FR"/>
        </w:rPr>
        <w:t>Vigour</w:t>
      </w:r>
      <w:proofErr w:type="spellEnd"/>
      <w:r w:rsidR="003E35B5">
        <w:rPr>
          <w:rFonts w:ascii="Garamond" w:hAnsi="Garamond"/>
          <w:lang w:eastAsia="fr-FR"/>
        </w:rPr>
        <w:fldChar w:fldCharType="end"/>
      </w:r>
      <w:r w:rsidRPr="009B6D19">
        <w:rPr>
          <w:rFonts w:ascii="Garamond" w:hAnsi="Garamond"/>
          <w:lang w:eastAsia="fr-FR"/>
        </w:rPr>
        <w:t>, 2014). Ce qui pousse la réforme soit à s’ajuster, à convoler avec les valeurs préexistantes ou enfin, à signer l’acte de sa désagrégation au cas où les institutions préexistantes s’étai</w:t>
      </w:r>
      <w:r w:rsidR="00E124B5">
        <w:rPr>
          <w:rFonts w:ascii="Garamond" w:hAnsi="Garamond"/>
          <w:lang w:eastAsia="fr-FR"/>
        </w:rPr>
        <w:t xml:space="preserve">ent déjà largement enracinées. </w:t>
      </w:r>
      <w:r w:rsidRPr="009B6D19">
        <w:rPr>
          <w:rFonts w:ascii="Garamond" w:hAnsi="Garamond"/>
          <w:lang w:eastAsia="fr-FR"/>
        </w:rPr>
        <w:t xml:space="preserve">Des modifications ou des réinterprétations apportées sur la péréquation en Alberta </w:t>
      </w:r>
      <w:r w:rsidR="00E124B5">
        <w:rPr>
          <w:rFonts w:ascii="Garamond" w:hAnsi="Garamond"/>
          <w:lang w:eastAsia="fr-FR"/>
        </w:rPr>
        <w:t xml:space="preserve">au </w:t>
      </w:r>
      <w:r w:rsidRPr="009B6D19">
        <w:rPr>
          <w:rFonts w:ascii="Garamond" w:hAnsi="Garamond"/>
          <w:lang w:eastAsia="fr-FR"/>
        </w:rPr>
        <w:t>Canada (Tellier, 2020; Béland &amp; Lecours, 2021) ou sur les transferts dans leur globalité du pouvoir central (Etat fédéral) aux entités infranationales au Ghana, en Tanzanie et en Ouganda (</w:t>
      </w:r>
      <w:proofErr w:type="spellStart"/>
      <w:r w:rsidRPr="009B6D19">
        <w:rPr>
          <w:rFonts w:ascii="Garamond" w:hAnsi="Garamond"/>
          <w:lang w:eastAsia="fr-FR"/>
        </w:rPr>
        <w:t>Awortwi</w:t>
      </w:r>
      <w:proofErr w:type="spellEnd"/>
      <w:r w:rsidRPr="009B6D19">
        <w:rPr>
          <w:rFonts w:ascii="Garamond" w:hAnsi="Garamond"/>
          <w:lang w:eastAsia="fr-FR"/>
        </w:rPr>
        <w:t xml:space="preserve">, 2011 ; </w:t>
      </w:r>
      <w:proofErr w:type="spellStart"/>
      <w:r w:rsidRPr="009B6D19">
        <w:rPr>
          <w:rFonts w:ascii="Garamond" w:hAnsi="Garamond"/>
          <w:lang w:eastAsia="fr-FR"/>
        </w:rPr>
        <w:t>Kessy</w:t>
      </w:r>
      <w:proofErr w:type="spellEnd"/>
      <w:r w:rsidRPr="009B6D19">
        <w:rPr>
          <w:rFonts w:ascii="Garamond" w:hAnsi="Garamond"/>
          <w:lang w:eastAsia="fr-FR"/>
        </w:rPr>
        <w:t xml:space="preserve">, 2011) en sont quelques illustrations. La tendance à maintenir les routines centralisatrices préexistantes constitue un facteur indéniable que la réforme n’est pas la bienvenue, étant entendu que cette dernière vient déloger certains acteurs </w:t>
      </w:r>
      <w:r w:rsidR="000D39F3">
        <w:rPr>
          <w:rFonts w:ascii="Garamond" w:hAnsi="Garamond"/>
          <w:lang w:eastAsia="fr-FR"/>
        </w:rPr>
        <w:t xml:space="preserve">dominants </w:t>
      </w:r>
      <w:r>
        <w:rPr>
          <w:rFonts w:ascii="Garamond" w:hAnsi="Garamond"/>
          <w:lang w:eastAsia="fr-FR"/>
        </w:rPr>
        <w:t>de</w:t>
      </w:r>
      <w:r w:rsidRPr="009B6D19">
        <w:rPr>
          <w:rFonts w:ascii="Garamond" w:hAnsi="Garamond"/>
          <w:lang w:eastAsia="fr-FR"/>
        </w:rPr>
        <w:t xml:space="preserve"> leurs zones de confort.  </w:t>
      </w:r>
    </w:p>
    <w:p w14:paraId="41E1E428" w14:textId="43C14BBC" w:rsidR="00804868" w:rsidRPr="009B6D19" w:rsidRDefault="00804868" w:rsidP="00804868">
      <w:pPr>
        <w:rPr>
          <w:rFonts w:ascii="Garamond" w:hAnsi="Garamond"/>
        </w:rPr>
      </w:pPr>
      <w:r w:rsidRPr="009B6D19">
        <w:rPr>
          <w:rFonts w:ascii="Garamond" w:hAnsi="Garamond"/>
          <w:lang w:eastAsia="fr-FR"/>
        </w:rPr>
        <w:t>Par ailleurs, selon Weber, l’institutionnalisation qui vise la reconnaissance et le portage par l’opinion publique des pratiques informelles, entretient un rapport étroit et contradictoire avec celles formelles. C’est</w:t>
      </w:r>
      <w:r>
        <w:rPr>
          <w:rFonts w:ascii="Garamond" w:hAnsi="Garamond"/>
          <w:lang w:eastAsia="fr-FR"/>
        </w:rPr>
        <w:t xml:space="preserve"> </w:t>
      </w:r>
      <w:r w:rsidRPr="009B6D19">
        <w:rPr>
          <w:rFonts w:ascii="Garamond" w:hAnsi="Garamond"/>
          <w:lang w:eastAsia="fr-FR"/>
        </w:rPr>
        <w:t>la source de</w:t>
      </w:r>
      <w:r>
        <w:rPr>
          <w:rFonts w:ascii="Garamond" w:hAnsi="Garamond"/>
          <w:lang w:eastAsia="fr-FR"/>
        </w:rPr>
        <w:t xml:space="preserve"> </w:t>
      </w:r>
      <w:r w:rsidRPr="009B6D19">
        <w:rPr>
          <w:rFonts w:ascii="Garamond" w:hAnsi="Garamond"/>
          <w:lang w:eastAsia="fr-FR"/>
        </w:rPr>
        <w:t>sa légitimité d’autant plus que l’informalité ne s’appuie pas exclusivement sur les pratiques légales (Bellegarde, 200</w:t>
      </w:r>
      <w:r w:rsidR="00EC24E5">
        <w:rPr>
          <w:rFonts w:ascii="Garamond" w:hAnsi="Garamond"/>
          <w:lang w:eastAsia="fr-FR"/>
        </w:rPr>
        <w:t>3</w:t>
      </w:r>
      <w:r w:rsidRPr="009B6D19">
        <w:rPr>
          <w:rFonts w:ascii="Garamond" w:hAnsi="Garamond"/>
          <w:lang w:eastAsia="fr-FR"/>
        </w:rPr>
        <w:t xml:space="preserve"> :97). Cet état des choses fait ressortir à la </w:t>
      </w:r>
      <w:r w:rsidRPr="009B6D19">
        <w:rPr>
          <w:rFonts w:ascii="Garamond" w:hAnsi="Garamond"/>
          <w:lang w:eastAsia="fr-FR"/>
        </w:rPr>
        <w:lastRenderedPageBreak/>
        <w:t xml:space="preserve">fois l’ambigüité, la subjectivité et la complexité de l’institutionnalisation en général et des contraintes informelles en particulier. </w:t>
      </w:r>
      <w:r w:rsidR="00E124B5">
        <w:rPr>
          <w:rFonts w:ascii="Garamond" w:hAnsi="Garamond"/>
          <w:lang w:eastAsia="fr-FR"/>
        </w:rPr>
        <w:t xml:space="preserve">C’est sous cet angle que </w:t>
      </w:r>
      <w:r w:rsidR="00EC24E5">
        <w:rPr>
          <w:rFonts w:ascii="Garamond" w:hAnsi="Garamond"/>
          <w:lang w:eastAsia="fr-FR"/>
        </w:rPr>
        <w:t>Moshonas (2018), citant Mushtaq Khan (</w:t>
      </w:r>
      <w:r w:rsidRPr="009B6D19">
        <w:rPr>
          <w:rFonts w:ascii="Garamond" w:hAnsi="Garamond"/>
          <w:lang w:eastAsia="fr-FR"/>
        </w:rPr>
        <w:t>2010)</w:t>
      </w:r>
      <w:r>
        <w:rPr>
          <w:rFonts w:ascii="Garamond" w:hAnsi="Garamond"/>
          <w:lang w:eastAsia="fr-FR"/>
        </w:rPr>
        <w:t xml:space="preserve">, souligne que les institutions formelles et </w:t>
      </w:r>
      <w:r w:rsidR="001F0F4C">
        <w:rPr>
          <w:rFonts w:ascii="Garamond" w:hAnsi="Garamond"/>
          <w:lang w:eastAsia="fr-FR"/>
        </w:rPr>
        <w:t>in</w:t>
      </w:r>
      <w:r>
        <w:rPr>
          <w:rFonts w:ascii="Garamond" w:hAnsi="Garamond"/>
          <w:lang w:eastAsia="fr-FR"/>
        </w:rPr>
        <w:t>form</w:t>
      </w:r>
      <w:r w:rsidR="00681FCB">
        <w:rPr>
          <w:rFonts w:ascii="Garamond" w:hAnsi="Garamond"/>
          <w:lang w:eastAsia="fr-FR"/>
        </w:rPr>
        <w:t>elles sont rarement en conflits. E</w:t>
      </w:r>
      <w:r>
        <w:rPr>
          <w:rFonts w:ascii="Garamond" w:hAnsi="Garamond"/>
          <w:lang w:eastAsia="fr-FR"/>
        </w:rPr>
        <w:t>lles cohabitent facilement et aboutissent souvent à un équilibre d’interdépendance et de complémentarité</w:t>
      </w:r>
      <w:r w:rsidRPr="009B6D19">
        <w:rPr>
          <w:rFonts w:ascii="Garamond" w:hAnsi="Garamond"/>
          <w:lang w:eastAsia="fr-FR"/>
        </w:rPr>
        <w:t xml:space="preserve">. </w:t>
      </w:r>
      <w:r w:rsidR="00681FCB">
        <w:rPr>
          <w:rFonts w:ascii="Garamond" w:hAnsi="Garamond"/>
          <w:lang w:eastAsia="fr-FR"/>
        </w:rPr>
        <w:t>Cette cohabitation</w:t>
      </w:r>
      <w:r w:rsidRPr="009B6D19">
        <w:rPr>
          <w:rFonts w:ascii="Garamond" w:hAnsi="Garamond"/>
          <w:lang w:eastAsia="fr-FR"/>
        </w:rPr>
        <w:t xml:space="preserve"> renforce la structure institutionnelle et permet d’assurer une réelle distribution de pouvoir.</w:t>
      </w:r>
      <w:r w:rsidRPr="009B6D19">
        <w:rPr>
          <w:rFonts w:ascii="Garamond" w:hAnsi="Garamond"/>
        </w:rPr>
        <w:t xml:space="preserve"> </w:t>
      </w:r>
      <w:r w:rsidR="00681FCB">
        <w:rPr>
          <w:rFonts w:ascii="Garamond" w:hAnsi="Garamond"/>
        </w:rPr>
        <w:t xml:space="preserve">Il n’est pas toutefois exclu dans ce mariage contre-nature, que les institutions formelles, surtout lorsqu’elles </w:t>
      </w:r>
      <w:r w:rsidR="001F0F4C">
        <w:rPr>
          <w:rFonts w:ascii="Garamond" w:hAnsi="Garamond"/>
        </w:rPr>
        <w:t>découlent d’une imposition</w:t>
      </w:r>
      <w:r w:rsidR="00681FCB">
        <w:rPr>
          <w:rFonts w:ascii="Garamond" w:hAnsi="Garamond"/>
        </w:rPr>
        <w:t xml:space="preserve">, </w:t>
      </w:r>
      <w:r w:rsidR="00681FCB">
        <w:rPr>
          <w:rFonts w:ascii="Garamond" w:hAnsi="Garamond"/>
          <w:lang w:eastAsia="fr-FR"/>
        </w:rPr>
        <w:t>aient</w:t>
      </w:r>
      <w:r w:rsidR="00E124B5" w:rsidRPr="009B6D19">
        <w:rPr>
          <w:rFonts w:ascii="Garamond" w:hAnsi="Garamond"/>
          <w:lang w:eastAsia="fr-FR"/>
        </w:rPr>
        <w:t xml:space="preserve"> tendance à étouffer celles </w:t>
      </w:r>
      <w:r w:rsidR="00681FCB">
        <w:rPr>
          <w:rFonts w:ascii="Garamond" w:hAnsi="Garamond"/>
          <w:lang w:eastAsia="fr-FR"/>
        </w:rPr>
        <w:t>informelles</w:t>
      </w:r>
      <w:r w:rsidR="00E124B5" w:rsidRPr="009B6D19">
        <w:rPr>
          <w:rFonts w:ascii="Garamond" w:hAnsi="Garamond"/>
          <w:lang w:eastAsia="fr-FR"/>
        </w:rPr>
        <w:t>. En</w:t>
      </w:r>
      <w:r w:rsidR="00681FCB">
        <w:rPr>
          <w:rFonts w:ascii="Garamond" w:hAnsi="Garamond"/>
          <w:lang w:eastAsia="fr-FR"/>
        </w:rPr>
        <w:t xml:space="preserve"> </w:t>
      </w:r>
      <w:r w:rsidR="001F0F4C">
        <w:rPr>
          <w:rFonts w:ascii="Garamond" w:hAnsi="Garamond"/>
          <w:lang w:eastAsia="fr-FR"/>
        </w:rPr>
        <w:t>plus</w:t>
      </w:r>
      <w:r w:rsidR="00681FCB">
        <w:rPr>
          <w:rFonts w:ascii="Garamond" w:hAnsi="Garamond"/>
          <w:lang w:eastAsia="fr-FR"/>
        </w:rPr>
        <w:t>, les rapports de force entre acteurs institutionnels sont susceptibles de dessiner un design institutionnel hybride, formel ou informel pourvu qu’il défende mieux leurs intérêts</w:t>
      </w:r>
      <w:r w:rsidR="00E124B5" w:rsidRPr="009B6D19">
        <w:rPr>
          <w:rFonts w:ascii="Garamond" w:hAnsi="Garamond"/>
          <w:lang w:eastAsia="fr-FR"/>
        </w:rPr>
        <w:t>.</w:t>
      </w:r>
    </w:p>
    <w:p w14:paraId="11FAAF98" w14:textId="34A4E5EA" w:rsidR="00804868" w:rsidRPr="009B6D19" w:rsidRDefault="00804868" w:rsidP="00804868">
      <w:pPr>
        <w:rPr>
          <w:rFonts w:ascii="Garamond" w:hAnsi="Garamond"/>
          <w:lang w:eastAsia="fr-FR"/>
        </w:rPr>
      </w:pPr>
      <w:r w:rsidRPr="009B6D19">
        <w:rPr>
          <w:rFonts w:ascii="Garamond" w:hAnsi="Garamond"/>
          <w:lang w:eastAsia="fr-FR"/>
        </w:rPr>
        <w:t>Enfin,</w:t>
      </w:r>
      <w:r>
        <w:rPr>
          <w:rFonts w:ascii="Garamond" w:hAnsi="Garamond"/>
          <w:lang w:eastAsia="fr-FR"/>
        </w:rPr>
        <w:t xml:space="preserve"> face à la diversité et à l’ambigüité des valeurs sociales et politiques ainsi que la possibilité dont disposent les</w:t>
      </w:r>
      <w:r w:rsidRPr="009B6D19">
        <w:rPr>
          <w:rFonts w:ascii="Garamond" w:hAnsi="Garamond"/>
          <w:lang w:eastAsia="fr-FR"/>
        </w:rPr>
        <w:t xml:space="preserve"> institutions socialement établies </w:t>
      </w:r>
      <w:r>
        <w:rPr>
          <w:rFonts w:ascii="Garamond" w:hAnsi="Garamond"/>
          <w:lang w:eastAsia="fr-FR"/>
        </w:rPr>
        <w:t xml:space="preserve">de déroger aux </w:t>
      </w:r>
      <w:r w:rsidRPr="009B6D19">
        <w:rPr>
          <w:rFonts w:ascii="Garamond" w:hAnsi="Garamond"/>
          <w:lang w:eastAsia="fr-FR"/>
        </w:rPr>
        <w:t>lois et règlements préétablis,</w:t>
      </w:r>
      <w:r>
        <w:rPr>
          <w:rFonts w:ascii="Garamond" w:hAnsi="Garamond"/>
          <w:lang w:eastAsia="fr-FR"/>
        </w:rPr>
        <w:t xml:space="preserve"> il n’est pas exclu que ces institutions versent dans</w:t>
      </w:r>
      <w:r w:rsidRPr="009B6D19">
        <w:rPr>
          <w:rFonts w:ascii="Garamond" w:hAnsi="Garamond"/>
          <w:lang w:eastAsia="fr-FR"/>
        </w:rPr>
        <w:t xml:space="preserve"> l’arbitraire </w:t>
      </w:r>
      <w:r w:rsidR="001F0F4C">
        <w:rPr>
          <w:rFonts w:ascii="Garamond" w:hAnsi="Garamond"/>
          <w:lang w:eastAsia="fr-FR"/>
        </w:rPr>
        <w:t xml:space="preserve">ou dans </w:t>
      </w:r>
      <w:r w:rsidRPr="009B6D19">
        <w:rPr>
          <w:rFonts w:ascii="Garamond" w:hAnsi="Garamond"/>
          <w:lang w:eastAsia="fr-FR"/>
        </w:rPr>
        <w:t>l’anarchie</w:t>
      </w:r>
      <w:r>
        <w:rPr>
          <w:rFonts w:ascii="Garamond" w:hAnsi="Garamond"/>
          <w:lang w:eastAsia="fr-FR"/>
        </w:rPr>
        <w:t>. Cette situation se retrouve exacerbée lorsqu’aucune résistance n’est manifestée par d’autres acteurs notamment ceux de la société civile</w:t>
      </w:r>
      <w:r w:rsidRPr="009B6D19">
        <w:rPr>
          <w:rFonts w:ascii="Garamond" w:hAnsi="Garamond"/>
          <w:lang w:eastAsia="fr-FR"/>
        </w:rPr>
        <w:t>. Autrement dit, ces « v</w:t>
      </w:r>
      <w:r w:rsidR="001F0F4C">
        <w:rPr>
          <w:rFonts w:ascii="Garamond" w:hAnsi="Garamond"/>
          <w:lang w:eastAsia="fr-FR"/>
        </w:rPr>
        <w:t xml:space="preserve">aleurs » (bonnes ou mauvaises) </w:t>
      </w:r>
      <w:r w:rsidRPr="009B6D19">
        <w:rPr>
          <w:rFonts w:ascii="Garamond" w:hAnsi="Garamond"/>
          <w:lang w:eastAsia="fr-FR"/>
        </w:rPr>
        <w:t>constituent un gage de stabilité des institutions et contribuent à faire régner l’ordre social</w:t>
      </w:r>
      <w:r w:rsidR="001F0F4C">
        <w:rPr>
          <w:rFonts w:ascii="Garamond" w:hAnsi="Garamond"/>
          <w:lang w:eastAsia="fr-FR"/>
        </w:rPr>
        <w:t>. U</w:t>
      </w:r>
      <w:r w:rsidRPr="009B6D19">
        <w:rPr>
          <w:rFonts w:ascii="Garamond" w:hAnsi="Garamond"/>
          <w:lang w:eastAsia="fr-FR"/>
        </w:rPr>
        <w:t xml:space="preserve">ne fois que l’opinion publique assure leur validation et s’en approprie, elles deviennent difficilement remises en doute. C’est le cas par exemple d’antivaleurs tels que </w:t>
      </w:r>
      <w:r>
        <w:rPr>
          <w:rFonts w:ascii="Garamond" w:hAnsi="Garamond"/>
          <w:lang w:eastAsia="fr-FR"/>
        </w:rPr>
        <w:t>la corruption, la concussion et</w:t>
      </w:r>
      <w:r w:rsidRPr="009B6D19">
        <w:rPr>
          <w:rFonts w:ascii="Garamond" w:hAnsi="Garamond"/>
          <w:lang w:eastAsia="fr-FR"/>
        </w:rPr>
        <w:t xml:space="preserve"> la déification de l’autorité </w:t>
      </w:r>
      <w:r>
        <w:rPr>
          <w:rFonts w:ascii="Garamond" w:hAnsi="Garamond"/>
          <w:lang w:eastAsia="fr-FR"/>
        </w:rPr>
        <w:t xml:space="preserve">qui se </w:t>
      </w:r>
      <w:r w:rsidRPr="009B6D19">
        <w:rPr>
          <w:rFonts w:ascii="Garamond" w:hAnsi="Garamond"/>
          <w:lang w:eastAsia="fr-FR"/>
        </w:rPr>
        <w:t>développent et persistent dans un contexte de centralisation dans les pays en développement</w:t>
      </w:r>
      <w:r>
        <w:rPr>
          <w:rFonts w:ascii="Garamond" w:hAnsi="Garamond"/>
          <w:lang w:eastAsia="fr-FR"/>
        </w:rPr>
        <w:t xml:space="preserve"> </w:t>
      </w:r>
      <w:r w:rsidRPr="009B6D19">
        <w:rPr>
          <w:rFonts w:ascii="Garamond" w:hAnsi="Garamond"/>
          <w:lang w:eastAsia="fr-FR"/>
        </w:rPr>
        <w:t xml:space="preserve">(Bayart, 2008 ; </w:t>
      </w:r>
      <w:proofErr w:type="spellStart"/>
      <w:r w:rsidRPr="009B6D19">
        <w:rPr>
          <w:rFonts w:ascii="Garamond" w:hAnsi="Garamond"/>
          <w:lang w:eastAsia="fr-FR"/>
        </w:rPr>
        <w:t>Englebert</w:t>
      </w:r>
      <w:proofErr w:type="spellEnd"/>
      <w:r w:rsidRPr="009B6D19">
        <w:rPr>
          <w:rFonts w:ascii="Garamond" w:hAnsi="Garamond"/>
          <w:lang w:eastAsia="fr-FR"/>
        </w:rPr>
        <w:t xml:space="preserve"> &amp; Kasongo, 2016). North (1990) cité par </w:t>
      </w:r>
      <w:hyperlink r:id="rId10" w:history="1">
        <w:proofErr w:type="spellStart"/>
        <w:r w:rsidRPr="009B6D19">
          <w:rPr>
            <w:rFonts w:ascii="Garamond" w:hAnsi="Garamond"/>
            <w:lang w:eastAsia="fr-FR"/>
          </w:rPr>
          <w:t>Delpeuch</w:t>
        </w:r>
        <w:proofErr w:type="spellEnd"/>
      </w:hyperlink>
      <w:r w:rsidRPr="009B6D19">
        <w:rPr>
          <w:rFonts w:ascii="Garamond" w:hAnsi="Garamond"/>
          <w:lang w:eastAsia="fr-FR"/>
        </w:rPr>
        <w:t xml:space="preserve"> &amp; </w:t>
      </w:r>
      <w:proofErr w:type="spellStart"/>
      <w:r w:rsidR="003E35B5">
        <w:fldChar w:fldCharType="begin"/>
      </w:r>
      <w:r w:rsidR="003E35B5">
        <w:instrText xml:space="preserve"> HYPERLINK "https://www.cairn.info/publications-de-C%C3%A9cile-Vigour--24296.htm" </w:instrText>
      </w:r>
      <w:r w:rsidR="003E35B5">
        <w:fldChar w:fldCharType="separate"/>
      </w:r>
      <w:r w:rsidRPr="009B6D19">
        <w:rPr>
          <w:rFonts w:ascii="Garamond" w:hAnsi="Garamond"/>
          <w:lang w:eastAsia="fr-FR"/>
        </w:rPr>
        <w:t>Vigour</w:t>
      </w:r>
      <w:proofErr w:type="spellEnd"/>
      <w:r w:rsidR="003E35B5">
        <w:rPr>
          <w:rFonts w:ascii="Garamond" w:hAnsi="Garamond"/>
          <w:lang w:eastAsia="fr-FR"/>
        </w:rPr>
        <w:fldChar w:fldCharType="end"/>
      </w:r>
      <w:r w:rsidRPr="009B6D19">
        <w:rPr>
          <w:rFonts w:ascii="Garamond" w:hAnsi="Garamond"/>
          <w:lang w:eastAsia="fr-FR"/>
        </w:rPr>
        <w:t xml:space="preserve"> (2014 :) souligne que ces genres d’institutions véhiculent une rationalité limitée de telle sorte qu’elles sont capables de former des anticipations et de coordonner les comportements des acteurs en jouant sur les informations, les schèmes mentaux, les repères identitaires ou encore en privilégiant des solutions routinières aux problèmes courants. </w:t>
      </w:r>
    </w:p>
    <w:p w14:paraId="592F249F" w14:textId="6F172487" w:rsidR="00804868" w:rsidRPr="009B6D19" w:rsidRDefault="00804868" w:rsidP="00804868">
      <w:pPr>
        <w:rPr>
          <w:rFonts w:ascii="Garamond" w:hAnsi="Garamond"/>
          <w:lang w:eastAsia="fr-FR"/>
        </w:rPr>
      </w:pPr>
      <w:r w:rsidRPr="009B6D19">
        <w:rPr>
          <w:rFonts w:ascii="Garamond" w:hAnsi="Garamond"/>
          <w:lang w:eastAsia="fr-FR"/>
        </w:rPr>
        <w:t xml:space="preserve">Cela étant dit, la difficulté de cadrage du périmètre des institutions nées d’un compromis est l’une des limites de l’étude de la trajectoire institutionnelle des réformes. Par conséquent, elle est l’un des facteurs de la dépendance au sentier. Les institutions qui </w:t>
      </w:r>
      <w:r w:rsidR="007C60DB">
        <w:rPr>
          <w:rFonts w:ascii="Garamond" w:hAnsi="Garamond"/>
          <w:lang w:eastAsia="fr-FR"/>
        </w:rPr>
        <w:t xml:space="preserve">en résultent </w:t>
      </w:r>
      <w:r>
        <w:rPr>
          <w:rFonts w:ascii="Garamond" w:hAnsi="Garamond"/>
          <w:lang w:eastAsia="fr-FR"/>
        </w:rPr>
        <w:t>sont</w:t>
      </w:r>
      <w:r w:rsidRPr="009B6D19">
        <w:rPr>
          <w:rFonts w:ascii="Garamond" w:hAnsi="Garamond"/>
          <w:lang w:eastAsia="fr-FR"/>
        </w:rPr>
        <w:t xml:space="preserve"> réfractaires à la responsabilisation, à la reddition des comptes et souvent ambiguës et contradictoires (Novak, 2017). Pierson (2000), cité par </w:t>
      </w:r>
      <w:proofErr w:type="spellStart"/>
      <w:r w:rsidRPr="009B6D19">
        <w:rPr>
          <w:rFonts w:ascii="Garamond" w:hAnsi="Garamond"/>
          <w:lang w:eastAsia="fr-FR"/>
        </w:rPr>
        <w:t>Smyrl</w:t>
      </w:r>
      <w:proofErr w:type="spellEnd"/>
      <w:r w:rsidRPr="009B6D19">
        <w:rPr>
          <w:rFonts w:ascii="Garamond" w:hAnsi="Garamond"/>
          <w:lang w:eastAsia="fr-FR"/>
        </w:rPr>
        <w:t xml:space="preserve"> (2005) avait déjà souligné que parmi les facteurs qui entretenaient </w:t>
      </w:r>
      <w:r w:rsidR="007C60DB">
        <w:rPr>
          <w:rFonts w:ascii="Garamond" w:hAnsi="Garamond"/>
          <w:lang w:eastAsia="fr-FR"/>
        </w:rPr>
        <w:t>cette</w:t>
      </w:r>
      <w:r w:rsidRPr="009B6D19">
        <w:rPr>
          <w:rFonts w:ascii="Garamond" w:hAnsi="Garamond"/>
          <w:lang w:eastAsia="fr-FR"/>
        </w:rPr>
        <w:t xml:space="preserve"> dépendance au sentier figure le </w:t>
      </w:r>
      <w:r>
        <w:rPr>
          <w:rFonts w:ascii="Garamond" w:hAnsi="Garamond"/>
          <w:lang w:eastAsia="fr-FR"/>
        </w:rPr>
        <w:t>« </w:t>
      </w:r>
      <w:r w:rsidRPr="00F944A3">
        <w:rPr>
          <w:rFonts w:ascii="Garamond" w:hAnsi="Garamond"/>
          <w:i/>
          <w:lang w:eastAsia="fr-FR"/>
        </w:rPr>
        <w:t>bourrage institutionnel</w:t>
      </w:r>
      <w:r>
        <w:rPr>
          <w:rFonts w:ascii="Garamond" w:hAnsi="Garamond"/>
          <w:lang w:eastAsia="fr-FR"/>
        </w:rPr>
        <w:t> »</w:t>
      </w:r>
      <w:r w:rsidRPr="009B6D19">
        <w:rPr>
          <w:rFonts w:ascii="Garamond" w:hAnsi="Garamond"/>
          <w:lang w:eastAsia="fr-FR"/>
        </w:rPr>
        <w:t xml:space="preserve"> se traduisant par une complexité des procédures techniquement ambiguës et moins transparentes. Cela </w:t>
      </w:r>
      <w:r w:rsidR="007C60DB">
        <w:rPr>
          <w:rFonts w:ascii="Garamond" w:hAnsi="Garamond"/>
          <w:lang w:eastAsia="fr-FR"/>
        </w:rPr>
        <w:t xml:space="preserve">a notamment pour </w:t>
      </w:r>
      <w:r w:rsidRPr="009B6D19">
        <w:rPr>
          <w:rFonts w:ascii="Garamond" w:hAnsi="Garamond"/>
          <w:lang w:eastAsia="fr-FR"/>
        </w:rPr>
        <w:t>conséquence</w:t>
      </w:r>
      <w:r w:rsidR="007C60DB">
        <w:rPr>
          <w:rFonts w:ascii="Garamond" w:hAnsi="Garamond"/>
          <w:lang w:eastAsia="fr-FR"/>
        </w:rPr>
        <w:t>s</w:t>
      </w:r>
      <w:r w:rsidRPr="009B6D19">
        <w:rPr>
          <w:rFonts w:ascii="Garamond" w:hAnsi="Garamond"/>
          <w:lang w:eastAsia="fr-FR"/>
        </w:rPr>
        <w:t xml:space="preserve">, la résistance farouche </w:t>
      </w:r>
      <w:r w:rsidR="007C60DB">
        <w:rPr>
          <w:rFonts w:ascii="Garamond" w:hAnsi="Garamond"/>
          <w:lang w:eastAsia="fr-FR"/>
        </w:rPr>
        <w:t>d’institutions</w:t>
      </w:r>
      <w:r w:rsidRPr="009B6D19">
        <w:rPr>
          <w:rFonts w:ascii="Garamond" w:hAnsi="Garamond"/>
          <w:lang w:eastAsia="fr-FR"/>
        </w:rPr>
        <w:t xml:space="preserve"> </w:t>
      </w:r>
      <w:r w:rsidR="007C60DB">
        <w:rPr>
          <w:rFonts w:ascii="Garamond" w:hAnsi="Garamond"/>
          <w:lang w:eastAsia="fr-FR"/>
        </w:rPr>
        <w:t xml:space="preserve">issues de ce bourrage entrainant par la suite un plombage des actions envisagées. </w:t>
      </w:r>
    </w:p>
    <w:p w14:paraId="009CCFC4" w14:textId="4E760245" w:rsidR="00804868" w:rsidRPr="009B6D19" w:rsidRDefault="00804868" w:rsidP="00804868">
      <w:pPr>
        <w:rPr>
          <w:rFonts w:ascii="Garamond" w:hAnsi="Garamond"/>
        </w:rPr>
      </w:pPr>
      <w:r w:rsidRPr="009B6D19">
        <w:rPr>
          <w:rFonts w:ascii="Garamond" w:hAnsi="Garamond"/>
          <w:lang w:eastAsia="fr-FR"/>
        </w:rPr>
        <w:lastRenderedPageBreak/>
        <w:t xml:space="preserve">De ce qui précède, il est à comprendre que face à une réforme, les institutions préexistantes et celles véhiculées par la réforme entrent en confrontation. Cette confrontation est </w:t>
      </w:r>
      <w:r w:rsidR="00CA7DA6">
        <w:rPr>
          <w:rFonts w:ascii="Garamond" w:hAnsi="Garamond"/>
          <w:lang w:eastAsia="fr-FR"/>
        </w:rPr>
        <w:t>la conséquence</w:t>
      </w:r>
      <w:r w:rsidRPr="009B6D19">
        <w:rPr>
          <w:rFonts w:ascii="Garamond" w:hAnsi="Garamond"/>
          <w:lang w:eastAsia="fr-FR"/>
        </w:rPr>
        <w:t xml:space="preserve"> d’un choc institutionnel surtout lorsque les valeurs </w:t>
      </w:r>
      <w:r w:rsidR="00AF08EF">
        <w:rPr>
          <w:rFonts w:ascii="Garamond" w:hAnsi="Garamond"/>
          <w:lang w:eastAsia="fr-FR"/>
        </w:rPr>
        <w:t>véhiculées par ladite réforme</w:t>
      </w:r>
      <w:r w:rsidRPr="009B6D19">
        <w:rPr>
          <w:rFonts w:ascii="Garamond" w:hAnsi="Garamond"/>
          <w:lang w:eastAsia="fr-FR"/>
        </w:rPr>
        <w:t xml:space="preserve"> affectent directement les comportements des acteurs ou sont de nature à enfreindre les intérêts des acteurs dominants. Bayart (2008) illustre mieux ce choc institutionnel par le processus de démocratisation des pays africains face à la crise économique pendant la guerre froide et la difficulté de se défaire de la tradition pour s’accommoder à la nouvelle culture managerielle. La résistance qui résulte de ce choc institutionnel, détourne les réformes institutionnelles de la trajectoire initiale pour déboucher sur des résultats moins attrayants</w:t>
      </w:r>
      <w:r w:rsidR="00AF08EF">
        <w:rPr>
          <w:rFonts w:ascii="Garamond" w:hAnsi="Garamond"/>
          <w:lang w:eastAsia="fr-FR"/>
        </w:rPr>
        <w:t xml:space="preserve">. Dans </w:t>
      </w:r>
      <w:r w:rsidRPr="009B6D19">
        <w:rPr>
          <w:rFonts w:ascii="Garamond" w:hAnsi="Garamond"/>
          <w:lang w:eastAsia="fr-FR"/>
        </w:rPr>
        <w:t xml:space="preserve">le pire des cas,  </w:t>
      </w:r>
      <w:r w:rsidRPr="009B6D19">
        <w:rPr>
          <w:rFonts w:ascii="Garamond" w:hAnsi="Garamond"/>
        </w:rPr>
        <w:t xml:space="preserve">comme déjà souligné précédemment, </w:t>
      </w:r>
      <w:r w:rsidR="00AF08EF">
        <w:rPr>
          <w:rFonts w:ascii="Garamond" w:hAnsi="Garamond"/>
        </w:rPr>
        <w:t xml:space="preserve">elle peut </w:t>
      </w:r>
      <w:r w:rsidRPr="009B6D19">
        <w:rPr>
          <w:rFonts w:ascii="Garamond" w:hAnsi="Garamond"/>
        </w:rPr>
        <w:t xml:space="preserve">constituer un terreau propice au développement d’institutions dangereusement ambivalentes </w:t>
      </w:r>
      <w:r w:rsidR="00AF08EF">
        <w:rPr>
          <w:rFonts w:ascii="Garamond" w:hAnsi="Garamond"/>
        </w:rPr>
        <w:t xml:space="preserve">caractérisées par </w:t>
      </w:r>
      <w:r w:rsidRPr="009B6D19">
        <w:rPr>
          <w:rFonts w:ascii="Garamond" w:hAnsi="Garamond"/>
        </w:rPr>
        <w:t>l’inefficacité, l’illégalité, la déviance et la délinquance ainsi que  par l’irresponsabilité et la dépendance structurelle</w:t>
      </w:r>
      <w:r w:rsidR="00AF08EF">
        <w:rPr>
          <w:rFonts w:ascii="Garamond" w:hAnsi="Garamond"/>
        </w:rPr>
        <w:t xml:space="preserve"> </w:t>
      </w:r>
      <w:r w:rsidRPr="009B6D19">
        <w:rPr>
          <w:rFonts w:ascii="Garamond" w:hAnsi="Garamond"/>
        </w:rPr>
        <w:t xml:space="preserve">(Atangana </w:t>
      </w:r>
      <w:proofErr w:type="spellStart"/>
      <w:r w:rsidRPr="009B6D19">
        <w:rPr>
          <w:rFonts w:ascii="Garamond" w:hAnsi="Garamond"/>
        </w:rPr>
        <w:t>Mvogo</w:t>
      </w:r>
      <w:proofErr w:type="spellEnd"/>
      <w:r w:rsidRPr="009B6D19">
        <w:rPr>
          <w:rFonts w:ascii="Garamond" w:hAnsi="Garamond"/>
        </w:rPr>
        <w:t>, 2019 : 174 ; Bellegarde, 2003 :100).</w:t>
      </w:r>
    </w:p>
    <w:p w14:paraId="1ADB4A2D" w14:textId="77777777" w:rsidR="00804868" w:rsidRPr="00A068A9" w:rsidRDefault="00804868" w:rsidP="00804868">
      <w:pPr>
        <w:ind w:left="1985"/>
        <w:rPr>
          <w:rFonts w:ascii="Garamond" w:hAnsi="Garamond"/>
          <w:sz w:val="22"/>
        </w:rPr>
      </w:pPr>
      <w:r w:rsidRPr="00A068A9">
        <w:rPr>
          <w:rFonts w:ascii="Garamond" w:hAnsi="Garamond"/>
          <w:sz w:val="22"/>
        </w:rPr>
        <w:t>«… les prescriptions adressées à un pays donné à une époque précise doivent être ancrées dans la compréhension de sa situation, de la trajectoire qui conduit au présent, à travers le temps historique long. » (Boyer, 2002 :100)</w:t>
      </w:r>
    </w:p>
    <w:p w14:paraId="69B96E1F" w14:textId="3F40B610" w:rsidR="00804868" w:rsidRPr="009B6D19" w:rsidRDefault="00804868" w:rsidP="00804868">
      <w:pPr>
        <w:rPr>
          <w:rFonts w:ascii="Garamond" w:hAnsi="Garamond"/>
        </w:rPr>
      </w:pPr>
      <w:r w:rsidRPr="009B6D19">
        <w:rPr>
          <w:rFonts w:ascii="Garamond" w:hAnsi="Garamond"/>
        </w:rPr>
        <w:t xml:space="preserve">Ce passage de Boyer (2002) tiré de son article sur le consensus de Washington et son impact sur la trajectoire des institutions économiques, sociales, culturelles et politiques préexistantes, nous plonge directement dans l’analyse du contexte dans lequel certaines réformes sont implantées. En effet, la compréhension du développement institutionnel facilite la lecture des forces et des faiblesses des institutions préexistantes et </w:t>
      </w:r>
      <w:r w:rsidR="00500F76">
        <w:rPr>
          <w:rFonts w:ascii="Garamond" w:hAnsi="Garamond"/>
        </w:rPr>
        <w:t xml:space="preserve">suscite l’interrogation </w:t>
      </w:r>
      <w:r w:rsidRPr="009B6D19">
        <w:rPr>
          <w:rFonts w:ascii="Garamond" w:hAnsi="Garamond"/>
        </w:rPr>
        <w:t xml:space="preserve">sur la persistance de certaines tares et les modifications qu’elles entrainent sur  l’orientation de la trajectoire </w:t>
      </w:r>
      <w:r w:rsidR="00500F76">
        <w:rPr>
          <w:rFonts w:ascii="Garamond" w:hAnsi="Garamond"/>
        </w:rPr>
        <w:t>institutionnelle</w:t>
      </w:r>
      <w:r w:rsidRPr="009B6D19">
        <w:rPr>
          <w:rFonts w:ascii="Garamond" w:hAnsi="Garamond"/>
        </w:rPr>
        <w:t>. Partant du principe cher</w:t>
      </w:r>
      <w:r>
        <w:rPr>
          <w:rFonts w:ascii="Garamond" w:hAnsi="Garamond"/>
        </w:rPr>
        <w:t xml:space="preserve"> </w:t>
      </w:r>
      <w:r w:rsidRPr="009B6D19">
        <w:rPr>
          <w:rFonts w:ascii="Garamond" w:hAnsi="Garamond"/>
        </w:rPr>
        <w:t>à la théorie de la</w:t>
      </w:r>
      <w:r>
        <w:rPr>
          <w:rFonts w:ascii="Garamond" w:hAnsi="Garamond"/>
        </w:rPr>
        <w:t xml:space="preserve"> </w:t>
      </w:r>
      <w:r w:rsidRPr="009B6D19">
        <w:rPr>
          <w:rFonts w:ascii="Garamond" w:hAnsi="Garamond"/>
        </w:rPr>
        <w:t>dépendance au sentier qui est la « </w:t>
      </w:r>
      <w:r w:rsidRPr="009B6D19">
        <w:rPr>
          <w:rFonts w:ascii="Garamond" w:hAnsi="Garamond"/>
          <w:i/>
        </w:rPr>
        <w:t>non-ergodicité</w:t>
      </w:r>
      <w:r w:rsidRPr="009B6D19">
        <w:rPr>
          <w:rFonts w:ascii="Garamond" w:hAnsi="Garamond"/>
        </w:rPr>
        <w:t xml:space="preserve"> », c’est-à-dire, l’incapacité de se défaire ou de s’affranchir du poids historique et contextuel (Martin &amp; </w:t>
      </w:r>
      <w:proofErr w:type="spellStart"/>
      <w:r w:rsidRPr="009B6D19">
        <w:rPr>
          <w:rFonts w:ascii="Garamond" w:hAnsi="Garamond"/>
        </w:rPr>
        <w:t>Sunley</w:t>
      </w:r>
      <w:proofErr w:type="spellEnd"/>
      <w:r w:rsidRPr="009B6D19">
        <w:rPr>
          <w:rFonts w:ascii="Garamond" w:hAnsi="Garamond"/>
        </w:rPr>
        <w:t xml:space="preserve">, 2006), l’examen des dynamiques socio-politiques et économiques ayant prévalu à l’adoption des réformes est un impératif. Ces dynamiques peuvent être à la base soit du verrouillage institutionnel, du développement des rendements croissants sur la trajectoire favorables à une interaction entre les externalités positives et effets d’apprentissage productrice des rétroactions positives ou soit d’une l'hystérésis institutionnelle (Martin &amp; </w:t>
      </w:r>
      <w:proofErr w:type="spellStart"/>
      <w:r w:rsidRPr="009B6D19">
        <w:rPr>
          <w:rFonts w:ascii="Garamond" w:hAnsi="Garamond"/>
        </w:rPr>
        <w:t>Sunley</w:t>
      </w:r>
      <w:proofErr w:type="spellEnd"/>
      <w:r w:rsidRPr="009B6D19">
        <w:rPr>
          <w:rFonts w:ascii="Garamond" w:hAnsi="Garamond"/>
        </w:rPr>
        <w:t>, 2006). Cette dernière constitue une tendance à l’autoreproduction au fil de temps de certains arrangements sociaux-culturels formels et informels de façon à les entretenir et</w:t>
      </w:r>
      <w:r w:rsidR="005343EB">
        <w:rPr>
          <w:rFonts w:ascii="Garamond" w:hAnsi="Garamond"/>
        </w:rPr>
        <w:t xml:space="preserve"> à les pérenniser. De ce fait, l</w:t>
      </w:r>
      <w:r w:rsidRPr="009B6D19">
        <w:rPr>
          <w:rFonts w:ascii="Garamond" w:hAnsi="Garamond"/>
        </w:rPr>
        <w:t xml:space="preserve">es architectures institutionnelles qui naissent de ces arrangements hérités du passé impactent significativement la conception générale du lien social, les relations de pouvoir entre acteurs et les choix des politiques publiques futures en bloquant l’accès aux voies alternatives. Ce blocage se </w:t>
      </w:r>
      <w:r w:rsidRPr="009B6D19">
        <w:rPr>
          <w:rFonts w:ascii="Garamond" w:hAnsi="Garamond"/>
        </w:rPr>
        <w:lastRenderedPageBreak/>
        <w:t xml:space="preserve">retrouve une fois de plus conforté lorsque le point critique à la base de la réforme a été provoqué par une pression exogène. C’est le cas notamment d’une série des réformes </w:t>
      </w:r>
      <w:r w:rsidR="005343EB">
        <w:rPr>
          <w:rFonts w:ascii="Garamond" w:hAnsi="Garamond"/>
        </w:rPr>
        <w:t xml:space="preserve">dites </w:t>
      </w:r>
      <w:r w:rsidRPr="009B6D19">
        <w:rPr>
          <w:rFonts w:ascii="Garamond" w:hAnsi="Garamond"/>
        </w:rPr>
        <w:t>« impérialistes »</w:t>
      </w:r>
      <w:r>
        <w:rPr>
          <w:rFonts w:ascii="Garamond" w:hAnsi="Garamond"/>
        </w:rPr>
        <w:t xml:space="preserve"> tendant à inculquer et à imposer aux pays du Sud une autre façon de gérer la chose publique. Ces réformes qui portent le label de la « bonne gouvernance » se retrouvent malheureusement confrontées à une résistance farouche érigée par les institutions préexistantes </w:t>
      </w:r>
      <w:r w:rsidRPr="009B6D19">
        <w:rPr>
          <w:rFonts w:ascii="Garamond" w:hAnsi="Garamond"/>
        </w:rPr>
        <w:t>(</w:t>
      </w:r>
      <w:proofErr w:type="spellStart"/>
      <w:r w:rsidRPr="009B6D19">
        <w:rPr>
          <w:rFonts w:ascii="Garamond" w:hAnsi="Garamond"/>
        </w:rPr>
        <w:t>Smyrl</w:t>
      </w:r>
      <w:proofErr w:type="spellEnd"/>
      <w:r w:rsidRPr="009B6D19">
        <w:rPr>
          <w:rFonts w:ascii="Garamond" w:hAnsi="Garamond"/>
        </w:rPr>
        <w:t xml:space="preserve">, 2005). </w:t>
      </w:r>
      <w:r>
        <w:rPr>
          <w:rFonts w:ascii="Garamond" w:hAnsi="Garamond"/>
        </w:rPr>
        <w:t>La persistance de cette résistance</w:t>
      </w:r>
      <w:r w:rsidRPr="009B6D19">
        <w:rPr>
          <w:rFonts w:ascii="Garamond" w:hAnsi="Garamond"/>
        </w:rPr>
        <w:t xml:space="preserve"> se justifie </w:t>
      </w:r>
      <w:r>
        <w:rPr>
          <w:rFonts w:ascii="Garamond" w:hAnsi="Garamond"/>
        </w:rPr>
        <w:t>notamment par les faibles cap</w:t>
      </w:r>
      <w:r w:rsidR="005343EB">
        <w:rPr>
          <w:rFonts w:ascii="Garamond" w:hAnsi="Garamond"/>
        </w:rPr>
        <w:t>acités de l’Etat à implémenter l</w:t>
      </w:r>
      <w:r>
        <w:rPr>
          <w:rFonts w:ascii="Garamond" w:hAnsi="Garamond"/>
        </w:rPr>
        <w:t xml:space="preserve">es réformes pour lesquelles il a souscrit librement et le manque de dynamisme d’autres acteurs tant de la société civile que </w:t>
      </w:r>
      <w:r w:rsidRPr="009B6D19">
        <w:rPr>
          <w:rFonts w:ascii="Garamond" w:hAnsi="Garamond"/>
        </w:rPr>
        <w:t>politique</w:t>
      </w:r>
      <w:r w:rsidR="005343EB">
        <w:rPr>
          <w:rFonts w:ascii="Garamond" w:hAnsi="Garamond"/>
        </w:rPr>
        <w:t>s</w:t>
      </w:r>
      <w:r w:rsidRPr="009B6D19">
        <w:rPr>
          <w:rFonts w:ascii="Garamond" w:hAnsi="Garamond"/>
        </w:rPr>
        <w:t xml:space="preserve"> devant jouer pleinement leur rôle de contrepoids. </w:t>
      </w:r>
    </w:p>
    <w:p w14:paraId="09C29570" w14:textId="77777777" w:rsidR="00804868" w:rsidRPr="009B6D19" w:rsidRDefault="00804868" w:rsidP="00804868">
      <w:pPr>
        <w:rPr>
          <w:rFonts w:ascii="Garamond" w:hAnsi="Garamond"/>
        </w:rPr>
      </w:pPr>
      <w:r w:rsidRPr="009B6D19">
        <w:rPr>
          <w:rFonts w:ascii="Garamond" w:hAnsi="Garamond"/>
        </w:rPr>
        <w:t>En conclusion, ce cadre d’analyse se retrouve</w:t>
      </w:r>
      <w:r>
        <w:rPr>
          <w:rFonts w:ascii="Garamond" w:hAnsi="Garamond"/>
        </w:rPr>
        <w:t xml:space="preserve"> </w:t>
      </w:r>
      <w:r w:rsidRPr="009B6D19">
        <w:rPr>
          <w:rFonts w:ascii="Garamond" w:hAnsi="Garamond"/>
        </w:rPr>
        <w:t>plus adapté pour aborder la</w:t>
      </w:r>
      <w:r>
        <w:rPr>
          <w:rFonts w:ascii="Garamond" w:hAnsi="Garamond"/>
        </w:rPr>
        <w:t xml:space="preserve"> </w:t>
      </w:r>
      <w:r w:rsidRPr="009B6D19">
        <w:rPr>
          <w:rFonts w:ascii="Garamond" w:hAnsi="Garamond"/>
        </w:rPr>
        <w:t>problématique</w:t>
      </w:r>
      <w:r>
        <w:rPr>
          <w:rFonts w:ascii="Garamond" w:hAnsi="Garamond"/>
        </w:rPr>
        <w:t xml:space="preserve"> </w:t>
      </w:r>
      <w:r w:rsidRPr="009B6D19">
        <w:rPr>
          <w:rFonts w:ascii="Garamond" w:hAnsi="Garamond"/>
        </w:rPr>
        <w:t xml:space="preserve">des réformes institutionnelles décentralisatrices d’autant plus qu’il permet de bien suivre la trajectoire de la décentralisation et les conséquences imprévues enregistrées dans le cadre de la responsabilité financière et de la reddition des comptes. En faisant cette analyse, nous parviendrons à avoir une explication sur la contribution des institutions culturellement encrées à l’effectivité ou au blocage </w:t>
      </w:r>
      <w:r>
        <w:rPr>
          <w:rFonts w:ascii="Garamond" w:hAnsi="Garamond"/>
        </w:rPr>
        <w:t>de la réforme décentralisatrice e</w:t>
      </w:r>
      <w:r w:rsidRPr="009B6D19">
        <w:rPr>
          <w:rFonts w:ascii="Garamond" w:hAnsi="Garamond"/>
        </w:rPr>
        <w:t>t d’identifier d’autres facteurs émanant du cadre formel ou informel qui ont influencé la trajectoire de la décentralisation.</w:t>
      </w:r>
    </w:p>
    <w:p w14:paraId="08EB905B" w14:textId="77777777" w:rsidR="00804868" w:rsidRPr="009B6D19" w:rsidRDefault="00804868" w:rsidP="00804868">
      <w:pPr>
        <w:pStyle w:val="Heading2"/>
        <w:numPr>
          <w:ilvl w:val="1"/>
          <w:numId w:val="14"/>
        </w:numPr>
        <w:rPr>
          <w:rFonts w:ascii="Garamond" w:hAnsi="Garamond"/>
          <w:szCs w:val="24"/>
        </w:rPr>
      </w:pPr>
      <w:bookmarkStart w:id="34" w:name="_Toc143577459"/>
      <w:r w:rsidRPr="009B6D19">
        <w:rPr>
          <w:rFonts w:ascii="Garamond" w:hAnsi="Garamond"/>
          <w:szCs w:val="24"/>
        </w:rPr>
        <w:t>Méthodologie de recherche</w:t>
      </w:r>
      <w:bookmarkEnd w:id="34"/>
    </w:p>
    <w:p w14:paraId="500D9C0B" w14:textId="77777777" w:rsidR="00804868" w:rsidRPr="00090B69" w:rsidRDefault="00804868" w:rsidP="00804868">
      <w:pPr>
        <w:pStyle w:val="Heading3"/>
        <w:rPr>
          <w:lang w:val="fr-CA"/>
        </w:rPr>
      </w:pPr>
      <w:bookmarkStart w:id="35" w:name="_Toc125594167"/>
      <w:bookmarkStart w:id="36" w:name="_Toc143577460"/>
      <w:r w:rsidRPr="00090B69">
        <w:rPr>
          <w:lang w:val="fr-CA"/>
        </w:rPr>
        <w:t>Causal Process Tracing (CPT)</w:t>
      </w:r>
      <w:bookmarkEnd w:id="35"/>
      <w:r w:rsidRPr="00090B69">
        <w:rPr>
          <w:lang w:val="fr-CA"/>
        </w:rPr>
        <w:t xml:space="preserve"> – Reconstitution du processus de causalité</w:t>
      </w:r>
      <w:bookmarkEnd w:id="36"/>
    </w:p>
    <w:p w14:paraId="3528398C" w14:textId="5E434FEC" w:rsidR="00804868" w:rsidRPr="009B6D19" w:rsidRDefault="00804868" w:rsidP="00804868">
      <w:pPr>
        <w:rPr>
          <w:rFonts w:ascii="Garamond" w:hAnsi="Garamond"/>
        </w:rPr>
      </w:pPr>
      <w:r w:rsidRPr="009B6D19">
        <w:rPr>
          <w:rFonts w:ascii="Garamond" w:hAnsi="Garamond"/>
        </w:rPr>
        <w:t>Comme souligné dans la section précédente, la CPT que l’on pourrait traduire par la reconstitution du processus de causalité, est une méthode adaptée aux données qualitatives et qui est assise sur le trépied (Contexte-Mécanismes-Objectifs). Elle se base</w:t>
      </w:r>
      <w:r>
        <w:rPr>
          <w:rFonts w:ascii="Garamond" w:hAnsi="Garamond"/>
        </w:rPr>
        <w:t xml:space="preserve"> </w:t>
      </w:r>
      <w:r w:rsidRPr="009B6D19">
        <w:rPr>
          <w:rFonts w:ascii="Garamond" w:hAnsi="Garamond"/>
        </w:rPr>
        <w:t>sur le postulat selon lequel« </w:t>
      </w:r>
      <w:r w:rsidRPr="009B6D19">
        <w:rPr>
          <w:rFonts w:ascii="Garamond" w:hAnsi="Garamond"/>
          <w:i/>
        </w:rPr>
        <w:t>les progrès dans l'explication sociale sont plus probables lorsqu'un certain degré de contrôle sur le contexte est possible</w:t>
      </w:r>
      <w:r>
        <w:rPr>
          <w:rFonts w:ascii="Garamond" w:hAnsi="Garamond"/>
        </w:rPr>
        <w:t> » (</w:t>
      </w:r>
      <w:proofErr w:type="spellStart"/>
      <w:r w:rsidRPr="009B6D19">
        <w:rPr>
          <w:rFonts w:ascii="Garamond" w:hAnsi="Garamond"/>
        </w:rPr>
        <w:t>Bezes</w:t>
      </w:r>
      <w:proofErr w:type="spellEnd"/>
      <w:r w:rsidRPr="009B6D19">
        <w:rPr>
          <w:rFonts w:ascii="Garamond" w:hAnsi="Garamond"/>
        </w:rPr>
        <w:t xml:space="preserve"> &amp; Palier, 2018 : 1099).</w:t>
      </w:r>
      <w:r>
        <w:rPr>
          <w:rFonts w:ascii="Garamond" w:hAnsi="Garamond"/>
        </w:rPr>
        <w:t xml:space="preserve"> Son mérite est celui de faciliter la compréhension des mécanismes </w:t>
      </w:r>
      <w:r w:rsidRPr="009B6D19">
        <w:rPr>
          <w:rFonts w:ascii="Garamond" w:hAnsi="Garamond"/>
        </w:rPr>
        <w:t>politiques « </w:t>
      </w:r>
      <w:r w:rsidRPr="009B6D19">
        <w:rPr>
          <w:rFonts w:ascii="Garamond" w:hAnsi="Garamond"/>
          <w:i/>
        </w:rPr>
        <w:t>qui caractérisent les changements dans la conduite de politiques publiques ou des réformes. Sous cet angle, elle facilite la comparaison  systématique des processus politiques qui ont permis l’adoption et le développement de ces mécanismes</w:t>
      </w:r>
      <w:r w:rsidRPr="009B6D19">
        <w:rPr>
          <w:rFonts w:ascii="Garamond" w:hAnsi="Garamond"/>
        </w:rPr>
        <w:t> » (Palier, 2010 : 418). Elle procède par une induction sur les processus politiques de changements institutionnels ou des politiques publiques à partir de régularités. De ce fait, elle assure le séquençage du processus de changement en différentes phases : la construction du diagnostic des problèmes, l’élaboration des solutions, l’adoption</w:t>
      </w:r>
      <w:r>
        <w:rPr>
          <w:rFonts w:ascii="Garamond" w:hAnsi="Garamond"/>
        </w:rPr>
        <w:t xml:space="preserve"> et la mise en œuvre des mesures</w:t>
      </w:r>
      <w:r w:rsidRPr="009B6D19">
        <w:rPr>
          <w:rFonts w:ascii="Garamond" w:hAnsi="Garamond"/>
        </w:rPr>
        <w:t xml:space="preserve"> (Richards, 2011 : 2013</w:t>
      </w:r>
      <w:r>
        <w:rPr>
          <w:rFonts w:ascii="Garamond" w:hAnsi="Garamond"/>
        </w:rPr>
        <w:t xml:space="preserve"> ; </w:t>
      </w:r>
      <w:r>
        <w:rPr>
          <w:rFonts w:ascii="Garamond" w:hAnsi="Garamond"/>
          <w:lang w:val="fr-CA"/>
        </w:rPr>
        <w:t>Maillet &amp; </w:t>
      </w:r>
      <w:proofErr w:type="spellStart"/>
      <w:r>
        <w:rPr>
          <w:rFonts w:ascii="Garamond" w:hAnsi="Garamond"/>
          <w:lang w:val="fr-CA"/>
        </w:rPr>
        <w:t>Mayaux</w:t>
      </w:r>
      <w:proofErr w:type="spellEnd"/>
      <w:r>
        <w:rPr>
          <w:rFonts w:ascii="Garamond" w:hAnsi="Garamond"/>
          <w:lang w:val="fr-CA"/>
        </w:rPr>
        <w:t xml:space="preserve">, </w:t>
      </w:r>
      <w:r w:rsidRPr="0086008A">
        <w:rPr>
          <w:rFonts w:ascii="Garamond" w:hAnsi="Garamond"/>
          <w:lang w:val="fr-CA"/>
        </w:rPr>
        <w:t>2018</w:t>
      </w:r>
      <w:r w:rsidR="009C3793">
        <w:rPr>
          <w:rFonts w:ascii="Garamond" w:hAnsi="Garamond"/>
        </w:rPr>
        <w:t>).</w:t>
      </w:r>
      <w:r w:rsidRPr="009B6D19">
        <w:rPr>
          <w:rFonts w:ascii="Garamond" w:hAnsi="Garamond"/>
        </w:rPr>
        <w:t xml:space="preserve"> Pour clore, elle se prête mieux à une étude de cas contemporaine ou rétrospective </w:t>
      </w:r>
    </w:p>
    <w:p w14:paraId="63348ABF" w14:textId="02B730F7" w:rsidR="00804868" w:rsidRPr="009B6D19" w:rsidRDefault="00804868" w:rsidP="00804868">
      <w:pPr>
        <w:rPr>
          <w:rFonts w:ascii="Garamond" w:hAnsi="Garamond"/>
          <w:i/>
        </w:rPr>
      </w:pPr>
      <w:r w:rsidRPr="009B6D19">
        <w:rPr>
          <w:rFonts w:ascii="Garamond" w:hAnsi="Garamond"/>
        </w:rPr>
        <w:t>Dans le cadre de cette analyse</w:t>
      </w:r>
      <w:r>
        <w:rPr>
          <w:rFonts w:ascii="Garamond" w:hAnsi="Garamond"/>
        </w:rPr>
        <w:t xml:space="preserve"> </w:t>
      </w:r>
      <w:r w:rsidRPr="009B6D19">
        <w:rPr>
          <w:rFonts w:ascii="Garamond" w:hAnsi="Garamond"/>
        </w:rPr>
        <w:t>sur la respo</w:t>
      </w:r>
      <w:r>
        <w:rPr>
          <w:rFonts w:ascii="Garamond" w:hAnsi="Garamond"/>
        </w:rPr>
        <w:t>nsabilité</w:t>
      </w:r>
      <w:r w:rsidRPr="009B6D19">
        <w:rPr>
          <w:rFonts w:ascii="Garamond" w:hAnsi="Garamond"/>
        </w:rPr>
        <w:t xml:space="preserve"> financière et la reddition des comptes dans le contexte de la décentralisation en RDC, le fait que cette</w:t>
      </w:r>
      <w:r>
        <w:rPr>
          <w:rFonts w:ascii="Garamond" w:hAnsi="Garamond"/>
        </w:rPr>
        <w:t xml:space="preserve"> </w:t>
      </w:r>
      <w:r w:rsidRPr="009B6D19">
        <w:rPr>
          <w:rFonts w:ascii="Garamond" w:hAnsi="Garamond"/>
        </w:rPr>
        <w:t>méthode est adaptée</w:t>
      </w:r>
      <w:r>
        <w:rPr>
          <w:rFonts w:ascii="Garamond" w:hAnsi="Garamond"/>
        </w:rPr>
        <w:t xml:space="preserve"> à la réponse aux </w:t>
      </w:r>
      <w:r>
        <w:rPr>
          <w:rFonts w:ascii="Garamond" w:hAnsi="Garamond"/>
        </w:rPr>
        <w:lastRenderedPageBreak/>
        <w:t xml:space="preserve">question commençant par </w:t>
      </w:r>
      <w:r w:rsidRPr="009B6D19">
        <w:rPr>
          <w:rFonts w:ascii="Garamond" w:hAnsi="Garamond"/>
        </w:rPr>
        <w:t>« pourquoi » et « comment », elle nous permettra de recenser et de nous concentrer sur les conditions, les configurations et mécanismes causaux de la non-effectivité de la responsabilité financière et de la reddition des comptes qui rendent les résultats actuels les plus spécifiques possibles (Blatter</w:t>
      </w:r>
      <w:r w:rsidR="00936197">
        <w:rPr>
          <w:rFonts w:ascii="Garamond" w:hAnsi="Garamond"/>
        </w:rPr>
        <w:t xml:space="preserve"> &amp; </w:t>
      </w:r>
      <w:proofErr w:type="spellStart"/>
      <w:r w:rsidR="00936197">
        <w:rPr>
          <w:rFonts w:ascii="Garamond" w:hAnsi="Garamond"/>
        </w:rPr>
        <w:t>Haverland</w:t>
      </w:r>
      <w:proofErr w:type="spellEnd"/>
      <w:r w:rsidRPr="009B6D19">
        <w:rPr>
          <w:rFonts w:ascii="Garamond" w:hAnsi="Garamond"/>
        </w:rPr>
        <w:t xml:space="preserve">, 2014 :59). Cela voudrait dire qu’une analyse qui se sert du </w:t>
      </w:r>
      <w:r w:rsidRPr="009B6D19">
        <w:rPr>
          <w:rFonts w:ascii="Garamond" w:hAnsi="Garamond"/>
          <w:i/>
        </w:rPr>
        <w:t>Causal Process Tracing</w:t>
      </w:r>
      <w:r w:rsidRPr="009B6D19">
        <w:rPr>
          <w:rFonts w:ascii="Garamond" w:hAnsi="Garamond"/>
        </w:rPr>
        <w:t xml:space="preserve"> comme méthode doit nécessairement s’arcbouter sur les causes nombreuses et complexes d’un résultat spécifique et pas tant aux effets d’une cause spécifique.  Ainsi, cette méthode nous permettra d’identifier, dans la trajectoire de développement et de consolidation</w:t>
      </w:r>
      <w:r w:rsidR="009C07C4">
        <w:rPr>
          <w:rFonts w:ascii="Garamond" w:hAnsi="Garamond"/>
        </w:rPr>
        <w:t xml:space="preserve"> institutionnels, les différent</w:t>
      </w:r>
      <w:r w:rsidRPr="009B6D19">
        <w:rPr>
          <w:rFonts w:ascii="Garamond" w:hAnsi="Garamond"/>
        </w:rPr>
        <w:t xml:space="preserve">s causes </w:t>
      </w:r>
      <w:r w:rsidR="009C07C4">
        <w:rPr>
          <w:rFonts w:ascii="Garamond" w:hAnsi="Garamond"/>
        </w:rPr>
        <w:t>et</w:t>
      </w:r>
      <w:r w:rsidRPr="009B6D19">
        <w:rPr>
          <w:rFonts w:ascii="Garamond" w:hAnsi="Garamond"/>
        </w:rPr>
        <w:t xml:space="preserve"> facteurs qui maintiennent la réforme dans le </w:t>
      </w:r>
      <w:r w:rsidRPr="009B6D19">
        <w:rPr>
          <w:rFonts w:ascii="Garamond" w:hAnsi="Garamond"/>
          <w:i/>
        </w:rPr>
        <w:t>statu quo.</w:t>
      </w:r>
    </w:p>
    <w:p w14:paraId="71BBA7E3" w14:textId="77777777" w:rsidR="00804868" w:rsidRPr="009B6D19" w:rsidRDefault="00804868" w:rsidP="00804868">
      <w:pPr>
        <w:pStyle w:val="Heading3"/>
      </w:pPr>
      <w:bookmarkStart w:id="37" w:name="_Toc143577461"/>
      <w:r w:rsidRPr="009B6D19">
        <w:t>L’étude de cas : la ville-province de Kinshasa</w:t>
      </w:r>
      <w:bookmarkEnd w:id="37"/>
    </w:p>
    <w:p w14:paraId="69948692" w14:textId="5822AAE2" w:rsidR="00985C8D" w:rsidRDefault="00804868" w:rsidP="00804868">
      <w:pPr>
        <w:rPr>
          <w:rFonts w:ascii="Garamond" w:hAnsi="Garamond"/>
          <w:iCs/>
        </w:rPr>
      </w:pPr>
      <w:r w:rsidRPr="009B6D19">
        <w:rPr>
          <w:rFonts w:ascii="Garamond" w:hAnsi="Garamond"/>
        </w:rPr>
        <w:t>Pour parvenir à</w:t>
      </w:r>
      <w:r>
        <w:rPr>
          <w:rFonts w:ascii="Garamond" w:hAnsi="Garamond"/>
        </w:rPr>
        <w:t xml:space="preserve"> </w:t>
      </w:r>
      <w:r w:rsidRPr="009B6D19">
        <w:rPr>
          <w:rFonts w:ascii="Garamond" w:hAnsi="Garamond"/>
        </w:rPr>
        <w:t xml:space="preserve">répondre à nos questions de </w:t>
      </w:r>
      <w:r>
        <w:rPr>
          <w:rFonts w:ascii="Garamond" w:hAnsi="Garamond"/>
        </w:rPr>
        <w:t>recherche et</w:t>
      </w:r>
      <w:r w:rsidRPr="009B6D19">
        <w:rPr>
          <w:rFonts w:ascii="Garamond" w:hAnsi="Garamond"/>
        </w:rPr>
        <w:t xml:space="preserve"> aboutir aux résultats escomptés, la présente étude, de nature qualitative et descriptive, se concentre sur le cas</w:t>
      </w:r>
      <w:r>
        <w:rPr>
          <w:rFonts w:ascii="Garamond" w:hAnsi="Garamond"/>
        </w:rPr>
        <w:t xml:space="preserve"> </w:t>
      </w:r>
      <w:r w:rsidRPr="009B6D19">
        <w:rPr>
          <w:rFonts w:ascii="Garamond" w:hAnsi="Garamond"/>
        </w:rPr>
        <w:t xml:space="preserve">de la ville-province de Kinshasa. </w:t>
      </w:r>
      <w:r w:rsidR="00985C8D">
        <w:rPr>
          <w:rFonts w:ascii="Garamond" w:hAnsi="Garamond"/>
        </w:rPr>
        <w:t>Pour rappel, elle se sert de la dépendance au sentier comme cadre d’analyse et d’interprétation de la trajectoire institutionnelle.</w:t>
      </w:r>
    </w:p>
    <w:p w14:paraId="627D2702" w14:textId="50C8D066" w:rsidR="00804868" w:rsidRPr="009B6D19" w:rsidRDefault="00804868" w:rsidP="00804868">
      <w:pPr>
        <w:rPr>
          <w:rFonts w:ascii="Garamond" w:hAnsi="Garamond"/>
        </w:rPr>
      </w:pPr>
      <w:r w:rsidRPr="009B6D19">
        <w:rPr>
          <w:rFonts w:ascii="Garamond" w:hAnsi="Garamond"/>
        </w:rPr>
        <w:t xml:space="preserve">Les </w:t>
      </w:r>
      <w:r w:rsidR="00985C8D">
        <w:rPr>
          <w:rFonts w:ascii="Garamond" w:hAnsi="Garamond"/>
        </w:rPr>
        <w:t>raisons ci-après ont prévalu au</w:t>
      </w:r>
      <w:r w:rsidRPr="009B6D19">
        <w:rPr>
          <w:rFonts w:ascii="Garamond" w:hAnsi="Garamond"/>
        </w:rPr>
        <w:t xml:space="preserve"> choix de la nature de l’étude, de la méthode et méthodologie de recherche.</w:t>
      </w:r>
      <w:r w:rsidR="00985C8D">
        <w:rPr>
          <w:rFonts w:ascii="Garamond" w:hAnsi="Garamond"/>
        </w:rPr>
        <w:t xml:space="preserve"> </w:t>
      </w:r>
      <w:r w:rsidRPr="009B6D19">
        <w:rPr>
          <w:rFonts w:ascii="Garamond" w:hAnsi="Garamond"/>
        </w:rPr>
        <w:t>Premièrement, le choix de la recherche qualitative se justifie par le fait que cette dernière est la mieux appropriée à la démarche s</w:t>
      </w:r>
      <w:r w:rsidR="0095057D">
        <w:rPr>
          <w:rFonts w:ascii="Garamond" w:hAnsi="Garamond"/>
        </w:rPr>
        <w:t>ociologique (Mayer &amp; al., 2000</w:t>
      </w:r>
      <w:r w:rsidRPr="009B6D19">
        <w:rPr>
          <w:rFonts w:ascii="Garamond" w:hAnsi="Garamond"/>
        </w:rPr>
        <w:t>)</w:t>
      </w:r>
      <w:r w:rsidR="00985C8D">
        <w:rPr>
          <w:rFonts w:ascii="Garamond" w:hAnsi="Garamond"/>
        </w:rPr>
        <w:t>. Cette dernière</w:t>
      </w:r>
      <w:r w:rsidRPr="009B6D19">
        <w:rPr>
          <w:rFonts w:ascii="Garamond" w:hAnsi="Garamond"/>
        </w:rPr>
        <w:t xml:space="preserve"> se charge d’aborder notamment les phénomènes et les processus des réformes dans leur complexité. Sous cet angle, elle nous permettra de mieux décrire la réforme de la décentralisation dans sa complexité (sociale, politique, financière, etc.) afin de mieux comprendre les facteurs qui favorisent ou obstruent la mise en route effective de la responsabilisation financière et la reddition des comptes au sein des ETD de la Ville-Province de Kinshasa. Deuxièmement, une étude de cas, selon </w:t>
      </w:r>
      <w:proofErr w:type="spellStart"/>
      <w:r w:rsidRPr="009B6D19">
        <w:rPr>
          <w:rFonts w:ascii="Garamond" w:hAnsi="Garamond"/>
        </w:rPr>
        <w:t>Barlatier</w:t>
      </w:r>
      <w:proofErr w:type="spellEnd"/>
      <w:r w:rsidRPr="009B6D19">
        <w:rPr>
          <w:rFonts w:ascii="Garamond" w:hAnsi="Garamond"/>
        </w:rPr>
        <w:t xml:space="preserve"> (2018), se prête mieux aux recherches en sciences sociales car elle permet d’étudier la complexité des phénomènes nouveaux en situation réelle ou d’étendre les connaissances sur les phénomènes déjà investigués. La pertinence de </w:t>
      </w:r>
      <w:r w:rsidR="00985C8D">
        <w:rPr>
          <w:rFonts w:ascii="Garamond" w:hAnsi="Garamond"/>
        </w:rPr>
        <w:t>l’</w:t>
      </w:r>
      <w:r w:rsidR="00CB449D">
        <w:rPr>
          <w:rFonts w:ascii="Garamond" w:hAnsi="Garamond"/>
        </w:rPr>
        <w:t xml:space="preserve">étude </w:t>
      </w:r>
      <w:r w:rsidR="00985C8D">
        <w:rPr>
          <w:rFonts w:ascii="Garamond" w:hAnsi="Garamond"/>
        </w:rPr>
        <w:t>d</w:t>
      </w:r>
      <w:r w:rsidRPr="009B6D19">
        <w:rPr>
          <w:rFonts w:ascii="Garamond" w:hAnsi="Garamond"/>
        </w:rPr>
        <w:t xml:space="preserve">e cas réside dans sa capacité à apporter une analyse détaillée et en profondeur sur un nombre limité des sujets. Selon Robson (1993) cité par </w:t>
      </w:r>
      <w:proofErr w:type="spellStart"/>
      <w:r w:rsidRPr="009B6D19">
        <w:rPr>
          <w:rFonts w:ascii="Garamond" w:hAnsi="Garamond"/>
        </w:rPr>
        <w:t>Joyal</w:t>
      </w:r>
      <w:proofErr w:type="spellEnd"/>
      <w:r w:rsidRPr="009B6D19">
        <w:rPr>
          <w:rFonts w:ascii="Garamond" w:hAnsi="Garamond"/>
        </w:rPr>
        <w:t xml:space="preserve"> &amp; El </w:t>
      </w:r>
      <w:proofErr w:type="spellStart"/>
      <w:r w:rsidRPr="009B6D19">
        <w:rPr>
          <w:rFonts w:ascii="Garamond" w:hAnsi="Garamond"/>
        </w:rPr>
        <w:t>Batal</w:t>
      </w:r>
      <w:proofErr w:type="spellEnd"/>
      <w:r w:rsidRPr="009B6D19">
        <w:rPr>
          <w:rFonts w:ascii="Garamond" w:hAnsi="Garamond"/>
        </w:rPr>
        <w:t xml:space="preserve"> (2007 :258), une étude cas est une « </w:t>
      </w:r>
      <w:r w:rsidRPr="009B6D19">
        <w:rPr>
          <w:rFonts w:ascii="Garamond" w:hAnsi="Garamond"/>
          <w:i/>
        </w:rPr>
        <w:t>stratégie de recherche qui implique une étude empirique, en contexte réel, assorti</w:t>
      </w:r>
      <w:r w:rsidR="00985C8D">
        <w:rPr>
          <w:rFonts w:ascii="Garamond" w:hAnsi="Garamond"/>
          <w:i/>
        </w:rPr>
        <w:t>e</w:t>
      </w:r>
      <w:r w:rsidRPr="009B6D19">
        <w:rPr>
          <w:rFonts w:ascii="Garamond" w:hAnsi="Garamond"/>
          <w:i/>
        </w:rPr>
        <w:t xml:space="preserve"> d’un phénomène contemporain particulier</w:t>
      </w:r>
      <w:r w:rsidRPr="009B6D19">
        <w:rPr>
          <w:rFonts w:ascii="Garamond" w:hAnsi="Garamond"/>
        </w:rPr>
        <w:t> ». A cet effet, elle nous</w:t>
      </w:r>
      <w:r w:rsidR="00CB449D">
        <w:rPr>
          <w:rFonts w:ascii="Garamond" w:hAnsi="Garamond"/>
        </w:rPr>
        <w:t xml:space="preserve"> </w:t>
      </w:r>
      <w:r w:rsidRPr="009B6D19">
        <w:rPr>
          <w:rFonts w:ascii="Garamond" w:hAnsi="Garamond"/>
        </w:rPr>
        <w:t>permettra de mettre en évidence la</w:t>
      </w:r>
      <w:r>
        <w:rPr>
          <w:rFonts w:ascii="Garamond" w:hAnsi="Garamond"/>
        </w:rPr>
        <w:t xml:space="preserve"> </w:t>
      </w:r>
      <w:r w:rsidRPr="009B6D19">
        <w:rPr>
          <w:rFonts w:ascii="Garamond" w:hAnsi="Garamond"/>
        </w:rPr>
        <w:t>responsabilisation financière et la reddition des comptes dans un contexte de décentralisation-dévolution.</w:t>
      </w:r>
    </w:p>
    <w:p w14:paraId="764E65DE" w14:textId="07EB3942" w:rsidR="00804868" w:rsidRPr="009B6D19" w:rsidRDefault="00804868" w:rsidP="00804868">
      <w:pPr>
        <w:rPr>
          <w:rFonts w:ascii="Garamond" w:hAnsi="Garamond"/>
        </w:rPr>
      </w:pPr>
      <w:r w:rsidRPr="009B6D19">
        <w:rPr>
          <w:rFonts w:ascii="Garamond" w:hAnsi="Garamond"/>
        </w:rPr>
        <w:t>Troisièmement, le choix est porté sur la Ville-Province de Kinshasa au regard de son double statut de province et de capitale de la RDC. Elle est le siège</w:t>
      </w:r>
      <w:r>
        <w:rPr>
          <w:rFonts w:ascii="Garamond" w:hAnsi="Garamond"/>
        </w:rPr>
        <w:t xml:space="preserve"> des institutions nationales et </w:t>
      </w:r>
      <w:r w:rsidRPr="009B6D19">
        <w:rPr>
          <w:rFonts w:ascii="Garamond" w:hAnsi="Garamond"/>
        </w:rPr>
        <w:t xml:space="preserve"> est </w:t>
      </w:r>
      <w:r w:rsidRPr="009B6D19">
        <w:rPr>
          <w:rFonts w:ascii="Garamond" w:hAnsi="Garamond"/>
        </w:rPr>
        <w:lastRenderedPageBreak/>
        <w:t xml:space="preserve">subdivisée en communes et quartiers. La ville Province de Kinshasa compte 24 communes. Il s’agit de : Kinshasa, </w:t>
      </w:r>
      <w:proofErr w:type="spellStart"/>
      <w:r w:rsidRPr="009B6D19">
        <w:rPr>
          <w:rFonts w:ascii="Garamond" w:hAnsi="Garamond"/>
        </w:rPr>
        <w:t>Kalamu</w:t>
      </w:r>
      <w:proofErr w:type="spellEnd"/>
      <w:r w:rsidRPr="009B6D19">
        <w:rPr>
          <w:rFonts w:ascii="Garamond" w:hAnsi="Garamond"/>
        </w:rPr>
        <w:t xml:space="preserve">, </w:t>
      </w:r>
      <w:proofErr w:type="spellStart"/>
      <w:r w:rsidRPr="009B6D19">
        <w:rPr>
          <w:rFonts w:ascii="Garamond" w:hAnsi="Garamond"/>
        </w:rPr>
        <w:t>Ngiri-Ngiri</w:t>
      </w:r>
      <w:proofErr w:type="spellEnd"/>
      <w:r w:rsidRPr="009B6D19">
        <w:rPr>
          <w:rFonts w:ascii="Garamond" w:hAnsi="Garamond"/>
        </w:rPr>
        <w:t xml:space="preserve">, </w:t>
      </w:r>
      <w:proofErr w:type="spellStart"/>
      <w:r w:rsidRPr="009B6D19">
        <w:rPr>
          <w:rFonts w:ascii="Garamond" w:hAnsi="Garamond"/>
        </w:rPr>
        <w:t>Ngaba</w:t>
      </w:r>
      <w:proofErr w:type="spellEnd"/>
      <w:r w:rsidRPr="009B6D19">
        <w:rPr>
          <w:rFonts w:ascii="Garamond" w:hAnsi="Garamond"/>
        </w:rPr>
        <w:t xml:space="preserve">, </w:t>
      </w:r>
      <w:proofErr w:type="spellStart"/>
      <w:r w:rsidRPr="009B6D19">
        <w:rPr>
          <w:rFonts w:ascii="Garamond" w:hAnsi="Garamond"/>
        </w:rPr>
        <w:t>Bumbu</w:t>
      </w:r>
      <w:proofErr w:type="spellEnd"/>
      <w:r w:rsidRPr="009B6D19">
        <w:rPr>
          <w:rFonts w:ascii="Garamond" w:hAnsi="Garamond"/>
        </w:rPr>
        <w:t xml:space="preserve">, Matete, Makala, </w:t>
      </w:r>
      <w:proofErr w:type="spellStart"/>
      <w:r w:rsidRPr="009B6D19">
        <w:rPr>
          <w:rFonts w:ascii="Garamond" w:hAnsi="Garamond"/>
        </w:rPr>
        <w:t>Lingwala</w:t>
      </w:r>
      <w:proofErr w:type="spellEnd"/>
      <w:r w:rsidRPr="009B6D19">
        <w:rPr>
          <w:rFonts w:ascii="Garamond" w:hAnsi="Garamond"/>
        </w:rPr>
        <w:t xml:space="preserve">, </w:t>
      </w:r>
      <w:proofErr w:type="spellStart"/>
      <w:r w:rsidRPr="009B6D19">
        <w:rPr>
          <w:rFonts w:ascii="Garamond" w:hAnsi="Garamond"/>
        </w:rPr>
        <w:t>Kasa-Vubu</w:t>
      </w:r>
      <w:proofErr w:type="spellEnd"/>
      <w:r w:rsidRPr="009B6D19">
        <w:rPr>
          <w:rFonts w:ascii="Garamond" w:hAnsi="Garamond"/>
        </w:rPr>
        <w:t xml:space="preserve">, </w:t>
      </w:r>
      <w:proofErr w:type="spellStart"/>
      <w:r w:rsidRPr="009B6D19">
        <w:rPr>
          <w:rFonts w:ascii="Garamond" w:hAnsi="Garamond"/>
        </w:rPr>
        <w:t>Barumbu</w:t>
      </w:r>
      <w:proofErr w:type="spellEnd"/>
      <w:r w:rsidRPr="009B6D19">
        <w:rPr>
          <w:rFonts w:ascii="Garamond" w:hAnsi="Garamond"/>
        </w:rPr>
        <w:t xml:space="preserve">, </w:t>
      </w:r>
      <w:proofErr w:type="spellStart"/>
      <w:r w:rsidRPr="009B6D19">
        <w:rPr>
          <w:rFonts w:ascii="Garamond" w:hAnsi="Garamond"/>
        </w:rPr>
        <w:t>Bandal</w:t>
      </w:r>
      <w:proofErr w:type="spellEnd"/>
      <w:r w:rsidRPr="009B6D19">
        <w:rPr>
          <w:rFonts w:ascii="Garamond" w:hAnsi="Garamond"/>
        </w:rPr>
        <w:t xml:space="preserve">, </w:t>
      </w:r>
      <w:proofErr w:type="spellStart"/>
      <w:r w:rsidRPr="009B6D19">
        <w:rPr>
          <w:rFonts w:ascii="Garamond" w:hAnsi="Garamond"/>
        </w:rPr>
        <w:t>Ndjili</w:t>
      </w:r>
      <w:proofErr w:type="spellEnd"/>
      <w:r w:rsidRPr="009B6D19">
        <w:rPr>
          <w:rFonts w:ascii="Garamond" w:hAnsi="Garamond"/>
        </w:rPr>
        <w:t xml:space="preserve">, </w:t>
      </w:r>
      <w:proofErr w:type="spellStart"/>
      <w:r w:rsidRPr="009B6D19">
        <w:rPr>
          <w:rFonts w:ascii="Garamond" w:hAnsi="Garamond"/>
        </w:rPr>
        <w:t>Maluku</w:t>
      </w:r>
      <w:proofErr w:type="spellEnd"/>
      <w:r w:rsidRPr="009B6D19">
        <w:rPr>
          <w:rFonts w:ascii="Garamond" w:hAnsi="Garamond"/>
        </w:rPr>
        <w:t xml:space="preserve">, Kintambo, </w:t>
      </w:r>
      <w:proofErr w:type="spellStart"/>
      <w:r w:rsidRPr="009B6D19">
        <w:rPr>
          <w:rFonts w:ascii="Garamond" w:hAnsi="Garamond"/>
        </w:rPr>
        <w:t>Kisenso</w:t>
      </w:r>
      <w:proofErr w:type="spellEnd"/>
      <w:r w:rsidRPr="009B6D19">
        <w:rPr>
          <w:rFonts w:ascii="Garamond" w:hAnsi="Garamond"/>
        </w:rPr>
        <w:t xml:space="preserve">, Lemba, </w:t>
      </w:r>
      <w:proofErr w:type="spellStart"/>
      <w:r w:rsidRPr="009B6D19">
        <w:rPr>
          <w:rFonts w:ascii="Garamond" w:hAnsi="Garamond"/>
        </w:rPr>
        <w:t>Selembao</w:t>
      </w:r>
      <w:proofErr w:type="spellEnd"/>
      <w:r w:rsidRPr="009B6D19">
        <w:rPr>
          <w:rFonts w:ascii="Garamond" w:hAnsi="Garamond"/>
        </w:rPr>
        <w:t xml:space="preserve">, Limete, </w:t>
      </w:r>
      <w:proofErr w:type="spellStart"/>
      <w:r w:rsidRPr="009B6D19">
        <w:rPr>
          <w:rFonts w:ascii="Garamond" w:hAnsi="Garamond"/>
        </w:rPr>
        <w:t>Kimbanseke</w:t>
      </w:r>
      <w:proofErr w:type="spellEnd"/>
      <w:r w:rsidRPr="009B6D19">
        <w:rPr>
          <w:rFonts w:ascii="Garamond" w:hAnsi="Garamond"/>
        </w:rPr>
        <w:t xml:space="preserve">, Ngaliema, </w:t>
      </w:r>
      <w:proofErr w:type="spellStart"/>
      <w:r w:rsidRPr="009B6D19">
        <w:rPr>
          <w:rFonts w:ascii="Garamond" w:hAnsi="Garamond"/>
        </w:rPr>
        <w:t>Masina</w:t>
      </w:r>
      <w:proofErr w:type="spellEnd"/>
      <w:r w:rsidRPr="009B6D19">
        <w:rPr>
          <w:rFonts w:ascii="Garamond" w:hAnsi="Garamond"/>
        </w:rPr>
        <w:t xml:space="preserve">, Mont Ngafula, Gombe et </w:t>
      </w:r>
      <w:proofErr w:type="spellStart"/>
      <w:r w:rsidRPr="009B6D19">
        <w:rPr>
          <w:rFonts w:ascii="Garamond" w:hAnsi="Garamond"/>
        </w:rPr>
        <w:t>Nsele</w:t>
      </w:r>
      <w:proofErr w:type="spellEnd"/>
      <w:r w:rsidRPr="009B6D19">
        <w:rPr>
          <w:rFonts w:ascii="Garamond" w:hAnsi="Garamond"/>
        </w:rPr>
        <w:t xml:space="preserve">. Seules les données issues de ces communes (Mont Ngafula, </w:t>
      </w:r>
      <w:proofErr w:type="spellStart"/>
      <w:r w:rsidRPr="009B6D19">
        <w:rPr>
          <w:rFonts w:ascii="Garamond" w:hAnsi="Garamond"/>
        </w:rPr>
        <w:t>Maluku</w:t>
      </w:r>
      <w:proofErr w:type="spellEnd"/>
      <w:r w:rsidRPr="009B6D19">
        <w:rPr>
          <w:rFonts w:ascii="Garamond" w:hAnsi="Garamond"/>
        </w:rPr>
        <w:t xml:space="preserve"> et Lemba) étayeront notre argumentaire.</w:t>
      </w:r>
    </w:p>
    <w:p w14:paraId="38A6F64D" w14:textId="77777777" w:rsidR="00804868" w:rsidRPr="009B6D19" w:rsidRDefault="00804868" w:rsidP="00804868">
      <w:pPr>
        <w:rPr>
          <w:rFonts w:ascii="Garamond" w:hAnsi="Garamond"/>
        </w:rPr>
      </w:pPr>
      <w:r w:rsidRPr="009B6D19">
        <w:rPr>
          <w:rFonts w:ascii="Garamond" w:hAnsi="Garamond"/>
        </w:rPr>
        <w:t>Quatrièmement, concernant les données qui alimenteront la présente étude, un ensemble de sources écrites notamment la littérature scientifique, la littérature grise, le cadre légal et réglementaire en lien avec la décentralisation</w:t>
      </w:r>
      <w:r>
        <w:rPr>
          <w:rFonts w:ascii="Garamond" w:hAnsi="Garamond"/>
        </w:rPr>
        <w:t xml:space="preserve"> </w:t>
      </w:r>
      <w:r w:rsidRPr="009B6D19">
        <w:rPr>
          <w:rFonts w:ascii="Garamond" w:hAnsi="Garamond"/>
        </w:rPr>
        <w:t>en général et la</w:t>
      </w:r>
      <w:r>
        <w:rPr>
          <w:rFonts w:ascii="Garamond" w:hAnsi="Garamond"/>
        </w:rPr>
        <w:t xml:space="preserve"> </w:t>
      </w:r>
      <w:r w:rsidRPr="009B6D19">
        <w:rPr>
          <w:rFonts w:ascii="Garamond" w:hAnsi="Garamond"/>
        </w:rPr>
        <w:t>responsabilité ainsi que la reddition des comptes en particulier, les sites</w:t>
      </w:r>
      <w:r>
        <w:rPr>
          <w:rFonts w:ascii="Garamond" w:hAnsi="Garamond"/>
        </w:rPr>
        <w:t xml:space="preserve"> web</w:t>
      </w:r>
      <w:r w:rsidRPr="009B6D19">
        <w:rPr>
          <w:rFonts w:ascii="Garamond" w:hAnsi="Garamond"/>
        </w:rPr>
        <w:t xml:space="preserve"> institutionnels, les communiqués et notes circulaires en rapport avec le processus budgétaire tant </w:t>
      </w:r>
      <w:r>
        <w:rPr>
          <w:rFonts w:ascii="Garamond" w:hAnsi="Garamond"/>
        </w:rPr>
        <w:t xml:space="preserve">aux </w:t>
      </w:r>
      <w:r w:rsidRPr="009B6D19">
        <w:rPr>
          <w:rFonts w:ascii="Garamond" w:hAnsi="Garamond"/>
        </w:rPr>
        <w:t>niveau</w:t>
      </w:r>
      <w:r>
        <w:rPr>
          <w:rFonts w:ascii="Garamond" w:hAnsi="Garamond"/>
        </w:rPr>
        <w:t>x</w:t>
      </w:r>
      <w:r w:rsidRPr="009B6D19">
        <w:rPr>
          <w:rFonts w:ascii="Garamond" w:hAnsi="Garamond"/>
        </w:rPr>
        <w:t xml:space="preserve"> central, provincial et local sera mobilisé. Les rapports exploités sont produits par l’Etat congolais (Lois de Finances, Lois portant Reddition des comptes, Rapports de la Cour des Comptes, Edits provinciaux, Comptes rendus des réunions des Conseils des Ministres, etc.), la Banque mondiale, le FMI, l’OCDE ainsi que par les acteurs de la société civile représentés par</w:t>
      </w:r>
      <w:r>
        <w:rPr>
          <w:rFonts w:ascii="Garamond" w:hAnsi="Garamond"/>
        </w:rPr>
        <w:t xml:space="preserve"> le </w:t>
      </w:r>
      <w:r w:rsidRPr="009B6D19">
        <w:rPr>
          <w:rFonts w:ascii="Garamond" w:hAnsi="Garamond"/>
        </w:rPr>
        <w:t xml:space="preserve">PNUD, la BAD, la CTB et l’Union Européenne. Le choix est porté sur </w:t>
      </w:r>
      <w:r>
        <w:rPr>
          <w:rFonts w:ascii="Garamond" w:hAnsi="Garamond"/>
        </w:rPr>
        <w:t xml:space="preserve">les rapports des partenaires au développement au regard de leur rôle dans l’appui technique et financier des réformes relatives à au renforcement de l’appareil étatique, de la participation citoyenne et de la gouvernance </w:t>
      </w:r>
      <w:r w:rsidRPr="009B6D19">
        <w:rPr>
          <w:rFonts w:ascii="Garamond" w:hAnsi="Garamond"/>
        </w:rPr>
        <w:t xml:space="preserve">des finances publiques. </w:t>
      </w:r>
    </w:p>
    <w:p w14:paraId="7843BD2A" w14:textId="333B46F5" w:rsidR="00804868" w:rsidRPr="009B6D19" w:rsidRDefault="00D016F4" w:rsidP="00804868">
      <w:pPr>
        <w:rPr>
          <w:rFonts w:ascii="Garamond" w:hAnsi="Garamond"/>
        </w:rPr>
      </w:pPr>
      <w:r>
        <w:rPr>
          <w:rFonts w:ascii="Garamond" w:hAnsi="Garamond"/>
        </w:rPr>
        <w:t>Enfin, la méthode CPT</w:t>
      </w:r>
      <w:r w:rsidR="00804868" w:rsidRPr="009B6D19">
        <w:rPr>
          <w:rFonts w:ascii="Garamond" w:hAnsi="Garamond"/>
        </w:rPr>
        <w:t xml:space="preserve"> qui nous aidera à collecter et analyser les données, est une méthode adaptée aux données qualitatives et assise sur le trépied (Contexte-Mécanismes-Objectifs). </w:t>
      </w:r>
    </w:p>
    <w:p w14:paraId="59BCE240" w14:textId="77777777" w:rsidR="00804868" w:rsidRPr="009B6D19" w:rsidRDefault="00804868" w:rsidP="00804868">
      <w:pPr>
        <w:pStyle w:val="Heading2"/>
        <w:rPr>
          <w:rFonts w:ascii="Garamond" w:hAnsi="Garamond"/>
          <w:szCs w:val="24"/>
        </w:rPr>
      </w:pPr>
      <w:bookmarkStart w:id="38" w:name="_Toc143577462"/>
      <w:r w:rsidRPr="009B6D19">
        <w:rPr>
          <w:rFonts w:ascii="Garamond" w:hAnsi="Garamond"/>
          <w:szCs w:val="24"/>
        </w:rPr>
        <w:t>3.5. Contribution et limites de l’étude</w:t>
      </w:r>
      <w:bookmarkEnd w:id="38"/>
    </w:p>
    <w:p w14:paraId="3E40A3F7" w14:textId="17BD9CB4" w:rsidR="00804868" w:rsidRDefault="00804868" w:rsidP="00804868">
      <w:pPr>
        <w:rPr>
          <w:rFonts w:ascii="Garamond" w:hAnsi="Garamond"/>
        </w:rPr>
      </w:pPr>
      <w:r>
        <w:rPr>
          <w:rFonts w:ascii="Garamond" w:hAnsi="Garamond"/>
        </w:rPr>
        <w:t>Contrairement aux études précédentes portant sur le même angle de recherche, cette étude a l’avantage de se concentrer sur la responsabilité financière et la reddition des comptes comme facteurs pouvant renforcer l’efficacité des politiques infranationales</w:t>
      </w:r>
      <w:r w:rsidR="00D016F4">
        <w:rPr>
          <w:rFonts w:ascii="Garamond" w:hAnsi="Garamond"/>
        </w:rPr>
        <w:t>. Elle permet également</w:t>
      </w:r>
      <w:r>
        <w:rPr>
          <w:rFonts w:ascii="Garamond" w:hAnsi="Garamond"/>
        </w:rPr>
        <w:t xml:space="preserve"> sur le plan </w:t>
      </w:r>
      <w:r w:rsidR="00D016F4">
        <w:rPr>
          <w:rFonts w:ascii="Garamond" w:hAnsi="Garamond"/>
        </w:rPr>
        <w:t>méthodologique</w:t>
      </w:r>
      <w:r>
        <w:rPr>
          <w:rFonts w:ascii="Garamond" w:hAnsi="Garamond"/>
        </w:rPr>
        <w:t xml:space="preserve">, de faire une analyse néo-institutionnelle de la trajectoire de la décentralisation en général ainsi que de la responsabilité financière et la reddition des comptes qui en découlent en particulier. </w:t>
      </w:r>
      <w:r w:rsidR="00D016F4">
        <w:rPr>
          <w:rFonts w:ascii="Garamond" w:hAnsi="Garamond"/>
        </w:rPr>
        <w:t>En plus, elle facilite la conduite d’</w:t>
      </w:r>
      <w:r>
        <w:rPr>
          <w:rFonts w:ascii="Garamond" w:hAnsi="Garamond"/>
        </w:rPr>
        <w:t xml:space="preserve">une lecture holistique des facteurs qui limitent ou favorisent la mise en route des agrégats de gouvernance qui constituent l’essence même de la politique de la décentralisation. </w:t>
      </w:r>
    </w:p>
    <w:p w14:paraId="50DF1817" w14:textId="5D554D5F" w:rsidR="00804868" w:rsidRDefault="00804868" w:rsidP="00804868">
      <w:pPr>
        <w:rPr>
          <w:rFonts w:ascii="Garamond" w:hAnsi="Garamond"/>
        </w:rPr>
      </w:pPr>
      <w:r>
        <w:rPr>
          <w:rFonts w:ascii="Garamond" w:hAnsi="Garamond"/>
        </w:rPr>
        <w:t xml:space="preserve">Toutefois, </w:t>
      </w:r>
      <w:r w:rsidR="005D5A45">
        <w:rPr>
          <w:rFonts w:ascii="Garamond" w:hAnsi="Garamond"/>
        </w:rPr>
        <w:t>à propos du cadre d’analyse re</w:t>
      </w:r>
      <w:r w:rsidR="00F723A9">
        <w:rPr>
          <w:rFonts w:ascii="Garamond" w:hAnsi="Garamond"/>
        </w:rPr>
        <w:t xml:space="preserve">tenu pour cette étude, Palier &amp; </w:t>
      </w:r>
      <w:proofErr w:type="spellStart"/>
      <w:r w:rsidR="00F723A9">
        <w:rPr>
          <w:rFonts w:ascii="Garamond" w:hAnsi="Garamond"/>
        </w:rPr>
        <w:t>Bonoli</w:t>
      </w:r>
      <w:proofErr w:type="spellEnd"/>
      <w:r w:rsidR="005D5A45">
        <w:rPr>
          <w:rFonts w:ascii="Garamond" w:hAnsi="Garamond"/>
        </w:rPr>
        <w:t xml:space="preserve"> (1999) avaient déjà mis en exergue le fait que la théorie de la dépe</w:t>
      </w:r>
      <w:r w:rsidR="00507A2F">
        <w:rPr>
          <w:rFonts w:ascii="Garamond" w:hAnsi="Garamond"/>
        </w:rPr>
        <w:t>ndance</w:t>
      </w:r>
      <w:r w:rsidR="005D5A45">
        <w:rPr>
          <w:rFonts w:ascii="Garamond" w:hAnsi="Garamond"/>
        </w:rPr>
        <w:t xml:space="preserve"> au sentier était limitée dans la compréhension des changements structurels. </w:t>
      </w:r>
      <w:r w:rsidR="00507A2F">
        <w:rPr>
          <w:rFonts w:ascii="Garamond" w:hAnsi="Garamond"/>
        </w:rPr>
        <w:t xml:space="preserve">Cette thèse se trouve justifiée par le fait que </w:t>
      </w:r>
      <w:r w:rsidR="005D5A45">
        <w:rPr>
          <w:rFonts w:ascii="Garamond" w:hAnsi="Garamond"/>
        </w:rPr>
        <w:t xml:space="preserve">certaines étincelles de déviation sont parfois moins perceptibles dans la constitution de la trajectoire institutionnelle. Ce n’est que sur le long terme que les impacts se dessinent </w:t>
      </w:r>
      <w:r w:rsidR="00153F7E">
        <w:rPr>
          <w:rFonts w:ascii="Garamond" w:hAnsi="Garamond"/>
        </w:rPr>
        <w:t xml:space="preserve">sans que </w:t>
      </w:r>
      <w:r w:rsidR="00153F7E">
        <w:rPr>
          <w:rFonts w:ascii="Garamond" w:hAnsi="Garamond"/>
        </w:rPr>
        <w:lastRenderedPageBreak/>
        <w:t xml:space="preserve">ces étincelles, qui pourtant pouvaient avoir forgé considérablement l’orientation institutionnelle, ne soient complétement démasqués. Cette difficulté pourrait constituer l’une des limites de notre étude sur la trajectoire de la réforme de la décentralisation de laquelle découlent la responsabilité et la reddition des comptes. En plus, </w:t>
      </w:r>
      <w:r>
        <w:rPr>
          <w:rFonts w:ascii="Garamond" w:hAnsi="Garamond"/>
        </w:rPr>
        <w:t xml:space="preserve">le fait que l’étude s’appuie uniquement sur </w:t>
      </w:r>
      <w:r w:rsidR="00370356">
        <w:rPr>
          <w:rFonts w:ascii="Garamond" w:hAnsi="Garamond"/>
        </w:rPr>
        <w:t>les données secondaires au regard de leur faible coût</w:t>
      </w:r>
      <w:r w:rsidR="001D7A71">
        <w:rPr>
          <w:rFonts w:ascii="Garamond" w:hAnsi="Garamond"/>
        </w:rPr>
        <w:t xml:space="preserve"> et de leur disponibilité</w:t>
      </w:r>
      <w:r w:rsidR="00370356">
        <w:rPr>
          <w:rFonts w:ascii="Garamond" w:hAnsi="Garamond"/>
        </w:rPr>
        <w:t>,</w:t>
      </w:r>
      <w:r>
        <w:rPr>
          <w:rFonts w:ascii="Garamond" w:hAnsi="Garamond"/>
        </w:rPr>
        <w:t xml:space="preserve"> limite le champ d’analyse</w:t>
      </w:r>
      <w:r w:rsidR="00370356">
        <w:rPr>
          <w:rFonts w:ascii="Garamond" w:hAnsi="Garamond"/>
        </w:rPr>
        <w:t xml:space="preserve"> et les interprétations possibles qui peuvent en découler</w:t>
      </w:r>
      <w:r w:rsidR="001D7A71">
        <w:rPr>
          <w:rFonts w:ascii="Garamond" w:hAnsi="Garamond"/>
        </w:rPr>
        <w:t xml:space="preserve"> (Dale, 1993)</w:t>
      </w:r>
      <w:r>
        <w:rPr>
          <w:rFonts w:ascii="Garamond" w:hAnsi="Garamond"/>
        </w:rPr>
        <w:t>.</w:t>
      </w:r>
      <w:r w:rsidR="001D7A71">
        <w:rPr>
          <w:rFonts w:ascii="Garamond" w:hAnsi="Garamond"/>
        </w:rPr>
        <w:t xml:space="preserve"> </w:t>
      </w:r>
      <w:r>
        <w:rPr>
          <w:rFonts w:ascii="Garamond" w:hAnsi="Garamond"/>
        </w:rPr>
        <w:t xml:space="preserve"> </w:t>
      </w:r>
      <w:r w:rsidR="00370356">
        <w:rPr>
          <w:rFonts w:ascii="Garamond" w:hAnsi="Garamond"/>
        </w:rPr>
        <w:t>Ainsi, l</w:t>
      </w:r>
      <w:r>
        <w:rPr>
          <w:rFonts w:ascii="Garamond" w:hAnsi="Garamond"/>
        </w:rPr>
        <w:t xml:space="preserve">a confrontation de ces différentes sources des données aux </w:t>
      </w:r>
      <w:r w:rsidR="00370356">
        <w:rPr>
          <w:rFonts w:ascii="Garamond" w:hAnsi="Garamond"/>
        </w:rPr>
        <w:t>sondages</w:t>
      </w:r>
      <w:r>
        <w:rPr>
          <w:rFonts w:ascii="Garamond" w:hAnsi="Garamond"/>
        </w:rPr>
        <w:t xml:space="preserve"> apporterait une valeur ajoutée à la présente étude. </w:t>
      </w:r>
    </w:p>
    <w:p w14:paraId="19AC10A3" w14:textId="5BA75786" w:rsidR="00804868" w:rsidRDefault="00804868" w:rsidP="00804868">
      <w:pPr>
        <w:rPr>
          <w:rFonts w:ascii="Garamond" w:hAnsi="Garamond"/>
        </w:rPr>
      </w:pPr>
      <w:r>
        <w:rPr>
          <w:rFonts w:ascii="Garamond" w:hAnsi="Garamond"/>
        </w:rPr>
        <w:t xml:space="preserve">Par ailleurs, au regard de l’immensité du pays, l’élargissement du champ d’étude permettrait d’appréhender </w:t>
      </w:r>
      <w:r w:rsidR="003142E7">
        <w:rPr>
          <w:rFonts w:ascii="Garamond" w:hAnsi="Garamond"/>
        </w:rPr>
        <w:t xml:space="preserve">et de comparer </w:t>
      </w:r>
      <w:r>
        <w:rPr>
          <w:rFonts w:ascii="Garamond" w:hAnsi="Garamond"/>
        </w:rPr>
        <w:t xml:space="preserve">les valeurs culturellement institutionnalisées au sein des provinces et leur capacité à influencer la pratique de la responsabilité financière et de la reddition des comptes. </w:t>
      </w:r>
    </w:p>
    <w:p w14:paraId="7906EE5D" w14:textId="77777777" w:rsidR="00B83E1F" w:rsidRDefault="00B83E1F">
      <w:pPr>
        <w:autoSpaceDE/>
        <w:autoSpaceDN/>
        <w:adjustRightInd/>
        <w:spacing w:before="0" w:after="200" w:line="276" w:lineRule="auto"/>
        <w:jc w:val="left"/>
        <w:rPr>
          <w:rFonts w:ascii="Garamond" w:hAnsi="Garamond"/>
        </w:rPr>
      </w:pPr>
      <w:bookmarkStart w:id="39" w:name="_Toc119144809"/>
      <w:bookmarkStart w:id="40" w:name="_Toc125594169"/>
      <w:r>
        <w:rPr>
          <w:rFonts w:ascii="Garamond" w:hAnsi="Garamond"/>
          <w:b/>
          <w:bCs/>
        </w:rPr>
        <w:br w:type="page"/>
      </w:r>
    </w:p>
    <w:p w14:paraId="19F36BFC" w14:textId="77777777" w:rsidR="00804868" w:rsidRPr="009B6D19" w:rsidRDefault="00804868" w:rsidP="00804868">
      <w:pPr>
        <w:pStyle w:val="Heading1"/>
        <w:numPr>
          <w:ilvl w:val="0"/>
          <w:numId w:val="14"/>
        </w:numPr>
        <w:rPr>
          <w:rFonts w:ascii="Garamond" w:eastAsia="Times New Roman" w:hAnsi="Garamond"/>
          <w:szCs w:val="24"/>
          <w:lang w:eastAsia="fr-FR"/>
        </w:rPr>
      </w:pPr>
      <w:bookmarkStart w:id="41" w:name="_Toc143577463"/>
      <w:r w:rsidRPr="009B6D19">
        <w:rPr>
          <w:rFonts w:ascii="Garamond" w:eastAsia="Times New Roman" w:hAnsi="Garamond"/>
          <w:szCs w:val="24"/>
          <w:lang w:eastAsia="fr-FR"/>
        </w:rPr>
        <w:lastRenderedPageBreak/>
        <w:t>ANALYSE DES RESULTATS</w:t>
      </w:r>
      <w:bookmarkEnd w:id="39"/>
      <w:bookmarkEnd w:id="40"/>
      <w:bookmarkEnd w:id="41"/>
    </w:p>
    <w:p w14:paraId="55354863" w14:textId="77777777" w:rsidR="00FD2933" w:rsidRDefault="00804868" w:rsidP="00804868">
      <w:pPr>
        <w:rPr>
          <w:rFonts w:ascii="Garamond" w:hAnsi="Garamond"/>
        </w:rPr>
      </w:pPr>
      <w:r w:rsidRPr="009B6D19">
        <w:rPr>
          <w:rFonts w:ascii="Garamond" w:hAnsi="Garamond"/>
        </w:rPr>
        <w:t xml:space="preserve">Pour rappel, nous sommes partis de l’objectif de chercher à comprendre l’influence </w:t>
      </w:r>
      <w:r w:rsidR="00FD2933" w:rsidRPr="009B6D19">
        <w:rPr>
          <w:rFonts w:ascii="Garamond" w:hAnsi="Garamond"/>
        </w:rPr>
        <w:t>de la</w:t>
      </w:r>
      <w:r w:rsidR="00FD2933">
        <w:rPr>
          <w:rFonts w:ascii="Garamond" w:hAnsi="Garamond"/>
        </w:rPr>
        <w:t xml:space="preserve"> réforme de la</w:t>
      </w:r>
      <w:r w:rsidR="00FD2933" w:rsidRPr="009B6D19">
        <w:rPr>
          <w:rFonts w:ascii="Garamond" w:hAnsi="Garamond"/>
        </w:rPr>
        <w:t xml:space="preserve"> décentralisation</w:t>
      </w:r>
      <w:r w:rsidR="00FD2933">
        <w:rPr>
          <w:rFonts w:ascii="Garamond" w:hAnsi="Garamond"/>
        </w:rPr>
        <w:t xml:space="preserve">, introduite par la Constitution de 2006, </w:t>
      </w:r>
      <w:r w:rsidR="00FD2933" w:rsidRPr="009B6D19">
        <w:rPr>
          <w:rFonts w:ascii="Garamond" w:hAnsi="Garamond"/>
        </w:rPr>
        <w:t>comme mode de gestion administrative, politique et financière de l’Etat</w:t>
      </w:r>
      <w:r w:rsidRPr="009B6D19">
        <w:rPr>
          <w:rFonts w:ascii="Garamond" w:hAnsi="Garamond"/>
        </w:rPr>
        <w:t xml:space="preserve"> sur la responsabilisation financière et la reddition des comptes dans Ville-Province de Kinshasa. Pour y arriver, nous nous sommes posé la question de savoir quels sont les </w:t>
      </w:r>
      <w:r w:rsidR="00FD2933">
        <w:rPr>
          <w:rFonts w:ascii="Garamond" w:hAnsi="Garamond"/>
        </w:rPr>
        <w:t>facteurs qui limitent ou favoris</w:t>
      </w:r>
      <w:r w:rsidRPr="009B6D19">
        <w:rPr>
          <w:rFonts w:ascii="Garamond" w:hAnsi="Garamond"/>
        </w:rPr>
        <w:t xml:space="preserve">ent la responsabilisation financière et l’effectivité de la reddition des comptes dans la ville-Province de Kinshasa ? C’est à cette question que la présente section tente de répondre au travers non seulement de la théorie NIH de la dépendance au sentier et grâce à la méthode CPT, mais aussi, en nous basant sur trois dimensions principales d’analyse telles que annoncées dans la section précédente. Comme déjà souligné, ces dimensions d’analyse constituent des facteurs identifiés par différents rapports exploités et susceptibles d’influencer la trajectoire de la réforme de la décentralisation. Ces facteurs sont notamment : (i) la culture centralisatrice de la gestion publique en RDC; (ii) la faible capacité des ETD à impacter l’orientation vers de nouvelles bifurcations et ; (iii) la faible capacité des acteurs de la société civile. </w:t>
      </w:r>
    </w:p>
    <w:p w14:paraId="670260A4" w14:textId="2E24A67C" w:rsidR="00804868" w:rsidRDefault="00FD2933" w:rsidP="00804868">
      <w:pPr>
        <w:rPr>
          <w:rFonts w:ascii="Garamond" w:hAnsi="Garamond"/>
        </w:rPr>
      </w:pPr>
      <w:r>
        <w:rPr>
          <w:rFonts w:ascii="Garamond" w:hAnsi="Garamond"/>
        </w:rPr>
        <w:t>Par ailleurs, p</w:t>
      </w:r>
      <w:r w:rsidR="00804868" w:rsidRPr="009B6D19">
        <w:rPr>
          <w:rFonts w:ascii="Garamond" w:hAnsi="Garamond"/>
        </w:rPr>
        <w:t>arvenir à comprendre la trajectoire de la réforme de la décentralisation en RDC, ses enjeux et défis ainsi que ses acteurs, c’est aussi commencer par explorer et décortiquer à fond le cadre légal et règlementaire sur lequel sont assises la décentralisation en général et la responsabilisation financière ainsi que la reddition des comptes en particulier.</w:t>
      </w:r>
      <w:r>
        <w:rPr>
          <w:rFonts w:ascii="Garamond" w:hAnsi="Garamond"/>
        </w:rPr>
        <w:t xml:space="preserve"> Partant de cette </w:t>
      </w:r>
      <w:r w:rsidR="00804868" w:rsidRPr="009B6D19">
        <w:rPr>
          <w:rFonts w:ascii="Garamond" w:hAnsi="Garamond"/>
        </w:rPr>
        <w:t xml:space="preserve">analyse, nous tâcherons de démontrer que la décentralisation est bien sous-tendue par un cadre légal et règlementaire élaboré dans un contexte socio-politique particulier. Cette </w:t>
      </w:r>
      <w:r w:rsidR="00DE7299">
        <w:rPr>
          <w:rFonts w:ascii="Garamond" w:hAnsi="Garamond"/>
        </w:rPr>
        <w:t>réforme</w:t>
      </w:r>
      <w:r w:rsidR="00804868" w:rsidRPr="009B6D19">
        <w:rPr>
          <w:rFonts w:ascii="Garamond" w:hAnsi="Garamond"/>
        </w:rPr>
        <w:t xml:space="preserve">, qui pourtant était une occasion d’envol vers une gouvernance locale inclusive, transparente, responsable et redditionnelle, s’est heurtée sur des mécanismes culturellement et historiquement ancrés qui </w:t>
      </w:r>
      <w:r w:rsidR="00DE7299">
        <w:rPr>
          <w:rFonts w:ascii="Garamond" w:hAnsi="Garamond"/>
        </w:rPr>
        <w:t xml:space="preserve">la </w:t>
      </w:r>
      <w:r w:rsidR="00804868" w:rsidRPr="009B6D19">
        <w:rPr>
          <w:rFonts w:ascii="Garamond" w:hAnsi="Garamond"/>
        </w:rPr>
        <w:t xml:space="preserve">maintiennent dans le </w:t>
      </w:r>
      <w:r w:rsidR="00804868" w:rsidRPr="009B6D19">
        <w:rPr>
          <w:rFonts w:ascii="Garamond" w:hAnsi="Garamond"/>
          <w:i/>
        </w:rPr>
        <w:t>statu quo</w:t>
      </w:r>
      <w:r w:rsidR="00804868" w:rsidRPr="009B6D19">
        <w:rPr>
          <w:rFonts w:ascii="Garamond" w:hAnsi="Garamond"/>
        </w:rPr>
        <w:t xml:space="preserve">. Il en résulte une véritable dépendance au sentier et une tendance à verrouiller toutes autres bifurcations permettant d’atteindre les résultats escomptés. En plus, Kinshasa est une mégapole, une mosaïque culturelle et la capitale de RDC. Elle a sa propre appréhension et compréhension de la responsabilisation financière et de la reddition des comptes. Cette compréhension et cette appréhension s’étendent jusque dans ses ETD bien que des disparités liées aux caractéristiques économiques, </w:t>
      </w:r>
      <w:r w:rsidR="00CB449D" w:rsidRPr="009B6D19">
        <w:rPr>
          <w:rFonts w:ascii="Garamond" w:hAnsi="Garamond"/>
        </w:rPr>
        <w:t>sociodémographiques</w:t>
      </w:r>
      <w:r w:rsidR="00804868" w:rsidRPr="009B6D19">
        <w:rPr>
          <w:rFonts w:ascii="Garamond" w:hAnsi="Garamond"/>
        </w:rPr>
        <w:t xml:space="preserve"> et managerielles de chaque ETD </w:t>
      </w:r>
      <w:r w:rsidR="00DE7299">
        <w:rPr>
          <w:rFonts w:ascii="Garamond" w:hAnsi="Garamond"/>
        </w:rPr>
        <w:t>forgent un design particulier de responsabilité financière et de reddition des comptes</w:t>
      </w:r>
      <w:r w:rsidR="00804868" w:rsidRPr="009B6D19">
        <w:rPr>
          <w:rFonts w:ascii="Garamond" w:hAnsi="Garamond"/>
        </w:rPr>
        <w:t>.</w:t>
      </w:r>
    </w:p>
    <w:p w14:paraId="61425BA7" w14:textId="0D88F425" w:rsidR="00804868" w:rsidRPr="009B6D19" w:rsidRDefault="00804868" w:rsidP="00804868">
      <w:pPr>
        <w:rPr>
          <w:rFonts w:ascii="Garamond" w:hAnsi="Garamond"/>
        </w:rPr>
      </w:pPr>
      <w:r>
        <w:rPr>
          <w:rFonts w:ascii="Garamond" w:hAnsi="Garamond"/>
        </w:rPr>
        <w:t xml:space="preserve">Notre analyse portera tout d’abord sur la trajectoire de la réforme de la responsabilité financière et de la reddition des comptes en mettant l’accent sur l’histoire </w:t>
      </w:r>
      <w:r w:rsidR="00DE7299">
        <w:rPr>
          <w:rFonts w:ascii="Garamond" w:hAnsi="Garamond"/>
        </w:rPr>
        <w:t>socio-</w:t>
      </w:r>
      <w:r>
        <w:rPr>
          <w:rFonts w:ascii="Garamond" w:hAnsi="Garamond"/>
        </w:rPr>
        <w:t>politi</w:t>
      </w:r>
      <w:r w:rsidR="00DE7299">
        <w:rPr>
          <w:rFonts w:ascii="Garamond" w:hAnsi="Garamond"/>
        </w:rPr>
        <w:t>que et é</w:t>
      </w:r>
      <w:r>
        <w:rPr>
          <w:rFonts w:ascii="Garamond" w:hAnsi="Garamond"/>
        </w:rPr>
        <w:t xml:space="preserve">conomique de </w:t>
      </w:r>
      <w:r>
        <w:rPr>
          <w:rFonts w:ascii="Garamond" w:hAnsi="Garamond"/>
        </w:rPr>
        <w:lastRenderedPageBreak/>
        <w:t xml:space="preserve">la RDC et </w:t>
      </w:r>
      <w:r w:rsidR="00DE7299">
        <w:rPr>
          <w:rFonts w:ascii="Garamond" w:hAnsi="Garamond"/>
        </w:rPr>
        <w:t xml:space="preserve">sa traduction dans </w:t>
      </w:r>
      <w:r>
        <w:rPr>
          <w:rFonts w:ascii="Garamond" w:hAnsi="Garamond"/>
        </w:rPr>
        <w:t>la pratique redditionnelle dans la gestion des finances publiques depuis l’accession de la RDC à l’indépendance en 1960. Ensuite, il sera question d’explorer les finances publiques à la lumière du cadre légal et règlementaire de 1960 à ce jour. Enfin, nous allons chuter sur quelques facteurs prépondérants susceptibles d’influencer l’effectivité de la responsabilité financière et de la reddition des comptes.</w:t>
      </w:r>
    </w:p>
    <w:p w14:paraId="49C2FAF9" w14:textId="77777777" w:rsidR="00804868" w:rsidRPr="009B6D19" w:rsidRDefault="00804868" w:rsidP="00804868">
      <w:pPr>
        <w:pStyle w:val="Heading2"/>
        <w:numPr>
          <w:ilvl w:val="1"/>
          <w:numId w:val="14"/>
        </w:numPr>
        <w:rPr>
          <w:rFonts w:ascii="Garamond" w:hAnsi="Garamond"/>
          <w:szCs w:val="24"/>
        </w:rPr>
      </w:pPr>
      <w:bookmarkStart w:id="42" w:name="_Toc119144807"/>
      <w:bookmarkStart w:id="43" w:name="_Toc125594170"/>
      <w:bookmarkStart w:id="44" w:name="_Toc143577464"/>
      <w:r w:rsidRPr="009B6D19">
        <w:rPr>
          <w:rFonts w:ascii="Garamond" w:hAnsi="Garamond"/>
          <w:szCs w:val="24"/>
        </w:rPr>
        <w:t>Trajectoire de la réforme de responsabilisation financière et de la reddition des comptes en RDC</w:t>
      </w:r>
      <w:bookmarkEnd w:id="42"/>
      <w:bookmarkEnd w:id="43"/>
      <w:bookmarkEnd w:id="44"/>
    </w:p>
    <w:p w14:paraId="5822EC1C" w14:textId="1BE6F0B0" w:rsidR="00804868" w:rsidRPr="009B6D19" w:rsidRDefault="00804868" w:rsidP="00804868">
      <w:pPr>
        <w:rPr>
          <w:rFonts w:ascii="Garamond" w:hAnsi="Garamond"/>
        </w:rPr>
      </w:pPr>
      <w:r w:rsidRPr="009B6D19">
        <w:rPr>
          <w:rFonts w:ascii="Garamond" w:hAnsi="Garamond"/>
        </w:rPr>
        <w:t>Comme souligné dans les sections précédentes, la réforme de la décentralisation, consacrée en 2006</w:t>
      </w:r>
      <w:r>
        <w:rPr>
          <w:rFonts w:ascii="Garamond" w:hAnsi="Garamond"/>
        </w:rPr>
        <w:t xml:space="preserve"> </w:t>
      </w:r>
      <w:r w:rsidRPr="009B6D19">
        <w:rPr>
          <w:rFonts w:ascii="Garamond" w:hAnsi="Garamond"/>
        </w:rPr>
        <w:t>par la Constitution de la</w:t>
      </w:r>
      <w:r>
        <w:rPr>
          <w:rFonts w:ascii="Garamond" w:hAnsi="Garamond"/>
        </w:rPr>
        <w:t xml:space="preserve"> </w:t>
      </w:r>
      <w:r w:rsidRPr="009B6D19">
        <w:rPr>
          <w:rFonts w:ascii="Garamond" w:hAnsi="Garamond"/>
        </w:rPr>
        <w:t xml:space="preserve">RDC, et </w:t>
      </w:r>
      <w:r w:rsidR="00DE7299">
        <w:rPr>
          <w:rFonts w:ascii="Garamond" w:hAnsi="Garamond"/>
        </w:rPr>
        <w:t>qui renforce la</w:t>
      </w:r>
      <w:r w:rsidRPr="009B6D19">
        <w:rPr>
          <w:rFonts w:ascii="Garamond" w:hAnsi="Garamond"/>
        </w:rPr>
        <w:t xml:space="preserve"> responsabilité financière et la reddition des comptes,</w:t>
      </w:r>
      <w:r>
        <w:rPr>
          <w:rFonts w:ascii="Garamond" w:hAnsi="Garamond"/>
        </w:rPr>
        <w:t xml:space="preserve"> </w:t>
      </w:r>
      <w:r w:rsidRPr="009B6D19">
        <w:rPr>
          <w:rFonts w:ascii="Garamond" w:hAnsi="Garamond"/>
        </w:rPr>
        <w:t>ne s’est</w:t>
      </w:r>
      <w:r>
        <w:rPr>
          <w:rFonts w:ascii="Garamond" w:hAnsi="Garamond"/>
        </w:rPr>
        <w:t xml:space="preserve"> </w:t>
      </w:r>
      <w:r w:rsidRPr="009B6D19">
        <w:rPr>
          <w:rFonts w:ascii="Garamond" w:hAnsi="Garamond"/>
        </w:rPr>
        <w:t xml:space="preserve">pas implantée sur un environnement institutionnellement vide. Par contre, elle s’insère dans un enchevêtrement institutionnel qui a caractérisé la RDC depuis l’époque coloniale et dans lequel interagissent des institutions formelles et informelles. C’est pourquoi, parvenir à démontrer que les résultats actuels sur la trajectoire de la gestion décentralisée en RDC est une véritable dépendance au sentier, revient tout d’abord à effleurer l’histoire </w:t>
      </w:r>
      <w:r w:rsidR="002D5867">
        <w:rPr>
          <w:rFonts w:ascii="Garamond" w:hAnsi="Garamond"/>
        </w:rPr>
        <w:t xml:space="preserve">socio-politique et </w:t>
      </w:r>
      <w:r w:rsidRPr="009B6D19">
        <w:rPr>
          <w:rFonts w:ascii="Garamond" w:hAnsi="Garamond"/>
        </w:rPr>
        <w:t xml:space="preserve">économique de la RDC et le contexte d’adoption de la décentralisation, et ensuite, dérouler son cheminement depuis 2006 à ce jour. Ceci permettra d’avoir une vue claire sur la décentralisation politique, financière et administrative mise en œuvre en RDC et la capacité de cette dernière à influencer la responsabilisation financière et la reddition des comptes au sein des Provinces et des ETD. Elle fait également ressortir la prééminence de la déconcentration sur la décentralisation politique et financière faisant ainsi élucider l’origine de la tendance centralisatrice qui se perpétue au fil des années.   </w:t>
      </w:r>
    </w:p>
    <w:p w14:paraId="4EC8DD37" w14:textId="77777777" w:rsidR="00804868" w:rsidRPr="009B6D19" w:rsidRDefault="00804868" w:rsidP="00804868">
      <w:pPr>
        <w:pStyle w:val="Heading3"/>
        <w:rPr>
          <w:rFonts w:eastAsiaTheme="minorHAnsi"/>
        </w:rPr>
      </w:pPr>
      <w:bookmarkStart w:id="45" w:name="_Toc143577465"/>
      <w:r w:rsidRPr="009B6D19">
        <w:rPr>
          <w:rFonts w:eastAsiaTheme="minorHAnsi"/>
        </w:rPr>
        <w:t>La RDC de 1888 à 2006 : succession de découpages et reconstitutions territoriaux</w:t>
      </w:r>
      <w:bookmarkEnd w:id="45"/>
    </w:p>
    <w:p w14:paraId="0ADB682B" w14:textId="77777777" w:rsidR="00804868" w:rsidRPr="009B6D19" w:rsidRDefault="00804868" w:rsidP="00804868">
      <w:pPr>
        <w:rPr>
          <w:rFonts w:ascii="Garamond" w:hAnsi="Garamond"/>
        </w:rPr>
      </w:pPr>
      <w:r w:rsidRPr="009B6D19">
        <w:rPr>
          <w:rFonts w:ascii="Garamond" w:hAnsi="Garamond"/>
        </w:rPr>
        <w:t>En RDC, si la décentralisation est consacrée par la constitution de 2006, la provincialisation comme mode d’organisation consistant à une subdivision du territoire national en provinces n’est pas une innovation dans</w:t>
      </w:r>
      <w:r>
        <w:rPr>
          <w:rFonts w:ascii="Garamond" w:hAnsi="Garamond"/>
        </w:rPr>
        <w:t xml:space="preserve"> </w:t>
      </w:r>
      <w:r w:rsidRPr="009B6D19">
        <w:rPr>
          <w:rFonts w:ascii="Garamond" w:hAnsi="Garamond"/>
        </w:rPr>
        <w:t>l’histoire politique et administrative congolaise. Elle surgit à l’aurore</w:t>
      </w:r>
      <w:r>
        <w:rPr>
          <w:rFonts w:ascii="Garamond" w:hAnsi="Garamond"/>
        </w:rPr>
        <w:t xml:space="preserve"> </w:t>
      </w:r>
      <w:r w:rsidRPr="009B6D19">
        <w:rPr>
          <w:rFonts w:ascii="Garamond" w:hAnsi="Garamond"/>
        </w:rPr>
        <w:t>de la création de l’Etat Indépendant du Congo (EIC) en 1888 (Léon de St Moulin, 2015 :35), période au cours de laquelle le jeune Etat disposait de quatre provinces créées le 28 juillet 1914. Ces provinces regroup</w:t>
      </w:r>
      <w:r>
        <w:rPr>
          <w:rFonts w:ascii="Garamond" w:hAnsi="Garamond"/>
        </w:rPr>
        <w:t>ai</w:t>
      </w:r>
      <w:r w:rsidRPr="009B6D19">
        <w:rPr>
          <w:rFonts w:ascii="Garamond" w:hAnsi="Garamond"/>
        </w:rPr>
        <w:t xml:space="preserve">ent 11 districts préexistants (Banque mondiale, 2010 ; Bruneau, 2009) dont les gestionnaires avaient la charge de contrôler les frontières et la population. Cette période se caractérise par une forte centralisation du pouvoir entre les mains du Roi des belges auprès de qui les Commissaires des districts étaient redevables. Les abus qui ont résulté de cet autoritarisme ont entrainé le basculement de l’Etat Indépendant du Congo (EIC), propriété privée du Roi Léopold </w:t>
      </w:r>
      <w:r w:rsidRPr="009B6D19">
        <w:rPr>
          <w:rFonts w:ascii="Garamond" w:hAnsi="Garamond"/>
        </w:rPr>
        <w:lastRenderedPageBreak/>
        <w:t>II (Bruneau, 2009) vers une colonie belge entre 1908 et 1960. La colonie était sous la responsabilité et le contrôle politique du Parlement belge. Cette période se caractérise par la subdivision du territoire national en 4 provinces et 184 territoires en 1914 (réduits par la suite à 104 en 1929), un bon débu</w:t>
      </w:r>
      <w:r>
        <w:rPr>
          <w:rFonts w:ascii="Garamond" w:hAnsi="Garamond"/>
        </w:rPr>
        <w:t xml:space="preserve">t pour le citoyen pour s’affirmer au sein du forum décisionnel comme acteur important </w:t>
      </w:r>
      <w:r w:rsidRPr="009B6D19">
        <w:rPr>
          <w:rFonts w:ascii="Garamond" w:hAnsi="Garamond"/>
        </w:rPr>
        <w:t>grâce à l’Arrêté du Régent du 1</w:t>
      </w:r>
      <w:r w:rsidRPr="009B6D19">
        <w:rPr>
          <w:rFonts w:ascii="Garamond" w:hAnsi="Garamond"/>
          <w:vertAlign w:val="superscript"/>
        </w:rPr>
        <w:t>er</w:t>
      </w:r>
      <w:r w:rsidRPr="009B6D19">
        <w:rPr>
          <w:rFonts w:ascii="Garamond" w:hAnsi="Garamond"/>
        </w:rPr>
        <w:t xml:space="preserve"> juillet 1947, instituant les organes consultatifs sur une base plus représentative et la « </w:t>
      </w:r>
      <w:r w:rsidRPr="009B6D19">
        <w:rPr>
          <w:rFonts w:ascii="Garamond" w:hAnsi="Garamond"/>
          <w:i/>
        </w:rPr>
        <w:t xml:space="preserve">désignation par les élections </w:t>
      </w:r>
      <w:r w:rsidRPr="009B6D19">
        <w:rPr>
          <w:rFonts w:ascii="Garamond" w:hAnsi="Garamond"/>
        </w:rPr>
        <w:t>» (Bruneau, 2009 ; Léon de St Moulin, 2015 :36) de ces derniers en 1959 ainsi que par l’élaboration du budget ventilant les dépenses des provinces, du Gouvernement général et des services métropolitains en 1955.</w:t>
      </w:r>
    </w:p>
    <w:p w14:paraId="1E37DD4A" w14:textId="77777777" w:rsidR="00804868" w:rsidRPr="009B6D19" w:rsidRDefault="00804868" w:rsidP="00804868">
      <w:pPr>
        <w:rPr>
          <w:rFonts w:ascii="Garamond" w:hAnsi="Garamond"/>
        </w:rPr>
      </w:pPr>
      <w:r w:rsidRPr="009B6D19">
        <w:rPr>
          <w:rFonts w:ascii="Garamond" w:hAnsi="Garamond"/>
        </w:rPr>
        <w:t>Le deuxième découpage territorial intervient en 1933 et met en place 6 provinces (</w:t>
      </w:r>
      <w:proofErr w:type="spellStart"/>
      <w:r w:rsidRPr="009B6D19">
        <w:rPr>
          <w:rFonts w:ascii="Garamond" w:hAnsi="Garamond"/>
        </w:rPr>
        <w:t>Leopoldville</w:t>
      </w:r>
      <w:proofErr w:type="spellEnd"/>
      <w:r w:rsidRPr="009B6D19">
        <w:rPr>
          <w:rFonts w:ascii="Garamond" w:hAnsi="Garamond"/>
        </w:rPr>
        <w:t xml:space="preserve">, Coquilhatville, </w:t>
      </w:r>
      <w:proofErr w:type="spellStart"/>
      <w:r w:rsidRPr="009B6D19">
        <w:rPr>
          <w:rFonts w:ascii="Garamond" w:hAnsi="Garamond"/>
        </w:rPr>
        <w:t>Stanleyville</w:t>
      </w:r>
      <w:proofErr w:type="spellEnd"/>
      <w:r w:rsidRPr="009B6D19">
        <w:rPr>
          <w:rFonts w:ascii="Garamond" w:hAnsi="Garamond"/>
        </w:rPr>
        <w:t xml:space="preserve">, </w:t>
      </w:r>
      <w:proofErr w:type="spellStart"/>
      <w:r w:rsidRPr="009B6D19">
        <w:rPr>
          <w:rFonts w:ascii="Garamond" w:hAnsi="Garamond"/>
        </w:rPr>
        <w:t>Costerrnansville</w:t>
      </w:r>
      <w:proofErr w:type="spellEnd"/>
      <w:r w:rsidRPr="009B6D19">
        <w:rPr>
          <w:rFonts w:ascii="Garamond" w:hAnsi="Garamond"/>
        </w:rPr>
        <w:t xml:space="preserve">, </w:t>
      </w:r>
      <w:proofErr w:type="spellStart"/>
      <w:r w:rsidRPr="009B6D19">
        <w:rPr>
          <w:rFonts w:ascii="Garamond" w:hAnsi="Garamond"/>
        </w:rPr>
        <w:t>Elisabethvilie</w:t>
      </w:r>
      <w:proofErr w:type="spellEnd"/>
      <w:r w:rsidRPr="009B6D19">
        <w:rPr>
          <w:rFonts w:ascii="Garamond" w:hAnsi="Garamond"/>
        </w:rPr>
        <w:t xml:space="preserve"> et </w:t>
      </w:r>
      <w:proofErr w:type="spellStart"/>
      <w:r w:rsidRPr="009B6D19">
        <w:rPr>
          <w:rFonts w:ascii="Garamond" w:hAnsi="Garamond"/>
        </w:rPr>
        <w:t>Lusambo</w:t>
      </w:r>
      <w:proofErr w:type="spellEnd"/>
      <w:r w:rsidRPr="009B6D19">
        <w:rPr>
          <w:rFonts w:ascii="Garamond" w:hAnsi="Garamond"/>
        </w:rPr>
        <w:t>). Il sera succédé par celui intervenu quelques jours après la proclamation de l’indépendance sur fonds de tensions sécessionnistes déclenchées successivement le 11 juillet 1960 au Katanga et le 09 août au Sud-Kasaï. Le nombre des</w:t>
      </w:r>
      <w:r>
        <w:rPr>
          <w:rFonts w:ascii="Garamond" w:hAnsi="Garamond"/>
        </w:rPr>
        <w:t xml:space="preserve"> </w:t>
      </w:r>
      <w:r w:rsidRPr="009B6D19">
        <w:rPr>
          <w:rFonts w:ascii="Garamond" w:hAnsi="Garamond"/>
        </w:rPr>
        <w:t>provinces passe de</w:t>
      </w:r>
      <w:r>
        <w:rPr>
          <w:rFonts w:ascii="Garamond" w:hAnsi="Garamond"/>
        </w:rPr>
        <w:t xml:space="preserve"> </w:t>
      </w:r>
      <w:r w:rsidRPr="009B6D19">
        <w:rPr>
          <w:rFonts w:ascii="Garamond" w:hAnsi="Garamond"/>
        </w:rPr>
        <w:t>6 à 23 en 1963</w:t>
      </w:r>
      <w:r>
        <w:rPr>
          <w:rFonts w:ascii="Garamond" w:hAnsi="Garamond"/>
        </w:rPr>
        <w:t xml:space="preserve"> dont la ville de Léopoldville (autrement appelée Kinshasa).</w:t>
      </w:r>
      <w:r w:rsidRPr="009B6D19">
        <w:rPr>
          <w:rFonts w:ascii="Garamond" w:hAnsi="Garamond"/>
        </w:rPr>
        <w:t xml:space="preserve"> </w:t>
      </w:r>
    </w:p>
    <w:p w14:paraId="6031250A" w14:textId="3FB36A2E" w:rsidR="00804868" w:rsidRPr="009B6D19" w:rsidRDefault="00804868" w:rsidP="00804868">
      <w:pPr>
        <w:rPr>
          <w:rFonts w:ascii="Garamond" w:hAnsi="Garamond"/>
        </w:rPr>
      </w:pPr>
      <w:r w:rsidRPr="009B6D19">
        <w:rPr>
          <w:rFonts w:ascii="Garamond" w:hAnsi="Garamond"/>
        </w:rPr>
        <w:t xml:space="preserve">Le découpage précipité de 1963 et les défis liés </w:t>
      </w:r>
      <w:r>
        <w:rPr>
          <w:rFonts w:ascii="Garamond" w:hAnsi="Garamond"/>
        </w:rPr>
        <w:t xml:space="preserve">à </w:t>
      </w:r>
      <w:r w:rsidRPr="009B6D19">
        <w:rPr>
          <w:rFonts w:ascii="Garamond" w:hAnsi="Garamond"/>
        </w:rPr>
        <w:t>la gouvernance de nouvelles provinces issues de ce découpage vont entrainer la signature, par le Président Mobutu, de l’Ordonnance-Loi du 06 avril 1966, qui ramène le nombre des provinces à 12. La personnalité civile dont jouissaient les provinces en 1960, sera étendue en 1982 aux provinces (régions), aux villes et à leurs zones urbaines (communes), aux zones rurales (territoires) et aux collectivités (secteurs ou chefferies). A part les chefs des chefferies dont le pouvoir émane de la coutume, tous les animateurs de ces différentes entités et services déconcentrés étaient nommés</w:t>
      </w:r>
      <w:r>
        <w:rPr>
          <w:rFonts w:ascii="Garamond" w:hAnsi="Garamond"/>
        </w:rPr>
        <w:t xml:space="preserve"> </w:t>
      </w:r>
      <w:r w:rsidR="00F027B3">
        <w:rPr>
          <w:rFonts w:ascii="Garamond" w:hAnsi="Garamond"/>
        </w:rPr>
        <w:t xml:space="preserve">par </w:t>
      </w:r>
      <w:r>
        <w:rPr>
          <w:rFonts w:ascii="Garamond" w:hAnsi="Garamond"/>
        </w:rPr>
        <w:t>Kinshasa au</w:t>
      </w:r>
      <w:r w:rsidRPr="009B6D19">
        <w:rPr>
          <w:rFonts w:ascii="Garamond" w:hAnsi="Garamond"/>
        </w:rPr>
        <w:t xml:space="preserve">près </w:t>
      </w:r>
      <w:r>
        <w:rPr>
          <w:rFonts w:ascii="Garamond" w:hAnsi="Garamond"/>
        </w:rPr>
        <w:t>de qui</w:t>
      </w:r>
      <w:r w:rsidRPr="009B6D19">
        <w:rPr>
          <w:rFonts w:ascii="Garamond" w:hAnsi="Garamond"/>
        </w:rPr>
        <w:t xml:space="preserve"> ils avaient l’obligation de rendre compte.</w:t>
      </w:r>
    </w:p>
    <w:p w14:paraId="5866E392" w14:textId="3BB1B52F" w:rsidR="00804868" w:rsidRDefault="00804868" w:rsidP="00804868">
      <w:pPr>
        <w:rPr>
          <w:rFonts w:ascii="Garamond" w:hAnsi="Garamond"/>
        </w:rPr>
      </w:pPr>
      <w:r w:rsidRPr="009B6D19">
        <w:rPr>
          <w:rFonts w:ascii="Garamond" w:hAnsi="Garamond"/>
        </w:rPr>
        <w:t xml:space="preserve">Enfin, le cinquième découpage est celui consacré par la Constitution de 2006. Ce découpage est le plus délicat car il intervient après une longue période de transition politique et des conflits armés que </w:t>
      </w:r>
      <w:proofErr w:type="spellStart"/>
      <w:r w:rsidRPr="009B6D19">
        <w:rPr>
          <w:rFonts w:ascii="Garamond" w:hAnsi="Garamond"/>
        </w:rPr>
        <w:t>Pourtier</w:t>
      </w:r>
      <w:proofErr w:type="spellEnd"/>
      <w:r w:rsidRPr="009B6D19">
        <w:rPr>
          <w:rFonts w:ascii="Garamond" w:hAnsi="Garamond"/>
        </w:rPr>
        <w:t xml:space="preserve"> (2008) va qualifier de « </w:t>
      </w:r>
      <w:r w:rsidRPr="009B6D19">
        <w:rPr>
          <w:rFonts w:ascii="Garamond" w:hAnsi="Garamond"/>
          <w:i/>
        </w:rPr>
        <w:t>décennie du chaos</w:t>
      </w:r>
      <w:r w:rsidRPr="009B6D19">
        <w:rPr>
          <w:rFonts w:ascii="Garamond" w:hAnsi="Garamond"/>
        </w:rPr>
        <w:t> » (p.23). La spécificité et la délicatesse de cette période au cours de laquelle cette Constitution souvent qualifiée par certains acteurs politiques de « </w:t>
      </w:r>
      <w:r w:rsidRPr="009B6D19">
        <w:rPr>
          <w:rFonts w:ascii="Garamond" w:hAnsi="Garamond"/>
          <w:i/>
        </w:rPr>
        <w:t>Constitution des belligérants</w:t>
      </w:r>
      <w:r w:rsidRPr="009B6D19">
        <w:rPr>
          <w:rFonts w:ascii="Garamond" w:hAnsi="Garamond"/>
        </w:rPr>
        <w:t> » a été adoptée, laisse entrevoir l’orientation que peuvent avoir emprunté</w:t>
      </w:r>
      <w:r w:rsidR="00F027B3">
        <w:rPr>
          <w:rFonts w:ascii="Garamond" w:hAnsi="Garamond"/>
        </w:rPr>
        <w:t>e</w:t>
      </w:r>
      <w:r w:rsidRPr="009B6D19">
        <w:rPr>
          <w:rFonts w:ascii="Garamond" w:hAnsi="Garamond"/>
        </w:rPr>
        <w:t xml:space="preserve"> certaines réformes subséquentes à cette révision constitutionnelle. Si au fond, cette réforme visait la restauration de l’État, les empreintes d’origine restent implicitement dictées par les intérêts des acteurs politiques parmi lesquels des anciens belligérants ayant profité de la déliquescence de l’Etat sous la trentaine d’années d’autoritarisme de Mobutu. Pour les acteurs politiques, ce découpage est une opportunité offerte</w:t>
      </w:r>
      <w:r>
        <w:rPr>
          <w:rFonts w:ascii="Garamond" w:hAnsi="Garamond"/>
        </w:rPr>
        <w:t xml:space="preserve"> à la population</w:t>
      </w:r>
      <w:r w:rsidRPr="009B6D19">
        <w:rPr>
          <w:rFonts w:ascii="Garamond" w:hAnsi="Garamond"/>
        </w:rPr>
        <w:t xml:space="preserve"> </w:t>
      </w:r>
      <w:r>
        <w:rPr>
          <w:rFonts w:ascii="Garamond" w:hAnsi="Garamond"/>
        </w:rPr>
        <w:t>de</w:t>
      </w:r>
      <w:r w:rsidRPr="009B6D19">
        <w:rPr>
          <w:rFonts w:ascii="Garamond" w:hAnsi="Garamond"/>
        </w:rPr>
        <w:t xml:space="preserve"> jouir pleinement de ses richesses</w:t>
      </w:r>
      <w:r>
        <w:rPr>
          <w:rFonts w:ascii="Garamond" w:hAnsi="Garamond"/>
        </w:rPr>
        <w:t xml:space="preserve"> et aux décideurs émanant de la base d’assurer la création d’emplois et de </w:t>
      </w:r>
      <w:r w:rsidRPr="009B6D19">
        <w:rPr>
          <w:rFonts w:ascii="Garamond" w:hAnsi="Garamond"/>
        </w:rPr>
        <w:t>viabiliser</w:t>
      </w:r>
      <w:r>
        <w:rPr>
          <w:rFonts w:ascii="Garamond" w:hAnsi="Garamond"/>
        </w:rPr>
        <w:t xml:space="preserve"> leur</w:t>
      </w:r>
      <w:r w:rsidR="00F027B3">
        <w:rPr>
          <w:rFonts w:ascii="Garamond" w:hAnsi="Garamond"/>
        </w:rPr>
        <w:t>s</w:t>
      </w:r>
      <w:r>
        <w:rPr>
          <w:rFonts w:ascii="Garamond" w:hAnsi="Garamond"/>
        </w:rPr>
        <w:t xml:space="preserve"> </w:t>
      </w:r>
      <w:r>
        <w:rPr>
          <w:rFonts w:ascii="Garamond" w:hAnsi="Garamond"/>
        </w:rPr>
        <w:lastRenderedPageBreak/>
        <w:t>entité</w:t>
      </w:r>
      <w:r w:rsidR="00F027B3">
        <w:rPr>
          <w:rFonts w:ascii="Garamond" w:hAnsi="Garamond"/>
        </w:rPr>
        <w:t>s</w:t>
      </w:r>
      <w:r w:rsidRPr="009B6D19">
        <w:rPr>
          <w:rFonts w:ascii="Garamond" w:hAnsi="Garamond"/>
        </w:rPr>
        <w:t xml:space="preserve"> sur le plan économique au lieu que des personnes « étrangères » </w:t>
      </w:r>
      <w:r>
        <w:rPr>
          <w:rFonts w:ascii="Garamond" w:hAnsi="Garamond"/>
        </w:rPr>
        <w:t>le fasse à leur place</w:t>
      </w:r>
      <w:r w:rsidR="00F027B3">
        <w:rPr>
          <w:rFonts w:ascii="Garamond" w:hAnsi="Garamond"/>
        </w:rPr>
        <w:t>. L</w:t>
      </w:r>
      <w:r w:rsidRPr="009B6D19">
        <w:rPr>
          <w:rFonts w:ascii="Garamond" w:hAnsi="Garamond"/>
        </w:rPr>
        <w:t xml:space="preserve">es dirigeants étaient souvent considérés comme étant des étrangers au regard de la politique de territoriale des non-originaires instaurée par le Président Mobutu. Elle consistait à nommer et affecter les fonctionnaires ou les personnalités politiques et militaires </w:t>
      </w:r>
      <w:r>
        <w:rPr>
          <w:rFonts w:ascii="Garamond" w:hAnsi="Garamond"/>
        </w:rPr>
        <w:t>dans des provinces</w:t>
      </w:r>
      <w:r w:rsidRPr="00875CF5">
        <w:rPr>
          <w:rFonts w:ascii="Garamond" w:hAnsi="Garamond"/>
        </w:rPr>
        <w:t xml:space="preserve"> </w:t>
      </w:r>
      <w:r>
        <w:rPr>
          <w:rFonts w:ascii="Garamond" w:hAnsi="Garamond"/>
        </w:rPr>
        <w:t>d’où ils tirent leurs</w:t>
      </w:r>
      <w:r w:rsidRPr="009B6D19">
        <w:rPr>
          <w:rFonts w:ascii="Garamond" w:hAnsi="Garamond"/>
        </w:rPr>
        <w:t xml:space="preserve"> origines</w:t>
      </w:r>
      <w:r>
        <w:rPr>
          <w:rFonts w:ascii="Garamond" w:hAnsi="Garamond"/>
        </w:rPr>
        <w:t xml:space="preserve"> pour occuper des fonctions administratives ou politiques. </w:t>
      </w:r>
    </w:p>
    <w:p w14:paraId="7E354A4D" w14:textId="2B809B20" w:rsidR="00804868" w:rsidRPr="009B6D19" w:rsidRDefault="00804868" w:rsidP="00804868">
      <w:pPr>
        <w:rPr>
          <w:rFonts w:ascii="Garamond" w:hAnsi="Garamond"/>
        </w:rPr>
      </w:pPr>
      <w:r w:rsidRPr="009B6D19">
        <w:rPr>
          <w:rFonts w:ascii="Garamond" w:hAnsi="Garamond"/>
        </w:rPr>
        <w:t>A l’issue de cette réforme constitutionnelle, le nombre des provinces jadis fixé</w:t>
      </w:r>
      <w:r>
        <w:rPr>
          <w:rFonts w:ascii="Garamond" w:hAnsi="Garamond"/>
        </w:rPr>
        <w:t xml:space="preserve"> </w:t>
      </w:r>
      <w:r w:rsidRPr="009B6D19">
        <w:rPr>
          <w:rFonts w:ascii="Garamond" w:hAnsi="Garamond"/>
        </w:rPr>
        <w:t xml:space="preserve">à 11, passe à 26 provinces. Ces </w:t>
      </w:r>
      <w:r>
        <w:rPr>
          <w:rFonts w:ascii="Garamond" w:hAnsi="Garamond"/>
        </w:rPr>
        <w:t>dernières</w:t>
      </w:r>
      <w:r w:rsidRPr="009B6D19">
        <w:rPr>
          <w:rFonts w:ascii="Garamond" w:hAnsi="Garamond"/>
        </w:rPr>
        <w:t xml:space="preserve"> </w:t>
      </w:r>
      <w:r>
        <w:rPr>
          <w:rFonts w:ascii="Garamond" w:hAnsi="Garamond"/>
        </w:rPr>
        <w:t>sont des personnes morales</w:t>
      </w:r>
      <w:r w:rsidRPr="009B6D19">
        <w:rPr>
          <w:rFonts w:ascii="Garamond" w:hAnsi="Garamond"/>
        </w:rPr>
        <w:t xml:space="preserve"> </w:t>
      </w:r>
      <w:r>
        <w:rPr>
          <w:rFonts w:ascii="Garamond" w:hAnsi="Garamond"/>
        </w:rPr>
        <w:t>de droit public et</w:t>
      </w:r>
      <w:r w:rsidRPr="009B6D19">
        <w:rPr>
          <w:rFonts w:ascii="Garamond" w:hAnsi="Garamond"/>
        </w:rPr>
        <w:t xml:space="preserve"> devraient être dirigées par les organes élus contrairement aux modèles précédents. </w:t>
      </w:r>
      <w:r>
        <w:rPr>
          <w:rFonts w:ascii="Garamond" w:hAnsi="Garamond"/>
        </w:rPr>
        <w:t>Cette décentralisation a eu pour conséquence notamment le découpage territorial duquel sont sortis 1433 ETD (97 villes, 603 communes, 474 secteurs et 259 chefferies</w:t>
      </w:r>
      <w:r w:rsidR="00F027B3">
        <w:rPr>
          <w:rFonts w:ascii="Garamond" w:hAnsi="Garamond"/>
        </w:rPr>
        <w:t>)</w:t>
      </w:r>
      <w:r>
        <w:rPr>
          <w:rFonts w:ascii="Garamond" w:hAnsi="Garamond"/>
        </w:rPr>
        <w:t xml:space="preserve">. </w:t>
      </w:r>
      <w:r w:rsidRPr="009B6D19">
        <w:rPr>
          <w:rFonts w:ascii="Garamond" w:hAnsi="Garamond"/>
        </w:rPr>
        <w:t>La politique de la décentralisation adoptée par la RDC marque ainsi un tournant décisif vers la démocratisation du système politique et la réorganisation politique, administrative et financière de l’Etat</w:t>
      </w:r>
      <w:r w:rsidRPr="009B6D19">
        <w:rPr>
          <w:rFonts w:ascii="Garamond" w:hAnsi="Garamond"/>
          <w:iCs/>
        </w:rPr>
        <w:t xml:space="preserve">. </w:t>
      </w:r>
      <w:r w:rsidRPr="009B6D19">
        <w:rPr>
          <w:rFonts w:ascii="Garamond" w:hAnsi="Garamond"/>
        </w:rPr>
        <w:t>Elle relève d’un</w:t>
      </w:r>
      <w:r>
        <w:rPr>
          <w:rFonts w:ascii="Garamond" w:hAnsi="Garamond"/>
        </w:rPr>
        <w:t xml:space="preserve"> </w:t>
      </w:r>
      <w:r w:rsidRPr="009B6D19">
        <w:rPr>
          <w:rFonts w:ascii="Garamond" w:hAnsi="Garamond"/>
        </w:rPr>
        <w:t>« </w:t>
      </w:r>
      <w:r w:rsidRPr="009B6D19">
        <w:rPr>
          <w:rFonts w:ascii="Garamond" w:hAnsi="Garamond"/>
          <w:i/>
        </w:rPr>
        <w:t>compromis national</w:t>
      </w:r>
      <w:r w:rsidRPr="009B6D19">
        <w:rPr>
          <w:rFonts w:ascii="Garamond" w:hAnsi="Garamond"/>
        </w:rPr>
        <w:t> »</w:t>
      </w:r>
      <w:r>
        <w:rPr>
          <w:rFonts w:ascii="Garamond" w:hAnsi="Garamond"/>
        </w:rPr>
        <w:t xml:space="preserve"> (Gerold, 2014 :68)</w:t>
      </w:r>
      <w:r w:rsidRPr="009B6D19">
        <w:rPr>
          <w:rFonts w:ascii="Garamond" w:hAnsi="Garamond"/>
        </w:rPr>
        <w:t xml:space="preserve"> du fait qu’elle met un terme, bien que tacitement, aux tiraillements entre fédéralistes et unionistes ayant surgi</w:t>
      </w:r>
      <w:r>
        <w:rPr>
          <w:rFonts w:ascii="Garamond" w:hAnsi="Garamond"/>
        </w:rPr>
        <w:t xml:space="preserve"> à l’accession du pays à l’indépendance</w:t>
      </w:r>
      <w:r w:rsidRPr="009B6D19">
        <w:rPr>
          <w:rFonts w:ascii="Garamond" w:hAnsi="Garamond"/>
        </w:rPr>
        <w:t xml:space="preserve"> </w:t>
      </w:r>
      <w:r>
        <w:rPr>
          <w:rFonts w:ascii="Garamond" w:hAnsi="Garamond"/>
        </w:rPr>
        <w:t xml:space="preserve">et </w:t>
      </w:r>
      <w:r w:rsidRPr="009B6D19">
        <w:rPr>
          <w:rFonts w:ascii="Garamond" w:hAnsi="Garamond"/>
        </w:rPr>
        <w:t xml:space="preserve">qui  trouvent en l’unité nationale, la source de développement. A cet effet, </w:t>
      </w:r>
      <w:r>
        <w:rPr>
          <w:rFonts w:ascii="Garamond" w:hAnsi="Garamond"/>
        </w:rPr>
        <w:t xml:space="preserve">il permet de </w:t>
      </w:r>
      <w:r w:rsidRPr="009B6D19">
        <w:rPr>
          <w:rFonts w:ascii="Garamond" w:hAnsi="Garamond"/>
        </w:rPr>
        <w:t xml:space="preserve">renforcer l’autorité de l’Etat, les mécanismes d’exercice de pouvoir, la légitimité et la confiance </w:t>
      </w:r>
      <w:r>
        <w:rPr>
          <w:rFonts w:ascii="Garamond" w:hAnsi="Garamond"/>
        </w:rPr>
        <w:t xml:space="preserve">entre acteurs locaux. Ces différents ingrédients qui constituent un impératif dans le cadre de la coopération avec les partenaires bi et multilatéraux, s’étaient déjà </w:t>
      </w:r>
      <w:r w:rsidRPr="009B6D19">
        <w:rPr>
          <w:rFonts w:ascii="Garamond" w:hAnsi="Garamond"/>
        </w:rPr>
        <w:t>effrités au fil des années par la forte centralité du pouvoir (</w:t>
      </w:r>
      <w:proofErr w:type="spellStart"/>
      <w:r w:rsidRPr="009B6D19">
        <w:rPr>
          <w:rFonts w:ascii="Garamond" w:hAnsi="Garamond"/>
        </w:rPr>
        <w:t>Pourtier</w:t>
      </w:r>
      <w:proofErr w:type="spellEnd"/>
      <w:r w:rsidRPr="009B6D19">
        <w:rPr>
          <w:rFonts w:ascii="Garamond" w:hAnsi="Garamond"/>
        </w:rPr>
        <w:t xml:space="preserve">, 2008, Liégeois, 2008). </w:t>
      </w:r>
    </w:p>
    <w:p w14:paraId="5D706C40" w14:textId="77777777" w:rsidR="00804868" w:rsidRPr="009B6D19" w:rsidRDefault="00804868" w:rsidP="00804868">
      <w:pPr>
        <w:pStyle w:val="Heading3"/>
        <w:rPr>
          <w:rFonts w:eastAsiaTheme="minorHAnsi"/>
        </w:rPr>
      </w:pPr>
      <w:bookmarkStart w:id="46" w:name="_Toc143577466"/>
      <w:r w:rsidRPr="009B6D19">
        <w:rPr>
          <w:rFonts w:eastAsiaTheme="minorHAnsi"/>
        </w:rPr>
        <w:t>La gestion des finances publiques à la lumière des cadres légaux et règlementaires de 1960 à 2011</w:t>
      </w:r>
      <w:bookmarkEnd w:id="46"/>
    </w:p>
    <w:p w14:paraId="3CF5ABE4" w14:textId="77777777" w:rsidR="00804868" w:rsidRPr="009B6D19" w:rsidRDefault="00804868" w:rsidP="00804868">
      <w:pPr>
        <w:rPr>
          <w:rFonts w:ascii="Garamond" w:hAnsi="Garamond"/>
        </w:rPr>
      </w:pPr>
      <w:r w:rsidRPr="009B6D19">
        <w:rPr>
          <w:rFonts w:ascii="Garamond" w:hAnsi="Garamond"/>
        </w:rPr>
        <w:t xml:space="preserve">A ce sujet, l’organisation politique du pays largement marqué par la centralisation n’a cessé d’influencer </w:t>
      </w:r>
      <w:r>
        <w:rPr>
          <w:rFonts w:ascii="Garamond" w:hAnsi="Garamond"/>
        </w:rPr>
        <w:t xml:space="preserve">la gestion des finances publiques depuis la période précoloniale et postcoloniale. </w:t>
      </w:r>
      <w:r w:rsidRPr="009B6D19">
        <w:rPr>
          <w:rFonts w:ascii="Garamond" w:hAnsi="Garamond"/>
        </w:rPr>
        <w:t xml:space="preserve">Ces germes de centralisation </w:t>
      </w:r>
      <w:r>
        <w:rPr>
          <w:rFonts w:ascii="Garamond" w:hAnsi="Garamond"/>
        </w:rPr>
        <w:t xml:space="preserve">semblent avoir </w:t>
      </w:r>
      <w:r w:rsidRPr="009B6D19">
        <w:rPr>
          <w:rFonts w:ascii="Garamond" w:hAnsi="Garamond"/>
        </w:rPr>
        <w:t>prolongé leurs racines même</w:t>
      </w:r>
      <w:r>
        <w:rPr>
          <w:rFonts w:ascii="Garamond" w:hAnsi="Garamond"/>
        </w:rPr>
        <w:t xml:space="preserve"> après la mise en place de la nouvelle Constitution.</w:t>
      </w:r>
      <w:r w:rsidRPr="009B6D19">
        <w:rPr>
          <w:rFonts w:ascii="Garamond" w:hAnsi="Garamond"/>
        </w:rPr>
        <w:t xml:space="preserve"> </w:t>
      </w:r>
      <w:r>
        <w:rPr>
          <w:rFonts w:ascii="Garamond" w:hAnsi="Garamond"/>
        </w:rPr>
        <w:t>C</w:t>
      </w:r>
      <w:r w:rsidRPr="009B6D19">
        <w:rPr>
          <w:rFonts w:ascii="Garamond" w:hAnsi="Garamond"/>
        </w:rPr>
        <w:t xml:space="preserve">e qui justifie des réformes entreprises depuis bientôt deux décennies en vue d’une part, d’assainir les finances publiques en les orientant vers la logique des </w:t>
      </w:r>
      <w:r>
        <w:rPr>
          <w:rFonts w:ascii="Garamond" w:hAnsi="Garamond"/>
        </w:rPr>
        <w:t>résultats</w:t>
      </w:r>
      <w:r w:rsidRPr="009B6D19">
        <w:rPr>
          <w:rFonts w:ascii="Garamond" w:hAnsi="Garamond"/>
        </w:rPr>
        <w:t xml:space="preserve"> et d’autre part, de rendre la gestion budgétaire plus inclusive, participative, redditionnelle et transparente.</w:t>
      </w:r>
    </w:p>
    <w:p w14:paraId="37D01F19" w14:textId="38FBE9D0" w:rsidR="00804868" w:rsidRPr="009B6D19" w:rsidRDefault="00804868" w:rsidP="00804868">
      <w:pPr>
        <w:rPr>
          <w:rFonts w:ascii="Garamond" w:hAnsi="Garamond"/>
        </w:rPr>
      </w:pPr>
      <w:r w:rsidRPr="009B6D19">
        <w:rPr>
          <w:rFonts w:ascii="Garamond" w:hAnsi="Garamond"/>
        </w:rPr>
        <w:t>En effet,</w:t>
      </w:r>
      <w:r>
        <w:rPr>
          <w:rFonts w:ascii="Garamond" w:hAnsi="Garamond"/>
        </w:rPr>
        <w:t xml:space="preserve"> </w:t>
      </w:r>
      <w:r w:rsidRPr="009B6D19">
        <w:rPr>
          <w:rFonts w:ascii="Garamond" w:hAnsi="Garamond"/>
        </w:rPr>
        <w:t>la Loi fondamentale du 19 mai 1960</w:t>
      </w:r>
      <w:r>
        <w:rPr>
          <w:rFonts w:ascii="Garamond" w:hAnsi="Garamond"/>
        </w:rPr>
        <w:t xml:space="preserve"> </w:t>
      </w:r>
      <w:r w:rsidRPr="009B6D19">
        <w:rPr>
          <w:rFonts w:ascii="Garamond" w:hAnsi="Garamond"/>
        </w:rPr>
        <w:t>relative aux structures du Congo et faisant office à la Constitution de la RDC, promulguée à la veille de l’indépendance intervenue le 30 juin 1960</w:t>
      </w:r>
      <w:r>
        <w:rPr>
          <w:rFonts w:ascii="Garamond" w:hAnsi="Garamond"/>
        </w:rPr>
        <w:t xml:space="preserve"> fixe que le Congo était </w:t>
      </w:r>
      <w:r w:rsidRPr="009B6D19">
        <w:rPr>
          <w:rFonts w:ascii="Garamond" w:hAnsi="Garamond"/>
        </w:rPr>
        <w:t>d</w:t>
      </w:r>
      <w:r w:rsidR="004168D4">
        <w:rPr>
          <w:rFonts w:ascii="Garamond" w:hAnsi="Garamond"/>
        </w:rPr>
        <w:t xml:space="preserve">ans ses frontières, </w:t>
      </w:r>
      <w:r w:rsidRPr="009B6D19">
        <w:rPr>
          <w:rFonts w:ascii="Garamond" w:hAnsi="Garamond"/>
        </w:rPr>
        <w:t xml:space="preserve">un Etat indivisible et démocratique (Article 6). En réalité, le système était fortement centralisé autour du Président de la République qui avait notamment le pouvoir d’ordonner l’émission monétaire (Article 237) et les virements pour </w:t>
      </w:r>
      <w:r w:rsidRPr="009B6D19">
        <w:rPr>
          <w:rFonts w:ascii="Garamond" w:hAnsi="Garamond"/>
        </w:rPr>
        <w:lastRenderedPageBreak/>
        <w:t>exécution des dépenses urgentes (Article 242), de délivrance d’une exemption ou exonération fiscale (Article 240) et de création des bons du trésor (Article 241). Toutefois, cette Constitution fait une nette démarcation entre les finances</w:t>
      </w:r>
      <w:r>
        <w:rPr>
          <w:rFonts w:ascii="Garamond" w:hAnsi="Garamond"/>
        </w:rPr>
        <w:t xml:space="preserve"> des provinces et celle </w:t>
      </w:r>
      <w:r w:rsidRPr="009B6D19">
        <w:rPr>
          <w:rFonts w:ascii="Garamond" w:hAnsi="Garamond"/>
        </w:rPr>
        <w:t xml:space="preserve">du pouvoir central et </w:t>
      </w:r>
      <w:r>
        <w:rPr>
          <w:rFonts w:ascii="Garamond" w:hAnsi="Garamond"/>
        </w:rPr>
        <w:t>institue la légalité de l’impôt.</w:t>
      </w:r>
    </w:p>
    <w:p w14:paraId="4645D0AF" w14:textId="39DBF683" w:rsidR="00804868" w:rsidRDefault="00804868" w:rsidP="00804868">
      <w:pPr>
        <w:rPr>
          <w:rFonts w:ascii="Garamond" w:hAnsi="Garamond"/>
        </w:rPr>
      </w:pPr>
      <w:r w:rsidRPr="009B6D19">
        <w:rPr>
          <w:rFonts w:ascii="Garamond" w:hAnsi="Garamond"/>
        </w:rPr>
        <w:t>Globalement, il se dégage une certaine ambigüité</w:t>
      </w:r>
      <w:r>
        <w:rPr>
          <w:rFonts w:ascii="Garamond" w:hAnsi="Garamond"/>
        </w:rPr>
        <w:t xml:space="preserve"> dans la clé de répartition des compétences en matière budgétaire entre le Gouvernement et le </w:t>
      </w:r>
      <w:r w:rsidRPr="009B6D19">
        <w:rPr>
          <w:rFonts w:ascii="Garamond" w:hAnsi="Garamond"/>
        </w:rPr>
        <w:t>Président de la République</w:t>
      </w:r>
      <w:r>
        <w:rPr>
          <w:rFonts w:ascii="Garamond" w:hAnsi="Garamond"/>
        </w:rPr>
        <w:t xml:space="preserve"> malgré que ce dernier ne soit aucunement redevable devant</w:t>
      </w:r>
      <w:r w:rsidRPr="009B6D19">
        <w:rPr>
          <w:rFonts w:ascii="Garamond" w:hAnsi="Garamond"/>
        </w:rPr>
        <w:t xml:space="preserve"> le Parlement. La Cour des comptes, l’unique instance de contrôle, au-delà d’arrêter les comptes</w:t>
      </w:r>
      <w:r>
        <w:rPr>
          <w:rFonts w:ascii="Garamond" w:hAnsi="Garamond"/>
        </w:rPr>
        <w:t xml:space="preserve"> pour les administrations, demeure un instrument au service du Président de la République. Et </w:t>
      </w:r>
      <w:r w:rsidRPr="009B6D19">
        <w:rPr>
          <w:rFonts w:ascii="Garamond" w:hAnsi="Garamond"/>
        </w:rPr>
        <w:t>par moment, elle est sollicitée pour acter les virements d’urgence du Président de la République (Article 242)</w:t>
      </w:r>
      <w:r>
        <w:rPr>
          <w:rFonts w:ascii="Garamond" w:hAnsi="Garamond"/>
        </w:rPr>
        <w:t xml:space="preserve"> ou encore pour assurer </w:t>
      </w:r>
      <w:r w:rsidRPr="009B6D19">
        <w:rPr>
          <w:rFonts w:ascii="Garamond" w:hAnsi="Garamond"/>
        </w:rPr>
        <w:t>la liquidation</w:t>
      </w:r>
      <w:r>
        <w:rPr>
          <w:rFonts w:ascii="Garamond" w:hAnsi="Garamond"/>
        </w:rPr>
        <w:t xml:space="preserve"> de certaines dépenses</w:t>
      </w:r>
      <w:r w:rsidRPr="009B6D19">
        <w:rPr>
          <w:rFonts w:ascii="Garamond" w:hAnsi="Garamond"/>
        </w:rPr>
        <w:t xml:space="preserve"> pourtant elle sera encore sollicitée pour statuer en dernier ressort et arrêter les comptes. Cet enchevêtrement dans la responsabilisation financière et budgétaire révèle une série d’incohérences ayant émaillé la  gestion des finances publiques à la naissance de la RDC comme</w:t>
      </w:r>
      <w:r>
        <w:rPr>
          <w:rFonts w:ascii="Garamond" w:hAnsi="Garamond"/>
        </w:rPr>
        <w:t xml:space="preserve"> Etat</w:t>
      </w:r>
      <w:r w:rsidRPr="009B6D19">
        <w:rPr>
          <w:rFonts w:ascii="Garamond" w:hAnsi="Garamond"/>
        </w:rPr>
        <w:t>. Il s’agit notamment du non-respect du principe sacrosaint de la séparation de pouvoir dans la préparation et l’exécution budgétaire, la</w:t>
      </w:r>
      <w:r>
        <w:rPr>
          <w:rFonts w:ascii="Garamond" w:hAnsi="Garamond"/>
        </w:rPr>
        <w:t xml:space="preserve"> non-séparation d’</w:t>
      </w:r>
      <w:r w:rsidRPr="009B6D19">
        <w:rPr>
          <w:rFonts w:ascii="Garamond" w:hAnsi="Garamond"/>
        </w:rPr>
        <w:t>organisme</w:t>
      </w:r>
      <w:r>
        <w:rPr>
          <w:rFonts w:ascii="Garamond" w:hAnsi="Garamond"/>
        </w:rPr>
        <w:t xml:space="preserve">s </w:t>
      </w:r>
      <w:r w:rsidRPr="009B6D19">
        <w:rPr>
          <w:rFonts w:ascii="Garamond" w:hAnsi="Garamond"/>
        </w:rPr>
        <w:t>de contrôle et d’exécution budgétaire, l’interférence</w:t>
      </w:r>
      <w:r>
        <w:rPr>
          <w:rFonts w:ascii="Garamond" w:hAnsi="Garamond"/>
        </w:rPr>
        <w:t xml:space="preserve"> </w:t>
      </w:r>
      <w:r w:rsidRPr="009B6D19">
        <w:rPr>
          <w:rFonts w:ascii="Garamond" w:hAnsi="Garamond"/>
        </w:rPr>
        <w:t>du Président de la République dans le</w:t>
      </w:r>
      <w:r>
        <w:t xml:space="preserve"> </w:t>
      </w:r>
      <w:r w:rsidRPr="009B6D19">
        <w:rPr>
          <w:rFonts w:ascii="Garamond" w:hAnsi="Garamond"/>
        </w:rPr>
        <w:t>processus budgétaire, la non</w:t>
      </w:r>
      <w:r>
        <w:rPr>
          <w:rFonts w:ascii="Garamond" w:hAnsi="Garamond"/>
        </w:rPr>
        <w:t xml:space="preserve"> clarté dans la répartition des ressources entre les entités infranationales et le Gouvernement central, e</w:t>
      </w:r>
      <w:r w:rsidRPr="009B6D19">
        <w:rPr>
          <w:rFonts w:ascii="Garamond" w:hAnsi="Garamond"/>
        </w:rPr>
        <w:t>tc. Par conséquent, cette Loi fondamentale</w:t>
      </w:r>
      <w:r>
        <w:rPr>
          <w:rFonts w:ascii="Garamond" w:hAnsi="Garamond"/>
        </w:rPr>
        <w:t xml:space="preserve"> n’a pas été à même </w:t>
      </w:r>
      <w:r w:rsidRPr="009B6D19">
        <w:rPr>
          <w:rFonts w:ascii="Garamond" w:hAnsi="Garamond"/>
        </w:rPr>
        <w:t>d’impulser la responsabilisation financière et la redd</w:t>
      </w:r>
      <w:r>
        <w:rPr>
          <w:rFonts w:ascii="Garamond" w:hAnsi="Garamond"/>
        </w:rPr>
        <w:t xml:space="preserve">ition des comptes comme base </w:t>
      </w:r>
      <w:r w:rsidR="004168D4">
        <w:rPr>
          <w:rFonts w:ascii="Garamond" w:hAnsi="Garamond"/>
        </w:rPr>
        <w:t>de la gouvernance</w:t>
      </w:r>
      <w:r>
        <w:rPr>
          <w:rFonts w:ascii="Garamond" w:hAnsi="Garamond"/>
        </w:rPr>
        <w:t xml:space="preserve"> démocratique.</w:t>
      </w:r>
    </w:p>
    <w:p w14:paraId="7F6391CD" w14:textId="773A7178" w:rsidR="00804868" w:rsidRPr="009B6D19" w:rsidRDefault="00804868" w:rsidP="00804868">
      <w:pPr>
        <w:rPr>
          <w:rFonts w:ascii="Garamond" w:hAnsi="Garamond"/>
        </w:rPr>
      </w:pPr>
      <w:r w:rsidRPr="009B6D19">
        <w:rPr>
          <w:rFonts w:ascii="Garamond" w:hAnsi="Garamond"/>
        </w:rPr>
        <w:t>Par ailleurs, la Loi organique de 1987 relative aux finances publiques</w:t>
      </w:r>
      <w:r>
        <w:rPr>
          <w:rFonts w:ascii="Garamond" w:hAnsi="Garamond"/>
        </w:rPr>
        <w:t xml:space="preserve"> était</w:t>
      </w:r>
      <w:r w:rsidRPr="009B6D19">
        <w:rPr>
          <w:rFonts w:ascii="Garamond" w:hAnsi="Garamond"/>
        </w:rPr>
        <w:t xml:space="preserve"> adoptée </w:t>
      </w:r>
      <w:r>
        <w:rPr>
          <w:rFonts w:ascii="Garamond" w:hAnsi="Garamond"/>
        </w:rPr>
        <w:t xml:space="preserve">en pleine période de </w:t>
      </w:r>
      <w:r w:rsidRPr="009B6D19">
        <w:rPr>
          <w:rFonts w:ascii="Garamond" w:hAnsi="Garamond"/>
        </w:rPr>
        <w:t xml:space="preserve">centralisation </w:t>
      </w:r>
      <w:r>
        <w:rPr>
          <w:rFonts w:ascii="Garamond" w:hAnsi="Garamond"/>
        </w:rPr>
        <w:t xml:space="preserve">de pouvoir et des finances publiques </w:t>
      </w:r>
      <w:r w:rsidRPr="009B6D19">
        <w:rPr>
          <w:rFonts w:ascii="Garamond" w:hAnsi="Garamond"/>
        </w:rPr>
        <w:t>au cours de laquelle</w:t>
      </w:r>
      <w:r>
        <w:rPr>
          <w:rFonts w:ascii="Garamond" w:hAnsi="Garamond"/>
        </w:rPr>
        <w:t xml:space="preserve"> le Parti unique sous la présidence du Président de la République se confondait </w:t>
      </w:r>
      <w:r w:rsidRPr="009B6D19">
        <w:rPr>
          <w:rFonts w:ascii="Garamond" w:hAnsi="Garamond"/>
        </w:rPr>
        <w:t>à l’Etat.</w:t>
      </w:r>
      <w:r>
        <w:rPr>
          <w:rFonts w:ascii="Garamond" w:hAnsi="Garamond"/>
        </w:rPr>
        <w:t xml:space="preserve"> Cela a eu notamment pour effets,</w:t>
      </w:r>
      <w:r w:rsidRPr="009B6D19">
        <w:rPr>
          <w:rFonts w:ascii="Garamond" w:hAnsi="Garamond"/>
        </w:rPr>
        <w:t xml:space="preserve"> </w:t>
      </w:r>
      <w:r>
        <w:rPr>
          <w:rFonts w:ascii="Garamond" w:hAnsi="Garamond"/>
        </w:rPr>
        <w:t>l’in</w:t>
      </w:r>
      <w:r w:rsidRPr="009B6D19">
        <w:rPr>
          <w:rFonts w:ascii="Garamond" w:hAnsi="Garamond"/>
        </w:rPr>
        <w:t>terférence du Président de la République dans le processus budgétaire (Articles 11 et 31) et la mainmise du pouvoir central sur</w:t>
      </w:r>
      <w:r>
        <w:rPr>
          <w:rFonts w:ascii="Garamond" w:hAnsi="Garamond"/>
        </w:rPr>
        <w:t xml:space="preserve"> les ressources des entités infranationales ainsi </w:t>
      </w:r>
      <w:r w:rsidRPr="009B6D19">
        <w:rPr>
          <w:rFonts w:ascii="Garamond" w:hAnsi="Garamond"/>
        </w:rPr>
        <w:t>que la politisatio</w:t>
      </w:r>
      <w:r>
        <w:rPr>
          <w:rFonts w:ascii="Garamond" w:hAnsi="Garamond"/>
        </w:rPr>
        <w:t>n de l’Administration publique (</w:t>
      </w:r>
      <w:r w:rsidRPr="009B6D19">
        <w:rPr>
          <w:rFonts w:ascii="Garamond" w:hAnsi="Garamond"/>
        </w:rPr>
        <w:t xml:space="preserve">Banque mondiale, 2010 : 50). Toutefois, contrairement au cadre légal précédent, cette Loi établit clairement les compétences budgétaires et une nette répartition des responsabilités en matière des recettes de l’Etat central et des Entités Administratives Décentralisées (EAD) (Article 16). Pour assurer les compétences leur dévolues, les EAD disposaient </w:t>
      </w:r>
      <w:r>
        <w:rPr>
          <w:rFonts w:ascii="Garamond" w:hAnsi="Garamond"/>
        </w:rPr>
        <w:t>d’un pouvoir d’imposition</w:t>
      </w:r>
      <w:r w:rsidR="004168D4">
        <w:rPr>
          <w:rFonts w:ascii="Garamond" w:hAnsi="Garamond"/>
        </w:rPr>
        <w:t xml:space="preserve"> sur les matières relavant de leur</w:t>
      </w:r>
      <w:r>
        <w:rPr>
          <w:rFonts w:ascii="Garamond" w:hAnsi="Garamond"/>
        </w:rPr>
        <w:t xml:space="preserve"> compétence. Il s’agit entre autres de toutes autres matières non imposées par le Gouvernement central, les recettes administratives de leur ressort, les recettes de contributions (impôts réels, contributions personnelles minimum), les subventions et le fonds de péréquation. </w:t>
      </w:r>
      <w:r w:rsidRPr="009B6D19">
        <w:rPr>
          <w:rFonts w:ascii="Garamond" w:hAnsi="Garamond"/>
        </w:rPr>
        <w:t>Les véritables défis demeuraient ceux de l’actionnement de ces actes générateurs et du transfert régulier des</w:t>
      </w:r>
      <w:r>
        <w:rPr>
          <w:rFonts w:ascii="Garamond" w:hAnsi="Garamond"/>
        </w:rPr>
        <w:t xml:space="preserve"> </w:t>
      </w:r>
      <w:r>
        <w:rPr>
          <w:rFonts w:ascii="Garamond" w:hAnsi="Garamond"/>
        </w:rPr>
        <w:lastRenderedPageBreak/>
        <w:t>subventions dues par l’Etat central aux entités infranationales (EAD)</w:t>
      </w:r>
      <w:r w:rsidRPr="009B6D19">
        <w:rPr>
          <w:rFonts w:ascii="Garamond" w:hAnsi="Garamond"/>
        </w:rPr>
        <w:t xml:space="preserve"> dont la clé de répartition était fixée par le pouvoir discrétionnaire du Président de la République. Etant donné que les EAD</w:t>
      </w:r>
      <w:r>
        <w:rPr>
          <w:rFonts w:ascii="Garamond" w:hAnsi="Garamond"/>
        </w:rPr>
        <w:t xml:space="preserve"> n</w:t>
      </w:r>
      <w:r w:rsidRPr="009B6D19">
        <w:rPr>
          <w:rFonts w:ascii="Garamond" w:hAnsi="Garamond"/>
        </w:rPr>
        <w:t>e disposaient pas suffisamment des capacités politiques</w:t>
      </w:r>
      <w:r>
        <w:rPr>
          <w:rFonts w:ascii="Garamond" w:hAnsi="Garamond"/>
        </w:rPr>
        <w:t xml:space="preserve">, financières et techniques pouvant leur permettre d’actionner la </w:t>
      </w:r>
      <w:r w:rsidRPr="009B6D19">
        <w:rPr>
          <w:rFonts w:ascii="Garamond" w:hAnsi="Garamond"/>
        </w:rPr>
        <w:t>fiscalité locale à même d’assurer efficacement</w:t>
      </w:r>
      <w:r>
        <w:rPr>
          <w:rFonts w:ascii="Garamond" w:hAnsi="Garamond"/>
        </w:rPr>
        <w:t xml:space="preserve"> la mise en œuvre du programme local de développement,</w:t>
      </w:r>
      <w:r w:rsidRPr="009B6D19">
        <w:rPr>
          <w:rFonts w:ascii="Garamond" w:hAnsi="Garamond"/>
        </w:rPr>
        <w:t xml:space="preserve"> </w:t>
      </w:r>
      <w:r>
        <w:rPr>
          <w:rFonts w:ascii="Garamond" w:hAnsi="Garamond"/>
        </w:rPr>
        <w:t>ce</w:t>
      </w:r>
      <w:r w:rsidRPr="009B6D19">
        <w:rPr>
          <w:rFonts w:ascii="Garamond" w:hAnsi="Garamond"/>
        </w:rPr>
        <w:t>s jeunes entités n’ont cessé d’être à la solde du pouvoir central (</w:t>
      </w:r>
      <w:proofErr w:type="spellStart"/>
      <w:r w:rsidRPr="009B6D19">
        <w:rPr>
          <w:rFonts w:ascii="Garamond" w:hAnsi="Garamond"/>
        </w:rPr>
        <w:t>Kombo</w:t>
      </w:r>
      <w:proofErr w:type="spellEnd"/>
      <w:r w:rsidRPr="009B6D19">
        <w:rPr>
          <w:rFonts w:ascii="Garamond" w:hAnsi="Garamond"/>
        </w:rPr>
        <w:t xml:space="preserve"> </w:t>
      </w:r>
      <w:proofErr w:type="spellStart"/>
      <w:r w:rsidRPr="009B6D19">
        <w:rPr>
          <w:rFonts w:ascii="Garamond" w:hAnsi="Garamond"/>
        </w:rPr>
        <w:t>Yetilo</w:t>
      </w:r>
      <w:proofErr w:type="spellEnd"/>
      <w:r w:rsidRPr="009B6D19">
        <w:rPr>
          <w:rFonts w:ascii="Garamond" w:hAnsi="Garamond"/>
        </w:rPr>
        <w:t xml:space="preserve">, 2010). Cette mainmise se trouvait par exemple illustrée par la mise sous-tutelle financière des EAD (article 24) en cas de certification des états financiers à fin exercice, de réaménagement budgétaire ou encore d’ouverture des crédits provisoires (articles 28, 29 et 30).  </w:t>
      </w:r>
    </w:p>
    <w:p w14:paraId="29DD6993" w14:textId="06DD1E7D" w:rsidR="00804868" w:rsidRPr="009B6D19" w:rsidRDefault="00804868" w:rsidP="00804868">
      <w:pPr>
        <w:rPr>
          <w:rFonts w:ascii="Garamond" w:hAnsi="Garamond"/>
        </w:rPr>
      </w:pPr>
      <w:r w:rsidRPr="009B6D19">
        <w:rPr>
          <w:rFonts w:ascii="Garamond" w:hAnsi="Garamond"/>
        </w:rPr>
        <w:t>Bien que cette Loi puisse introduire la notion de reddition des comptes, le rapport y relatif n’est qu’une simple présentation des exécutions des dépenses, des réalisations des recettes et du solde global qui ne faisait pas ressortir clairement les objectifs assignés dès le départ, les indicateurs de suivi-évaluation ainsi que les résultats auxquels on devrait aboutir. Toutefois, cette Loi a le mérite d’assurer la déconcentration de la</w:t>
      </w:r>
      <w:r>
        <w:rPr>
          <w:rFonts w:ascii="Garamond" w:hAnsi="Garamond"/>
        </w:rPr>
        <w:t xml:space="preserve"> </w:t>
      </w:r>
      <w:r w:rsidRPr="009B6D19">
        <w:rPr>
          <w:rFonts w:ascii="Garamond" w:hAnsi="Garamond"/>
        </w:rPr>
        <w:t>fonction d’ordonnateur des dépenses et de</w:t>
      </w:r>
      <w:r>
        <w:rPr>
          <w:rFonts w:ascii="Garamond" w:hAnsi="Garamond"/>
        </w:rPr>
        <w:t xml:space="preserve"> renforcer la Cour des comptes dans sa fonction de contrôle juridictionnel des finances publiques.</w:t>
      </w:r>
      <w:r w:rsidRPr="009B6D19">
        <w:rPr>
          <w:rFonts w:ascii="Garamond" w:hAnsi="Garamond"/>
        </w:rPr>
        <w:t xml:space="preserve"> </w:t>
      </w:r>
      <w:r>
        <w:rPr>
          <w:rFonts w:ascii="Garamond" w:hAnsi="Garamond"/>
        </w:rPr>
        <w:t>A</w:t>
      </w:r>
      <w:r w:rsidRPr="009B6D19">
        <w:rPr>
          <w:rFonts w:ascii="Garamond" w:hAnsi="Garamond"/>
        </w:rPr>
        <w:t>u-delà des innovations sur la responsabilisation</w:t>
      </w:r>
      <w:r>
        <w:rPr>
          <w:rFonts w:ascii="Garamond" w:hAnsi="Garamond"/>
        </w:rPr>
        <w:t xml:space="preserve"> et </w:t>
      </w:r>
      <w:r w:rsidRPr="009B6D19">
        <w:rPr>
          <w:rFonts w:ascii="Garamond" w:hAnsi="Garamond"/>
        </w:rPr>
        <w:t>la reddition des comptes, le</w:t>
      </w:r>
      <w:r>
        <w:rPr>
          <w:rFonts w:ascii="Garamond" w:hAnsi="Garamond"/>
        </w:rPr>
        <w:t xml:space="preserve"> </w:t>
      </w:r>
      <w:r w:rsidRPr="009B6D19">
        <w:rPr>
          <w:rFonts w:ascii="Garamond" w:hAnsi="Garamond"/>
        </w:rPr>
        <w:t>processus budgétaire reste clos et connait l’interférence du Président de la République. Cette situation se poursuivra jusqu’en 2006, période au cours de laquelle la RDC a fait face à une série des dérapages budgétaires, dues</w:t>
      </w:r>
      <w:r>
        <w:rPr>
          <w:rFonts w:ascii="Garamond" w:hAnsi="Garamond"/>
        </w:rPr>
        <w:t xml:space="preserve"> </w:t>
      </w:r>
      <w:r w:rsidRPr="009B6D19">
        <w:rPr>
          <w:rFonts w:ascii="Garamond" w:hAnsi="Garamond"/>
        </w:rPr>
        <w:t>notamment à la</w:t>
      </w:r>
      <w:r>
        <w:rPr>
          <w:rFonts w:ascii="Garamond" w:hAnsi="Garamond"/>
        </w:rPr>
        <w:t xml:space="preserve"> </w:t>
      </w:r>
      <w:r w:rsidRPr="009B6D19">
        <w:rPr>
          <w:rFonts w:ascii="Garamond" w:hAnsi="Garamond"/>
        </w:rPr>
        <w:t>corruption, à la patrimonialisation des entreprises publiques et à une politique économique incohérente avec une économie « </w:t>
      </w:r>
      <w:r w:rsidRPr="00C66839">
        <w:rPr>
          <w:rFonts w:ascii="Garamond" w:hAnsi="Garamond"/>
          <w:i/>
        </w:rPr>
        <w:t xml:space="preserve">subordonnée </w:t>
      </w:r>
      <w:r w:rsidR="001116BA">
        <w:rPr>
          <w:rFonts w:ascii="Garamond" w:hAnsi="Garamond"/>
          <w:i/>
        </w:rPr>
        <w:t xml:space="preserve">à </w:t>
      </w:r>
      <w:r w:rsidRPr="00C66839">
        <w:rPr>
          <w:rFonts w:ascii="Garamond" w:hAnsi="Garamond"/>
          <w:i/>
        </w:rPr>
        <w:t>l’effort de guerre</w:t>
      </w:r>
      <w:r w:rsidRPr="009B6D19">
        <w:rPr>
          <w:rFonts w:ascii="Garamond" w:hAnsi="Garamond"/>
        </w:rPr>
        <w:t> » (Jacquemot, 2010). Selon une étude évaluative menée en RDC sur la période de 2002 à 2010 par les experts de l’Université d’Anvers, ces dérapages trouvent leur justification dans la faible gouvernance héritée du passé et qui subsiste (IOB &amp; al., 2012 :29)</w:t>
      </w:r>
    </w:p>
    <w:p w14:paraId="2E27E8DF" w14:textId="77777777" w:rsidR="00804868" w:rsidRPr="009B6D19" w:rsidRDefault="00804868" w:rsidP="00804868">
      <w:pPr>
        <w:rPr>
          <w:rFonts w:ascii="Garamond" w:hAnsi="Garamond"/>
        </w:rPr>
      </w:pPr>
      <w:r w:rsidRPr="009B6D19">
        <w:rPr>
          <w:rFonts w:ascii="Garamond" w:hAnsi="Garamond"/>
        </w:rPr>
        <w:t>Enfin, la Loi N°11/011 du 13 juillet 2011 relative aux finances publiques intervient d’une part, dans un continuum du processus de reconstruction et de reprise du programme économique entre la RDC et les Institutions de Breton Wood et d’autre part, vient corriger les déséquilibres induits par la forte centralisation des finances publiques. Elle a la particularité d’avoir intégré toutes les notions de la gouvernance démocratique</w:t>
      </w:r>
      <w:r>
        <w:rPr>
          <w:rFonts w:ascii="Garamond" w:hAnsi="Garamond"/>
        </w:rPr>
        <w:t xml:space="preserve">, en mettant notamment l’accent sur la budgétisation axée sur les résultats grâce aux budgets-programmes, en </w:t>
      </w:r>
      <w:r w:rsidRPr="009B6D19">
        <w:rPr>
          <w:rFonts w:ascii="Garamond" w:hAnsi="Garamond"/>
        </w:rPr>
        <w:t>établissant une nette démarcation entre</w:t>
      </w:r>
      <w:r>
        <w:rPr>
          <w:rFonts w:ascii="Garamond" w:hAnsi="Garamond"/>
        </w:rPr>
        <w:t xml:space="preserve"> les finances publiques nationales, provinciales et locales </w:t>
      </w:r>
      <w:r w:rsidRPr="009B6D19">
        <w:rPr>
          <w:rFonts w:ascii="Garamond" w:hAnsi="Garamond"/>
        </w:rPr>
        <w:t>ainsi qu’en tenant compte notamment de la séparation entre la fonction d’ordonnateur et de comptable public</w:t>
      </w:r>
      <w:r>
        <w:rPr>
          <w:rFonts w:ascii="Garamond" w:hAnsi="Garamond"/>
        </w:rPr>
        <w:t>. Tout ceci</w:t>
      </w:r>
      <w:r w:rsidRPr="009B6D19">
        <w:rPr>
          <w:rFonts w:ascii="Garamond" w:hAnsi="Garamond"/>
        </w:rPr>
        <w:t xml:space="preserve"> dans l’optique</w:t>
      </w:r>
      <w:r>
        <w:rPr>
          <w:rFonts w:ascii="Garamond" w:hAnsi="Garamond"/>
        </w:rPr>
        <w:t xml:space="preserve"> de promouvoir la transparence, la crédibilité budgétaire,  la participation </w:t>
      </w:r>
      <w:r w:rsidRPr="009B6D19">
        <w:rPr>
          <w:rFonts w:ascii="Garamond" w:hAnsi="Garamond"/>
        </w:rPr>
        <w:t>publique</w:t>
      </w:r>
      <w:r>
        <w:rPr>
          <w:rFonts w:ascii="Garamond" w:hAnsi="Garamond"/>
        </w:rPr>
        <w:t>, la responsabilité et la reddition des comptes.</w:t>
      </w:r>
      <w:r w:rsidRPr="009B6D19">
        <w:rPr>
          <w:rFonts w:ascii="Garamond" w:hAnsi="Garamond"/>
        </w:rPr>
        <w:t xml:space="preserve"> Bref, il s’agit d’un saut qualitatif ver</w:t>
      </w:r>
      <w:r>
        <w:rPr>
          <w:rFonts w:ascii="Garamond" w:hAnsi="Garamond"/>
        </w:rPr>
        <w:t>s une budgétisation axée sur la gouvernance démocratique</w:t>
      </w:r>
      <w:r>
        <w:t>.</w:t>
      </w:r>
      <w:r w:rsidRPr="009B6D19">
        <w:rPr>
          <w:rFonts w:ascii="Garamond" w:hAnsi="Garamond"/>
        </w:rPr>
        <w:t xml:space="preserve"> </w:t>
      </w:r>
    </w:p>
    <w:p w14:paraId="4C1D7CE4" w14:textId="4217149A" w:rsidR="00804868" w:rsidRPr="009B6D19" w:rsidRDefault="00804868" w:rsidP="00804868">
      <w:pPr>
        <w:rPr>
          <w:rFonts w:ascii="Garamond" w:hAnsi="Garamond"/>
        </w:rPr>
      </w:pPr>
      <w:r w:rsidRPr="009B6D19">
        <w:rPr>
          <w:rFonts w:ascii="Garamond" w:hAnsi="Garamond"/>
        </w:rPr>
        <w:lastRenderedPageBreak/>
        <w:t xml:space="preserve">En plus, elle </w:t>
      </w:r>
      <w:r>
        <w:rPr>
          <w:rFonts w:ascii="Garamond" w:hAnsi="Garamond"/>
        </w:rPr>
        <w:t>institue des organismes de contrôle</w:t>
      </w:r>
      <w:r w:rsidRPr="009B6D19">
        <w:rPr>
          <w:rFonts w:ascii="Garamond" w:hAnsi="Garamond"/>
        </w:rPr>
        <w:t xml:space="preserve"> et répartit clairement les rôles et responsabilités</w:t>
      </w:r>
      <w:r>
        <w:rPr>
          <w:rFonts w:ascii="Garamond" w:hAnsi="Garamond"/>
        </w:rPr>
        <w:t xml:space="preserve"> de chaque intervenant dans </w:t>
      </w:r>
      <w:r w:rsidRPr="009B6D19">
        <w:rPr>
          <w:rFonts w:ascii="Garamond" w:hAnsi="Garamond"/>
        </w:rPr>
        <w:t xml:space="preserve">le processus budgétaire. Toutefois, sa promulgation plus de cinq ans après celle de la Constitution de 2006 pourtant c’est cette dernière qui la consacre à son article 122, démontre à suffisance que la tendance à conserver la centralisation  des finances publiques comme sentier déjà balisé par l’histoire n’a pas lâché prise et que la tendance à la recentralisation </w:t>
      </w:r>
      <w:r w:rsidR="001116BA">
        <w:rPr>
          <w:rFonts w:ascii="Garamond" w:hAnsi="Garamond"/>
        </w:rPr>
        <w:t>était</w:t>
      </w:r>
      <w:r w:rsidRPr="009B6D19">
        <w:rPr>
          <w:rFonts w:ascii="Garamond" w:hAnsi="Garamond"/>
        </w:rPr>
        <w:t xml:space="preserve"> toujours prévisible.    </w:t>
      </w:r>
    </w:p>
    <w:p w14:paraId="224D146A" w14:textId="77777777" w:rsidR="00804868" w:rsidRPr="009B6D19" w:rsidRDefault="00804868" w:rsidP="00804868">
      <w:pPr>
        <w:rPr>
          <w:rFonts w:ascii="Garamond" w:hAnsi="Garamond"/>
        </w:rPr>
      </w:pPr>
      <w:r>
        <w:rPr>
          <w:noProof/>
          <w:lang w:eastAsia="fr-FR"/>
        </w:rPr>
        <w:drawing>
          <wp:inline distT="0" distB="0" distL="0" distR="0" wp14:anchorId="49CF6A35" wp14:editId="352A3D5C">
            <wp:extent cx="6183390" cy="3612839"/>
            <wp:effectExtent l="0" t="0" r="8255" b="698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182704" cy="3612438"/>
                    </a:xfrm>
                    <a:prstGeom prst="rect">
                      <a:avLst/>
                    </a:prstGeom>
                  </pic:spPr>
                </pic:pic>
              </a:graphicData>
            </a:graphic>
          </wp:inline>
        </w:drawing>
      </w:r>
      <w:r w:rsidRPr="009B6D19">
        <w:rPr>
          <w:rFonts w:ascii="Garamond" w:hAnsi="Garamond"/>
        </w:rPr>
        <w:t xml:space="preserve"> </w:t>
      </w:r>
    </w:p>
    <w:p w14:paraId="0214FB55" w14:textId="77777777" w:rsidR="00804868" w:rsidRPr="009B6D19" w:rsidRDefault="00804868" w:rsidP="00804868">
      <w:pPr>
        <w:pStyle w:val="Heading2"/>
        <w:numPr>
          <w:ilvl w:val="1"/>
          <w:numId w:val="14"/>
        </w:numPr>
        <w:rPr>
          <w:rFonts w:ascii="Garamond" w:hAnsi="Garamond"/>
          <w:szCs w:val="24"/>
        </w:rPr>
      </w:pPr>
      <w:bookmarkStart w:id="47" w:name="_Toc125594171"/>
      <w:bookmarkStart w:id="48" w:name="_Toc143577467"/>
      <w:r w:rsidRPr="009B6D19">
        <w:rPr>
          <w:rFonts w:ascii="Garamond" w:hAnsi="Garamond"/>
          <w:szCs w:val="24"/>
        </w:rPr>
        <w:t>Cadre légal et réglementaire de la décentralisation en RDC (responsabilité financière et reddition des comptes)</w:t>
      </w:r>
      <w:bookmarkEnd w:id="47"/>
      <w:bookmarkEnd w:id="48"/>
    </w:p>
    <w:p w14:paraId="79FA90AA" w14:textId="5554D69E" w:rsidR="00804868" w:rsidRPr="009B6D19" w:rsidRDefault="00804868" w:rsidP="00804868">
      <w:pPr>
        <w:rPr>
          <w:rFonts w:ascii="Garamond" w:hAnsi="Garamond"/>
        </w:rPr>
      </w:pPr>
      <w:r>
        <w:rPr>
          <w:rFonts w:ascii="Garamond" w:hAnsi="Garamond"/>
        </w:rPr>
        <w:t xml:space="preserve">A titre de rappel, ce travail porte </w:t>
      </w:r>
      <w:r w:rsidRPr="009B6D19">
        <w:rPr>
          <w:rFonts w:ascii="Garamond" w:hAnsi="Garamond"/>
        </w:rPr>
        <w:t>sur la responsabilisation financière et la reddition</w:t>
      </w:r>
      <w:r>
        <w:rPr>
          <w:rFonts w:ascii="Garamond" w:hAnsi="Garamond"/>
        </w:rPr>
        <w:t xml:space="preserve"> </w:t>
      </w:r>
      <w:r w:rsidRPr="009B6D19">
        <w:rPr>
          <w:rFonts w:ascii="Garamond" w:hAnsi="Garamond"/>
        </w:rPr>
        <w:t>des comptes dans le cadre de la</w:t>
      </w:r>
      <w:r>
        <w:rPr>
          <w:rFonts w:ascii="Garamond" w:hAnsi="Garamond"/>
        </w:rPr>
        <w:t xml:space="preserve"> </w:t>
      </w:r>
      <w:r w:rsidRPr="009B6D19">
        <w:rPr>
          <w:rFonts w:ascii="Garamond" w:hAnsi="Garamond"/>
        </w:rPr>
        <w:t xml:space="preserve">décentralisation en RDC. Comme souligné précédemment, la responsabilité est indissociable de la question de compétence, c’est-à-dire, la capacité à prendre des décisions, à les assumer et à en rendre compte. Etant donné que </w:t>
      </w:r>
      <w:r w:rsidR="001D7A71">
        <w:rPr>
          <w:rFonts w:ascii="Garamond" w:hAnsi="Garamond"/>
        </w:rPr>
        <w:t>la</w:t>
      </w:r>
      <w:r w:rsidRPr="009B6D19">
        <w:rPr>
          <w:rFonts w:ascii="Garamond" w:hAnsi="Garamond"/>
        </w:rPr>
        <w:t xml:space="preserve"> compétence est d’attribution, elle doit être portée par un cadre légal et/ou règlementaire qui en définit les contours</w:t>
      </w:r>
      <w:r w:rsidR="001D7A71">
        <w:rPr>
          <w:rFonts w:ascii="Garamond" w:hAnsi="Garamond"/>
        </w:rPr>
        <w:t xml:space="preserve"> et</w:t>
      </w:r>
      <w:r w:rsidRPr="009B6D19">
        <w:rPr>
          <w:rFonts w:ascii="Garamond" w:hAnsi="Garamond"/>
        </w:rPr>
        <w:t xml:space="preserve"> les acteurs</w:t>
      </w:r>
      <w:r w:rsidR="001D7A71">
        <w:rPr>
          <w:rFonts w:ascii="Garamond" w:hAnsi="Garamond"/>
        </w:rPr>
        <w:t xml:space="preserve"> institutionnels ainsi que</w:t>
      </w:r>
      <w:r w:rsidRPr="009B6D19">
        <w:rPr>
          <w:rFonts w:ascii="Garamond" w:hAnsi="Garamond"/>
        </w:rPr>
        <w:t xml:space="preserve"> les mécanismes d’interaction et de collaboration. A défaut, elle est l’expression d’un ensemble des règles informelles (traditions, jurisprudences, coutumes, principes culturelles ou religieux) d’usages répétés, socialement ou politiquement admises et </w:t>
      </w:r>
      <w:r w:rsidR="001116BA">
        <w:rPr>
          <w:rFonts w:ascii="Garamond" w:hAnsi="Garamond"/>
        </w:rPr>
        <w:t xml:space="preserve">intuitivement </w:t>
      </w:r>
      <w:r w:rsidRPr="009B6D19">
        <w:rPr>
          <w:rFonts w:ascii="Garamond" w:hAnsi="Garamond"/>
        </w:rPr>
        <w:t xml:space="preserve">opposables à tous pendant des générations. </w:t>
      </w:r>
    </w:p>
    <w:p w14:paraId="1C8CD115" w14:textId="3A90A562" w:rsidR="00804868" w:rsidRPr="009B6D19" w:rsidRDefault="00804868" w:rsidP="00804868">
      <w:pPr>
        <w:rPr>
          <w:rFonts w:ascii="Garamond" w:hAnsi="Garamond"/>
        </w:rPr>
      </w:pPr>
      <w:r w:rsidRPr="009B6D19">
        <w:rPr>
          <w:rFonts w:ascii="Garamond" w:hAnsi="Garamond"/>
        </w:rPr>
        <w:lastRenderedPageBreak/>
        <w:t xml:space="preserve">En effet, en dehors des règles informelles qui s’incrustent dans le processus de décentralisation, cette dernière </w:t>
      </w:r>
      <w:r>
        <w:rPr>
          <w:rFonts w:ascii="Garamond" w:hAnsi="Garamond"/>
        </w:rPr>
        <w:t xml:space="preserve">est </w:t>
      </w:r>
      <w:r w:rsidRPr="009B6D19">
        <w:rPr>
          <w:rFonts w:ascii="Garamond" w:hAnsi="Garamond"/>
        </w:rPr>
        <w:t>sous-tendue</w:t>
      </w:r>
      <w:r>
        <w:rPr>
          <w:rFonts w:ascii="Garamond" w:hAnsi="Garamond"/>
        </w:rPr>
        <w:t xml:space="preserve"> par un dispositif légal et règlementaire</w:t>
      </w:r>
      <w:r w:rsidRPr="009B6D19">
        <w:rPr>
          <w:rFonts w:ascii="Garamond" w:hAnsi="Garamond"/>
        </w:rPr>
        <w:t>. Ce dispositif</w:t>
      </w:r>
      <w:r>
        <w:rPr>
          <w:rFonts w:ascii="Garamond" w:hAnsi="Garamond"/>
        </w:rPr>
        <w:t xml:space="preserve"> est l’un</w:t>
      </w:r>
      <w:r w:rsidR="001D7A71">
        <w:rPr>
          <w:rFonts w:ascii="Garamond" w:hAnsi="Garamond"/>
        </w:rPr>
        <w:t xml:space="preserve"> des leviers majeurs qui doive</w:t>
      </w:r>
      <w:r>
        <w:rPr>
          <w:rFonts w:ascii="Garamond" w:hAnsi="Garamond"/>
        </w:rPr>
        <w:t>nt être réunis</w:t>
      </w:r>
      <w:r>
        <w:t xml:space="preserve"> </w:t>
      </w:r>
      <w:r>
        <w:rPr>
          <w:rFonts w:ascii="Garamond" w:hAnsi="Garamond"/>
        </w:rPr>
        <w:t>po</w:t>
      </w:r>
      <w:r w:rsidRPr="009B6D19">
        <w:rPr>
          <w:rFonts w:ascii="Garamond" w:hAnsi="Garamond"/>
        </w:rPr>
        <w:t>ur l’effectivité de la réforme de la décentralisation. Le</w:t>
      </w:r>
      <w:r w:rsidR="006F3AB9">
        <w:rPr>
          <w:rFonts w:ascii="Garamond" w:hAnsi="Garamond"/>
        </w:rPr>
        <w:t xml:space="preserve"> rapport de la Cellule</w:t>
      </w:r>
      <w:r w:rsidRPr="009B6D19">
        <w:rPr>
          <w:rFonts w:ascii="Garamond" w:hAnsi="Garamond"/>
        </w:rPr>
        <w:t xml:space="preserve"> Technique d’Appui à la Décentralisation (CTAD) en recense sept (7). Il s’agit de : « (i) </w:t>
      </w:r>
      <w:r w:rsidRPr="009B6D19">
        <w:rPr>
          <w:rFonts w:ascii="Garamond" w:hAnsi="Garamond"/>
          <w:i/>
        </w:rPr>
        <w:t>la loi n°08/012 du 31 juillet 2008, portant principes fondamentaux relatifs à la libre administration des provinces ; (ii) la loi organique n°08/015 du 7 octobre 2008, portant modalités d’organisation et de fonctionnement de la Conférence des Gouverneurs de province ; (iii) la loi organique n°08/016 du 7 octobre 2008, portant composition, organisation et fonctionnement des entités territoriales décentralisées et leurs rapports avec l’Etat et les provinces ; (iv) la loi organique n°10/11 du 18 mai 2010, portant fixation des subdivisions à l’intérieur des provinces ; (v) la loi n°010/010 du 27 août relative aux marchés publics ; (vi) la loi n°11/011 du 13 juillet 2011 relative aux finances publiques et ; (vii) l’ordonnance-loi n°009/2012 du 21 septembre 2012 fixant la nomenclature des impôts, droits, taxes et redevances des provinces et des entités territoriales décentralisées ainsi que leurs modalités de répartition</w:t>
      </w:r>
      <w:r w:rsidRPr="009B6D19">
        <w:rPr>
          <w:rFonts w:ascii="Garamond" w:hAnsi="Garamond"/>
        </w:rPr>
        <w:t> » (CTAD, 2013 : 12-13). Ces texte</w:t>
      </w:r>
      <w:r w:rsidR="004948A8">
        <w:rPr>
          <w:rFonts w:ascii="Garamond" w:hAnsi="Garamond"/>
        </w:rPr>
        <w:t xml:space="preserve">s portent essentiellement sur </w:t>
      </w:r>
      <w:r>
        <w:rPr>
          <w:rFonts w:ascii="Garamond" w:hAnsi="Garamond"/>
        </w:rPr>
        <w:t>le démemb</w:t>
      </w:r>
      <w:r w:rsidR="004948A8">
        <w:rPr>
          <w:rFonts w:ascii="Garamond" w:hAnsi="Garamond"/>
        </w:rPr>
        <w:t xml:space="preserve">rement du territoire national, </w:t>
      </w:r>
      <w:r w:rsidRPr="009B6D19">
        <w:rPr>
          <w:rFonts w:ascii="Garamond" w:hAnsi="Garamond"/>
        </w:rPr>
        <w:t xml:space="preserve">l’autonomie politique, administrative, financière et économique des ETD </w:t>
      </w:r>
      <w:r w:rsidR="004948A8">
        <w:rPr>
          <w:rFonts w:ascii="Garamond" w:hAnsi="Garamond"/>
        </w:rPr>
        <w:t xml:space="preserve">ainsi que sur </w:t>
      </w:r>
      <w:r w:rsidRPr="009B6D19">
        <w:rPr>
          <w:rFonts w:ascii="Garamond" w:hAnsi="Garamond"/>
        </w:rPr>
        <w:t xml:space="preserve">la </w:t>
      </w:r>
      <w:r>
        <w:rPr>
          <w:rFonts w:ascii="Garamond" w:hAnsi="Garamond"/>
        </w:rPr>
        <w:t>décentralisation</w:t>
      </w:r>
      <w:r w:rsidRPr="009B6D19">
        <w:rPr>
          <w:rFonts w:ascii="Garamond" w:hAnsi="Garamond"/>
        </w:rPr>
        <w:t xml:space="preserve">. </w:t>
      </w:r>
    </w:p>
    <w:p w14:paraId="613DDED4" w14:textId="77EA304A" w:rsidR="00804868" w:rsidRPr="009B6D19" w:rsidRDefault="00804868" w:rsidP="00804868">
      <w:pPr>
        <w:rPr>
          <w:rFonts w:ascii="Garamond" w:hAnsi="Garamond"/>
        </w:rPr>
      </w:pPr>
      <w:r w:rsidRPr="009B6D19">
        <w:rPr>
          <w:rFonts w:ascii="Garamond" w:hAnsi="Garamond"/>
        </w:rPr>
        <w:t xml:space="preserve">De façon spécifique pour </w:t>
      </w:r>
      <w:r>
        <w:rPr>
          <w:rFonts w:ascii="Garamond" w:hAnsi="Garamond"/>
        </w:rPr>
        <w:t>les</w:t>
      </w:r>
      <w:r w:rsidRPr="009B6D19">
        <w:rPr>
          <w:rFonts w:ascii="Garamond" w:hAnsi="Garamond"/>
        </w:rPr>
        <w:t xml:space="preserve"> finances publiques, </w:t>
      </w:r>
      <w:r w:rsidR="00563919">
        <w:rPr>
          <w:rFonts w:ascii="Garamond" w:hAnsi="Garamond"/>
        </w:rPr>
        <w:t xml:space="preserve">au-delà de la </w:t>
      </w:r>
      <w:r w:rsidR="00563919" w:rsidRPr="00563919">
        <w:rPr>
          <w:rFonts w:ascii="Garamond" w:hAnsi="Garamond"/>
          <w:i/>
        </w:rPr>
        <w:t>Loi relative aux Finances Publiques (LOFIP)</w:t>
      </w:r>
      <w:r w:rsidR="00563919">
        <w:rPr>
          <w:rFonts w:ascii="Garamond" w:hAnsi="Garamond"/>
        </w:rPr>
        <w:t xml:space="preserve">, </w:t>
      </w:r>
      <w:r w:rsidRPr="009B6D19">
        <w:rPr>
          <w:rFonts w:ascii="Garamond" w:hAnsi="Garamond"/>
        </w:rPr>
        <w:t xml:space="preserve">d’autres instruments permettent de bien cerner la responsabilisation financière dans le cadre de la décentralisation. Il s’agit notamment du </w:t>
      </w:r>
      <w:r w:rsidRPr="00563919">
        <w:rPr>
          <w:rFonts w:ascii="Garamond" w:hAnsi="Garamond"/>
          <w:i/>
        </w:rPr>
        <w:t xml:space="preserve">Décret n° 13/050 du 6 novembre 2013 portant </w:t>
      </w:r>
      <w:r w:rsidR="00563919" w:rsidRPr="00563919">
        <w:rPr>
          <w:rFonts w:ascii="Garamond" w:hAnsi="Garamond"/>
          <w:i/>
        </w:rPr>
        <w:t xml:space="preserve">Règlement </w:t>
      </w:r>
      <w:r w:rsidRPr="00563919">
        <w:rPr>
          <w:rFonts w:ascii="Garamond" w:hAnsi="Garamond"/>
          <w:i/>
        </w:rPr>
        <w:t>G</w:t>
      </w:r>
      <w:r w:rsidR="00563919" w:rsidRPr="00563919">
        <w:rPr>
          <w:rFonts w:ascii="Garamond" w:hAnsi="Garamond"/>
          <w:i/>
        </w:rPr>
        <w:t xml:space="preserve">énéral sur la </w:t>
      </w:r>
      <w:r w:rsidRPr="00563919">
        <w:rPr>
          <w:rFonts w:ascii="Garamond" w:hAnsi="Garamond"/>
          <w:i/>
        </w:rPr>
        <w:t>C</w:t>
      </w:r>
      <w:r w:rsidR="00563919" w:rsidRPr="00563919">
        <w:rPr>
          <w:rFonts w:ascii="Garamond" w:hAnsi="Garamond"/>
          <w:i/>
        </w:rPr>
        <w:t xml:space="preserve">omptabilité </w:t>
      </w:r>
      <w:r w:rsidRPr="00563919">
        <w:rPr>
          <w:rFonts w:ascii="Garamond" w:hAnsi="Garamond"/>
          <w:i/>
        </w:rPr>
        <w:t>P</w:t>
      </w:r>
      <w:r w:rsidR="00563919" w:rsidRPr="00563919">
        <w:rPr>
          <w:rFonts w:ascii="Garamond" w:hAnsi="Garamond"/>
          <w:i/>
        </w:rPr>
        <w:t>ublique (RGCP)</w:t>
      </w:r>
      <w:r w:rsidRPr="009B6D19">
        <w:rPr>
          <w:rFonts w:ascii="Garamond" w:hAnsi="Garamond"/>
        </w:rPr>
        <w:t xml:space="preserve">, Ordonnances-lois n° 13/001 et n° 13/002 du 23 février 2013 fixant respectivement </w:t>
      </w:r>
      <w:r w:rsidRPr="00563919">
        <w:rPr>
          <w:rFonts w:ascii="Garamond" w:hAnsi="Garamond"/>
          <w:i/>
        </w:rPr>
        <w:t>la nomenclature des Impôts, droits, taxes et redevances des provinces et des ETD</w:t>
      </w:r>
      <w:r>
        <w:rPr>
          <w:rFonts w:ascii="Garamond" w:hAnsi="Garamond"/>
        </w:rPr>
        <w:t xml:space="preserve"> et celle de « </w:t>
      </w:r>
      <w:r w:rsidRPr="00A02102">
        <w:rPr>
          <w:rFonts w:ascii="Garamond" w:hAnsi="Garamond"/>
          <w:i/>
        </w:rPr>
        <w:t>droits, taxes et redevances du pouvoir central, des provinces et des ETD</w:t>
      </w:r>
      <w:r>
        <w:rPr>
          <w:rFonts w:ascii="Garamond" w:hAnsi="Garamond"/>
        </w:rPr>
        <w:t xml:space="preserve"> » (RDC, 2011) </w:t>
      </w:r>
      <w:r w:rsidRPr="009B6D19">
        <w:rPr>
          <w:rFonts w:ascii="Garamond" w:hAnsi="Garamond"/>
        </w:rPr>
        <w:t xml:space="preserve">ainsi que du récent </w:t>
      </w:r>
      <w:r w:rsidRPr="00563919">
        <w:rPr>
          <w:rFonts w:ascii="Garamond" w:hAnsi="Garamond"/>
          <w:i/>
        </w:rPr>
        <w:t>Décret N°22/37 du 29 octobre 2022 portant gouvernance budgétaire</w:t>
      </w:r>
      <w:r w:rsidRPr="009B6D19">
        <w:rPr>
          <w:rFonts w:ascii="Garamond" w:hAnsi="Garamond"/>
        </w:rPr>
        <w:t xml:space="preserve">. </w:t>
      </w:r>
    </w:p>
    <w:p w14:paraId="1D9A60CE" w14:textId="134FD8FE" w:rsidR="00804868" w:rsidRPr="009B6D19" w:rsidRDefault="00804868" w:rsidP="00804868">
      <w:pPr>
        <w:rPr>
          <w:rFonts w:ascii="Garamond" w:hAnsi="Garamond"/>
        </w:rPr>
      </w:pPr>
      <w:r w:rsidRPr="009B6D19">
        <w:rPr>
          <w:rFonts w:ascii="Garamond" w:hAnsi="Garamond"/>
        </w:rPr>
        <w:t>Ce cadre légal et règlementaire tel que prescrit par la Constitution de 200</w:t>
      </w:r>
      <w:r>
        <w:rPr>
          <w:rFonts w:ascii="Garamond" w:hAnsi="Garamond"/>
        </w:rPr>
        <w:t>6</w:t>
      </w:r>
      <w:r w:rsidRPr="009B6D19">
        <w:rPr>
          <w:rFonts w:ascii="Garamond" w:hAnsi="Garamond"/>
        </w:rPr>
        <w:t xml:space="preserve"> devrait se construire de façon itérative. Il était toutefois plus qu’urgent d’y accorder plus d’intérêts et des ressources au regard des élections provinciales, municipales et locales qui étaient prévues en</w:t>
      </w:r>
      <w:r w:rsidR="00C4023C">
        <w:rPr>
          <w:rFonts w:ascii="Garamond" w:hAnsi="Garamond"/>
        </w:rPr>
        <w:t xml:space="preserve"> 2007 et qui devraient asseoir d</w:t>
      </w:r>
      <w:r w:rsidRPr="009B6D19">
        <w:rPr>
          <w:rFonts w:ascii="Garamond" w:hAnsi="Garamond"/>
        </w:rPr>
        <w:t xml:space="preserve">es institutions provinciales et locales autonomes. La lenteur dans </w:t>
      </w:r>
      <w:r w:rsidR="00563919">
        <w:rPr>
          <w:rFonts w:ascii="Garamond" w:hAnsi="Garamond"/>
        </w:rPr>
        <w:t>le</w:t>
      </w:r>
      <w:r>
        <w:rPr>
          <w:rFonts w:ascii="Garamond" w:hAnsi="Garamond"/>
        </w:rPr>
        <w:t xml:space="preserve"> vote </w:t>
      </w:r>
      <w:r w:rsidR="00563919">
        <w:rPr>
          <w:rFonts w:ascii="Garamond" w:hAnsi="Garamond"/>
        </w:rPr>
        <w:t>ou l’adoption</w:t>
      </w:r>
      <w:r>
        <w:rPr>
          <w:rFonts w:ascii="Garamond" w:hAnsi="Garamond"/>
        </w:rPr>
        <w:t xml:space="preserve"> </w:t>
      </w:r>
      <w:r w:rsidRPr="009B6D19">
        <w:rPr>
          <w:rFonts w:ascii="Garamond" w:hAnsi="Garamond"/>
        </w:rPr>
        <w:t xml:space="preserve">de </w:t>
      </w:r>
      <w:r>
        <w:rPr>
          <w:rFonts w:ascii="Garamond" w:hAnsi="Garamond"/>
        </w:rPr>
        <w:t xml:space="preserve">ces </w:t>
      </w:r>
      <w:r w:rsidRPr="009B6D19">
        <w:rPr>
          <w:rFonts w:ascii="Garamond" w:hAnsi="Garamond"/>
        </w:rPr>
        <w:t>différents lois et règlements</w:t>
      </w:r>
      <w:r w:rsidR="00563919">
        <w:rPr>
          <w:rFonts w:ascii="Garamond" w:hAnsi="Garamond"/>
        </w:rPr>
        <w:t>, qui du reste</w:t>
      </w:r>
      <w:r w:rsidR="00C4023C">
        <w:rPr>
          <w:rFonts w:ascii="Garamond" w:hAnsi="Garamond"/>
        </w:rPr>
        <w:t>,</w:t>
      </w:r>
      <w:r w:rsidR="00563919">
        <w:rPr>
          <w:rFonts w:ascii="Garamond" w:hAnsi="Garamond"/>
        </w:rPr>
        <w:t xml:space="preserve"> sont </w:t>
      </w:r>
      <w:r w:rsidR="00563919" w:rsidRPr="009B6D19">
        <w:rPr>
          <w:rFonts w:ascii="Garamond" w:hAnsi="Garamond"/>
        </w:rPr>
        <w:t>complémentaires et interdépendants</w:t>
      </w:r>
      <w:r w:rsidRPr="009B6D19">
        <w:rPr>
          <w:rFonts w:ascii="Garamond" w:hAnsi="Garamond"/>
        </w:rPr>
        <w:t>, laisse transparaitre d’une part, la non appropriation de ces outils pa</w:t>
      </w:r>
      <w:r>
        <w:rPr>
          <w:rFonts w:ascii="Garamond" w:hAnsi="Garamond"/>
        </w:rPr>
        <w:t>r le Gouvernement central et d’une</w:t>
      </w:r>
      <w:r>
        <w:t xml:space="preserve"> </w:t>
      </w:r>
      <w:r w:rsidRPr="009B6D19">
        <w:rPr>
          <w:rFonts w:ascii="Garamond" w:hAnsi="Garamond"/>
        </w:rPr>
        <w:t>faible capacité d’acteurs</w:t>
      </w:r>
      <w:r w:rsidR="00563919">
        <w:rPr>
          <w:rFonts w:ascii="Garamond" w:hAnsi="Garamond"/>
        </w:rPr>
        <w:t xml:space="preserve"> provinciaux et locaux à renverser cette tendance et d’autre part, l’inefficacité des acteurs</w:t>
      </w:r>
      <w:r w:rsidRPr="009B6D19">
        <w:rPr>
          <w:rFonts w:ascii="Garamond" w:hAnsi="Garamond"/>
        </w:rPr>
        <w:t xml:space="preserve"> non étatiques à influencer leur adoption et leur mise en application. </w:t>
      </w:r>
      <w:r w:rsidR="00320D53">
        <w:rPr>
          <w:rFonts w:ascii="Garamond" w:hAnsi="Garamond"/>
        </w:rPr>
        <w:t>Par contre, l</w:t>
      </w:r>
      <w:r w:rsidRPr="009B6D19">
        <w:rPr>
          <w:rFonts w:ascii="Garamond" w:hAnsi="Garamond"/>
        </w:rPr>
        <w:t>e fondement de la non-appropriation de ces textes</w:t>
      </w:r>
      <w:r>
        <w:rPr>
          <w:rFonts w:ascii="Garamond" w:hAnsi="Garamond"/>
        </w:rPr>
        <w:t xml:space="preserve"> s’explique par le simple fait que la décentralisation vient déloger certains acteurs dominants de leur zone de confort</w:t>
      </w:r>
      <w:r w:rsidRPr="009B6D19">
        <w:rPr>
          <w:rFonts w:ascii="Garamond" w:hAnsi="Garamond"/>
        </w:rPr>
        <w:t xml:space="preserve"> </w:t>
      </w:r>
      <w:r>
        <w:rPr>
          <w:rFonts w:ascii="Garamond" w:hAnsi="Garamond"/>
        </w:rPr>
        <w:t>(</w:t>
      </w:r>
      <w:proofErr w:type="spellStart"/>
      <w:r w:rsidRPr="009B6D19">
        <w:rPr>
          <w:rFonts w:ascii="Garamond" w:hAnsi="Garamond"/>
        </w:rPr>
        <w:t>Théoning</w:t>
      </w:r>
      <w:proofErr w:type="spellEnd"/>
      <w:r w:rsidRPr="009B6D19">
        <w:rPr>
          <w:rFonts w:ascii="Garamond" w:hAnsi="Garamond"/>
        </w:rPr>
        <w:t xml:space="preserve"> &amp; Dupuy, 1983) </w:t>
      </w:r>
      <w:r w:rsidR="00563919">
        <w:rPr>
          <w:rFonts w:ascii="Garamond" w:hAnsi="Garamond"/>
        </w:rPr>
        <w:t>en émiettant</w:t>
      </w:r>
      <w:r w:rsidRPr="009B6D19">
        <w:rPr>
          <w:rFonts w:ascii="Garamond" w:hAnsi="Garamond"/>
        </w:rPr>
        <w:t xml:space="preserve"> les modiques ressources couramment mobilisées pour les partager avec les entités infranationales. </w:t>
      </w:r>
    </w:p>
    <w:p w14:paraId="152CF83D" w14:textId="299848E8" w:rsidR="00C37E31" w:rsidRDefault="00804868" w:rsidP="00804868">
      <w:pPr>
        <w:rPr>
          <w:rFonts w:ascii="Garamond" w:hAnsi="Garamond"/>
        </w:rPr>
      </w:pPr>
      <w:r w:rsidRPr="009B6D19">
        <w:rPr>
          <w:rFonts w:ascii="Garamond" w:hAnsi="Garamond"/>
        </w:rPr>
        <w:lastRenderedPageBreak/>
        <w:t>Par contre, ces acteurs dominants estiment que doter les entités locales des instruments</w:t>
      </w:r>
      <w:r w:rsidR="007E5107">
        <w:rPr>
          <w:rFonts w:ascii="Garamond" w:hAnsi="Garamond"/>
        </w:rPr>
        <w:t xml:space="preserve"> nécessaires</w:t>
      </w:r>
      <w:r w:rsidRPr="009B6D19">
        <w:rPr>
          <w:rFonts w:ascii="Garamond" w:hAnsi="Garamond"/>
        </w:rPr>
        <w:t>, c’est renforcer leur</w:t>
      </w:r>
      <w:r>
        <w:rPr>
          <w:rFonts w:ascii="Garamond" w:hAnsi="Garamond"/>
        </w:rPr>
        <w:t>s</w:t>
      </w:r>
      <w:r w:rsidRPr="009B6D19">
        <w:rPr>
          <w:rFonts w:ascii="Garamond" w:hAnsi="Garamond"/>
        </w:rPr>
        <w:t xml:space="preserve"> capacité</w:t>
      </w:r>
      <w:r>
        <w:rPr>
          <w:rFonts w:ascii="Garamond" w:hAnsi="Garamond"/>
        </w:rPr>
        <w:t>s</w:t>
      </w:r>
      <w:r w:rsidRPr="009B6D19">
        <w:rPr>
          <w:rFonts w:ascii="Garamond" w:hAnsi="Garamond"/>
        </w:rPr>
        <w:t xml:space="preserve"> à s’autonomiser, à se radicaliser et à se liguer contre le pouvoir central qui les a longtemps asphyxié</w:t>
      </w:r>
      <w:r>
        <w:rPr>
          <w:rFonts w:ascii="Garamond" w:hAnsi="Garamond"/>
        </w:rPr>
        <w:t>e</w:t>
      </w:r>
      <w:r w:rsidRPr="009B6D19">
        <w:rPr>
          <w:rFonts w:ascii="Garamond" w:hAnsi="Garamond"/>
        </w:rPr>
        <w:t>s</w:t>
      </w:r>
      <w:r w:rsidR="007E323D">
        <w:rPr>
          <w:rFonts w:ascii="Garamond" w:hAnsi="Garamond"/>
        </w:rPr>
        <w:t xml:space="preserve"> (Liégeois, 2008 :11)</w:t>
      </w:r>
      <w:r w:rsidRPr="009B6D19">
        <w:rPr>
          <w:rFonts w:ascii="Garamond" w:hAnsi="Garamond"/>
        </w:rPr>
        <w:t xml:space="preserve">. Cette situation permet aux acteurs politiques, qui initient et adoptent ces instruments de les faire évoluer en fonction de leurs intérêts. </w:t>
      </w:r>
      <w:r>
        <w:rPr>
          <w:rFonts w:ascii="Garamond" w:hAnsi="Garamond"/>
        </w:rPr>
        <w:t>D</w:t>
      </w:r>
      <w:r w:rsidRPr="009B6D19">
        <w:rPr>
          <w:rFonts w:ascii="Garamond" w:hAnsi="Garamond"/>
        </w:rPr>
        <w:t xml:space="preserve">es mesures transitoires sont envisagées en vue de couvrir la gloutonnerie de pouvoir des acteurs dominants </w:t>
      </w:r>
      <w:r>
        <w:rPr>
          <w:rFonts w:ascii="Garamond" w:hAnsi="Garamond"/>
        </w:rPr>
        <w:t>t</w:t>
      </w:r>
      <w:r w:rsidRPr="009B6D19">
        <w:rPr>
          <w:rFonts w:ascii="Garamond" w:hAnsi="Garamond"/>
        </w:rPr>
        <w:t>outes les foi</w:t>
      </w:r>
      <w:r w:rsidR="007E323D">
        <w:rPr>
          <w:rFonts w:ascii="Garamond" w:hAnsi="Garamond"/>
        </w:rPr>
        <w:t xml:space="preserve">s que </w:t>
      </w:r>
      <w:r w:rsidR="00D839DC">
        <w:rPr>
          <w:rFonts w:ascii="Garamond" w:hAnsi="Garamond"/>
        </w:rPr>
        <w:t>leurs</w:t>
      </w:r>
      <w:r w:rsidR="007E323D">
        <w:rPr>
          <w:rFonts w:ascii="Garamond" w:hAnsi="Garamond"/>
        </w:rPr>
        <w:t xml:space="preserve"> appétits</w:t>
      </w:r>
      <w:r>
        <w:rPr>
          <w:rFonts w:ascii="Garamond" w:hAnsi="Garamond"/>
        </w:rPr>
        <w:t xml:space="preserve"> restent inassouvis. </w:t>
      </w:r>
      <w:r w:rsidR="007E5107">
        <w:rPr>
          <w:rFonts w:ascii="Garamond" w:hAnsi="Garamond"/>
        </w:rPr>
        <w:t xml:space="preserve">Ainsi, </w:t>
      </w:r>
      <w:r w:rsidR="00D839DC">
        <w:rPr>
          <w:rFonts w:ascii="Garamond" w:hAnsi="Garamond"/>
        </w:rPr>
        <w:t>c</w:t>
      </w:r>
      <w:r>
        <w:rPr>
          <w:rFonts w:ascii="Garamond" w:hAnsi="Garamond"/>
        </w:rPr>
        <w:t>es acteurs dominants</w:t>
      </w:r>
      <w:r w:rsidRPr="009B6D19">
        <w:rPr>
          <w:rFonts w:ascii="Garamond" w:hAnsi="Garamond"/>
        </w:rPr>
        <w:t xml:space="preserve"> n’hésitent pas </w:t>
      </w:r>
      <w:r w:rsidR="007E5107">
        <w:rPr>
          <w:rFonts w:ascii="Garamond" w:hAnsi="Garamond"/>
        </w:rPr>
        <w:t>à</w:t>
      </w:r>
      <w:r w:rsidRPr="009B6D19">
        <w:rPr>
          <w:rFonts w:ascii="Garamond" w:hAnsi="Garamond"/>
        </w:rPr>
        <w:t xml:space="preserve"> justifier la </w:t>
      </w:r>
      <w:r w:rsidR="007E323D">
        <w:rPr>
          <w:rFonts w:ascii="Garamond" w:hAnsi="Garamond"/>
        </w:rPr>
        <w:t xml:space="preserve">déviance dans la conduite de </w:t>
      </w:r>
      <w:r w:rsidR="007E5107">
        <w:rPr>
          <w:rFonts w:ascii="Garamond" w:hAnsi="Garamond"/>
        </w:rPr>
        <w:t>la réforme décentralisatrice</w:t>
      </w:r>
      <w:r>
        <w:rPr>
          <w:rFonts w:ascii="Garamond" w:hAnsi="Garamond"/>
        </w:rPr>
        <w:t xml:space="preserve"> par le manque des ressources. Ils sont prêts à mettre en cause certaines dispositions constitutionnelles ou de militer pour leur révision dans l’unique but de préserver leurs intérêts. Et quand surgit une certaine pression des partenaires techniques et financiers, </w:t>
      </w:r>
      <w:r w:rsidRPr="009B6D19">
        <w:rPr>
          <w:rFonts w:ascii="Garamond" w:hAnsi="Garamond"/>
        </w:rPr>
        <w:t>il se remarque une cohabitation bien entretenue entre les pratiques centralisatrices</w:t>
      </w:r>
      <w:r>
        <w:rPr>
          <w:rFonts w:ascii="Garamond" w:hAnsi="Garamond"/>
        </w:rPr>
        <w:t xml:space="preserve"> préexistantes mêlées aux agrégats de la réforme pour produire un véritable cocktail nauséabond</w:t>
      </w:r>
      <w:r w:rsidRPr="00143366">
        <w:rPr>
          <w:rFonts w:ascii="Garamond" w:hAnsi="Garamond"/>
        </w:rPr>
        <w:t xml:space="preserve"> </w:t>
      </w:r>
      <w:r>
        <w:rPr>
          <w:rFonts w:ascii="Garamond" w:hAnsi="Garamond"/>
        </w:rPr>
        <w:t>(</w:t>
      </w:r>
      <w:proofErr w:type="spellStart"/>
      <w:r w:rsidRPr="009B6D19">
        <w:rPr>
          <w:rFonts w:ascii="Garamond" w:hAnsi="Garamond"/>
        </w:rPr>
        <w:t>Lotoy</w:t>
      </w:r>
      <w:proofErr w:type="spellEnd"/>
      <w:r w:rsidRPr="009B6D19">
        <w:rPr>
          <w:rFonts w:ascii="Garamond" w:hAnsi="Garamond"/>
        </w:rPr>
        <w:t xml:space="preserve"> Ilango, 2013 : 117)</w:t>
      </w:r>
      <w:r>
        <w:rPr>
          <w:rFonts w:ascii="Garamond" w:hAnsi="Garamond"/>
        </w:rPr>
        <w:t>.</w:t>
      </w:r>
      <w:r w:rsidR="007E323D">
        <w:rPr>
          <w:rFonts w:ascii="Garamond" w:hAnsi="Garamond"/>
        </w:rPr>
        <w:t xml:space="preserve"> Ce cocktail, né d’un véritable rapport de forces</w:t>
      </w:r>
      <w:r w:rsidR="00C37E31">
        <w:rPr>
          <w:rFonts w:ascii="Garamond" w:hAnsi="Garamond"/>
        </w:rPr>
        <w:t xml:space="preserve"> a accouché</w:t>
      </w:r>
      <w:r w:rsidR="00D839DC">
        <w:rPr>
          <w:rFonts w:ascii="Garamond" w:hAnsi="Garamond"/>
        </w:rPr>
        <w:t>, dans le contexte congolais,</w:t>
      </w:r>
      <w:r w:rsidR="00C37E31">
        <w:rPr>
          <w:rFonts w:ascii="Garamond" w:hAnsi="Garamond"/>
        </w:rPr>
        <w:t xml:space="preserve"> une décentralisation unique à son genre </w:t>
      </w:r>
      <w:r w:rsidR="005744B5">
        <w:rPr>
          <w:rFonts w:ascii="Garamond" w:hAnsi="Garamond"/>
        </w:rPr>
        <w:t>(</w:t>
      </w:r>
      <w:proofErr w:type="spellStart"/>
      <w:r w:rsidR="005744B5">
        <w:rPr>
          <w:rFonts w:ascii="Garamond" w:hAnsi="Garamond"/>
        </w:rPr>
        <w:t>Mustaq</w:t>
      </w:r>
      <w:proofErr w:type="spellEnd"/>
      <w:r w:rsidR="005744B5">
        <w:rPr>
          <w:rFonts w:ascii="Garamond" w:hAnsi="Garamond"/>
        </w:rPr>
        <w:t xml:space="preserve">, 2003) </w:t>
      </w:r>
      <w:r w:rsidR="00D839DC">
        <w:rPr>
          <w:rFonts w:ascii="Garamond" w:hAnsi="Garamond"/>
        </w:rPr>
        <w:t xml:space="preserve">et </w:t>
      </w:r>
      <w:r w:rsidR="00C37E31">
        <w:rPr>
          <w:rFonts w:ascii="Garamond" w:hAnsi="Garamond"/>
        </w:rPr>
        <w:t xml:space="preserve">ne correspondant à aucun des modèles habituellement connus en droit constitutionnel comparé (Liégeois, 2008 : 10). </w:t>
      </w:r>
    </w:p>
    <w:p w14:paraId="468086FE" w14:textId="1B6E5C77" w:rsidR="00804868" w:rsidRPr="009B6D19" w:rsidRDefault="00C37E31" w:rsidP="00804868">
      <w:pPr>
        <w:rPr>
          <w:rFonts w:ascii="Garamond" w:hAnsi="Garamond"/>
        </w:rPr>
      </w:pPr>
      <w:r>
        <w:rPr>
          <w:rFonts w:ascii="Garamond" w:hAnsi="Garamond"/>
        </w:rPr>
        <w:t>Malheureusement, la non-observance du cadre légal et règlementaire</w:t>
      </w:r>
      <w:r w:rsidR="00804868" w:rsidRPr="009B6D19">
        <w:rPr>
          <w:rFonts w:ascii="Garamond" w:hAnsi="Garamond"/>
        </w:rPr>
        <w:t xml:space="preserve"> n’est pas uniquement l’œuvre des acteurs dominants</w:t>
      </w:r>
      <w:r>
        <w:rPr>
          <w:rFonts w:ascii="Garamond" w:hAnsi="Garamond"/>
        </w:rPr>
        <w:t xml:space="preserve"> du pouvoir central</w:t>
      </w:r>
      <w:r w:rsidR="00804868" w:rsidRPr="009B6D19">
        <w:rPr>
          <w:rFonts w:ascii="Garamond" w:hAnsi="Garamond"/>
        </w:rPr>
        <w:t xml:space="preserve"> mais bien </w:t>
      </w:r>
      <w:r>
        <w:rPr>
          <w:rFonts w:ascii="Garamond" w:hAnsi="Garamond"/>
        </w:rPr>
        <w:t xml:space="preserve">plus, </w:t>
      </w:r>
      <w:r w:rsidR="00804868" w:rsidRPr="009B6D19">
        <w:rPr>
          <w:rFonts w:ascii="Garamond" w:hAnsi="Garamond"/>
        </w:rPr>
        <w:t>des acteurs locaux et provinciaux comme l’illustrent les rapports de la cour des comptes effectués sur la vil</w:t>
      </w:r>
      <w:r w:rsidR="00804868">
        <w:rPr>
          <w:rFonts w:ascii="Garamond" w:hAnsi="Garamond"/>
        </w:rPr>
        <w:t xml:space="preserve">le de Kinshasa. Ce </w:t>
      </w:r>
      <w:r w:rsidR="00804868" w:rsidRPr="009B6D19">
        <w:rPr>
          <w:rFonts w:ascii="Garamond" w:hAnsi="Garamond"/>
        </w:rPr>
        <w:t>rapport fait ressortir</w:t>
      </w:r>
      <w:r w:rsidR="00804868">
        <w:rPr>
          <w:rFonts w:ascii="Garamond" w:hAnsi="Garamond"/>
        </w:rPr>
        <w:t>, à titre illustratif,</w:t>
      </w:r>
      <w:r w:rsidR="00804868" w:rsidRPr="009B6D19">
        <w:rPr>
          <w:rFonts w:ascii="Garamond" w:hAnsi="Garamond"/>
        </w:rPr>
        <w:t xml:space="preserve"> la violation</w:t>
      </w:r>
      <w:r w:rsidR="00804868">
        <w:rPr>
          <w:rFonts w:ascii="Garamond" w:hAnsi="Garamond"/>
        </w:rPr>
        <w:t xml:space="preserve"> de la LOFIP dans certaines de ses dispositions </w:t>
      </w:r>
      <w:r>
        <w:rPr>
          <w:rFonts w:ascii="Garamond" w:hAnsi="Garamond"/>
        </w:rPr>
        <w:t xml:space="preserve">notamment </w:t>
      </w:r>
      <w:r w:rsidR="00804868">
        <w:rPr>
          <w:rFonts w:ascii="Garamond" w:hAnsi="Garamond"/>
        </w:rPr>
        <w:t xml:space="preserve">en rapport avec la gestion de la dette publique, </w:t>
      </w:r>
      <w:r w:rsidR="00804868" w:rsidRPr="009B6D19">
        <w:rPr>
          <w:rFonts w:ascii="Garamond" w:hAnsi="Garamond"/>
        </w:rPr>
        <w:t>le non-respect de certains principes</w:t>
      </w:r>
      <w:r w:rsidR="00804868">
        <w:rPr>
          <w:rFonts w:ascii="Garamond" w:hAnsi="Garamond"/>
        </w:rPr>
        <w:t xml:space="preserve"> budgétaires</w:t>
      </w:r>
      <w:r w:rsidR="00804868" w:rsidRPr="009B6D19">
        <w:rPr>
          <w:rFonts w:ascii="Garamond" w:hAnsi="Garamond"/>
        </w:rPr>
        <w:t xml:space="preserve"> élémentaires</w:t>
      </w:r>
      <w:r w:rsidR="00804868">
        <w:rPr>
          <w:rFonts w:ascii="Garamond" w:hAnsi="Garamond"/>
        </w:rPr>
        <w:t xml:space="preserve"> dans l’exécution des dépenses en capital. </w:t>
      </w:r>
      <w:r>
        <w:rPr>
          <w:rFonts w:ascii="Garamond" w:hAnsi="Garamond"/>
        </w:rPr>
        <w:t>Cela a pour conséquence entre autres, l’</w:t>
      </w:r>
      <w:r w:rsidR="00804868">
        <w:rPr>
          <w:rFonts w:ascii="Garamond" w:hAnsi="Garamond"/>
        </w:rPr>
        <w:t>opacité dans l’exécution de certains chantiers de la ville Province de Kinshasa</w:t>
      </w:r>
      <w:r w:rsidR="00804868" w:rsidRPr="009B6D19">
        <w:rPr>
          <w:rFonts w:ascii="Garamond" w:hAnsi="Garamond"/>
        </w:rPr>
        <w:t xml:space="preserve">. Ce qui démontre que cette violation des textes n’est pas uniquement justifiée par la faible capacité technique des acteurs municipaux et locales mais bien plus, par cette volonté de perpétuer une gouvernance rentière et de </w:t>
      </w:r>
      <w:r w:rsidR="00804868" w:rsidRPr="009B6D19">
        <w:rPr>
          <w:rFonts w:ascii="Garamond" w:hAnsi="Garamond"/>
          <w:i/>
        </w:rPr>
        <w:t>self-service</w:t>
      </w:r>
      <w:r w:rsidR="00804868" w:rsidRPr="009B6D19">
        <w:rPr>
          <w:rFonts w:ascii="Garamond" w:hAnsi="Garamond"/>
        </w:rPr>
        <w:t xml:space="preserve"> </w:t>
      </w:r>
      <w:r w:rsidR="0013325E">
        <w:rPr>
          <w:rFonts w:ascii="Garamond" w:hAnsi="Garamond"/>
        </w:rPr>
        <w:t>(</w:t>
      </w:r>
      <w:proofErr w:type="spellStart"/>
      <w:r w:rsidR="0013325E" w:rsidRPr="009B6D19">
        <w:rPr>
          <w:rFonts w:ascii="Garamond" w:hAnsi="Garamond"/>
        </w:rPr>
        <w:t>Englebert</w:t>
      </w:r>
      <w:proofErr w:type="spellEnd"/>
      <w:r w:rsidR="0013325E" w:rsidRPr="009B6D19">
        <w:rPr>
          <w:rFonts w:ascii="Garamond" w:hAnsi="Garamond"/>
        </w:rPr>
        <w:t xml:space="preserve"> &amp; Kasongo, 2016</w:t>
      </w:r>
      <w:r w:rsidR="0013325E">
        <w:rPr>
          <w:rFonts w:ascii="Garamond" w:hAnsi="Garamond"/>
        </w:rPr>
        <w:t xml:space="preserve">) </w:t>
      </w:r>
      <w:r w:rsidR="00804868" w:rsidRPr="009B6D19">
        <w:rPr>
          <w:rFonts w:ascii="Garamond" w:hAnsi="Garamond"/>
        </w:rPr>
        <w:t>dans laquelle les acteurs locaux et centraux définissent les règles de jeu pour se partager le butin</w:t>
      </w:r>
      <w:r>
        <w:rPr>
          <w:rFonts w:ascii="Garamond" w:hAnsi="Garamond"/>
        </w:rPr>
        <w:t xml:space="preserve"> (</w:t>
      </w:r>
      <w:proofErr w:type="spellStart"/>
      <w:r>
        <w:rPr>
          <w:rFonts w:ascii="Garamond" w:hAnsi="Garamond"/>
        </w:rPr>
        <w:t>Tsh</w:t>
      </w:r>
      <w:r w:rsidR="0013325E">
        <w:rPr>
          <w:rFonts w:ascii="Garamond" w:hAnsi="Garamond"/>
        </w:rPr>
        <w:t>ibwabw</w:t>
      </w:r>
      <w:r>
        <w:rPr>
          <w:rFonts w:ascii="Garamond" w:hAnsi="Garamond"/>
        </w:rPr>
        <w:t>a</w:t>
      </w:r>
      <w:proofErr w:type="spellEnd"/>
      <w:r w:rsidR="0013325E">
        <w:rPr>
          <w:rFonts w:ascii="Garamond" w:hAnsi="Garamond"/>
        </w:rPr>
        <w:t xml:space="preserve"> </w:t>
      </w:r>
      <w:proofErr w:type="spellStart"/>
      <w:r w:rsidR="0013325E">
        <w:rPr>
          <w:rFonts w:ascii="Garamond" w:hAnsi="Garamond"/>
        </w:rPr>
        <w:t>Kuditshini</w:t>
      </w:r>
      <w:proofErr w:type="spellEnd"/>
      <w:r>
        <w:rPr>
          <w:rFonts w:ascii="Garamond" w:hAnsi="Garamond"/>
        </w:rPr>
        <w:t xml:space="preserve">, </w:t>
      </w:r>
      <w:r w:rsidR="0013325E">
        <w:rPr>
          <w:rFonts w:ascii="Garamond" w:hAnsi="Garamond"/>
        </w:rPr>
        <w:t>2008)</w:t>
      </w:r>
      <w:r w:rsidR="00804868" w:rsidRPr="009B6D19">
        <w:rPr>
          <w:rFonts w:ascii="Garamond" w:hAnsi="Garamond"/>
        </w:rPr>
        <w:t xml:space="preserve">. Cet arrangement, bien qu’informel, est gage de la stabilité des institutions locales et légitime l’action des responsables des ETD. </w:t>
      </w:r>
      <w:r w:rsidR="006E5EAB">
        <w:rPr>
          <w:rFonts w:ascii="Garamond" w:hAnsi="Garamond"/>
        </w:rPr>
        <w:t>Malheureusement, l</w:t>
      </w:r>
      <w:r w:rsidR="00804868" w:rsidRPr="009B6D19">
        <w:rPr>
          <w:rFonts w:ascii="Garamond" w:hAnsi="Garamond"/>
        </w:rPr>
        <w:t xml:space="preserve">e mode de gestion </w:t>
      </w:r>
      <w:r w:rsidR="006E5EAB">
        <w:rPr>
          <w:rFonts w:ascii="Garamond" w:hAnsi="Garamond"/>
        </w:rPr>
        <w:t xml:space="preserve">qui découle de cet arrangement </w:t>
      </w:r>
      <w:r w:rsidR="00804868" w:rsidRPr="009B6D19">
        <w:rPr>
          <w:rFonts w:ascii="Garamond" w:hAnsi="Garamond"/>
        </w:rPr>
        <w:t>facilite l’affectation des ressources mobilisées à des dépenses non préalablement autorisées ou l’orientation des ressources issues de la rétrocession vers les d</w:t>
      </w:r>
      <w:r w:rsidR="00804868">
        <w:rPr>
          <w:rFonts w:ascii="Garamond" w:hAnsi="Garamond"/>
        </w:rPr>
        <w:t>épenses de fonctionnement et de</w:t>
      </w:r>
      <w:r w:rsidR="00804868" w:rsidRPr="009B6D19">
        <w:rPr>
          <w:rFonts w:ascii="Garamond" w:hAnsi="Garamond"/>
        </w:rPr>
        <w:t xml:space="preserve"> rémunération au détriment des dépenses en capital</w:t>
      </w:r>
      <w:r w:rsidR="00323E99">
        <w:rPr>
          <w:rFonts w:ascii="Garamond" w:hAnsi="Garamond"/>
        </w:rPr>
        <w:t xml:space="preserve"> (</w:t>
      </w:r>
      <w:proofErr w:type="spellStart"/>
      <w:r w:rsidR="00323E99">
        <w:rPr>
          <w:rFonts w:ascii="Garamond" w:hAnsi="Garamond"/>
        </w:rPr>
        <w:t>Kamukinga</w:t>
      </w:r>
      <w:proofErr w:type="spellEnd"/>
      <w:r w:rsidR="00323E99">
        <w:rPr>
          <w:rFonts w:ascii="Garamond" w:hAnsi="Garamond"/>
        </w:rPr>
        <w:t>, 2011)</w:t>
      </w:r>
      <w:r w:rsidR="00804868" w:rsidRPr="009B6D19">
        <w:rPr>
          <w:rFonts w:ascii="Garamond" w:hAnsi="Garamond"/>
        </w:rPr>
        <w:t xml:space="preserve">. </w:t>
      </w:r>
    </w:p>
    <w:p w14:paraId="57D0CBAD" w14:textId="77777777" w:rsidR="00236823" w:rsidRDefault="00804868" w:rsidP="00804868">
      <w:pPr>
        <w:rPr>
          <w:rFonts w:ascii="Garamond" w:hAnsi="Garamond"/>
        </w:rPr>
      </w:pPr>
      <w:r w:rsidRPr="009B6D19">
        <w:rPr>
          <w:rFonts w:ascii="Garamond" w:hAnsi="Garamond"/>
        </w:rPr>
        <w:t>Par ailleurs, l’absence d’un organe délibérant en charge d’autoriser par voie de vote, la décision budgétaire et d’en assurer le contrôle politique</w:t>
      </w:r>
      <w:r w:rsidR="006E5EAB">
        <w:rPr>
          <w:rFonts w:ascii="Garamond" w:hAnsi="Garamond"/>
        </w:rPr>
        <w:t xml:space="preserve"> cristallise cet arrangement et </w:t>
      </w:r>
      <w:r w:rsidR="00236823">
        <w:rPr>
          <w:rFonts w:ascii="Garamond" w:hAnsi="Garamond"/>
        </w:rPr>
        <w:t>d</w:t>
      </w:r>
      <w:r w:rsidR="006E5EAB">
        <w:rPr>
          <w:rFonts w:ascii="Garamond" w:hAnsi="Garamond"/>
        </w:rPr>
        <w:t>es déviations</w:t>
      </w:r>
      <w:r w:rsidR="00236823">
        <w:rPr>
          <w:rFonts w:ascii="Garamond" w:hAnsi="Garamond"/>
        </w:rPr>
        <w:t xml:space="preserve"> </w:t>
      </w:r>
      <w:r w:rsidR="00236823">
        <w:rPr>
          <w:rFonts w:ascii="Garamond" w:hAnsi="Garamond"/>
        </w:rPr>
        <w:lastRenderedPageBreak/>
        <w:t>subséquentes</w:t>
      </w:r>
      <w:r w:rsidR="006E5EAB">
        <w:rPr>
          <w:rFonts w:ascii="Garamond" w:hAnsi="Garamond"/>
        </w:rPr>
        <w:t xml:space="preserve"> sur la trajectoire de la mise en œuvre de la décentralisation</w:t>
      </w:r>
      <w:r w:rsidRPr="009B6D19">
        <w:rPr>
          <w:rFonts w:ascii="Garamond" w:hAnsi="Garamond"/>
        </w:rPr>
        <w:t>. Ce</w:t>
      </w:r>
      <w:r w:rsidR="00236823">
        <w:rPr>
          <w:rFonts w:ascii="Garamond" w:hAnsi="Garamond"/>
        </w:rPr>
        <w:t xml:space="preserve"> qui nous laisse croire que la présence de l’organe délibérant qui a notamment pour mission principale, le contrôle de l’exécutif local, </w:t>
      </w:r>
      <w:r w:rsidRPr="009B6D19">
        <w:rPr>
          <w:rFonts w:ascii="Garamond" w:hAnsi="Garamond"/>
        </w:rPr>
        <w:t xml:space="preserve">amènerait le conseil communal à s’engager sur des objectifs précis et </w:t>
      </w:r>
      <w:r w:rsidR="00236823">
        <w:rPr>
          <w:rFonts w:ascii="Garamond" w:hAnsi="Garamond"/>
        </w:rPr>
        <w:t>à</w:t>
      </w:r>
      <w:r w:rsidRPr="009B6D19">
        <w:rPr>
          <w:rFonts w:ascii="Garamond" w:hAnsi="Garamond"/>
        </w:rPr>
        <w:t xml:space="preserve"> rendre compte des résultats obtenus. A la place de cet organe délibérant, une commission est instituée chaque année et p</w:t>
      </w:r>
      <w:r>
        <w:rPr>
          <w:rFonts w:ascii="Garamond" w:hAnsi="Garamond"/>
        </w:rPr>
        <w:t xml:space="preserve">ilotée par le bureau suivi et </w:t>
      </w:r>
      <w:r w:rsidRPr="009B6D19">
        <w:rPr>
          <w:rFonts w:ascii="Garamond" w:hAnsi="Garamond"/>
        </w:rPr>
        <w:t>évaluation des budgets à la division urbaine des finances en vue d’assurer la validation technique des budgets communaux. Etant donné que la Division urbaine des Finances relève du Gouvernement provincial, l’interférence de ce dernier dans les choix budgétaires des communes n’est pas à exclure. Ce qui pourrait également plomber la reddition des comptes des communes étant donné que ces dernières sont obligées d’exécuter un budget qui relève du « </w:t>
      </w:r>
      <w:r>
        <w:rPr>
          <w:rFonts w:ascii="Garamond" w:hAnsi="Garamond"/>
        </w:rPr>
        <w:t>dik</w:t>
      </w:r>
      <w:r w:rsidRPr="009B6D19">
        <w:rPr>
          <w:rFonts w:ascii="Garamond" w:hAnsi="Garamond"/>
        </w:rPr>
        <w:t>tat » (</w:t>
      </w:r>
      <w:proofErr w:type="spellStart"/>
      <w:r w:rsidRPr="009B6D19">
        <w:rPr>
          <w:rFonts w:ascii="Garamond" w:hAnsi="Garamond"/>
        </w:rPr>
        <w:t>Masala</w:t>
      </w:r>
      <w:proofErr w:type="spellEnd"/>
      <w:r w:rsidRPr="009B6D19">
        <w:rPr>
          <w:rFonts w:ascii="Garamond" w:hAnsi="Garamond"/>
        </w:rPr>
        <w:t>, 2022 :41)</w:t>
      </w:r>
      <w:r>
        <w:rPr>
          <w:rFonts w:ascii="Garamond" w:hAnsi="Garamond"/>
        </w:rPr>
        <w:t xml:space="preserve"> du Gouverneur de Province. </w:t>
      </w:r>
    </w:p>
    <w:p w14:paraId="4BC7950A" w14:textId="4D288178" w:rsidR="00804868" w:rsidRPr="009B6D19" w:rsidRDefault="00236823" w:rsidP="00804868">
      <w:pPr>
        <w:rPr>
          <w:rFonts w:ascii="Garamond" w:hAnsi="Garamond"/>
        </w:rPr>
      </w:pPr>
      <w:r>
        <w:rPr>
          <w:rFonts w:ascii="Garamond" w:hAnsi="Garamond"/>
        </w:rPr>
        <w:t>En plus, à</w:t>
      </w:r>
      <w:r w:rsidR="00804868">
        <w:rPr>
          <w:rFonts w:ascii="Garamond" w:hAnsi="Garamond"/>
        </w:rPr>
        <w:t xml:space="preserve"> cause des mesures transitoires coulées dans les textes qui encadrent la décentralisation en général et la responsabilité financière ainsi que la reddition des comptes qui en découlent, la gestion des finances publiques se retrouve dans la pratique appliquée sur base d’un cadre juridique </w:t>
      </w:r>
      <w:r w:rsidR="0013325E">
        <w:rPr>
          <w:rFonts w:ascii="Garamond" w:hAnsi="Garamond"/>
        </w:rPr>
        <w:t xml:space="preserve">incomplet et </w:t>
      </w:r>
      <w:r w:rsidR="00804868">
        <w:rPr>
          <w:rFonts w:ascii="Garamond" w:hAnsi="Garamond"/>
        </w:rPr>
        <w:t>promulgué dans un c</w:t>
      </w:r>
      <w:r w:rsidR="0013325E">
        <w:rPr>
          <w:rFonts w:ascii="Garamond" w:hAnsi="Garamond"/>
        </w:rPr>
        <w:t>ontexte de forte centralisation</w:t>
      </w:r>
      <w:r w:rsidR="00804868">
        <w:rPr>
          <w:rFonts w:ascii="Garamond" w:hAnsi="Garamond"/>
        </w:rPr>
        <w:t xml:space="preserve">. </w:t>
      </w:r>
      <w:r w:rsidR="00817D7B" w:rsidRPr="009B6D19">
        <w:rPr>
          <w:rFonts w:ascii="Garamond" w:hAnsi="Garamond"/>
        </w:rPr>
        <w:t>Cette « démarche ambivalente » (</w:t>
      </w:r>
      <w:proofErr w:type="spellStart"/>
      <w:r w:rsidR="00817D7B" w:rsidRPr="009B6D19">
        <w:rPr>
          <w:rFonts w:ascii="Garamond" w:hAnsi="Garamond"/>
        </w:rPr>
        <w:t>Englebert</w:t>
      </w:r>
      <w:proofErr w:type="spellEnd"/>
      <w:r w:rsidR="00817D7B" w:rsidRPr="009B6D19">
        <w:rPr>
          <w:rFonts w:ascii="Garamond" w:hAnsi="Garamond"/>
        </w:rPr>
        <w:t xml:space="preserve">, 2012 ; </w:t>
      </w:r>
      <w:proofErr w:type="spellStart"/>
      <w:r w:rsidR="00817D7B" w:rsidRPr="009B6D19">
        <w:rPr>
          <w:rFonts w:ascii="Garamond" w:hAnsi="Garamond"/>
        </w:rPr>
        <w:t>Mavalaka</w:t>
      </w:r>
      <w:proofErr w:type="spellEnd"/>
      <w:r w:rsidR="00817D7B" w:rsidRPr="009B6D19">
        <w:rPr>
          <w:rFonts w:ascii="Garamond" w:hAnsi="Garamond"/>
        </w:rPr>
        <w:t>, 2018 :84) vise à perpétuer les pratiques absolutistes de l’époque Mobutu qui visaient à assujettir l</w:t>
      </w:r>
      <w:r w:rsidR="00817D7B">
        <w:rPr>
          <w:rFonts w:ascii="Garamond" w:hAnsi="Garamond"/>
        </w:rPr>
        <w:t xml:space="preserve">es « préfets ». </w:t>
      </w:r>
      <w:r w:rsidR="00804868">
        <w:rPr>
          <w:rFonts w:ascii="Garamond" w:hAnsi="Garamond"/>
        </w:rPr>
        <w:t xml:space="preserve">Cette situation entretient une certaine ambiguïté qui profite malheureusement aux acteurs centraux et provinciaux au détriment des ETD. </w:t>
      </w:r>
      <w:r w:rsidR="00817D7B">
        <w:rPr>
          <w:rFonts w:ascii="Garamond" w:hAnsi="Garamond"/>
        </w:rPr>
        <w:t xml:space="preserve">Dans la même veine, la réforme </w:t>
      </w:r>
      <w:r w:rsidR="00804868">
        <w:rPr>
          <w:rFonts w:ascii="Garamond" w:hAnsi="Garamond"/>
        </w:rPr>
        <w:t>de la migration</w:t>
      </w:r>
      <w:r w:rsidR="00817D7B">
        <w:rPr>
          <w:rFonts w:ascii="Garamond" w:hAnsi="Garamond"/>
        </w:rPr>
        <w:t xml:space="preserve"> du budget des moyens</w:t>
      </w:r>
      <w:r w:rsidR="00804868">
        <w:rPr>
          <w:rFonts w:ascii="Garamond" w:hAnsi="Garamond"/>
        </w:rPr>
        <w:t xml:space="preserve"> vers le budget-programme qui pourtant devrait </w:t>
      </w:r>
      <w:r w:rsidR="00817D7B">
        <w:rPr>
          <w:rFonts w:ascii="Garamond" w:hAnsi="Garamond"/>
        </w:rPr>
        <w:t>conforter</w:t>
      </w:r>
      <w:r w:rsidR="00804868">
        <w:rPr>
          <w:rFonts w:ascii="Garamond" w:hAnsi="Garamond"/>
        </w:rPr>
        <w:t xml:space="preserve"> la responsabilité financière des responsables des départements </w:t>
      </w:r>
      <w:r w:rsidR="00817D7B">
        <w:rPr>
          <w:rFonts w:ascii="Garamond" w:hAnsi="Garamond"/>
        </w:rPr>
        <w:t>en vue d’une meilleure reddition des</w:t>
      </w:r>
      <w:r w:rsidR="00804868">
        <w:rPr>
          <w:rFonts w:ascii="Garamond" w:hAnsi="Garamond"/>
        </w:rPr>
        <w:t xml:space="preserve"> compte</w:t>
      </w:r>
      <w:r w:rsidR="00817D7B">
        <w:rPr>
          <w:rFonts w:ascii="Garamond" w:hAnsi="Garamond"/>
        </w:rPr>
        <w:t>s,</w:t>
      </w:r>
      <w:r w:rsidR="00804868">
        <w:rPr>
          <w:rFonts w:ascii="Garamond" w:hAnsi="Garamond"/>
        </w:rPr>
        <w:t xml:space="preserve"> fait face </w:t>
      </w:r>
      <w:r w:rsidR="00817D7B">
        <w:rPr>
          <w:rFonts w:ascii="Garamond" w:hAnsi="Garamond"/>
        </w:rPr>
        <w:t>également à l’incomplétude de l’arsenal légal et règlementaire. Ainsi,  tant que ce dernier restera incomplet, il sera difficile voire impossible de parler de la décentralisation financière ainsi que de l’effectivité de la responsabilité financière et de la reddition des comptes</w:t>
      </w:r>
      <w:r w:rsidR="00817D7B" w:rsidRPr="00817D7B">
        <w:rPr>
          <w:rFonts w:ascii="Garamond" w:hAnsi="Garamond"/>
        </w:rPr>
        <w:t xml:space="preserve"> </w:t>
      </w:r>
      <w:r w:rsidR="00817D7B">
        <w:rPr>
          <w:rFonts w:ascii="Garamond" w:hAnsi="Garamond"/>
        </w:rPr>
        <w:t xml:space="preserve">dans le contexte de la RDC. </w:t>
      </w:r>
    </w:p>
    <w:p w14:paraId="42AD8782" w14:textId="1A6DEACF" w:rsidR="00804868" w:rsidRPr="009B6D19" w:rsidRDefault="00804868" w:rsidP="00804868">
      <w:pPr>
        <w:rPr>
          <w:rFonts w:ascii="Garamond" w:hAnsi="Garamond"/>
        </w:rPr>
      </w:pPr>
      <w:r w:rsidRPr="009B6D19">
        <w:rPr>
          <w:rFonts w:ascii="Garamond" w:hAnsi="Garamond"/>
        </w:rPr>
        <w:t>Il est toutefois vrai que les défis sont immenses pour un pays comme la RDC, à peine sorti d’une forte léthargie, sans infrastructures, sans administration et avec un budget annuel de l’équivalent en francs congolais,</w:t>
      </w:r>
      <w:r>
        <w:rPr>
          <w:rFonts w:ascii="Garamond" w:hAnsi="Garamond"/>
        </w:rPr>
        <w:t xml:space="preserve"> de 2 000 000 000$</w:t>
      </w:r>
      <w:r>
        <w:rPr>
          <w:rStyle w:val="FootnoteReference"/>
          <w:rFonts w:ascii="Garamond" w:hAnsi="Garamond"/>
        </w:rPr>
        <w:footnoteReference w:id="1"/>
      </w:r>
      <w:r>
        <w:rPr>
          <w:rFonts w:ascii="Garamond" w:hAnsi="Garamond"/>
        </w:rPr>
        <w:t xml:space="preserve"> (deux milliards </w:t>
      </w:r>
      <w:r w:rsidRPr="009B6D19">
        <w:rPr>
          <w:rFonts w:ascii="Garamond" w:hAnsi="Garamond"/>
        </w:rPr>
        <w:t>des dollars américains</w:t>
      </w:r>
      <w:r>
        <w:rPr>
          <w:rFonts w:ascii="Garamond" w:hAnsi="Garamond"/>
        </w:rPr>
        <w:t>)</w:t>
      </w:r>
      <w:r w:rsidRPr="009B6D19">
        <w:rPr>
          <w:rFonts w:ascii="Garamond" w:hAnsi="Garamond"/>
        </w:rPr>
        <w:t xml:space="preserve">, financé à 57% par les partenaires techniques et financiers. La pression qui sera exercée sur les autorités </w:t>
      </w:r>
      <w:r>
        <w:rPr>
          <w:rFonts w:ascii="Garamond" w:hAnsi="Garamond"/>
        </w:rPr>
        <w:t xml:space="preserve">congolaises </w:t>
      </w:r>
      <w:r w:rsidRPr="009B6D19">
        <w:rPr>
          <w:rFonts w:ascii="Garamond" w:hAnsi="Garamond"/>
        </w:rPr>
        <w:t>en vue notamment de</w:t>
      </w:r>
      <w:r>
        <w:rPr>
          <w:rFonts w:ascii="Garamond" w:hAnsi="Garamond"/>
        </w:rPr>
        <w:t xml:space="preserve">s élections locales en </w:t>
      </w:r>
      <w:r w:rsidRPr="009B6D19">
        <w:rPr>
          <w:rFonts w:ascii="Garamond" w:hAnsi="Garamond"/>
        </w:rPr>
        <w:t>2007</w:t>
      </w:r>
      <w:r>
        <w:rPr>
          <w:rFonts w:ascii="Garamond" w:hAnsi="Garamond"/>
        </w:rPr>
        <w:t>, en 2011 et en 2018 ; du découpage du territoire national et</w:t>
      </w:r>
      <w:r>
        <w:t xml:space="preserve"> </w:t>
      </w:r>
      <w:r w:rsidRPr="009B6D19">
        <w:rPr>
          <w:rFonts w:ascii="Garamond" w:hAnsi="Garamond"/>
        </w:rPr>
        <w:t>de l’effective</w:t>
      </w:r>
      <w:r>
        <w:rPr>
          <w:rFonts w:ascii="Garamond" w:hAnsi="Garamond"/>
        </w:rPr>
        <w:t xml:space="preserve"> de le retenue à la source de la quotité réservée aux provinces et ETD sur l’ensemble des rec</w:t>
      </w:r>
      <w:r w:rsidR="00D4256A">
        <w:rPr>
          <w:rFonts w:ascii="Garamond" w:hAnsi="Garamond"/>
        </w:rPr>
        <w:t>ettes à caractère national</w:t>
      </w:r>
      <w:r>
        <w:rPr>
          <w:rFonts w:ascii="Garamond" w:hAnsi="Garamond"/>
        </w:rPr>
        <w:t xml:space="preserve"> recouvrées d</w:t>
      </w:r>
      <w:r w:rsidRPr="009B6D19">
        <w:rPr>
          <w:rFonts w:ascii="Garamond" w:hAnsi="Garamond"/>
        </w:rPr>
        <w:t>émontrent à suffisance une résistance des acteurs dominants et un défaut de portage politique</w:t>
      </w:r>
      <w:r>
        <w:rPr>
          <w:rFonts w:ascii="Garamond" w:hAnsi="Garamond"/>
        </w:rPr>
        <w:t xml:space="preserve"> du pouvoir central </w:t>
      </w:r>
      <w:r w:rsidRPr="009B6D19">
        <w:rPr>
          <w:rFonts w:ascii="Garamond" w:hAnsi="Garamond"/>
        </w:rPr>
        <w:t>(Liégeois, 2008 </w:t>
      </w:r>
      <w:r w:rsidRPr="009B6D19">
        <w:rPr>
          <w:rFonts w:ascii="Garamond" w:hAnsi="Garamond"/>
          <w:color w:val="000000"/>
        </w:rPr>
        <w:t xml:space="preserve">; </w:t>
      </w:r>
      <w:proofErr w:type="spellStart"/>
      <w:r w:rsidRPr="009B6D19">
        <w:rPr>
          <w:rFonts w:ascii="Garamond" w:hAnsi="Garamond"/>
          <w:color w:val="000000"/>
        </w:rPr>
        <w:t>Pourtier</w:t>
      </w:r>
      <w:proofErr w:type="spellEnd"/>
      <w:r w:rsidRPr="009B6D19">
        <w:rPr>
          <w:rFonts w:ascii="Garamond" w:hAnsi="Garamond"/>
          <w:color w:val="000000"/>
        </w:rPr>
        <w:t xml:space="preserve">, 2008). Il en est de même </w:t>
      </w:r>
      <w:r w:rsidRPr="009B6D19">
        <w:rPr>
          <w:rFonts w:ascii="Garamond" w:hAnsi="Garamond"/>
        </w:rPr>
        <w:t xml:space="preserve">du non-respect des prescrits légaux et règlementaires en rapports avec la </w:t>
      </w:r>
      <w:r w:rsidRPr="009B6D19">
        <w:rPr>
          <w:rFonts w:ascii="Garamond" w:hAnsi="Garamond"/>
        </w:rPr>
        <w:lastRenderedPageBreak/>
        <w:t xml:space="preserve">responsabilité financière des ETD avec entre autres pour conséquences, l’inachèvement et de l’ambiguïté des solutions retenues. </w:t>
      </w:r>
      <w:r w:rsidR="00846A7C">
        <w:rPr>
          <w:rFonts w:ascii="Garamond" w:hAnsi="Garamond"/>
        </w:rPr>
        <w:t xml:space="preserve">En plus, la multiplication des mesures transitoires et dérogatoires dans le seul but de plomber l’effectivité de l’autonomie administrative, politique et financière des provinces et des ETD, rendent de plus en plus flou et ambigu l’exercice des compétences constitutionnellement cédées. </w:t>
      </w:r>
    </w:p>
    <w:p w14:paraId="16346F21" w14:textId="47A7CEFA" w:rsidR="00804868" w:rsidRPr="009B6D19" w:rsidRDefault="00804868" w:rsidP="00804868">
      <w:pPr>
        <w:rPr>
          <w:rFonts w:ascii="Garamond" w:hAnsi="Garamond"/>
        </w:rPr>
      </w:pPr>
      <w:r w:rsidRPr="009B6D19">
        <w:rPr>
          <w:rFonts w:ascii="Garamond" w:hAnsi="Garamond"/>
        </w:rPr>
        <w:t>A titre illustratif, nous pouvons citer la nomination, en lieu et place des élections des « Commissaires généraux » en vue d’assurer provisoirement la gestion de nouvelles provinces issues du découpage de 2015, la conversion de la « </w:t>
      </w:r>
      <w:r w:rsidRPr="008E5953">
        <w:rPr>
          <w:rFonts w:ascii="Garamond" w:hAnsi="Garamond"/>
          <w:i/>
        </w:rPr>
        <w:t>retenue à la source</w:t>
      </w:r>
      <w:r>
        <w:rPr>
          <w:rStyle w:val="FootnoteReference"/>
          <w:rFonts w:ascii="Garamond" w:hAnsi="Garamond"/>
          <w:i/>
        </w:rPr>
        <w:footnoteReference w:id="2"/>
      </w:r>
      <w:r w:rsidRPr="009B6D19">
        <w:rPr>
          <w:rFonts w:ascii="Garamond" w:hAnsi="Garamond"/>
        </w:rPr>
        <w:t> »</w:t>
      </w:r>
      <w:r>
        <w:rPr>
          <w:rFonts w:ascii="Garamond" w:hAnsi="Garamond"/>
        </w:rPr>
        <w:t xml:space="preserve"> des ressources nationales mobilisées</w:t>
      </w:r>
      <w:r>
        <w:t xml:space="preserve"> </w:t>
      </w:r>
      <w:r w:rsidR="00846A7C">
        <w:rPr>
          <w:rFonts w:ascii="Garamond" w:hAnsi="Garamond"/>
        </w:rPr>
        <w:t>par les Provinces et ETD</w:t>
      </w:r>
      <w:r w:rsidRPr="009B6D19">
        <w:rPr>
          <w:rFonts w:ascii="Garamond" w:hAnsi="Garamond"/>
        </w:rPr>
        <w:t xml:space="preserve"> en rétrocession dans l’optique d’asphyxier volontairement</w:t>
      </w:r>
      <w:r w:rsidR="00323E99">
        <w:rPr>
          <w:rFonts w:ascii="Garamond" w:hAnsi="Garamond"/>
        </w:rPr>
        <w:t xml:space="preserve"> (</w:t>
      </w:r>
      <w:proofErr w:type="spellStart"/>
      <w:r w:rsidR="00323E99">
        <w:rPr>
          <w:rFonts w:ascii="Garamond" w:hAnsi="Garamond"/>
        </w:rPr>
        <w:t>Kamukinga</w:t>
      </w:r>
      <w:proofErr w:type="spellEnd"/>
      <w:r w:rsidR="00323E99">
        <w:rPr>
          <w:rFonts w:ascii="Garamond" w:hAnsi="Garamond"/>
        </w:rPr>
        <w:t>, 2011)</w:t>
      </w:r>
      <w:r w:rsidRPr="009B6D19">
        <w:rPr>
          <w:rFonts w:ascii="Garamond" w:hAnsi="Garamond"/>
        </w:rPr>
        <w:t>, sur le plan financier, les jeunes entités locales au point qu’elles soient assimilables aux parasites (</w:t>
      </w:r>
      <w:proofErr w:type="spellStart"/>
      <w:r w:rsidRPr="009B6D19">
        <w:rPr>
          <w:rFonts w:ascii="Garamond" w:hAnsi="Garamond"/>
        </w:rPr>
        <w:t>Engelbert</w:t>
      </w:r>
      <w:proofErr w:type="spellEnd"/>
      <w:r w:rsidRPr="009B6D19">
        <w:rPr>
          <w:rFonts w:ascii="Garamond" w:hAnsi="Garamond"/>
        </w:rPr>
        <w:t xml:space="preserve">, 2012 ; </w:t>
      </w:r>
      <w:proofErr w:type="spellStart"/>
      <w:r w:rsidRPr="009B6D19">
        <w:rPr>
          <w:rFonts w:ascii="Garamond" w:hAnsi="Garamond"/>
        </w:rPr>
        <w:t>Kithatu-Kiwekete</w:t>
      </w:r>
      <w:proofErr w:type="spellEnd"/>
      <w:r w:rsidRPr="009B6D19">
        <w:rPr>
          <w:rFonts w:ascii="Garamond" w:hAnsi="Garamond"/>
        </w:rPr>
        <w:t>, 2017)</w:t>
      </w:r>
      <w:r>
        <w:rPr>
          <w:rFonts w:ascii="Garamond" w:hAnsi="Garamond"/>
        </w:rPr>
        <w:t xml:space="preserve">, ou encore l’installation tardive de </w:t>
      </w:r>
      <w:r w:rsidRPr="009B6D19">
        <w:rPr>
          <w:rFonts w:ascii="Garamond" w:hAnsi="Garamond"/>
        </w:rPr>
        <w:t>la Caisse Nationale de Péréquation (CNP) (</w:t>
      </w:r>
      <w:proofErr w:type="spellStart"/>
      <w:r w:rsidRPr="009B6D19">
        <w:rPr>
          <w:rFonts w:ascii="Garamond" w:hAnsi="Garamond"/>
        </w:rPr>
        <w:t>Zongwe</w:t>
      </w:r>
      <w:proofErr w:type="spellEnd"/>
      <w:r w:rsidRPr="009B6D19">
        <w:rPr>
          <w:rFonts w:ascii="Garamond" w:hAnsi="Garamond"/>
        </w:rPr>
        <w:t>, 2019) qui devrait soutenir les investissements des provinces et des entités locales. Si aujourd’hui cette CNP est en train d’être rendue opérationnelle c’est parce qu’une certaine pression des parties prenantes a réussi à la faire inscrire parmi les recommandations phares du 2</w:t>
      </w:r>
      <w:r w:rsidRPr="009B6D19">
        <w:rPr>
          <w:rFonts w:ascii="Garamond" w:hAnsi="Garamond"/>
          <w:vertAlign w:val="superscript"/>
        </w:rPr>
        <w:t>ème</w:t>
      </w:r>
      <w:r w:rsidRPr="009B6D19">
        <w:rPr>
          <w:rFonts w:ascii="Garamond" w:hAnsi="Garamond"/>
        </w:rPr>
        <w:t xml:space="preserve"> forum sur la décentralisation tenu du 11 au 14 décembre 2020 à Kinshasa et cela, plus de cinq ans après l’adoption de la Loi de péréquation au Sénat. Ces résistances, inachèvements des mesures constitutionnellement garanties et ambiguïtés des solutions présentées face aux instruments juridico-règlementaires qui portent la responsabilité financière et la reddition des comptes des ETD se justifieraient, selon  Le Bourhis &amp; </w:t>
      </w:r>
      <w:proofErr w:type="spellStart"/>
      <w:r w:rsidRPr="009B6D19">
        <w:rPr>
          <w:rFonts w:ascii="Garamond" w:hAnsi="Garamond"/>
        </w:rPr>
        <w:t>Lascoumes</w:t>
      </w:r>
      <w:proofErr w:type="spellEnd"/>
      <w:r w:rsidRPr="009B6D19">
        <w:rPr>
          <w:rFonts w:ascii="Garamond" w:hAnsi="Garamond"/>
        </w:rPr>
        <w:t xml:space="preserve"> (2011) entre autres par le manque d’appropriation par les différentes acteurs qui se manifeste soit par une opposition farouche, un déficit de portage politique ou par une inertie. Ce manque d’appropriation peut également être la conséquence du choix du </w:t>
      </w:r>
      <w:r w:rsidRPr="009B6D19">
        <w:rPr>
          <w:rFonts w:ascii="Garamond" w:hAnsi="Garamond"/>
          <w:i/>
        </w:rPr>
        <w:t>design</w:t>
      </w:r>
      <w:r w:rsidRPr="009B6D19">
        <w:rPr>
          <w:rFonts w:ascii="Garamond" w:hAnsi="Garamond"/>
        </w:rPr>
        <w:t xml:space="preserve"> qui intervient au cours de la phase pré-décisionnelle. Cette phase est très importante car </w:t>
      </w:r>
      <w:r w:rsidR="00D4256A">
        <w:rPr>
          <w:rFonts w:ascii="Garamond" w:hAnsi="Garamond"/>
        </w:rPr>
        <w:t>elle constitue le moment crucial</w:t>
      </w:r>
      <w:r w:rsidRPr="009B6D19">
        <w:rPr>
          <w:rFonts w:ascii="Garamond" w:hAnsi="Garamond"/>
        </w:rPr>
        <w:t xml:space="preserve"> </w:t>
      </w:r>
      <w:r w:rsidR="001972C0">
        <w:rPr>
          <w:rFonts w:ascii="Garamond" w:hAnsi="Garamond"/>
        </w:rPr>
        <w:t>au cours duquel</w:t>
      </w:r>
      <w:r w:rsidRPr="009B6D19">
        <w:rPr>
          <w:rFonts w:ascii="Garamond" w:hAnsi="Garamond"/>
        </w:rPr>
        <w:t xml:space="preserve"> se planifie « </w:t>
      </w:r>
      <w:r w:rsidRPr="009B6D19">
        <w:rPr>
          <w:rFonts w:ascii="Garamond" w:hAnsi="Garamond"/>
          <w:i/>
        </w:rPr>
        <w:t>l’échec programmé de la politique</w:t>
      </w:r>
      <w:r w:rsidRPr="009B6D19">
        <w:rPr>
          <w:rFonts w:ascii="Garamond" w:hAnsi="Garamond"/>
        </w:rPr>
        <w:t> » à telle enseigne que ses outputs soient le reflet des attentes inavouées.</w:t>
      </w:r>
      <w:r w:rsidR="00D4256A">
        <w:rPr>
          <w:rFonts w:ascii="Garamond" w:hAnsi="Garamond"/>
        </w:rPr>
        <w:t xml:space="preserve"> </w:t>
      </w:r>
      <w:r w:rsidR="001972C0">
        <w:rPr>
          <w:rFonts w:ascii="Garamond" w:hAnsi="Garamond"/>
        </w:rPr>
        <w:t xml:space="preserve">De ce point de vue, les solutions préconisées </w:t>
      </w:r>
      <w:r w:rsidR="00A26ACF">
        <w:rPr>
          <w:rFonts w:ascii="Garamond" w:hAnsi="Garamond"/>
        </w:rPr>
        <w:t xml:space="preserve">sont concoctées de façon à entretenir une incompatibilité persistante entre les capacités institutionnelles souhaitées et la répartition des compétences souvent calquée sur le modèle préexistant. Elles deviennent ainsi, </w:t>
      </w:r>
      <w:r w:rsidR="001972C0">
        <w:rPr>
          <w:rFonts w:ascii="Garamond" w:hAnsi="Garamond"/>
        </w:rPr>
        <w:t>un terreau favorable aux problèmes structure</w:t>
      </w:r>
      <w:r w:rsidR="00A26ACF">
        <w:rPr>
          <w:rFonts w:ascii="Garamond" w:hAnsi="Garamond"/>
        </w:rPr>
        <w:t>l</w:t>
      </w:r>
      <w:r w:rsidR="001972C0">
        <w:rPr>
          <w:rFonts w:ascii="Garamond" w:hAnsi="Garamond"/>
        </w:rPr>
        <w:t xml:space="preserve">s pour mieux perpétuer  </w:t>
      </w:r>
      <w:r w:rsidRPr="009B6D19">
        <w:rPr>
          <w:rFonts w:ascii="Garamond" w:hAnsi="Garamond"/>
        </w:rPr>
        <w:t xml:space="preserve">le </w:t>
      </w:r>
      <w:r w:rsidRPr="00846A7C">
        <w:rPr>
          <w:rFonts w:ascii="Garamond" w:hAnsi="Garamond"/>
          <w:i/>
        </w:rPr>
        <w:t>statu quo</w:t>
      </w:r>
      <w:r w:rsidRPr="009B6D19">
        <w:rPr>
          <w:rFonts w:ascii="Garamond" w:hAnsi="Garamond"/>
        </w:rPr>
        <w:t>.</w:t>
      </w:r>
      <w:r w:rsidR="00A26ACF">
        <w:rPr>
          <w:rFonts w:ascii="Garamond" w:hAnsi="Garamond"/>
        </w:rPr>
        <w:t xml:space="preserve"> </w:t>
      </w:r>
    </w:p>
    <w:p w14:paraId="749803DA" w14:textId="215D27C3" w:rsidR="00804868" w:rsidRPr="009B6D19" w:rsidRDefault="00804868" w:rsidP="00804868">
      <w:pPr>
        <w:rPr>
          <w:rFonts w:ascii="Garamond" w:hAnsi="Garamond"/>
        </w:rPr>
      </w:pPr>
      <w:r w:rsidRPr="009B6D19">
        <w:rPr>
          <w:rFonts w:ascii="Garamond" w:hAnsi="Garamond"/>
        </w:rPr>
        <w:t xml:space="preserve">De tout ce qui précède, il est à remarquer que le contexte particulier dans lequel la Constitution de la RDC a été adoptée et les rapports de force qui caractérisent les interactions ayant débouché </w:t>
      </w:r>
      <w:r w:rsidR="0074605A">
        <w:rPr>
          <w:rFonts w:ascii="Garamond" w:hAnsi="Garamond"/>
        </w:rPr>
        <w:t xml:space="preserve"> sur l’intégration de </w:t>
      </w:r>
      <w:r w:rsidRPr="009B6D19">
        <w:rPr>
          <w:rFonts w:ascii="Garamond" w:hAnsi="Garamond"/>
        </w:rPr>
        <w:t>certaines réformes notamment</w:t>
      </w:r>
      <w:r w:rsidR="0074605A">
        <w:rPr>
          <w:rFonts w:ascii="Garamond" w:hAnsi="Garamond"/>
        </w:rPr>
        <w:t xml:space="preserve"> celle de</w:t>
      </w:r>
      <w:r w:rsidRPr="009B6D19">
        <w:rPr>
          <w:rFonts w:ascii="Garamond" w:hAnsi="Garamond"/>
        </w:rPr>
        <w:t xml:space="preserve"> la décentralisation expliquent </w:t>
      </w:r>
      <w:r w:rsidRPr="009B6D19">
        <w:rPr>
          <w:rFonts w:ascii="Garamond" w:hAnsi="Garamond"/>
        </w:rPr>
        <w:lastRenderedPageBreak/>
        <w:t xml:space="preserve">clairement la résurgence de la tendance à la recentralisation comme manifestation inavouée du cadre légal et réglementaire. Bien que ce cadre ne soit pas de nature neutre mais susceptible de subir des transformations selon les dynamiques sociales dans lesquelles il est pris (Le Bourhis &amp; </w:t>
      </w:r>
      <w:proofErr w:type="spellStart"/>
      <w:r w:rsidRPr="009B6D19">
        <w:rPr>
          <w:rFonts w:ascii="Garamond" w:hAnsi="Garamond"/>
        </w:rPr>
        <w:t>Lascoumes</w:t>
      </w:r>
      <w:proofErr w:type="spellEnd"/>
      <w:r w:rsidRPr="009B6D19">
        <w:rPr>
          <w:rFonts w:ascii="Garamond" w:hAnsi="Garamond"/>
        </w:rPr>
        <w:t xml:space="preserve">, 2011), les mesures transitoires consacrées dans chacun de textes démontrent à suffisance que l’échec était prémédité et que le pouvoir central voulait maintenir les entités locales sous leur joug.  </w:t>
      </w:r>
    </w:p>
    <w:p w14:paraId="06D8AB40" w14:textId="20B47DC3" w:rsidR="00804868" w:rsidRPr="009B6D19" w:rsidRDefault="00804868" w:rsidP="00804868">
      <w:pPr>
        <w:rPr>
          <w:rFonts w:ascii="Garamond" w:hAnsi="Garamond"/>
        </w:rPr>
      </w:pPr>
      <w:r w:rsidRPr="009B6D19">
        <w:rPr>
          <w:rFonts w:ascii="Garamond" w:hAnsi="Garamond"/>
        </w:rPr>
        <w:t>C’est pourquoi, le coût de mise en œuvre de la décentralisation camouflée,</w:t>
      </w:r>
      <w:r>
        <w:rPr>
          <w:rFonts w:ascii="Garamond" w:hAnsi="Garamond"/>
        </w:rPr>
        <w:t xml:space="preserve"> </w:t>
      </w:r>
      <w:r w:rsidRPr="009B6D19">
        <w:rPr>
          <w:rFonts w:ascii="Garamond" w:hAnsi="Garamond"/>
        </w:rPr>
        <w:t>au nom de la</w:t>
      </w:r>
      <w:r>
        <w:rPr>
          <w:rFonts w:ascii="Garamond" w:hAnsi="Garamond"/>
        </w:rPr>
        <w:t xml:space="preserve"> </w:t>
      </w:r>
      <w:r w:rsidRPr="009B6D19">
        <w:rPr>
          <w:rFonts w:ascii="Garamond" w:hAnsi="Garamond"/>
        </w:rPr>
        <w:t>bonne gouvernance</w:t>
      </w:r>
      <w:r w:rsidR="00846A7C">
        <w:rPr>
          <w:rFonts w:ascii="Garamond" w:hAnsi="Garamond"/>
        </w:rPr>
        <w:t xml:space="preserve"> (</w:t>
      </w:r>
      <w:proofErr w:type="spellStart"/>
      <w:r w:rsidR="00846A7C">
        <w:rPr>
          <w:rFonts w:ascii="Garamond" w:hAnsi="Garamond"/>
        </w:rPr>
        <w:t>Tshibwabwa</w:t>
      </w:r>
      <w:proofErr w:type="spellEnd"/>
      <w:r w:rsidR="00846A7C">
        <w:rPr>
          <w:rFonts w:ascii="Garamond" w:hAnsi="Garamond"/>
        </w:rPr>
        <w:t xml:space="preserve"> </w:t>
      </w:r>
      <w:proofErr w:type="spellStart"/>
      <w:r w:rsidR="00846A7C">
        <w:rPr>
          <w:rFonts w:ascii="Garamond" w:hAnsi="Garamond"/>
        </w:rPr>
        <w:t>Kudisthini</w:t>
      </w:r>
      <w:proofErr w:type="spellEnd"/>
      <w:r w:rsidRPr="009B6D19">
        <w:rPr>
          <w:rFonts w:ascii="Garamond" w:hAnsi="Garamond"/>
        </w:rPr>
        <w:t>,</w:t>
      </w:r>
      <w:r w:rsidR="00846A7C">
        <w:rPr>
          <w:rFonts w:ascii="Garamond" w:hAnsi="Garamond"/>
        </w:rPr>
        <w:t xml:space="preserve"> 2008)</w:t>
      </w:r>
      <w:r w:rsidRPr="009B6D19">
        <w:rPr>
          <w:rFonts w:ascii="Garamond" w:hAnsi="Garamond"/>
        </w:rPr>
        <w:t xml:space="preserve"> pèse aujourd’hui sur</w:t>
      </w:r>
      <w:r>
        <w:rPr>
          <w:rFonts w:ascii="Garamond" w:hAnsi="Garamond"/>
        </w:rPr>
        <w:t xml:space="preserve"> </w:t>
      </w:r>
      <w:r w:rsidRPr="009B6D19">
        <w:rPr>
          <w:rFonts w:ascii="Garamond" w:hAnsi="Garamond"/>
        </w:rPr>
        <w:t>le Trésor public plus qu’une</w:t>
      </w:r>
      <w:r>
        <w:rPr>
          <w:rFonts w:ascii="Garamond" w:hAnsi="Garamond"/>
        </w:rPr>
        <w:t xml:space="preserve"> </w:t>
      </w:r>
      <w:r w:rsidRPr="009B6D19">
        <w:rPr>
          <w:rFonts w:ascii="Garamond" w:hAnsi="Garamond"/>
        </w:rPr>
        <w:t>centralisation bien entretenue. A ce sujet, Theoning &amp; Dupuy avait déjà souligné en 1983 que la décentralisation avait un coût que les pays à faible niveau de revenu avaient de la peine à supporter. Cette charge pèse davantage sur les finances publiques d’un pays lorsqu’il se retrouve confronté à un problème de gouvernance en général et des conflits en particulier ou encore lorsque son PIB est faible. De ce fait, tout transfert des compétences aux entités infranationales sans cadre légal et règlementaire complet, vulgarisé et mis en œuvre, est perçu comme étant d’une part</w:t>
      </w:r>
      <w:r w:rsidR="00846A7C">
        <w:rPr>
          <w:rFonts w:ascii="Garamond" w:hAnsi="Garamond"/>
        </w:rPr>
        <w:t>, un</w:t>
      </w:r>
      <w:r w:rsidRPr="009B6D19">
        <w:rPr>
          <w:rFonts w:ascii="Garamond" w:hAnsi="Garamond"/>
        </w:rPr>
        <w:t xml:space="preserve"> rejet de responsabilité (Theoning &amp; Dupuy, 1983 :968</w:t>
      </w:r>
      <w:r w:rsidR="00164B66">
        <w:rPr>
          <w:rFonts w:ascii="Garamond" w:hAnsi="Garamond"/>
        </w:rPr>
        <w:t> ; Theoning, 2011</w:t>
      </w:r>
      <w:r w:rsidRPr="009B6D19">
        <w:rPr>
          <w:rFonts w:ascii="Garamond" w:hAnsi="Garamond"/>
        </w:rPr>
        <w:t>) et d’autre part, comme un plombage prémédité du processus.</w:t>
      </w:r>
    </w:p>
    <w:p w14:paraId="412E5CD7" w14:textId="1A53D17B" w:rsidR="00804868" w:rsidRPr="009B6D19" w:rsidRDefault="00804868" w:rsidP="00804868">
      <w:pPr>
        <w:rPr>
          <w:rFonts w:ascii="Garamond" w:hAnsi="Garamond"/>
        </w:rPr>
      </w:pPr>
      <w:r w:rsidRPr="009B6D19">
        <w:rPr>
          <w:rFonts w:ascii="Garamond" w:hAnsi="Garamond"/>
        </w:rPr>
        <w:t xml:space="preserve">D’ailleurs, </w:t>
      </w:r>
      <w:r w:rsidR="001078F4">
        <w:rPr>
          <w:rFonts w:ascii="Garamond" w:hAnsi="Garamond"/>
        </w:rPr>
        <w:t>les rapports</w:t>
      </w:r>
      <w:r w:rsidRPr="009B6D19">
        <w:rPr>
          <w:rFonts w:ascii="Garamond" w:hAnsi="Garamond"/>
        </w:rPr>
        <w:t xml:space="preserve"> PEFA (2020 : 66)</w:t>
      </w:r>
      <w:r w:rsidR="001078F4">
        <w:rPr>
          <w:rFonts w:ascii="Garamond" w:hAnsi="Garamond"/>
        </w:rPr>
        <w:t xml:space="preserve"> et International </w:t>
      </w:r>
      <w:proofErr w:type="spellStart"/>
      <w:r w:rsidR="001078F4">
        <w:rPr>
          <w:rFonts w:ascii="Garamond" w:hAnsi="Garamond"/>
        </w:rPr>
        <w:t>Monetary</w:t>
      </w:r>
      <w:proofErr w:type="spellEnd"/>
      <w:r w:rsidR="001078F4">
        <w:rPr>
          <w:rFonts w:ascii="Garamond" w:hAnsi="Garamond"/>
        </w:rPr>
        <w:t xml:space="preserve"> </w:t>
      </w:r>
      <w:proofErr w:type="spellStart"/>
      <w:r w:rsidR="001078F4">
        <w:rPr>
          <w:rFonts w:ascii="Garamond" w:hAnsi="Garamond"/>
        </w:rPr>
        <w:t>Fund</w:t>
      </w:r>
      <w:proofErr w:type="spellEnd"/>
      <w:r w:rsidR="001078F4">
        <w:rPr>
          <w:rFonts w:ascii="Garamond" w:hAnsi="Garamond"/>
        </w:rPr>
        <w:t xml:space="preserve"> (2021)</w:t>
      </w:r>
      <w:r w:rsidRPr="009B6D19">
        <w:rPr>
          <w:rFonts w:ascii="Garamond" w:hAnsi="Garamond"/>
        </w:rPr>
        <w:t xml:space="preserve"> relève</w:t>
      </w:r>
      <w:r w:rsidR="001078F4">
        <w:rPr>
          <w:rFonts w:ascii="Garamond" w:hAnsi="Garamond"/>
        </w:rPr>
        <w:t>nt</w:t>
      </w:r>
      <w:r w:rsidRPr="009B6D19">
        <w:rPr>
          <w:rFonts w:ascii="Garamond" w:hAnsi="Garamond"/>
        </w:rPr>
        <w:t xml:space="preserve"> cet état de chose dans le processus de mise en œuvre de la responsabilité financière et budgétaire des ETD en RDC.</w:t>
      </w:r>
      <w:r>
        <w:rPr>
          <w:rFonts w:ascii="Garamond" w:hAnsi="Garamond"/>
        </w:rPr>
        <w:t xml:space="preserve"> Le cadre l</w:t>
      </w:r>
      <w:r w:rsidRPr="009B6D19">
        <w:rPr>
          <w:rFonts w:ascii="Garamond" w:hAnsi="Garamond"/>
        </w:rPr>
        <w:t xml:space="preserve">égal et réglementaire est à la fois complexe, non respecté, inachevé,  inadapté à certaines réalités locales, flou et faiblement exécuté. Cela </w:t>
      </w:r>
      <w:r w:rsidR="00293950">
        <w:rPr>
          <w:rFonts w:ascii="Garamond" w:hAnsi="Garamond"/>
        </w:rPr>
        <w:t>a eu</w:t>
      </w:r>
      <w:r w:rsidRPr="009B6D19">
        <w:rPr>
          <w:rFonts w:ascii="Garamond" w:hAnsi="Garamond"/>
        </w:rPr>
        <w:t xml:space="preserve"> notamment </w:t>
      </w:r>
      <w:r w:rsidR="00293950">
        <w:rPr>
          <w:rFonts w:ascii="Garamond" w:hAnsi="Garamond"/>
        </w:rPr>
        <w:t xml:space="preserve">pour conséquences, </w:t>
      </w:r>
      <w:r w:rsidRPr="009B6D19">
        <w:rPr>
          <w:rFonts w:ascii="Garamond" w:hAnsi="Garamond"/>
        </w:rPr>
        <w:t>la multiplicité des centres de prélèvement des recettes, la faible couverture des postes comptables</w:t>
      </w:r>
      <w:r>
        <w:rPr>
          <w:rFonts w:ascii="Garamond" w:hAnsi="Garamond"/>
        </w:rPr>
        <w:t xml:space="preserve"> </w:t>
      </w:r>
      <w:r w:rsidRPr="009B6D19">
        <w:rPr>
          <w:rFonts w:ascii="Garamond" w:hAnsi="Garamond"/>
        </w:rPr>
        <w:t>par les comptables publics, la formation des mécanismes informels de gouvernance participative, la non consolidation</w:t>
      </w:r>
      <w:r>
        <w:rPr>
          <w:rFonts w:ascii="Garamond" w:hAnsi="Garamond"/>
        </w:rPr>
        <w:t xml:space="preserve"> </w:t>
      </w:r>
      <w:r w:rsidRPr="009B6D19">
        <w:rPr>
          <w:rFonts w:ascii="Garamond" w:hAnsi="Garamond"/>
        </w:rPr>
        <w:t xml:space="preserve">du Budget de l’Etat et les faibles capacités fiscales des ETD. Tous ces préalables non encore réunis ou dont la mise en œuvre </w:t>
      </w:r>
      <w:r w:rsidR="00293950">
        <w:rPr>
          <w:rFonts w:ascii="Garamond" w:hAnsi="Garamond"/>
        </w:rPr>
        <w:t xml:space="preserve">actuelle </w:t>
      </w:r>
      <w:r w:rsidRPr="009B6D19">
        <w:rPr>
          <w:rFonts w:ascii="Garamond" w:hAnsi="Garamond"/>
        </w:rPr>
        <w:t xml:space="preserve">ne s’éloignent pas des pratiques centralistes et opaques de gestion des finances publiques constituent un marqueur indéniable d’une dépendance au sentier. Une étude menée en Irlande par </w:t>
      </w:r>
      <w:proofErr w:type="spellStart"/>
      <w:r w:rsidRPr="009B6D19">
        <w:rPr>
          <w:rFonts w:ascii="Garamond" w:hAnsi="Garamond"/>
        </w:rPr>
        <w:t>Ogbazghi</w:t>
      </w:r>
      <w:proofErr w:type="spellEnd"/>
      <w:r w:rsidRPr="009B6D19">
        <w:rPr>
          <w:rFonts w:ascii="Garamond" w:hAnsi="Garamond"/>
        </w:rPr>
        <w:t xml:space="preserve"> (2022), en utilisant l’approche institutionnaliste historique comme cadre d’analyse, </w:t>
      </w:r>
      <w:r w:rsidR="00A26ACF">
        <w:rPr>
          <w:rFonts w:ascii="Garamond" w:hAnsi="Garamond"/>
        </w:rPr>
        <w:t xml:space="preserve">avait </w:t>
      </w:r>
      <w:r w:rsidRPr="009B6D19">
        <w:rPr>
          <w:rFonts w:ascii="Garamond" w:hAnsi="Garamond"/>
        </w:rPr>
        <w:t>abouti aux résultats presque similaires. Certains facteurs notamment la culture politique irlandaise, les pratiques conventionnelles et les intérêts établis des élites (</w:t>
      </w:r>
      <w:proofErr w:type="spellStart"/>
      <w:r w:rsidR="003E35B5">
        <w:fldChar w:fldCharType="begin"/>
      </w:r>
      <w:r w:rsidR="003E35B5">
        <w:instrText xml:space="preserve"> HYPERLINK "https://www.cairn.info/publications-de-Peter%20C.-Humphreys--72762.htm" </w:instrText>
      </w:r>
      <w:r w:rsidR="003E35B5">
        <w:fldChar w:fldCharType="separate"/>
      </w:r>
      <w:r w:rsidRPr="009B6D19">
        <w:rPr>
          <w:rFonts w:ascii="Garamond" w:hAnsi="Garamond"/>
        </w:rPr>
        <w:t>Humphreys</w:t>
      </w:r>
      <w:proofErr w:type="spellEnd"/>
      <w:r w:rsidR="003E35B5">
        <w:rPr>
          <w:rFonts w:ascii="Garamond" w:hAnsi="Garamond"/>
        </w:rPr>
        <w:fldChar w:fldCharType="end"/>
      </w:r>
      <w:r w:rsidRPr="009B6D19">
        <w:rPr>
          <w:rFonts w:ascii="Garamond" w:hAnsi="Garamond"/>
        </w:rPr>
        <w:t xml:space="preserve"> &amp;</w:t>
      </w:r>
      <w:hyperlink r:id="rId12" w:history="1">
        <w:r w:rsidRPr="009B6D19">
          <w:rPr>
            <w:rFonts w:ascii="Garamond" w:hAnsi="Garamond"/>
          </w:rPr>
          <w:t xml:space="preserve"> </w:t>
        </w:r>
        <w:proofErr w:type="spellStart"/>
        <w:r w:rsidRPr="009B6D19">
          <w:rPr>
            <w:rFonts w:ascii="Garamond" w:hAnsi="Garamond"/>
          </w:rPr>
          <w:t>O’Donnell</w:t>
        </w:r>
        <w:proofErr w:type="spellEnd"/>
      </w:hyperlink>
      <w:r w:rsidRPr="009B6D19">
        <w:rPr>
          <w:rFonts w:ascii="Garamond" w:hAnsi="Garamond"/>
        </w:rPr>
        <w:t xml:space="preserve">, 2007 ; </w:t>
      </w:r>
      <w:proofErr w:type="spellStart"/>
      <w:r w:rsidRPr="009B6D19">
        <w:rPr>
          <w:rFonts w:ascii="Garamond" w:hAnsi="Garamond"/>
        </w:rPr>
        <w:t>Ogbazghi</w:t>
      </w:r>
      <w:proofErr w:type="spellEnd"/>
      <w:r w:rsidRPr="009B6D19">
        <w:rPr>
          <w:rFonts w:ascii="Garamond" w:hAnsi="Garamond"/>
        </w:rPr>
        <w:t xml:space="preserve">, 2022) en sont quelques pesanteurs identifiées. Bien que l’Irlande soit caractérisée par un régime parlementaire, contrairement à la RDC, la culture centralisatrice qui a marqué sa trajectoire administrative, financière et politique pendant plus d’un siècle parait trouver son ancrage dans le cadre légal et règlementaire préexistant.    </w:t>
      </w:r>
    </w:p>
    <w:p w14:paraId="2AAC6C7D" w14:textId="60DFB1C5" w:rsidR="00804868" w:rsidRPr="009B6D19" w:rsidRDefault="00804868" w:rsidP="00804868">
      <w:pPr>
        <w:rPr>
          <w:rFonts w:ascii="Garamond" w:hAnsi="Garamond"/>
        </w:rPr>
      </w:pPr>
      <w:r w:rsidRPr="009B6D19">
        <w:rPr>
          <w:rFonts w:ascii="Garamond" w:hAnsi="Garamond"/>
        </w:rPr>
        <w:lastRenderedPageBreak/>
        <w:t>Enfin, il se remarque une certaine accommodation de ce cadre légal et réglementaire aux institutions informelles préexistantes qui malheureusement est de nature à entretenir des ETD faibles. Les acteurs dominant trouvent en cette faiblesse un justificatif d’un éternel tuteurage politique, administratif et financier. Le point critique capable de renverser la tendance demeure</w:t>
      </w:r>
      <w:r w:rsidR="00A26ACF">
        <w:rPr>
          <w:rFonts w:ascii="Garamond" w:hAnsi="Garamond"/>
        </w:rPr>
        <w:t xml:space="preserve"> notamment la présence d’</w:t>
      </w:r>
      <w:r>
        <w:rPr>
          <w:rFonts w:ascii="Garamond" w:hAnsi="Garamond"/>
        </w:rPr>
        <w:t xml:space="preserve">une société civile dynamique, active et dont les capacités sont régulièrement renforcées ainsi qu’une bonne dose de volonté politique </w:t>
      </w:r>
      <w:r w:rsidRPr="009B6D19">
        <w:rPr>
          <w:rFonts w:ascii="Garamond" w:hAnsi="Garamond"/>
        </w:rPr>
        <w:t>(</w:t>
      </w:r>
      <w:proofErr w:type="spellStart"/>
      <w:r w:rsidRPr="009B6D19">
        <w:rPr>
          <w:rFonts w:ascii="Garamond" w:hAnsi="Garamond"/>
        </w:rPr>
        <w:t>Thelen</w:t>
      </w:r>
      <w:proofErr w:type="spellEnd"/>
      <w:r w:rsidRPr="009B6D19">
        <w:rPr>
          <w:rFonts w:ascii="Garamond" w:hAnsi="Garamond"/>
        </w:rPr>
        <w:t>, 2000 : 105). Ces facteurs feront l’objet d’une analyse approfondie dans la section suivante.</w:t>
      </w:r>
    </w:p>
    <w:p w14:paraId="33CABCB8" w14:textId="77777777" w:rsidR="00804868" w:rsidRPr="009B6D19" w:rsidRDefault="00804868" w:rsidP="00804868">
      <w:pPr>
        <w:pStyle w:val="Heading2"/>
        <w:numPr>
          <w:ilvl w:val="1"/>
          <w:numId w:val="14"/>
        </w:numPr>
        <w:rPr>
          <w:rFonts w:ascii="Garamond" w:hAnsi="Garamond"/>
          <w:szCs w:val="24"/>
        </w:rPr>
      </w:pPr>
      <w:bookmarkStart w:id="49" w:name="_Toc125594172"/>
      <w:bookmarkStart w:id="50" w:name="_Toc143577468"/>
      <w:r w:rsidRPr="009B6D19">
        <w:rPr>
          <w:rFonts w:ascii="Garamond" w:hAnsi="Garamond"/>
          <w:szCs w:val="24"/>
        </w:rPr>
        <w:t>Facteurs prépondérants susceptibles d’influencer la responsabilité financière et la reddition des comptes</w:t>
      </w:r>
      <w:bookmarkEnd w:id="49"/>
      <w:bookmarkEnd w:id="50"/>
    </w:p>
    <w:p w14:paraId="03B6B95C" w14:textId="0A2F3657" w:rsidR="00804868" w:rsidRPr="009B6D19" w:rsidRDefault="00804868" w:rsidP="00804868">
      <w:pPr>
        <w:rPr>
          <w:rFonts w:ascii="Garamond" w:hAnsi="Garamond"/>
        </w:rPr>
      </w:pPr>
      <w:r w:rsidRPr="009B6D19">
        <w:rPr>
          <w:rFonts w:ascii="Garamond" w:hAnsi="Garamond"/>
        </w:rPr>
        <w:t xml:space="preserve">Comme annoncé dans la section précédente, mieux comprendre la trajectoire de la responsabilisation financière </w:t>
      </w:r>
      <w:r w:rsidR="00FB6AF1">
        <w:rPr>
          <w:rFonts w:ascii="Garamond" w:hAnsi="Garamond"/>
        </w:rPr>
        <w:t xml:space="preserve">et de la reddition des comptes au niveau </w:t>
      </w:r>
      <w:r w:rsidRPr="009B6D19">
        <w:rPr>
          <w:rFonts w:ascii="Garamond" w:hAnsi="Garamond"/>
        </w:rPr>
        <w:t xml:space="preserve">des ETD revient à décortiquer certains facteurs intrinsèques et externes susceptibles d’influencer leur expression dans les faits et dans les intentions. Ces différents facteurs sont soit codifiés par les règles formelles, </w:t>
      </w:r>
      <w:r w:rsidR="0049480E">
        <w:rPr>
          <w:rFonts w:ascii="Garamond" w:hAnsi="Garamond"/>
        </w:rPr>
        <w:t xml:space="preserve">soit </w:t>
      </w:r>
      <w:r w:rsidRPr="009B6D19">
        <w:rPr>
          <w:rFonts w:ascii="Garamond" w:hAnsi="Garamond"/>
        </w:rPr>
        <w:t xml:space="preserve">enracinés dans les contextes politico-économiques </w:t>
      </w:r>
      <w:r w:rsidR="0049480E">
        <w:rPr>
          <w:rFonts w:ascii="Garamond" w:hAnsi="Garamond"/>
        </w:rPr>
        <w:t>ou soit</w:t>
      </w:r>
      <w:r w:rsidRPr="009B6D19">
        <w:rPr>
          <w:rFonts w:ascii="Garamond" w:hAnsi="Garamond"/>
        </w:rPr>
        <w:t xml:space="preserve"> muris par les pratiques informelles</w:t>
      </w:r>
      <w:r w:rsidR="00FB6AF1">
        <w:rPr>
          <w:rFonts w:ascii="Garamond" w:hAnsi="Garamond"/>
        </w:rPr>
        <w:t>. Ils</w:t>
      </w:r>
      <w:r w:rsidRPr="009B6D19">
        <w:rPr>
          <w:rFonts w:ascii="Garamond" w:hAnsi="Garamond"/>
        </w:rPr>
        <w:t xml:space="preserve"> concourent </w:t>
      </w:r>
      <w:r w:rsidR="00FB6AF1">
        <w:rPr>
          <w:rFonts w:ascii="Garamond" w:hAnsi="Garamond"/>
        </w:rPr>
        <w:t xml:space="preserve">malheureusement </w:t>
      </w:r>
      <w:r w:rsidRPr="009B6D19">
        <w:rPr>
          <w:rFonts w:ascii="Garamond" w:hAnsi="Garamond"/>
        </w:rPr>
        <w:t>à la formation d</w:t>
      </w:r>
      <w:r w:rsidR="00FB6AF1">
        <w:rPr>
          <w:rFonts w:ascii="Garamond" w:hAnsi="Garamond"/>
        </w:rPr>
        <w:t>’</w:t>
      </w:r>
      <w:r w:rsidRPr="009B6D19">
        <w:rPr>
          <w:rFonts w:ascii="Garamond" w:hAnsi="Garamond"/>
        </w:rPr>
        <w:t>u</w:t>
      </w:r>
      <w:r w:rsidR="00FB6AF1">
        <w:rPr>
          <w:rFonts w:ascii="Garamond" w:hAnsi="Garamond"/>
        </w:rPr>
        <w:t>n</w:t>
      </w:r>
      <w:r w:rsidRPr="009B6D19">
        <w:rPr>
          <w:rFonts w:ascii="Garamond" w:hAnsi="Garamond"/>
        </w:rPr>
        <w:t xml:space="preserve"> design institutionnel différent de celui attendu par </w:t>
      </w:r>
      <w:r w:rsidR="00FB6AF1">
        <w:rPr>
          <w:rFonts w:ascii="Garamond" w:hAnsi="Garamond"/>
        </w:rPr>
        <w:t>les congolais en adoptant par voie référendaire la Constitution</w:t>
      </w:r>
      <w:r w:rsidRPr="009B6D19">
        <w:rPr>
          <w:rFonts w:ascii="Garamond" w:hAnsi="Garamond"/>
        </w:rPr>
        <w:t xml:space="preserve"> de 2006.</w:t>
      </w:r>
    </w:p>
    <w:p w14:paraId="13F1C216" w14:textId="77475109" w:rsidR="00804868" w:rsidRPr="009B6D19" w:rsidRDefault="00804868" w:rsidP="00804868">
      <w:pPr>
        <w:rPr>
          <w:rFonts w:ascii="Garamond" w:hAnsi="Garamond"/>
        </w:rPr>
      </w:pPr>
      <w:r w:rsidRPr="009B6D19">
        <w:rPr>
          <w:rFonts w:ascii="Garamond" w:hAnsi="Garamond"/>
        </w:rPr>
        <w:t xml:space="preserve">Selon World Bank (2008 :19), certains facteurs institutionnels et législatifs (formels et informels) </w:t>
      </w:r>
      <w:r w:rsidR="00B40D2D">
        <w:rPr>
          <w:rFonts w:ascii="Garamond" w:hAnsi="Garamond"/>
        </w:rPr>
        <w:t xml:space="preserve">plombent certaines réformes notamment celle de la décentralisation. Etant donné que cette dernière </w:t>
      </w:r>
      <w:r w:rsidRPr="009B6D19">
        <w:rPr>
          <w:rFonts w:ascii="Garamond" w:hAnsi="Garamond"/>
        </w:rPr>
        <w:t xml:space="preserve">est l’un des leviers pour un développement local durable, </w:t>
      </w:r>
      <w:r w:rsidR="00B40D2D">
        <w:rPr>
          <w:rFonts w:ascii="Garamond" w:hAnsi="Garamond"/>
        </w:rPr>
        <w:t>ces facteurs</w:t>
      </w:r>
      <w:r w:rsidRPr="009B6D19">
        <w:rPr>
          <w:rFonts w:ascii="Garamond" w:hAnsi="Garamond"/>
        </w:rPr>
        <w:t xml:space="preserve"> devraient par conséquent</w:t>
      </w:r>
      <w:r w:rsidR="00FB6AF1">
        <w:rPr>
          <w:rFonts w:ascii="Garamond" w:hAnsi="Garamond"/>
        </w:rPr>
        <w:t>,</w:t>
      </w:r>
      <w:r w:rsidRPr="009B6D19">
        <w:rPr>
          <w:rFonts w:ascii="Garamond" w:hAnsi="Garamond"/>
        </w:rPr>
        <w:t xml:space="preserve"> être analysés en profondeur au regard de leur influence sur </w:t>
      </w:r>
      <w:r w:rsidR="00B40D2D">
        <w:rPr>
          <w:rFonts w:ascii="Garamond" w:hAnsi="Garamond"/>
        </w:rPr>
        <w:t xml:space="preserve">la responsabilité financière et la reddition de compte qui constituent le cœur d’une gouvernance démocratique locale. </w:t>
      </w:r>
    </w:p>
    <w:p w14:paraId="3CAF7A4B" w14:textId="758F36CB" w:rsidR="00804868" w:rsidRPr="009B6D19" w:rsidRDefault="00B40D2D" w:rsidP="00804868">
      <w:pPr>
        <w:rPr>
          <w:rFonts w:ascii="Garamond" w:hAnsi="Garamond"/>
        </w:rPr>
      </w:pPr>
      <w:r>
        <w:rPr>
          <w:rFonts w:ascii="Garamond" w:hAnsi="Garamond"/>
        </w:rPr>
        <w:t>Dans le contexte de la RDC, s</w:t>
      </w:r>
      <w:r w:rsidR="00804868" w:rsidRPr="009B6D19">
        <w:rPr>
          <w:rFonts w:ascii="Garamond" w:hAnsi="Garamond"/>
        </w:rPr>
        <w:t xml:space="preserve">ont </w:t>
      </w:r>
      <w:r w:rsidRPr="009B6D19">
        <w:rPr>
          <w:rFonts w:ascii="Garamond" w:hAnsi="Garamond"/>
        </w:rPr>
        <w:t xml:space="preserve">notamment </w:t>
      </w:r>
      <w:r>
        <w:rPr>
          <w:rFonts w:ascii="Garamond" w:hAnsi="Garamond"/>
        </w:rPr>
        <w:t xml:space="preserve">mis </w:t>
      </w:r>
      <w:r w:rsidR="00804868" w:rsidRPr="009B6D19">
        <w:rPr>
          <w:rFonts w:ascii="Garamond" w:hAnsi="Garamond"/>
        </w:rPr>
        <w:t xml:space="preserve">en cause </w:t>
      </w:r>
      <w:r>
        <w:rPr>
          <w:rFonts w:ascii="Garamond" w:hAnsi="Garamond"/>
        </w:rPr>
        <w:t>les facteurs suivants</w:t>
      </w:r>
      <w:r w:rsidR="00804868" w:rsidRPr="009B6D19">
        <w:rPr>
          <w:rFonts w:ascii="Garamond" w:hAnsi="Garamond"/>
        </w:rPr>
        <w:t xml:space="preserve"> : (i) la culture centralisatrice de la gestion publique en RDC </w:t>
      </w:r>
      <w:r w:rsidR="005E392B">
        <w:rPr>
          <w:rFonts w:ascii="Garamond" w:hAnsi="Garamond"/>
        </w:rPr>
        <w:t xml:space="preserve">(Liégeois, 2008, </w:t>
      </w:r>
      <w:proofErr w:type="spellStart"/>
      <w:r w:rsidR="005E392B">
        <w:rPr>
          <w:rFonts w:ascii="Garamond" w:hAnsi="Garamond"/>
        </w:rPr>
        <w:t>Trefon</w:t>
      </w:r>
      <w:proofErr w:type="spellEnd"/>
      <w:r w:rsidR="005E392B">
        <w:rPr>
          <w:rFonts w:ascii="Garamond" w:hAnsi="Garamond"/>
        </w:rPr>
        <w:t>, 2010 ;</w:t>
      </w:r>
      <w:r w:rsidR="00B8710D" w:rsidRPr="00B8710D">
        <w:rPr>
          <w:rFonts w:ascii="Garamond" w:hAnsi="Garamond"/>
        </w:rPr>
        <w:t xml:space="preserve"> </w:t>
      </w:r>
      <w:proofErr w:type="spellStart"/>
      <w:r w:rsidR="00B8710D" w:rsidRPr="009B6D19">
        <w:rPr>
          <w:rFonts w:ascii="Garamond" w:hAnsi="Garamond"/>
        </w:rPr>
        <w:t>Englebert</w:t>
      </w:r>
      <w:proofErr w:type="spellEnd"/>
      <w:r w:rsidR="00B8710D" w:rsidRPr="009B6D19">
        <w:rPr>
          <w:rFonts w:ascii="Garamond" w:hAnsi="Garamond"/>
        </w:rPr>
        <w:t xml:space="preserve"> &amp; Kasongo, 2016</w:t>
      </w:r>
      <w:r w:rsidR="00B8710D">
        <w:rPr>
          <w:rFonts w:ascii="Garamond" w:hAnsi="Garamond"/>
        </w:rPr>
        <w:t>)</w:t>
      </w:r>
      <w:r w:rsidR="00804868" w:rsidRPr="009B6D19">
        <w:rPr>
          <w:rFonts w:ascii="Garamond" w:hAnsi="Garamond"/>
        </w:rPr>
        <w:t xml:space="preserve"> (ii) les faibles capacités des ETD</w:t>
      </w:r>
      <w:r w:rsidR="005E392B">
        <w:rPr>
          <w:rFonts w:ascii="Garamond" w:hAnsi="Garamond"/>
        </w:rPr>
        <w:t xml:space="preserve"> (</w:t>
      </w:r>
      <w:proofErr w:type="spellStart"/>
      <w:r w:rsidR="005E392B">
        <w:rPr>
          <w:rFonts w:ascii="Garamond" w:hAnsi="Garamond"/>
        </w:rPr>
        <w:t>Trefon</w:t>
      </w:r>
      <w:proofErr w:type="spellEnd"/>
      <w:r w:rsidR="005E392B">
        <w:rPr>
          <w:rFonts w:ascii="Garamond" w:hAnsi="Garamond"/>
        </w:rPr>
        <w:t xml:space="preserve">, 2010 ; </w:t>
      </w:r>
      <w:proofErr w:type="spellStart"/>
      <w:r w:rsidR="005E392B">
        <w:rPr>
          <w:rFonts w:ascii="Garamond" w:hAnsi="Garamond"/>
        </w:rPr>
        <w:t>Niamh</w:t>
      </w:r>
      <w:proofErr w:type="spellEnd"/>
      <w:r w:rsidR="005E392B">
        <w:rPr>
          <w:rFonts w:ascii="Garamond" w:hAnsi="Garamond"/>
        </w:rPr>
        <w:t>, 2016 ;</w:t>
      </w:r>
      <w:r w:rsidR="00B8710D" w:rsidRPr="00B8710D">
        <w:rPr>
          <w:rFonts w:ascii="Garamond" w:hAnsi="Garamond"/>
        </w:rPr>
        <w:t xml:space="preserve"> </w:t>
      </w:r>
      <w:proofErr w:type="spellStart"/>
      <w:r w:rsidR="00B8710D" w:rsidRPr="009B6D19">
        <w:rPr>
          <w:rFonts w:ascii="Garamond" w:hAnsi="Garamond"/>
        </w:rPr>
        <w:t>Englebert</w:t>
      </w:r>
      <w:proofErr w:type="spellEnd"/>
      <w:r w:rsidR="00B8710D" w:rsidRPr="009B6D19">
        <w:rPr>
          <w:rFonts w:ascii="Garamond" w:hAnsi="Garamond"/>
        </w:rPr>
        <w:t xml:space="preserve"> &amp; Kasongo, 2016</w:t>
      </w:r>
      <w:r w:rsidR="00B8710D">
        <w:rPr>
          <w:rFonts w:ascii="Garamond" w:hAnsi="Garamond"/>
        </w:rPr>
        <w:t>)</w:t>
      </w:r>
      <w:r w:rsidR="00804868" w:rsidRPr="009B6D19">
        <w:rPr>
          <w:rFonts w:ascii="Garamond" w:hAnsi="Garamond"/>
        </w:rPr>
        <w:t xml:space="preserve"> et ; (iii) la faible participation des acteurs de la société civile </w:t>
      </w:r>
      <w:r w:rsidR="00B8710D">
        <w:rPr>
          <w:rFonts w:ascii="Garamond" w:hAnsi="Garamond"/>
        </w:rPr>
        <w:t>(</w:t>
      </w:r>
      <w:r w:rsidR="00B8710D" w:rsidRPr="009B6D19">
        <w:rPr>
          <w:rFonts w:ascii="Garamond" w:hAnsi="Garamond"/>
        </w:rPr>
        <w:t xml:space="preserve">Cabri, 2017 :2, </w:t>
      </w:r>
      <w:proofErr w:type="spellStart"/>
      <w:r w:rsidR="00B8710D" w:rsidRPr="009B6D19">
        <w:rPr>
          <w:rFonts w:ascii="Garamond" w:hAnsi="Garamond"/>
        </w:rPr>
        <w:t>Lienert</w:t>
      </w:r>
      <w:proofErr w:type="spellEnd"/>
      <w:r w:rsidR="00B8710D" w:rsidRPr="009B6D19">
        <w:rPr>
          <w:rFonts w:ascii="Garamond" w:hAnsi="Garamond"/>
        </w:rPr>
        <w:t>, I., 2012</w:t>
      </w:r>
      <w:r w:rsidR="00A24C73">
        <w:rPr>
          <w:rFonts w:ascii="Garamond" w:hAnsi="Garamond"/>
        </w:rPr>
        <w:t> ; Niamh, 2016 </w:t>
      </w:r>
      <w:r w:rsidR="00B8710D">
        <w:rPr>
          <w:rFonts w:ascii="Garamond" w:hAnsi="Garamond"/>
        </w:rPr>
        <w:t>)</w:t>
      </w:r>
      <w:r w:rsidR="00804868" w:rsidRPr="009B6D19">
        <w:rPr>
          <w:rFonts w:ascii="Garamond" w:hAnsi="Garamond"/>
        </w:rPr>
        <w:t>. Ces facteurs nous permettront de comprendre davantage les différents blocages auxquels font face la responsabilité financière et la reddition des comptes dans le contexte de décentralisation dans la ville de Kinshasa.</w:t>
      </w:r>
    </w:p>
    <w:p w14:paraId="32F360D8" w14:textId="68DF3239" w:rsidR="00804868" w:rsidRPr="009B6D19" w:rsidRDefault="00804868" w:rsidP="005E24F1">
      <w:pPr>
        <w:pStyle w:val="Heading3"/>
        <w:spacing w:after="100"/>
      </w:pPr>
      <w:bookmarkStart w:id="51" w:name="_Toc125594173"/>
      <w:bookmarkStart w:id="52" w:name="_Toc143577469"/>
      <w:r w:rsidRPr="009B6D19">
        <w:t>Culture centralisatrice dans la gestion publique en RDC</w:t>
      </w:r>
      <w:bookmarkEnd w:id="51"/>
      <w:bookmarkEnd w:id="52"/>
    </w:p>
    <w:p w14:paraId="3DD710E4" w14:textId="13F99691" w:rsidR="00804868" w:rsidRPr="009B6D19" w:rsidRDefault="00804868" w:rsidP="00804868">
      <w:pPr>
        <w:rPr>
          <w:rFonts w:ascii="Garamond" w:hAnsi="Garamond"/>
        </w:rPr>
      </w:pPr>
      <w:r w:rsidRPr="009B6D19">
        <w:rPr>
          <w:rFonts w:ascii="Garamond" w:hAnsi="Garamond"/>
        </w:rPr>
        <w:t xml:space="preserve">Le premier facteur pouvant affecter la trajectoire de la réforme de la décentralisation ainsi que la responsabilisation financière et l’obligation redditionnelle qui en découlent, est cette culture </w:t>
      </w:r>
      <w:r w:rsidRPr="009B6D19">
        <w:rPr>
          <w:rFonts w:ascii="Garamond" w:hAnsi="Garamond"/>
        </w:rPr>
        <w:lastRenderedPageBreak/>
        <w:t xml:space="preserve">centralisatrice qui marque substantiellement le système politique congolais. En effet, </w:t>
      </w:r>
      <w:r w:rsidR="005E24F1">
        <w:rPr>
          <w:rFonts w:ascii="Garamond" w:hAnsi="Garamond"/>
        </w:rPr>
        <w:t xml:space="preserve">selon Dubet (2002 : 22), </w:t>
      </w:r>
      <w:r w:rsidRPr="009B6D19">
        <w:rPr>
          <w:rFonts w:ascii="Garamond" w:hAnsi="Garamond"/>
        </w:rPr>
        <w:t>les institutions naissent et prennent d’abord forme sur le plan culturel, s’incrustent dans la vie sociale avant de devenir des normes ou des règles des jeux. C’est sous cette optique que depuis la nuit des temps, Emile Durkheim pensait que les institutions n’étaient rien d’autre</w:t>
      </w:r>
      <w:r w:rsidR="00866F85">
        <w:rPr>
          <w:rFonts w:ascii="Garamond" w:hAnsi="Garamond"/>
        </w:rPr>
        <w:t>s</w:t>
      </w:r>
      <w:r w:rsidRPr="009B6D19">
        <w:rPr>
          <w:rFonts w:ascii="Garamond" w:hAnsi="Garamond"/>
        </w:rPr>
        <w:t xml:space="preserve"> que des « </w:t>
      </w:r>
      <w:r w:rsidRPr="009B6D19">
        <w:rPr>
          <w:rFonts w:ascii="Garamond" w:hAnsi="Garamond"/>
          <w:i/>
        </w:rPr>
        <w:t>croyances et</w:t>
      </w:r>
      <w:r w:rsidR="00CD0100">
        <w:rPr>
          <w:rFonts w:ascii="Garamond" w:hAnsi="Garamond"/>
          <w:i/>
        </w:rPr>
        <w:t xml:space="preserve"> </w:t>
      </w:r>
      <w:r w:rsidRPr="009B6D19">
        <w:rPr>
          <w:rFonts w:ascii="Garamond" w:hAnsi="Garamond"/>
          <w:i/>
        </w:rPr>
        <w:t>modes de conduite institués par la</w:t>
      </w:r>
      <w:r>
        <w:rPr>
          <w:rFonts w:ascii="Garamond" w:hAnsi="Garamond"/>
          <w:i/>
        </w:rPr>
        <w:t xml:space="preserve"> </w:t>
      </w:r>
      <w:r w:rsidRPr="009B6D19">
        <w:rPr>
          <w:rFonts w:ascii="Garamond" w:hAnsi="Garamond"/>
          <w:i/>
        </w:rPr>
        <w:t>collectivité</w:t>
      </w:r>
      <w:r w:rsidRPr="009B6D19">
        <w:rPr>
          <w:rFonts w:ascii="Garamond" w:hAnsi="Garamond"/>
        </w:rPr>
        <w:t xml:space="preserve"> ». Dès lors qu’une institution est une construction identitaire édifiée sur des bases historiques et culturelles, elle s’insère dans l’agir social des acteurs au point que la mobilisation d’une force de déracinement doit s’accompagner d’une action compensatoire. Cela étant dit, face à des institutions culturellement encrées, les réformes institutionnelles qui viennent court-circuiter les pratiques et les croyances </w:t>
      </w:r>
      <w:r w:rsidR="00866F85">
        <w:rPr>
          <w:rFonts w:ascii="Garamond" w:hAnsi="Garamond"/>
        </w:rPr>
        <w:t>sociales</w:t>
      </w:r>
      <w:r w:rsidRPr="009B6D19">
        <w:rPr>
          <w:rFonts w:ascii="Garamond" w:hAnsi="Garamond"/>
        </w:rPr>
        <w:t xml:space="preserve">, n’ont </w:t>
      </w:r>
      <w:r w:rsidR="00E70B55">
        <w:rPr>
          <w:rFonts w:ascii="Garamond" w:hAnsi="Garamond"/>
        </w:rPr>
        <w:t xml:space="preserve">de choix entre s’accommoder, </w:t>
      </w:r>
      <w:r w:rsidRPr="009B6D19">
        <w:rPr>
          <w:rFonts w:ascii="Garamond" w:hAnsi="Garamond"/>
        </w:rPr>
        <w:t>se morfon</w:t>
      </w:r>
      <w:r w:rsidR="00E70B55">
        <w:rPr>
          <w:rFonts w:ascii="Garamond" w:hAnsi="Garamond"/>
        </w:rPr>
        <w:t xml:space="preserve">dre </w:t>
      </w:r>
      <w:r w:rsidRPr="009B6D19">
        <w:rPr>
          <w:rFonts w:ascii="Garamond" w:hAnsi="Garamond"/>
        </w:rPr>
        <w:t xml:space="preserve">ou se dissoudre. </w:t>
      </w:r>
    </w:p>
    <w:p w14:paraId="7EAFCD2C" w14:textId="1F94A59B" w:rsidR="00804868" w:rsidRPr="009B6D19" w:rsidRDefault="00804868" w:rsidP="00804868">
      <w:pPr>
        <w:rPr>
          <w:rFonts w:ascii="Garamond" w:hAnsi="Garamond"/>
        </w:rPr>
      </w:pPr>
      <w:r w:rsidRPr="009B6D19">
        <w:rPr>
          <w:rFonts w:ascii="Garamond" w:hAnsi="Garamond"/>
        </w:rPr>
        <w:t xml:space="preserve">En effet, </w:t>
      </w:r>
      <w:r w:rsidR="00620A40">
        <w:rPr>
          <w:rFonts w:ascii="Garamond" w:hAnsi="Garamond"/>
        </w:rPr>
        <w:t>pour le cas de la</w:t>
      </w:r>
      <w:r w:rsidRPr="009B6D19">
        <w:rPr>
          <w:rFonts w:ascii="Garamond" w:hAnsi="Garamond"/>
        </w:rPr>
        <w:t xml:space="preserve"> RDC</w:t>
      </w:r>
      <w:r w:rsidR="00E70B55">
        <w:rPr>
          <w:rFonts w:ascii="Garamond" w:hAnsi="Garamond"/>
        </w:rPr>
        <w:t xml:space="preserve">, </w:t>
      </w:r>
      <w:r w:rsidR="00B23D62">
        <w:rPr>
          <w:rFonts w:ascii="Garamond" w:hAnsi="Garamond"/>
        </w:rPr>
        <w:t xml:space="preserve">l’imposition de la bonne </w:t>
      </w:r>
      <w:r w:rsidRPr="009B6D19">
        <w:rPr>
          <w:rFonts w:ascii="Garamond" w:hAnsi="Garamond"/>
        </w:rPr>
        <w:t>gouvernance</w:t>
      </w:r>
      <w:r w:rsidR="00B23D62">
        <w:rPr>
          <w:rFonts w:ascii="Garamond" w:hAnsi="Garamond"/>
        </w:rPr>
        <w:t xml:space="preserve"> et toutes les réformes subséquentes</w:t>
      </w:r>
      <w:r w:rsidR="00620A40">
        <w:rPr>
          <w:rFonts w:ascii="Garamond" w:hAnsi="Garamond"/>
        </w:rPr>
        <w:t> ont</w:t>
      </w:r>
      <w:r w:rsidRPr="009B6D19">
        <w:rPr>
          <w:rFonts w:ascii="Garamond" w:hAnsi="Garamond"/>
        </w:rPr>
        <w:t xml:space="preserve"> entrainé </w:t>
      </w:r>
      <w:r w:rsidR="00620A40">
        <w:rPr>
          <w:rFonts w:ascii="Garamond" w:hAnsi="Garamond"/>
        </w:rPr>
        <w:t>une</w:t>
      </w:r>
      <w:r w:rsidRPr="009B6D19">
        <w:rPr>
          <w:rFonts w:ascii="Garamond" w:hAnsi="Garamond"/>
        </w:rPr>
        <w:t xml:space="preserve"> co</w:t>
      </w:r>
      <w:r w:rsidR="00B23D62">
        <w:rPr>
          <w:rFonts w:ascii="Garamond" w:hAnsi="Garamond"/>
        </w:rPr>
        <w:t>habitation</w:t>
      </w:r>
      <w:r w:rsidR="00620A40">
        <w:rPr>
          <w:rFonts w:ascii="Garamond" w:hAnsi="Garamond"/>
        </w:rPr>
        <w:t xml:space="preserve"> mécanique</w:t>
      </w:r>
      <w:r w:rsidR="00B23D62">
        <w:rPr>
          <w:rFonts w:ascii="Garamond" w:hAnsi="Garamond"/>
        </w:rPr>
        <w:t xml:space="preserve"> entre </w:t>
      </w:r>
      <w:r w:rsidRPr="009B6D19">
        <w:rPr>
          <w:rFonts w:ascii="Garamond" w:hAnsi="Garamond"/>
        </w:rPr>
        <w:t>l’organisation traditionnel</w:t>
      </w:r>
      <w:r w:rsidR="00B23D62">
        <w:rPr>
          <w:rFonts w:ascii="Garamond" w:hAnsi="Garamond"/>
        </w:rPr>
        <w:t>le</w:t>
      </w:r>
      <w:r w:rsidRPr="009B6D19">
        <w:rPr>
          <w:rFonts w:ascii="Garamond" w:hAnsi="Garamond"/>
        </w:rPr>
        <w:t xml:space="preserve"> et moderne du pouvoir</w:t>
      </w:r>
      <w:r w:rsidR="0099360D">
        <w:rPr>
          <w:rFonts w:ascii="Garamond" w:hAnsi="Garamond"/>
        </w:rPr>
        <w:t>. Cela n’a fait malheureusement</w:t>
      </w:r>
      <w:r w:rsidR="00B23D62">
        <w:rPr>
          <w:rFonts w:ascii="Garamond" w:hAnsi="Garamond"/>
        </w:rPr>
        <w:t xml:space="preserve"> qu’exacerber ce choc</w:t>
      </w:r>
      <w:r w:rsidR="00B23D62" w:rsidRPr="009B6D19">
        <w:rPr>
          <w:rFonts w:ascii="Garamond" w:hAnsi="Garamond"/>
        </w:rPr>
        <w:t xml:space="preserve"> culturel</w:t>
      </w:r>
      <w:r w:rsidRPr="009B6D19">
        <w:rPr>
          <w:rFonts w:ascii="Garamond" w:hAnsi="Garamond"/>
        </w:rPr>
        <w:t>. Par conséquent, l’unique motivation qui pousse les élites locales à adopter par voie référendaire, la</w:t>
      </w:r>
      <w:r w:rsidR="00DD1922">
        <w:rPr>
          <w:rFonts w:ascii="Garamond" w:hAnsi="Garamond"/>
        </w:rPr>
        <w:t xml:space="preserve"> réforme de la</w:t>
      </w:r>
      <w:r w:rsidRPr="009B6D19">
        <w:rPr>
          <w:rFonts w:ascii="Garamond" w:hAnsi="Garamond"/>
        </w:rPr>
        <w:t xml:space="preserve"> décentralisation sans y croire, c’est la promesse selon laquelle ils seront désormais maîtres de leurs richesses que se sont accaparées pendant longtemps les acteurs centraux. Vraisemblablement, il n’est pas question ni d’assurer une exploitation efficace d</w:t>
      </w:r>
      <w:r w:rsidR="0099360D">
        <w:rPr>
          <w:rFonts w:ascii="Garamond" w:hAnsi="Garamond"/>
        </w:rPr>
        <w:t>u</w:t>
      </w:r>
      <w:r w:rsidRPr="009B6D19">
        <w:rPr>
          <w:rFonts w:ascii="Garamond" w:hAnsi="Garamond"/>
        </w:rPr>
        <w:t xml:space="preserve"> potentiel fiscal </w:t>
      </w:r>
      <w:r w:rsidR="0099360D">
        <w:rPr>
          <w:rFonts w:ascii="Garamond" w:hAnsi="Garamond"/>
        </w:rPr>
        <w:t xml:space="preserve">local </w:t>
      </w:r>
      <w:r w:rsidRPr="009B6D19">
        <w:rPr>
          <w:rFonts w:ascii="Garamond" w:hAnsi="Garamond"/>
        </w:rPr>
        <w:t xml:space="preserve">ni d’assurer une meilleure redistribution des ressources mais bien plus, de développer une politique rentière fortement dépendante des ressources </w:t>
      </w:r>
      <w:r w:rsidR="00DD1922">
        <w:rPr>
          <w:rFonts w:ascii="Garamond" w:hAnsi="Garamond"/>
        </w:rPr>
        <w:t>issues des financements extérieurs</w:t>
      </w:r>
      <w:r w:rsidRPr="009B6D19">
        <w:rPr>
          <w:rFonts w:ascii="Garamond" w:hAnsi="Garamond"/>
        </w:rPr>
        <w:t xml:space="preserve"> (De Mello, 2000 &amp; </w:t>
      </w:r>
      <w:proofErr w:type="spellStart"/>
      <w:r w:rsidRPr="009B6D19">
        <w:rPr>
          <w:rFonts w:ascii="Garamond" w:hAnsi="Garamond"/>
        </w:rPr>
        <w:t>Rodden</w:t>
      </w:r>
      <w:proofErr w:type="spellEnd"/>
      <w:r w:rsidRPr="009B6D19">
        <w:rPr>
          <w:rFonts w:ascii="Garamond" w:hAnsi="Garamond"/>
        </w:rPr>
        <w:t>, 2002 cités par Caldeira &amp; Rota- Rota-</w:t>
      </w:r>
      <w:proofErr w:type="spellStart"/>
      <w:r w:rsidRPr="009B6D19">
        <w:rPr>
          <w:rFonts w:ascii="Garamond" w:hAnsi="Garamond"/>
        </w:rPr>
        <w:t>Graziosi</w:t>
      </w:r>
      <w:proofErr w:type="spellEnd"/>
      <w:r w:rsidRPr="009B6D19">
        <w:rPr>
          <w:rFonts w:ascii="Garamond" w:hAnsi="Garamond"/>
        </w:rPr>
        <w:t xml:space="preserve"> (2014 :23) ; </w:t>
      </w:r>
      <w:proofErr w:type="spellStart"/>
      <w:r w:rsidRPr="009B6D19">
        <w:rPr>
          <w:rFonts w:ascii="Garamond" w:hAnsi="Garamond"/>
        </w:rPr>
        <w:t>Magrin</w:t>
      </w:r>
      <w:proofErr w:type="spellEnd"/>
      <w:r w:rsidRPr="009B6D19">
        <w:rPr>
          <w:rFonts w:ascii="Garamond" w:hAnsi="Garamond"/>
        </w:rPr>
        <w:t xml:space="preserve"> (2013). </w:t>
      </w:r>
      <w:r w:rsidR="00DD1922">
        <w:rPr>
          <w:rFonts w:ascii="Garamond" w:hAnsi="Garamond"/>
        </w:rPr>
        <w:t>Ainsi, ce mariage contre-nature n’a fait qu’</w:t>
      </w:r>
      <w:r w:rsidR="0099360D">
        <w:rPr>
          <w:rFonts w:ascii="Garamond" w:hAnsi="Garamond"/>
        </w:rPr>
        <w:t xml:space="preserve">alimenter </w:t>
      </w:r>
      <w:r w:rsidR="00DD1922">
        <w:rPr>
          <w:rFonts w:ascii="Garamond" w:hAnsi="Garamond"/>
        </w:rPr>
        <w:t xml:space="preserve">non seulement la </w:t>
      </w:r>
      <w:r w:rsidR="005D51F0">
        <w:rPr>
          <w:rFonts w:ascii="Garamond" w:hAnsi="Garamond"/>
        </w:rPr>
        <w:t>culture centralisatrice</w:t>
      </w:r>
      <w:r w:rsidR="00DD1922">
        <w:rPr>
          <w:rFonts w:ascii="Garamond" w:hAnsi="Garamond"/>
        </w:rPr>
        <w:t xml:space="preserve"> </w:t>
      </w:r>
      <w:r w:rsidR="00AA5805">
        <w:rPr>
          <w:rFonts w:ascii="Garamond" w:hAnsi="Garamond"/>
        </w:rPr>
        <w:t xml:space="preserve">comme moyen de résistance </w:t>
      </w:r>
      <w:r w:rsidR="0099360D" w:rsidRPr="009B6D19">
        <w:rPr>
          <w:rFonts w:ascii="Garamond" w:hAnsi="Garamond"/>
        </w:rPr>
        <w:t>(PEFA, 202</w:t>
      </w:r>
      <w:r w:rsidR="003209C0">
        <w:rPr>
          <w:rFonts w:ascii="Garamond" w:hAnsi="Garamond"/>
        </w:rPr>
        <w:t>0</w:t>
      </w:r>
      <w:r w:rsidR="0099360D" w:rsidRPr="009B6D19">
        <w:rPr>
          <w:rFonts w:ascii="Garamond" w:hAnsi="Garamond"/>
        </w:rPr>
        <w:t>)</w:t>
      </w:r>
      <w:r w:rsidR="0099360D">
        <w:rPr>
          <w:rFonts w:ascii="Garamond" w:hAnsi="Garamond"/>
        </w:rPr>
        <w:t xml:space="preserve"> </w:t>
      </w:r>
      <w:r w:rsidR="00DD1922">
        <w:rPr>
          <w:rFonts w:ascii="Garamond" w:hAnsi="Garamond"/>
        </w:rPr>
        <w:t xml:space="preserve">mais aussi, </w:t>
      </w:r>
      <w:r w:rsidR="005D51F0">
        <w:rPr>
          <w:rFonts w:ascii="Garamond" w:hAnsi="Garamond"/>
        </w:rPr>
        <w:t xml:space="preserve">entretenir </w:t>
      </w:r>
      <w:r w:rsidRPr="009B6D19">
        <w:rPr>
          <w:rFonts w:ascii="Garamond" w:hAnsi="Garamond"/>
        </w:rPr>
        <w:t xml:space="preserve">une </w:t>
      </w:r>
      <w:r w:rsidR="005D51F0">
        <w:rPr>
          <w:rFonts w:ascii="Garamond" w:hAnsi="Garamond"/>
        </w:rPr>
        <w:t xml:space="preserve">certaine </w:t>
      </w:r>
      <w:r w:rsidRPr="009B6D19">
        <w:rPr>
          <w:rFonts w:ascii="Garamond" w:hAnsi="Garamond"/>
        </w:rPr>
        <w:t>incertitude en rapport avec les nouvelles dynamiques sur les re</w:t>
      </w:r>
      <w:r w:rsidR="00AA5805">
        <w:rPr>
          <w:rFonts w:ascii="Garamond" w:hAnsi="Garamond"/>
        </w:rPr>
        <w:t>lations de pouvoir qui entoure</w:t>
      </w:r>
      <w:r w:rsidRPr="009B6D19">
        <w:rPr>
          <w:rFonts w:ascii="Garamond" w:hAnsi="Garamond"/>
        </w:rPr>
        <w:t xml:space="preserve">nt l’effectivité de la responsabilisation financière et la reddition des comptes. </w:t>
      </w:r>
    </w:p>
    <w:p w14:paraId="67CA916F" w14:textId="1E59403C" w:rsidR="00411077" w:rsidRDefault="005D51F0" w:rsidP="00EA4EF9">
      <w:pPr>
        <w:rPr>
          <w:rFonts w:ascii="Garamond" w:hAnsi="Garamond"/>
        </w:rPr>
      </w:pPr>
      <w:r>
        <w:rPr>
          <w:rFonts w:ascii="Garamond" w:hAnsi="Garamond"/>
        </w:rPr>
        <w:t>Par ailleurs, l</w:t>
      </w:r>
      <w:r w:rsidR="00335049">
        <w:rPr>
          <w:rFonts w:ascii="Garamond" w:hAnsi="Garamond"/>
        </w:rPr>
        <w:t xml:space="preserve">e </w:t>
      </w:r>
      <w:r w:rsidR="00804868">
        <w:rPr>
          <w:rFonts w:ascii="Garamond" w:hAnsi="Garamond"/>
        </w:rPr>
        <w:t>rythme de construction et de consolidation des outils po</w:t>
      </w:r>
      <w:r w:rsidR="00804868" w:rsidRPr="009B6D19">
        <w:rPr>
          <w:rFonts w:ascii="Garamond" w:hAnsi="Garamond"/>
        </w:rPr>
        <w:t>ur asseoir la réforme ainsi que les blocages techniques et politiques érigés par le pouvoir central, parviennent à dém</w:t>
      </w:r>
      <w:r w:rsidR="0099360D">
        <w:rPr>
          <w:rFonts w:ascii="Garamond" w:hAnsi="Garamond"/>
        </w:rPr>
        <w:t xml:space="preserve">asquer </w:t>
      </w:r>
      <w:r>
        <w:rPr>
          <w:rFonts w:ascii="Garamond" w:hAnsi="Garamond"/>
        </w:rPr>
        <w:t xml:space="preserve">cette </w:t>
      </w:r>
      <w:r w:rsidR="00804868" w:rsidRPr="009B6D19">
        <w:rPr>
          <w:rFonts w:ascii="Garamond" w:hAnsi="Garamond"/>
        </w:rPr>
        <w:t xml:space="preserve">la tendance à la recentralisation. Néanmoins, cette </w:t>
      </w:r>
      <w:r w:rsidR="0099360D">
        <w:rPr>
          <w:rFonts w:ascii="Garamond" w:hAnsi="Garamond"/>
        </w:rPr>
        <w:t>dernière</w:t>
      </w:r>
      <w:r w:rsidR="00AA5805">
        <w:rPr>
          <w:rFonts w:ascii="Garamond" w:hAnsi="Garamond"/>
        </w:rPr>
        <w:t xml:space="preserve"> n’est liée </w:t>
      </w:r>
      <w:r w:rsidR="0099360D">
        <w:rPr>
          <w:rFonts w:ascii="Garamond" w:hAnsi="Garamond"/>
        </w:rPr>
        <w:t xml:space="preserve">ni </w:t>
      </w:r>
      <w:r w:rsidR="00AA5805">
        <w:rPr>
          <w:rFonts w:ascii="Garamond" w:hAnsi="Garamond"/>
        </w:rPr>
        <w:t>à la forme de l’Etat, ni à son étendue moins encore à son passé historique sulfureux</w:t>
      </w:r>
      <w:r w:rsidR="00804868" w:rsidRPr="009B6D19">
        <w:rPr>
          <w:rFonts w:ascii="Garamond" w:hAnsi="Garamond"/>
        </w:rPr>
        <w:t xml:space="preserve">, mais bien plus </w:t>
      </w:r>
      <w:r w:rsidR="00792E1A">
        <w:rPr>
          <w:rFonts w:ascii="Garamond" w:hAnsi="Garamond"/>
        </w:rPr>
        <w:t>trouverait sa justification dans la perpétuation de la rural</w:t>
      </w:r>
      <w:r w:rsidR="0099360D">
        <w:rPr>
          <w:rFonts w:ascii="Garamond" w:hAnsi="Garamond"/>
        </w:rPr>
        <w:t>ité des entités infranationales. En effet, c</w:t>
      </w:r>
      <w:r w:rsidR="00792E1A">
        <w:rPr>
          <w:rFonts w:ascii="Garamond" w:hAnsi="Garamond"/>
        </w:rPr>
        <w:t xml:space="preserve">ette ruralité </w:t>
      </w:r>
      <w:r w:rsidR="0099360D">
        <w:rPr>
          <w:rFonts w:ascii="Garamond" w:hAnsi="Garamond"/>
        </w:rPr>
        <w:t xml:space="preserve">qui caractérise beaucoup des pays en développement, </w:t>
      </w:r>
      <w:r w:rsidR="00792E1A">
        <w:rPr>
          <w:rFonts w:ascii="Garamond" w:hAnsi="Garamond"/>
        </w:rPr>
        <w:t xml:space="preserve">favorise </w:t>
      </w:r>
      <w:r w:rsidR="00804868" w:rsidRPr="00792E1A">
        <w:rPr>
          <w:rFonts w:ascii="Garamond" w:hAnsi="Garamond"/>
        </w:rPr>
        <w:t xml:space="preserve">la survivance de </w:t>
      </w:r>
      <w:r w:rsidR="00F34C30">
        <w:rPr>
          <w:rFonts w:ascii="Garamond" w:hAnsi="Garamond"/>
        </w:rPr>
        <w:t>« </w:t>
      </w:r>
      <w:r w:rsidR="00804868" w:rsidRPr="00F34C30">
        <w:rPr>
          <w:rFonts w:ascii="Garamond" w:hAnsi="Garamond"/>
          <w:i/>
        </w:rPr>
        <w:t>référents socio-politiques et culturels traditionnels</w:t>
      </w:r>
      <w:r w:rsidR="00F34C30">
        <w:rPr>
          <w:rFonts w:ascii="Garamond" w:hAnsi="Garamond"/>
        </w:rPr>
        <w:t> »</w:t>
      </w:r>
      <w:r w:rsidR="00F34C30" w:rsidRPr="00F34C30">
        <w:rPr>
          <w:rFonts w:ascii="Garamond" w:hAnsi="Garamond"/>
        </w:rPr>
        <w:t xml:space="preserve"> </w:t>
      </w:r>
      <w:r w:rsidR="00F34C30" w:rsidRPr="009B6D19">
        <w:rPr>
          <w:rFonts w:ascii="Garamond" w:hAnsi="Garamond"/>
        </w:rPr>
        <w:t>(Ouédraogo, 2006 :11)</w:t>
      </w:r>
      <w:r w:rsidR="00F34C30">
        <w:rPr>
          <w:rFonts w:ascii="Garamond" w:hAnsi="Garamond"/>
        </w:rPr>
        <w:t xml:space="preserve"> et entraine l’institutionnalisation des modalités ancestrales d’exercice de pouvoir comme moyen déterminants des </w:t>
      </w:r>
      <w:r w:rsidR="00804868" w:rsidRPr="00F34C30">
        <w:rPr>
          <w:rFonts w:ascii="Garamond" w:hAnsi="Garamond"/>
        </w:rPr>
        <w:t xml:space="preserve">comportements individuels et </w:t>
      </w:r>
      <w:r w:rsidR="00F34C30" w:rsidRPr="00F34C30">
        <w:rPr>
          <w:rFonts w:ascii="Garamond" w:hAnsi="Garamond"/>
        </w:rPr>
        <w:t>collectifs</w:t>
      </w:r>
      <w:r w:rsidR="00F34C30" w:rsidRPr="009B6D19">
        <w:rPr>
          <w:rFonts w:ascii="Garamond" w:hAnsi="Garamond"/>
          <w:i/>
        </w:rPr>
        <w:t xml:space="preserve">. </w:t>
      </w:r>
      <w:r w:rsidR="00804868" w:rsidRPr="009B6D19">
        <w:rPr>
          <w:rFonts w:ascii="Garamond" w:hAnsi="Garamond"/>
        </w:rPr>
        <w:t xml:space="preserve">Bien que Kinshasa soit une zone </w:t>
      </w:r>
      <w:r w:rsidR="008F5F10">
        <w:rPr>
          <w:rFonts w:ascii="Garamond" w:hAnsi="Garamond"/>
        </w:rPr>
        <w:t>urbaine</w:t>
      </w:r>
      <w:r w:rsidR="00804868" w:rsidRPr="009B6D19">
        <w:rPr>
          <w:rFonts w:ascii="Garamond" w:hAnsi="Garamond"/>
        </w:rPr>
        <w:t xml:space="preserve">, Bayart (2009) avait souligné que même dans le contexte de démocratie moderne en Afrique subsaharienne, les traces de la </w:t>
      </w:r>
      <w:r w:rsidR="00804868" w:rsidRPr="009B6D19">
        <w:rPr>
          <w:rFonts w:ascii="Garamond" w:hAnsi="Garamond"/>
        </w:rPr>
        <w:lastRenderedPageBreak/>
        <w:t xml:space="preserve">tradition continuent à impacter et à conditionner l’exercice du pouvoir. </w:t>
      </w:r>
      <w:r w:rsidR="009B0C9E">
        <w:rPr>
          <w:rFonts w:ascii="Garamond" w:hAnsi="Garamond"/>
        </w:rPr>
        <w:t xml:space="preserve">Cette traditionalisation de pouvoir qui est par essence centraliste, </w:t>
      </w:r>
      <w:r w:rsidR="00CE471C">
        <w:rPr>
          <w:rFonts w:ascii="Garamond" w:hAnsi="Garamond"/>
        </w:rPr>
        <w:t>accouche de véritables “</w:t>
      </w:r>
      <w:r w:rsidR="00804868" w:rsidRPr="009B6D19">
        <w:rPr>
          <w:rFonts w:ascii="Garamond" w:hAnsi="Garamond"/>
        </w:rPr>
        <w:t xml:space="preserve">chefs’’ qui n’ont des comptes à rendre à qui que ce soit. Elle inhibe ainsi cet </w:t>
      </w:r>
      <w:r w:rsidR="00804868" w:rsidRPr="009B6D19">
        <w:rPr>
          <w:rFonts w:ascii="Garamond" w:hAnsi="Garamond"/>
          <w:i/>
        </w:rPr>
        <w:t>idéaltype</w:t>
      </w:r>
      <w:r w:rsidR="00804868" w:rsidRPr="009B6D19">
        <w:rPr>
          <w:rFonts w:ascii="Garamond" w:hAnsi="Garamond"/>
        </w:rPr>
        <w:t xml:space="preserve"> de décentralisation visant à mettre en place  des entités provinciales et locales réellement autonomes, responsables, créatrices de ressources et force motrice du développement local. Quand bien même des garde-fous institutionnels et législatifs sont </w:t>
      </w:r>
      <w:r w:rsidR="00772124">
        <w:rPr>
          <w:rFonts w:ascii="Garamond" w:hAnsi="Garamond"/>
        </w:rPr>
        <w:t>mises en place</w:t>
      </w:r>
      <w:r w:rsidR="00804868" w:rsidRPr="009B6D19">
        <w:rPr>
          <w:rFonts w:ascii="Garamond" w:hAnsi="Garamond"/>
        </w:rPr>
        <w:t xml:space="preserve">, </w:t>
      </w:r>
      <w:r w:rsidR="009C5F79">
        <w:rPr>
          <w:rFonts w:ascii="Garamond" w:hAnsi="Garamond"/>
        </w:rPr>
        <w:t>la World Bank (</w:t>
      </w:r>
      <w:r w:rsidR="009C5F79" w:rsidRPr="009B6D19">
        <w:rPr>
          <w:rFonts w:ascii="Garamond" w:hAnsi="Garamond"/>
        </w:rPr>
        <w:t>2008)</w:t>
      </w:r>
      <w:r w:rsidR="009C5F79">
        <w:rPr>
          <w:rFonts w:ascii="Garamond" w:hAnsi="Garamond"/>
        </w:rPr>
        <w:t xml:space="preserve"> note que dans beaucoup des pays en développement, </w:t>
      </w:r>
      <w:r w:rsidR="00511B52">
        <w:rPr>
          <w:rFonts w:ascii="Garamond" w:hAnsi="Garamond"/>
        </w:rPr>
        <w:t xml:space="preserve">des pesanteurs </w:t>
      </w:r>
      <w:r w:rsidR="009C5F79">
        <w:rPr>
          <w:rFonts w:ascii="Garamond" w:hAnsi="Garamond"/>
        </w:rPr>
        <w:t xml:space="preserve">de nature </w:t>
      </w:r>
      <w:r w:rsidR="00511B52">
        <w:rPr>
          <w:rFonts w:ascii="Garamond" w:hAnsi="Garamond"/>
        </w:rPr>
        <w:t>centralisatrice</w:t>
      </w:r>
      <w:r w:rsidR="009C5F79">
        <w:rPr>
          <w:rFonts w:ascii="Garamond" w:hAnsi="Garamond"/>
        </w:rPr>
        <w:t xml:space="preserve"> </w:t>
      </w:r>
      <w:r w:rsidR="00511B52">
        <w:rPr>
          <w:rFonts w:ascii="Garamond" w:hAnsi="Garamond"/>
        </w:rPr>
        <w:t>s</w:t>
      </w:r>
      <w:r w:rsidR="009C5F79">
        <w:rPr>
          <w:rFonts w:ascii="Garamond" w:hAnsi="Garamond"/>
        </w:rPr>
        <w:t>ont</w:t>
      </w:r>
      <w:r w:rsidR="00511B52">
        <w:rPr>
          <w:rFonts w:ascii="Garamond" w:hAnsi="Garamond"/>
        </w:rPr>
        <w:t xml:space="preserve"> </w:t>
      </w:r>
      <w:r w:rsidR="006302D3">
        <w:rPr>
          <w:rFonts w:ascii="Garamond" w:hAnsi="Garamond"/>
        </w:rPr>
        <w:t>bien orchestrées par les acteurs dominants</w:t>
      </w:r>
      <w:r w:rsidR="009C5F79">
        <w:rPr>
          <w:rFonts w:ascii="Garamond" w:hAnsi="Garamond"/>
        </w:rPr>
        <w:t xml:space="preserve"> dans le but de maintenir la réforme de la décentralisation dans le </w:t>
      </w:r>
      <w:r w:rsidR="009C5F79" w:rsidRPr="009C5F79">
        <w:rPr>
          <w:rFonts w:ascii="Garamond" w:hAnsi="Garamond"/>
          <w:i/>
        </w:rPr>
        <w:t>statu quo</w:t>
      </w:r>
      <w:r w:rsidR="009C5F79">
        <w:rPr>
          <w:rFonts w:ascii="Garamond" w:hAnsi="Garamond"/>
        </w:rPr>
        <w:t>. En ce qui concerne la RDC, c</w:t>
      </w:r>
      <w:r w:rsidR="00176CA1">
        <w:rPr>
          <w:rFonts w:ascii="Garamond" w:hAnsi="Garamond"/>
        </w:rPr>
        <w:t xml:space="preserve">e </w:t>
      </w:r>
      <w:r w:rsidR="00804868" w:rsidRPr="009B6D19">
        <w:rPr>
          <w:rFonts w:ascii="Garamond" w:hAnsi="Garamond"/>
        </w:rPr>
        <w:t xml:space="preserve">rapport </w:t>
      </w:r>
      <w:r w:rsidR="00EA4EF9">
        <w:rPr>
          <w:rFonts w:ascii="Garamond" w:hAnsi="Garamond"/>
        </w:rPr>
        <w:t xml:space="preserve">met en cause </w:t>
      </w:r>
      <w:r w:rsidR="00176CA1">
        <w:rPr>
          <w:rFonts w:ascii="Garamond" w:hAnsi="Garamond"/>
        </w:rPr>
        <w:t xml:space="preserve">notamment </w:t>
      </w:r>
      <w:r w:rsidR="00EA4EF9">
        <w:rPr>
          <w:rFonts w:ascii="Garamond" w:hAnsi="Garamond"/>
        </w:rPr>
        <w:t>la présence d’</w:t>
      </w:r>
      <w:r w:rsidR="00804868" w:rsidRPr="009B6D19">
        <w:rPr>
          <w:rFonts w:ascii="Garamond" w:hAnsi="Garamond"/>
        </w:rPr>
        <w:t xml:space="preserve">une architecture </w:t>
      </w:r>
      <w:r w:rsidR="006302D3">
        <w:rPr>
          <w:rFonts w:ascii="Garamond" w:hAnsi="Garamond"/>
        </w:rPr>
        <w:t xml:space="preserve">légale </w:t>
      </w:r>
      <w:r w:rsidR="00EA4EF9">
        <w:rPr>
          <w:rFonts w:ascii="Garamond" w:hAnsi="Garamond"/>
        </w:rPr>
        <w:t xml:space="preserve">régissant les finances publiques qui est </w:t>
      </w:r>
      <w:r w:rsidR="00804868" w:rsidRPr="009B6D19">
        <w:rPr>
          <w:rFonts w:ascii="Garamond" w:hAnsi="Garamond"/>
        </w:rPr>
        <w:t xml:space="preserve">formellement bien élaborée </w:t>
      </w:r>
      <w:r w:rsidR="006D5C0F">
        <w:rPr>
          <w:rFonts w:ascii="Garamond" w:hAnsi="Garamond"/>
        </w:rPr>
        <w:t>et</w:t>
      </w:r>
      <w:r w:rsidR="00804868" w:rsidRPr="009B6D19">
        <w:rPr>
          <w:rFonts w:ascii="Garamond" w:hAnsi="Garamond"/>
        </w:rPr>
        <w:t xml:space="preserve"> </w:t>
      </w:r>
      <w:r w:rsidR="006302D3">
        <w:rPr>
          <w:rFonts w:ascii="Garamond" w:hAnsi="Garamond"/>
        </w:rPr>
        <w:t xml:space="preserve">mais </w:t>
      </w:r>
      <w:r w:rsidR="006D5C0F">
        <w:rPr>
          <w:rFonts w:ascii="Garamond" w:hAnsi="Garamond"/>
        </w:rPr>
        <w:t>incomplète</w:t>
      </w:r>
      <w:r w:rsidR="00EA4EF9">
        <w:rPr>
          <w:rFonts w:ascii="Garamond" w:hAnsi="Garamond"/>
        </w:rPr>
        <w:t xml:space="preserve">, une fragilité institutionnelle due aux faibles capacités des entités locales et une faible participation des parties prenantes. </w:t>
      </w:r>
      <w:r w:rsidR="00804868" w:rsidRPr="009B6D19">
        <w:rPr>
          <w:rFonts w:ascii="Garamond" w:hAnsi="Garamond"/>
        </w:rPr>
        <w:t xml:space="preserve">Face à </w:t>
      </w:r>
      <w:r w:rsidR="00176CA1">
        <w:rPr>
          <w:rFonts w:ascii="Garamond" w:hAnsi="Garamond"/>
        </w:rPr>
        <w:t>ces difficultés</w:t>
      </w:r>
      <w:r w:rsidR="00804868" w:rsidRPr="009B6D19">
        <w:rPr>
          <w:rFonts w:ascii="Garamond" w:hAnsi="Garamond"/>
        </w:rPr>
        <w:t xml:space="preserve">, les </w:t>
      </w:r>
      <w:r w:rsidR="00EA4EF9">
        <w:rPr>
          <w:rFonts w:ascii="Garamond" w:hAnsi="Garamond"/>
        </w:rPr>
        <w:t>gestionnaires</w:t>
      </w:r>
      <w:r w:rsidR="00804868" w:rsidRPr="009B6D19">
        <w:rPr>
          <w:rFonts w:ascii="Garamond" w:hAnsi="Garamond"/>
        </w:rPr>
        <w:t xml:space="preserve"> des entités locales</w:t>
      </w:r>
      <w:r w:rsidR="00EA4EF9">
        <w:rPr>
          <w:rFonts w:ascii="Garamond" w:hAnsi="Garamond"/>
        </w:rPr>
        <w:t xml:space="preserve">, qui par ailleurs sont nommés actuellement par le pouvoir central, </w:t>
      </w:r>
      <w:r w:rsidR="00804868" w:rsidRPr="009B6D19">
        <w:rPr>
          <w:rFonts w:ascii="Garamond" w:hAnsi="Garamond"/>
        </w:rPr>
        <w:t>se sentent plus responsables et redevable</w:t>
      </w:r>
      <w:r w:rsidR="00A97966">
        <w:rPr>
          <w:rFonts w:ascii="Garamond" w:hAnsi="Garamond"/>
        </w:rPr>
        <w:t>s</w:t>
      </w:r>
      <w:r w:rsidR="00804868" w:rsidRPr="009B6D19">
        <w:rPr>
          <w:rFonts w:ascii="Garamond" w:hAnsi="Garamond"/>
        </w:rPr>
        <w:t xml:space="preserve"> devant les acteurs dominants du pouvoir central et devant leur</w:t>
      </w:r>
      <w:r w:rsidR="00A97966">
        <w:rPr>
          <w:rFonts w:ascii="Garamond" w:hAnsi="Garamond"/>
        </w:rPr>
        <w:t>s</w:t>
      </w:r>
      <w:r w:rsidR="00804868" w:rsidRPr="009B6D19">
        <w:rPr>
          <w:rFonts w:ascii="Garamond" w:hAnsi="Garamond"/>
        </w:rPr>
        <w:t xml:space="preserve"> parti</w:t>
      </w:r>
      <w:r w:rsidR="00A97966">
        <w:rPr>
          <w:rFonts w:ascii="Garamond" w:hAnsi="Garamond"/>
        </w:rPr>
        <w:t>s</w:t>
      </w:r>
      <w:r w:rsidR="00804868" w:rsidRPr="009B6D19">
        <w:rPr>
          <w:rFonts w:ascii="Garamond" w:hAnsi="Garamond"/>
        </w:rPr>
        <w:t xml:space="preserve"> politique</w:t>
      </w:r>
      <w:r w:rsidR="00A97966">
        <w:rPr>
          <w:rFonts w:ascii="Garamond" w:hAnsi="Garamond"/>
        </w:rPr>
        <w:t>s</w:t>
      </w:r>
      <w:r w:rsidR="00804868" w:rsidRPr="009B6D19">
        <w:rPr>
          <w:rFonts w:ascii="Garamond" w:hAnsi="Garamond"/>
        </w:rPr>
        <w:t xml:space="preserve"> que devant les administrés (</w:t>
      </w:r>
      <w:proofErr w:type="spellStart"/>
      <w:r w:rsidR="00804868" w:rsidRPr="009B6D19">
        <w:rPr>
          <w:rFonts w:ascii="Garamond" w:hAnsi="Garamond"/>
        </w:rPr>
        <w:t>Mavalaka</w:t>
      </w:r>
      <w:proofErr w:type="spellEnd"/>
      <w:r w:rsidR="00804868" w:rsidRPr="009B6D19">
        <w:rPr>
          <w:rFonts w:ascii="Garamond" w:hAnsi="Garamond"/>
        </w:rPr>
        <w:t>, 2018). Une étude menée récemment sur le découpage territorial en RDC par  une commission conjointe Commission Européenne,</w:t>
      </w:r>
      <w:r w:rsidR="00804868">
        <w:rPr>
          <w:rFonts w:ascii="Garamond" w:hAnsi="Garamond"/>
        </w:rPr>
        <w:t xml:space="preserve"> CTB et PNUD </w:t>
      </w:r>
      <w:r w:rsidR="00653D77">
        <w:rPr>
          <w:rFonts w:ascii="Garamond" w:hAnsi="Garamond"/>
        </w:rPr>
        <w:t xml:space="preserve">note que ces faiblesses et ambiguïtés institutionnelles </w:t>
      </w:r>
      <w:r w:rsidR="00411077">
        <w:rPr>
          <w:rFonts w:ascii="Garamond" w:hAnsi="Garamond"/>
        </w:rPr>
        <w:t xml:space="preserve">ne laissent pas de choix au Gouvernement que </w:t>
      </w:r>
      <w:r w:rsidR="00804868" w:rsidRPr="009B6D19">
        <w:rPr>
          <w:rFonts w:ascii="Garamond" w:hAnsi="Garamond"/>
        </w:rPr>
        <w:t>de « </w:t>
      </w:r>
      <w:r w:rsidR="00804868" w:rsidRPr="009B6D19">
        <w:rPr>
          <w:rFonts w:ascii="Garamond" w:hAnsi="Garamond"/>
          <w:i/>
        </w:rPr>
        <w:t>nourrir des appréhensions sur la décentralisation</w:t>
      </w:r>
      <w:r w:rsidR="00804868" w:rsidRPr="009B6D19">
        <w:rPr>
          <w:rFonts w:ascii="Garamond" w:hAnsi="Garamond"/>
        </w:rPr>
        <w:t> » avec le risque notammen</w:t>
      </w:r>
      <w:r w:rsidR="00804868">
        <w:rPr>
          <w:rFonts w:ascii="Garamond" w:hAnsi="Garamond"/>
        </w:rPr>
        <w:t xml:space="preserve">t de vider </w:t>
      </w:r>
      <w:r w:rsidR="00411077">
        <w:rPr>
          <w:rFonts w:ascii="Garamond" w:hAnsi="Garamond"/>
        </w:rPr>
        <w:t>cette dernière</w:t>
      </w:r>
      <w:r w:rsidR="00804868">
        <w:rPr>
          <w:rFonts w:ascii="Garamond" w:hAnsi="Garamond"/>
        </w:rPr>
        <w:t xml:space="preserve"> de son contenu. </w:t>
      </w:r>
      <w:r w:rsidR="00804868" w:rsidRPr="009B6D19">
        <w:rPr>
          <w:rFonts w:ascii="Garamond" w:hAnsi="Garamond"/>
        </w:rPr>
        <w:t xml:space="preserve">Son vrai contenu ou son essence est l’effectivité de la responsabilité des provinces et des ETD, leur autonomisation sur le plan politique et financier en vue de mieux conduire les politiques publiques locales qui répondent favorablement aux besoins de la population. </w:t>
      </w:r>
    </w:p>
    <w:p w14:paraId="7C31E912" w14:textId="546455DB" w:rsidR="00804868" w:rsidRPr="009B6D19" w:rsidRDefault="00804868" w:rsidP="002A5D0F">
      <w:pPr>
        <w:pStyle w:val="Default"/>
        <w:spacing w:line="360" w:lineRule="auto"/>
        <w:jc w:val="both"/>
        <w:rPr>
          <w:rFonts w:ascii="Garamond" w:hAnsi="Garamond"/>
        </w:rPr>
      </w:pPr>
      <w:r w:rsidRPr="009B6D19">
        <w:rPr>
          <w:rFonts w:ascii="Garamond" w:hAnsi="Garamond" w:cstheme="minorHAnsi"/>
        </w:rPr>
        <w:t xml:space="preserve">Cette tendance centralisatrice peut </w:t>
      </w:r>
      <w:r w:rsidR="006302D3">
        <w:rPr>
          <w:rFonts w:ascii="Garamond" w:hAnsi="Garamond" w:cstheme="minorHAnsi"/>
        </w:rPr>
        <w:t>également</w:t>
      </w:r>
      <w:r w:rsidRPr="009B6D19">
        <w:rPr>
          <w:rFonts w:ascii="Garamond" w:hAnsi="Garamond" w:cstheme="minorHAnsi"/>
        </w:rPr>
        <w:t xml:space="preserve"> se lire au travers le faible rapportage des in</w:t>
      </w:r>
      <w:r w:rsidR="00411077">
        <w:rPr>
          <w:rFonts w:ascii="Garamond" w:hAnsi="Garamond" w:cstheme="minorHAnsi"/>
        </w:rPr>
        <w:t>formations budgétaires</w:t>
      </w:r>
      <w:r w:rsidR="00514830">
        <w:rPr>
          <w:rFonts w:ascii="Garamond" w:hAnsi="Garamond" w:cstheme="minorHAnsi"/>
        </w:rPr>
        <w:t xml:space="preserve">, </w:t>
      </w:r>
      <w:r w:rsidR="00EA4EF9">
        <w:rPr>
          <w:rFonts w:ascii="Garamond" w:hAnsi="Garamond" w:cstheme="minorHAnsi"/>
        </w:rPr>
        <w:t>la</w:t>
      </w:r>
      <w:r w:rsidR="00514830" w:rsidRPr="009B6D19">
        <w:rPr>
          <w:rFonts w:ascii="Garamond" w:hAnsi="Garamond"/>
        </w:rPr>
        <w:t xml:space="preserve"> redistribution arbitraire des ressources mobilisées conjointement et transférées par le pouvoir central</w:t>
      </w:r>
      <w:r w:rsidR="00514830">
        <w:rPr>
          <w:rFonts w:ascii="Garamond" w:hAnsi="Garamond" w:cstheme="minorHAnsi"/>
        </w:rPr>
        <w:t xml:space="preserve"> (</w:t>
      </w:r>
      <w:r w:rsidR="00514830">
        <w:rPr>
          <w:rFonts w:ascii="Garamond" w:hAnsi="Garamond"/>
        </w:rPr>
        <w:t xml:space="preserve">World Bank, </w:t>
      </w:r>
      <w:r w:rsidR="00514830" w:rsidRPr="009B6D19">
        <w:rPr>
          <w:rFonts w:ascii="Garamond" w:hAnsi="Garamond"/>
        </w:rPr>
        <w:t>2008)</w:t>
      </w:r>
      <w:r w:rsidR="00514830">
        <w:rPr>
          <w:rFonts w:ascii="Garamond" w:hAnsi="Garamond"/>
        </w:rPr>
        <w:t xml:space="preserve"> </w:t>
      </w:r>
      <w:r w:rsidR="00411077">
        <w:rPr>
          <w:rFonts w:ascii="Garamond" w:hAnsi="Garamond" w:cstheme="minorHAnsi"/>
        </w:rPr>
        <w:t>et par le faible niveau de crédibilité budgétaire (PEFA, 2008 ; PEFA, 2020)</w:t>
      </w:r>
      <w:r w:rsidRPr="009B6D19">
        <w:rPr>
          <w:rFonts w:ascii="Garamond" w:hAnsi="Garamond" w:cstheme="minorHAnsi"/>
        </w:rPr>
        <w:t>. Ceci a pour conséquences entre autres</w:t>
      </w:r>
      <w:r w:rsidR="00411077">
        <w:rPr>
          <w:rFonts w:ascii="Garamond" w:hAnsi="Garamond" w:cstheme="minorHAnsi"/>
        </w:rPr>
        <w:t>,</w:t>
      </w:r>
      <w:r w:rsidRPr="009B6D19">
        <w:rPr>
          <w:rFonts w:ascii="Garamond" w:hAnsi="Garamond" w:cstheme="minorHAnsi"/>
        </w:rPr>
        <w:t xml:space="preserve"> </w:t>
      </w:r>
      <w:r w:rsidR="002A5D0F">
        <w:rPr>
          <w:rFonts w:ascii="Garamond" w:hAnsi="Garamond" w:cstheme="minorHAnsi"/>
        </w:rPr>
        <w:t xml:space="preserve">la réduction de la marge de manœuvre </w:t>
      </w:r>
      <w:r w:rsidR="00E21E1A">
        <w:rPr>
          <w:rFonts w:ascii="Garamond" w:hAnsi="Garamond" w:cstheme="minorHAnsi"/>
        </w:rPr>
        <w:t>politique et administrative</w:t>
      </w:r>
      <w:r w:rsidR="002A5D0F">
        <w:rPr>
          <w:rFonts w:ascii="Garamond" w:hAnsi="Garamond" w:cstheme="minorHAnsi"/>
        </w:rPr>
        <w:t xml:space="preserve"> des ETD, </w:t>
      </w:r>
      <w:r w:rsidRPr="009B6D19">
        <w:rPr>
          <w:rFonts w:ascii="Garamond" w:hAnsi="Garamond" w:cstheme="minorHAnsi"/>
        </w:rPr>
        <w:t>l’entretien de la corruption</w:t>
      </w:r>
      <w:r w:rsidR="006302D3">
        <w:rPr>
          <w:rFonts w:ascii="Garamond" w:hAnsi="Garamond" w:cstheme="minorHAnsi"/>
        </w:rPr>
        <w:t xml:space="preserve"> ainsi que</w:t>
      </w:r>
      <w:r w:rsidRPr="009B6D19">
        <w:rPr>
          <w:rFonts w:ascii="Garamond" w:hAnsi="Garamond" w:cstheme="minorHAnsi"/>
        </w:rPr>
        <w:t xml:space="preserve"> le faible niveau de performance </w:t>
      </w:r>
      <w:r w:rsidR="006302D3">
        <w:rPr>
          <w:rFonts w:ascii="Garamond" w:hAnsi="Garamond" w:cstheme="minorHAnsi"/>
        </w:rPr>
        <w:t xml:space="preserve">et de réactivité </w:t>
      </w:r>
      <w:r w:rsidRPr="009B6D19">
        <w:rPr>
          <w:rFonts w:ascii="Garamond" w:hAnsi="Garamond" w:cstheme="minorHAnsi"/>
        </w:rPr>
        <w:t xml:space="preserve">des décideurs locaux. Or, le déficit de ces ingrédients de la gouvernance budgétaire nuit à la libre administration et par ricochet, </w:t>
      </w:r>
      <w:r w:rsidR="006302D3">
        <w:rPr>
          <w:rFonts w:ascii="Garamond" w:hAnsi="Garamond" w:cstheme="minorHAnsi"/>
        </w:rPr>
        <w:t>plombe</w:t>
      </w:r>
      <w:r w:rsidRPr="009B6D19">
        <w:rPr>
          <w:rFonts w:ascii="Garamond" w:hAnsi="Garamond" w:cstheme="minorHAnsi"/>
        </w:rPr>
        <w:t xml:space="preserve"> l'effectivité de la </w:t>
      </w:r>
      <w:r w:rsidR="000F6FD3">
        <w:rPr>
          <w:rFonts w:ascii="Garamond" w:hAnsi="Garamond" w:cstheme="minorHAnsi"/>
        </w:rPr>
        <w:t>responsabilisation et de la reddition des comptes</w:t>
      </w:r>
      <w:r w:rsidRPr="009B6D19">
        <w:rPr>
          <w:rFonts w:ascii="Garamond" w:hAnsi="Garamond" w:cstheme="minorHAnsi"/>
        </w:rPr>
        <w:t xml:space="preserve">. </w:t>
      </w:r>
    </w:p>
    <w:p w14:paraId="29619885" w14:textId="698B8BC5" w:rsidR="00804868" w:rsidRPr="009B6D19" w:rsidRDefault="00804868" w:rsidP="00804868">
      <w:pPr>
        <w:rPr>
          <w:rFonts w:ascii="Garamond" w:hAnsi="Garamond"/>
          <w:color w:val="C00000"/>
        </w:rPr>
      </w:pPr>
      <w:r w:rsidRPr="009B6D19">
        <w:rPr>
          <w:rFonts w:ascii="Garamond" w:hAnsi="Garamond"/>
        </w:rPr>
        <w:t xml:space="preserve">Cette situation était déjà relevée à son temps par Ouédraogo (2006 : 9) qui pense que les élites locales peuvent soit être favorables à la réforme de la décentralisation ou soit de véritables facteurs de freinages des changements attendus. Les freinages locaux dans le contexte congolais se traduisent par la volonté de demeurer sur le sentier centraliste qui procure plus d’avantages indus aux élites nationales et locales. Quand bien même un contrôle commandé par la tutelle est </w:t>
      </w:r>
      <w:r w:rsidRPr="009B6D19">
        <w:rPr>
          <w:rFonts w:ascii="Garamond" w:hAnsi="Garamond"/>
        </w:rPr>
        <w:lastRenderedPageBreak/>
        <w:t xml:space="preserve">envisagé, un mécanisme de partage de butin est mis en place comme moyen de rendre compte et d’accroitre la légitimité </w:t>
      </w:r>
      <w:r w:rsidR="002E6CBC">
        <w:rPr>
          <w:rFonts w:ascii="Garamond" w:hAnsi="Garamond"/>
        </w:rPr>
        <w:t xml:space="preserve">de </w:t>
      </w:r>
      <w:r w:rsidRPr="009B6D19">
        <w:rPr>
          <w:rFonts w:ascii="Garamond" w:hAnsi="Garamond"/>
        </w:rPr>
        <w:t xml:space="preserve">l’autorité locale (World Bank, 2018). </w:t>
      </w:r>
      <w:r w:rsidR="00EA4EF9">
        <w:rPr>
          <w:rFonts w:ascii="Garamond" w:hAnsi="Garamond"/>
        </w:rPr>
        <w:t>A titre d’exemple, l</w:t>
      </w:r>
      <w:r w:rsidR="00106E7F">
        <w:rPr>
          <w:rFonts w:ascii="Garamond" w:hAnsi="Garamond"/>
        </w:rPr>
        <w:t>a tendance à perpétuer la nomination des</w:t>
      </w:r>
      <w:r w:rsidRPr="009B6D19">
        <w:rPr>
          <w:rFonts w:ascii="Garamond" w:hAnsi="Garamond"/>
        </w:rPr>
        <w:t xml:space="preserve"> bourgmestre</w:t>
      </w:r>
      <w:r w:rsidR="00106E7F">
        <w:rPr>
          <w:rFonts w:ascii="Garamond" w:hAnsi="Garamond"/>
        </w:rPr>
        <w:t xml:space="preserve">s par le pouvoir central en RDC démontre que ces derniers couvrent parfaitement bien les intérêts des acteurs dominants. </w:t>
      </w:r>
      <w:r w:rsidRPr="009B6D19">
        <w:rPr>
          <w:rFonts w:ascii="Garamond" w:hAnsi="Garamond"/>
        </w:rPr>
        <w:t xml:space="preserve">Ainsi, comme le souligne </w:t>
      </w:r>
      <w:proofErr w:type="spellStart"/>
      <w:r w:rsidRPr="009B6D19">
        <w:rPr>
          <w:rFonts w:ascii="Garamond" w:hAnsi="Garamond"/>
        </w:rPr>
        <w:t>Mavalaka</w:t>
      </w:r>
      <w:proofErr w:type="spellEnd"/>
      <w:r w:rsidRPr="009B6D19">
        <w:rPr>
          <w:rFonts w:ascii="Garamond" w:hAnsi="Garamond"/>
        </w:rPr>
        <w:t xml:space="preserve"> (2018), cette pratique détourne l’axe de la reddition des comptes, initialement orienté vers électeurs comme base d’efficacité, d’efficience et de réactivité dans la conduite des politiques publiques locales , vers les leaders politiques, détenteurs du pouvoir de nomination et de révocation.  En fin, l’enchevêtrement de la responsabilité et</w:t>
      </w:r>
      <w:r>
        <w:rPr>
          <w:rFonts w:ascii="Garamond" w:hAnsi="Garamond"/>
        </w:rPr>
        <w:t xml:space="preserve"> l’ambigüité dans l’exécution des compétences pourtant clairement fixées par la Constitution, </w:t>
      </w:r>
      <w:r w:rsidRPr="009B6D19">
        <w:rPr>
          <w:rFonts w:ascii="Garamond" w:hAnsi="Garamond"/>
        </w:rPr>
        <w:t>font que ceux qui devraient répondre directement au niveau local, se dédouanent pour faire porter la responsabilité aux instances supérieures difficilement accessibles.</w:t>
      </w:r>
      <w:r w:rsidRPr="009B6D19">
        <w:rPr>
          <w:rFonts w:ascii="Garamond" w:hAnsi="Garamond"/>
          <w:color w:val="C00000"/>
        </w:rPr>
        <w:t xml:space="preserve">  </w:t>
      </w:r>
    </w:p>
    <w:p w14:paraId="2024ECE7" w14:textId="7D9C09BA" w:rsidR="00804868" w:rsidRPr="0086008A" w:rsidRDefault="00804868" w:rsidP="00804868">
      <w:pPr>
        <w:pStyle w:val="Heading3"/>
      </w:pPr>
      <w:bookmarkStart w:id="53" w:name="_Toc125594174"/>
      <w:bookmarkStart w:id="54" w:name="_Toc143577470"/>
      <w:r w:rsidRPr="0086008A">
        <w:t>Faible</w:t>
      </w:r>
      <w:r w:rsidR="00AF2593">
        <w:t>s</w:t>
      </w:r>
      <w:r w:rsidRPr="0086008A">
        <w:t xml:space="preserve"> capacité</w:t>
      </w:r>
      <w:r w:rsidR="00AF2593">
        <w:t>s</w:t>
      </w:r>
      <w:r w:rsidRPr="0086008A">
        <w:t xml:space="preserve"> des ETD</w:t>
      </w:r>
      <w:bookmarkEnd w:id="53"/>
      <w:bookmarkEnd w:id="54"/>
      <w:r w:rsidRPr="0086008A">
        <w:t xml:space="preserve"> </w:t>
      </w:r>
    </w:p>
    <w:p w14:paraId="43A11171" w14:textId="5A09F5BB" w:rsidR="00804868" w:rsidRPr="009B6D19" w:rsidRDefault="00804868" w:rsidP="00176CA1">
      <w:pPr>
        <w:rPr>
          <w:rFonts w:ascii="Garamond" w:hAnsi="Garamond"/>
        </w:rPr>
      </w:pPr>
      <w:r w:rsidRPr="009B6D19">
        <w:rPr>
          <w:rFonts w:ascii="Garamond" w:hAnsi="Garamond"/>
        </w:rPr>
        <w:t>L’OCDE (20</w:t>
      </w:r>
      <w:r>
        <w:rPr>
          <w:rFonts w:ascii="Garamond" w:hAnsi="Garamond"/>
        </w:rPr>
        <w:t>19</w:t>
      </w:r>
      <w:r w:rsidRPr="009B6D19">
        <w:rPr>
          <w:rFonts w:ascii="Garamond" w:hAnsi="Garamond"/>
        </w:rPr>
        <w:t> : 159) définit la capacité d’une entité locale comme étant l’aptitude de cette dernière « </w:t>
      </w:r>
      <w:r w:rsidRPr="009B6D19">
        <w:rPr>
          <w:rFonts w:ascii="Garamond" w:hAnsi="Garamond"/>
          <w:i/>
        </w:rPr>
        <w:t>à remplir ses missions obligatoires de façon efficiente, efficace et durable</w:t>
      </w:r>
      <w:r w:rsidRPr="009B6D19">
        <w:rPr>
          <w:rFonts w:ascii="Garamond" w:hAnsi="Garamond"/>
        </w:rPr>
        <w:t> ». Elle se traduit par l’aptitude à jouir de ses ressources, à développer ses compétences et ses aptitudes en vue d’assurer une gestion autonome, responsable et redditionnelle. Autrement dit, c’est cette faculté à concevoir et à mettre en œuvre, de façon autonome, des règles et des procédures ainsi</w:t>
      </w:r>
      <w:r>
        <w:rPr>
          <w:rFonts w:ascii="Garamond" w:hAnsi="Garamond"/>
        </w:rPr>
        <w:t xml:space="preserve"> </w:t>
      </w:r>
      <w:r w:rsidRPr="009B6D19">
        <w:rPr>
          <w:rFonts w:ascii="Garamond" w:hAnsi="Garamond"/>
        </w:rPr>
        <w:t>qu’à coopérer avec d’autres entités, à créer et à maintenir la valeur publique (Banque mondiale, 2010 ; OCDE, 201</w:t>
      </w:r>
      <w:r>
        <w:rPr>
          <w:rFonts w:ascii="Garamond" w:hAnsi="Garamond"/>
        </w:rPr>
        <w:t>9</w:t>
      </w:r>
      <w:r w:rsidRPr="009B6D19">
        <w:rPr>
          <w:rFonts w:ascii="Garamond" w:hAnsi="Garamond"/>
        </w:rPr>
        <w:t xml:space="preserve">). C’est aussi, sur le plan des finances publiques, la faculté dont dispose une entité à maintenir </w:t>
      </w:r>
      <w:r w:rsidR="00073C43">
        <w:rPr>
          <w:rFonts w:ascii="Garamond" w:hAnsi="Garamond"/>
        </w:rPr>
        <w:t>sa viabilité budgétaire et financiè</w:t>
      </w:r>
      <w:r w:rsidRPr="009B6D19">
        <w:rPr>
          <w:rFonts w:ascii="Garamond" w:hAnsi="Garamond"/>
        </w:rPr>
        <w:t>r</w:t>
      </w:r>
      <w:r w:rsidR="00073C43">
        <w:rPr>
          <w:rFonts w:ascii="Garamond" w:hAnsi="Garamond"/>
        </w:rPr>
        <w:t>e</w:t>
      </w:r>
      <w:r w:rsidRPr="009B6D19">
        <w:rPr>
          <w:rFonts w:ascii="Garamond" w:hAnsi="Garamond"/>
        </w:rPr>
        <w:t xml:space="preserve"> (</w:t>
      </w:r>
      <w:proofErr w:type="spellStart"/>
      <w:r w:rsidRPr="009B6D19">
        <w:rPr>
          <w:rFonts w:ascii="Garamond" w:hAnsi="Garamond"/>
        </w:rPr>
        <w:t>Zongwe</w:t>
      </w:r>
      <w:proofErr w:type="spellEnd"/>
      <w:r w:rsidRPr="009B6D19">
        <w:rPr>
          <w:rFonts w:ascii="Garamond" w:hAnsi="Garamond"/>
        </w:rPr>
        <w:t xml:space="preserve">, 2019). Plus concrètement, </w:t>
      </w:r>
      <w:r w:rsidR="004C4595">
        <w:rPr>
          <w:rFonts w:ascii="Garamond" w:hAnsi="Garamond"/>
        </w:rPr>
        <w:t xml:space="preserve">elle constitue cette faculté </w:t>
      </w:r>
      <w:r w:rsidR="00E17548">
        <w:rPr>
          <w:rFonts w:ascii="Garamond" w:hAnsi="Garamond"/>
        </w:rPr>
        <w:t>d’élaborer et de mettre en œuvre des politiques publiques mises à l’agenda librement (</w:t>
      </w:r>
      <w:r w:rsidR="00E17548" w:rsidRPr="009B6D19">
        <w:rPr>
          <w:rFonts w:ascii="Garamond" w:hAnsi="Garamond"/>
        </w:rPr>
        <w:t xml:space="preserve">Newman </w:t>
      </w:r>
      <w:r w:rsidR="00E17548">
        <w:rPr>
          <w:rFonts w:ascii="Garamond" w:hAnsi="Garamond"/>
        </w:rPr>
        <w:t>&amp; Perl, 2014</w:t>
      </w:r>
      <w:r w:rsidR="00E17548" w:rsidRPr="009B6D19">
        <w:rPr>
          <w:rFonts w:ascii="Garamond" w:hAnsi="Garamond"/>
        </w:rPr>
        <w:t>)</w:t>
      </w:r>
      <w:r w:rsidR="00E17548">
        <w:rPr>
          <w:rFonts w:ascii="Garamond" w:hAnsi="Garamond"/>
        </w:rPr>
        <w:t>. Dans le cadre de gestion des finances publiques, il s’agit notamment d’</w:t>
      </w:r>
      <w:r w:rsidRPr="009B6D19">
        <w:rPr>
          <w:rFonts w:ascii="Garamond" w:hAnsi="Garamond"/>
        </w:rPr>
        <w:t xml:space="preserve">assurer l’exploitation à fond de son potentiel fiscal </w:t>
      </w:r>
      <w:r w:rsidR="004C4595">
        <w:rPr>
          <w:rFonts w:ascii="Garamond" w:hAnsi="Garamond"/>
        </w:rPr>
        <w:t xml:space="preserve">en vue de faire face aux </w:t>
      </w:r>
      <w:r w:rsidR="00902CD8">
        <w:rPr>
          <w:rFonts w:ascii="Garamond" w:hAnsi="Garamond"/>
        </w:rPr>
        <w:t>financement des politiques</w:t>
      </w:r>
      <w:r w:rsidR="004C4595">
        <w:rPr>
          <w:rFonts w:ascii="Garamond" w:hAnsi="Garamond"/>
        </w:rPr>
        <w:t>, de jouir pleinement des subventions légales et règlementaires dévolues à l’entité et de contracter des emprunts.</w:t>
      </w:r>
      <w:r w:rsidRPr="009B6D19">
        <w:rPr>
          <w:rFonts w:ascii="Garamond" w:hAnsi="Garamond"/>
        </w:rPr>
        <w:t xml:space="preserve"> </w:t>
      </w:r>
    </w:p>
    <w:p w14:paraId="1526E662" w14:textId="3742FC46" w:rsidR="00804868" w:rsidRPr="009B6D19" w:rsidRDefault="00804868" w:rsidP="00804868">
      <w:pPr>
        <w:rPr>
          <w:rFonts w:ascii="Garamond" w:hAnsi="Garamond"/>
        </w:rPr>
      </w:pPr>
      <w:r w:rsidRPr="009B6D19">
        <w:rPr>
          <w:rFonts w:ascii="Garamond" w:hAnsi="Garamond"/>
        </w:rPr>
        <w:t>Selo</w:t>
      </w:r>
      <w:r w:rsidR="00F509E2">
        <w:rPr>
          <w:rFonts w:ascii="Garamond" w:hAnsi="Garamond"/>
        </w:rPr>
        <w:t>n Rouillard &amp; Hudon (2007)</w:t>
      </w:r>
      <w:r w:rsidR="003359ED">
        <w:rPr>
          <w:rFonts w:ascii="Garamond" w:hAnsi="Garamond"/>
        </w:rPr>
        <w:t xml:space="preserve"> </w:t>
      </w:r>
      <w:r w:rsidR="00F509E2">
        <w:rPr>
          <w:rFonts w:ascii="Garamond" w:hAnsi="Garamond"/>
        </w:rPr>
        <w:t>pensent qu’aucune réforme ne peut avoir la chance d’atteindre les résultats escomptés si les capacités institutionnelles de l’Etat n’ont pas été ni renforcées ni redéfinies. Ils poursuivent en soulignant que c’est par cette capacitation que l’Etat façonne et reconfigure l’orientation de ses interactions avec les parties prenantes à la réforme mais également crée un espace de choix des instruments et définit le cadre de leur mise en œuvre. Autrement dit, cette capacitation ne devrait pas se limiter aux acteurs étatiques</w:t>
      </w:r>
      <w:r w:rsidR="004A033C">
        <w:rPr>
          <w:rFonts w:ascii="Garamond" w:hAnsi="Garamond"/>
        </w:rPr>
        <w:t xml:space="preserve"> mais doit se prolonger jusqu’au niveau des acteurs locaux. En plus, elle touche à la fois les aspects techniques, organisationnels, financiers et technologiques. Si la capacitation des acteurs étatiques devra être orientée vers la </w:t>
      </w:r>
      <w:r w:rsidR="004A033C">
        <w:rPr>
          <w:rFonts w:ascii="Garamond" w:hAnsi="Garamond"/>
        </w:rPr>
        <w:lastRenderedPageBreak/>
        <w:t>maitrise de grands enjeux, la mise à l’agenda et la conduite de politiques publiques dans la limite de leurs compétences, il est par contre attendu des gouvernés de disposer de capacités nécessaires en vue d’interagir de façon efficace dans le forum de prise de décisions et de demander des comptes à l’exécutif</w:t>
      </w:r>
      <w:r w:rsidR="00DA1DDE">
        <w:rPr>
          <w:rFonts w:ascii="Garamond" w:hAnsi="Garamond"/>
        </w:rPr>
        <w:t xml:space="preserve"> (</w:t>
      </w:r>
      <w:r w:rsidR="00DA1DDE" w:rsidRPr="009B6D19">
        <w:rPr>
          <w:rFonts w:ascii="Garamond" w:hAnsi="Garamond"/>
        </w:rPr>
        <w:t xml:space="preserve">Newman </w:t>
      </w:r>
      <w:r w:rsidR="00DA1DDE">
        <w:rPr>
          <w:rFonts w:ascii="Garamond" w:hAnsi="Garamond"/>
        </w:rPr>
        <w:t>&amp; Perl, 2014</w:t>
      </w:r>
      <w:r w:rsidR="00A73C77">
        <w:rPr>
          <w:rFonts w:ascii="Garamond" w:hAnsi="Garamond"/>
        </w:rPr>
        <w:t xml:space="preserve"> ; Smoke, </w:t>
      </w:r>
      <w:r w:rsidR="00A73C77" w:rsidRPr="009B6D19">
        <w:rPr>
          <w:rFonts w:ascii="Garamond" w:hAnsi="Garamond"/>
        </w:rPr>
        <w:t>2015</w:t>
      </w:r>
      <w:r w:rsidR="00DA1DDE" w:rsidRPr="009B6D19">
        <w:rPr>
          <w:rFonts w:ascii="Garamond" w:hAnsi="Garamond"/>
        </w:rPr>
        <w:t>)</w:t>
      </w:r>
      <w:r w:rsidR="004A033C">
        <w:rPr>
          <w:rFonts w:ascii="Garamond" w:hAnsi="Garamond"/>
        </w:rPr>
        <w:t xml:space="preserve">. </w:t>
      </w:r>
      <w:r w:rsidRPr="009B6D19">
        <w:rPr>
          <w:rFonts w:ascii="Garamond" w:hAnsi="Garamond"/>
        </w:rPr>
        <w:t>Ainsi, des capacités de différentes parties prenantes, naissent une certaine dynamique favorable au renforcement de l’action locale, à la participation des acteurs au processus décisionnel et à la reddition des comptes. C’est la raison pour laquelle le renforcement des capacités précède toute initiative de réforme</w:t>
      </w:r>
      <w:r>
        <w:rPr>
          <w:rFonts w:ascii="Garamond" w:hAnsi="Garamond"/>
        </w:rPr>
        <w:t xml:space="preserve"> </w:t>
      </w:r>
      <w:r w:rsidRPr="009B6D19">
        <w:rPr>
          <w:rFonts w:ascii="Garamond" w:hAnsi="Garamond"/>
        </w:rPr>
        <w:t xml:space="preserve">en vue de </w:t>
      </w:r>
      <w:r w:rsidR="00CB0E3F">
        <w:rPr>
          <w:rFonts w:ascii="Garamond" w:hAnsi="Garamond"/>
        </w:rPr>
        <w:t>s’</w:t>
      </w:r>
      <w:r w:rsidRPr="009B6D19">
        <w:rPr>
          <w:rFonts w:ascii="Garamond" w:hAnsi="Garamond"/>
        </w:rPr>
        <w:t xml:space="preserve">ajuster ou de se défaire des idées reçues et des pratiques culturellement encrées. Il est supposé que ces pratiques culturellement institutionnalisées ont créé des automatismes et une certaine dépendance susceptibles d’entraver la mise en route vers de nouvelles bifurcations. </w:t>
      </w:r>
    </w:p>
    <w:p w14:paraId="1060F846" w14:textId="0936F0F3" w:rsidR="00804868" w:rsidRDefault="00CB0E3F" w:rsidP="00804868">
      <w:pPr>
        <w:rPr>
          <w:rFonts w:ascii="Garamond" w:hAnsi="Garamond"/>
        </w:rPr>
      </w:pPr>
      <w:r>
        <w:rPr>
          <w:rFonts w:ascii="Garamond" w:hAnsi="Garamond"/>
        </w:rPr>
        <w:t xml:space="preserve">A l’absence de cette capacitation, </w:t>
      </w:r>
      <w:r w:rsidR="00804868" w:rsidRPr="009B6D19">
        <w:rPr>
          <w:rFonts w:ascii="Garamond" w:hAnsi="Garamond"/>
        </w:rPr>
        <w:t xml:space="preserve">les acteurs dominants profitent du manque </w:t>
      </w:r>
      <w:r w:rsidR="003359ED">
        <w:rPr>
          <w:rFonts w:ascii="Garamond" w:hAnsi="Garamond"/>
        </w:rPr>
        <w:t xml:space="preserve">des capacités </w:t>
      </w:r>
      <w:r w:rsidR="00804868" w:rsidRPr="009B6D19">
        <w:rPr>
          <w:rFonts w:ascii="Garamond" w:hAnsi="Garamond"/>
        </w:rPr>
        <w:t>des acteurs locaux (</w:t>
      </w:r>
      <w:proofErr w:type="spellStart"/>
      <w:r w:rsidR="00804868" w:rsidRPr="009B6D19">
        <w:rPr>
          <w:rFonts w:ascii="Garamond" w:hAnsi="Garamond"/>
        </w:rPr>
        <w:t>Zongwe</w:t>
      </w:r>
      <w:proofErr w:type="spellEnd"/>
      <w:r w:rsidR="00804868" w:rsidRPr="009B6D19">
        <w:rPr>
          <w:rFonts w:ascii="Garamond" w:hAnsi="Garamond"/>
        </w:rPr>
        <w:t>, 2019)</w:t>
      </w:r>
      <w:r>
        <w:rPr>
          <w:rFonts w:ascii="Garamond" w:hAnsi="Garamond"/>
        </w:rPr>
        <w:t xml:space="preserve"> pour perpétuer leurs intérêts</w:t>
      </w:r>
      <w:r w:rsidR="003B22EB">
        <w:rPr>
          <w:rFonts w:ascii="Garamond" w:hAnsi="Garamond"/>
        </w:rPr>
        <w:t xml:space="preserve"> (</w:t>
      </w:r>
      <w:r w:rsidR="003B22EB" w:rsidRPr="009B6D19">
        <w:rPr>
          <w:rFonts w:ascii="Garamond" w:hAnsi="Garamond"/>
        </w:rPr>
        <w:t>Obse</w:t>
      </w:r>
      <w:r w:rsidR="003B22EB">
        <w:rPr>
          <w:rFonts w:ascii="Garamond" w:hAnsi="Garamond"/>
        </w:rPr>
        <w:t xml:space="preserve">rvatoire de la Dépense Publique, </w:t>
      </w:r>
      <w:r w:rsidR="003B22EB" w:rsidRPr="009B6D19">
        <w:rPr>
          <w:rFonts w:ascii="Garamond" w:hAnsi="Garamond"/>
        </w:rPr>
        <w:t>2021)</w:t>
      </w:r>
      <w:r w:rsidR="00E73462">
        <w:rPr>
          <w:rFonts w:ascii="Garamond" w:hAnsi="Garamond"/>
        </w:rPr>
        <w:t>. Ils agissent notamment à travers les instruments d’action publique (</w:t>
      </w:r>
      <w:r w:rsidR="00DE0687" w:rsidRPr="009B6D19">
        <w:rPr>
          <w:rFonts w:ascii="Garamond" w:hAnsi="Garamond"/>
        </w:rPr>
        <w:t xml:space="preserve">Le Bourhis &amp; </w:t>
      </w:r>
      <w:proofErr w:type="spellStart"/>
      <w:r w:rsidR="00DE0687" w:rsidRPr="009B6D19">
        <w:rPr>
          <w:rFonts w:ascii="Garamond" w:hAnsi="Garamond"/>
        </w:rPr>
        <w:t>Lascoumes</w:t>
      </w:r>
      <w:proofErr w:type="spellEnd"/>
      <w:r w:rsidR="00DE0687" w:rsidRPr="009B6D19">
        <w:rPr>
          <w:rFonts w:ascii="Garamond" w:hAnsi="Garamond"/>
        </w:rPr>
        <w:t>, 2011</w:t>
      </w:r>
      <w:r w:rsidR="00E73462">
        <w:rPr>
          <w:rFonts w:ascii="Garamond" w:hAnsi="Garamond"/>
        </w:rPr>
        <w:t>)</w:t>
      </w:r>
      <w:r>
        <w:rPr>
          <w:rFonts w:ascii="Garamond" w:hAnsi="Garamond"/>
        </w:rPr>
        <w:t xml:space="preserve"> </w:t>
      </w:r>
      <w:r w:rsidR="00804868" w:rsidRPr="009B6D19">
        <w:rPr>
          <w:rFonts w:ascii="Garamond" w:hAnsi="Garamond"/>
        </w:rPr>
        <w:t>en amenuisant</w:t>
      </w:r>
      <w:r w:rsidR="00DE0687">
        <w:rPr>
          <w:rFonts w:ascii="Garamond" w:hAnsi="Garamond"/>
        </w:rPr>
        <w:t xml:space="preserve"> les compétences des entités locales ou e</w:t>
      </w:r>
      <w:r>
        <w:rPr>
          <w:rFonts w:ascii="Garamond" w:hAnsi="Garamond"/>
        </w:rPr>
        <w:t xml:space="preserve">n érigeant des barrières </w:t>
      </w:r>
      <w:r w:rsidR="00DE0687">
        <w:rPr>
          <w:rFonts w:ascii="Garamond" w:hAnsi="Garamond"/>
        </w:rPr>
        <w:t>pour maintenir la réforme dans le statu quo</w:t>
      </w:r>
      <w:r w:rsidR="003359ED">
        <w:rPr>
          <w:rFonts w:ascii="Garamond" w:hAnsi="Garamond"/>
        </w:rPr>
        <w:t xml:space="preserve">. </w:t>
      </w:r>
      <w:r w:rsidR="00804868" w:rsidRPr="009B6D19">
        <w:rPr>
          <w:rFonts w:ascii="Garamond" w:hAnsi="Garamond"/>
        </w:rPr>
        <w:t xml:space="preserve">C’est le cas notamment </w:t>
      </w:r>
      <w:r w:rsidR="00DE0687">
        <w:rPr>
          <w:rFonts w:ascii="Garamond" w:hAnsi="Garamond"/>
        </w:rPr>
        <w:t>des instruments</w:t>
      </w:r>
      <w:r w:rsidR="00804868" w:rsidRPr="009B6D19">
        <w:rPr>
          <w:rFonts w:ascii="Garamond" w:hAnsi="Garamond"/>
        </w:rPr>
        <w:t xml:space="preserve"> régissant les finances publiques du pouvoir central, des provinces et des ETD</w:t>
      </w:r>
      <w:r w:rsidR="00DE0687">
        <w:rPr>
          <w:rFonts w:ascii="Garamond" w:hAnsi="Garamond"/>
        </w:rPr>
        <w:t xml:space="preserve"> en RDC</w:t>
      </w:r>
      <w:r w:rsidR="00804868" w:rsidRPr="009B6D19">
        <w:rPr>
          <w:rFonts w:ascii="Garamond" w:hAnsi="Garamond"/>
        </w:rPr>
        <w:t xml:space="preserve"> qui devrai</w:t>
      </w:r>
      <w:r w:rsidR="00DE0687">
        <w:rPr>
          <w:rFonts w:ascii="Garamond" w:hAnsi="Garamond"/>
        </w:rPr>
        <w:t>ent</w:t>
      </w:r>
      <w:r w:rsidR="00804868" w:rsidRPr="009B6D19">
        <w:rPr>
          <w:rFonts w:ascii="Garamond" w:hAnsi="Garamond"/>
        </w:rPr>
        <w:t xml:space="preserve"> amener les instances infranationales à être plus responsables et redditionnelles dans la conduite de l’action publique. Ce cadre devrait aboutir entre autres à l’instauration du budget de responsabilisation (budget programme), à l’identification des postes comptables  et installation des comptables publics, à l’informatisation du circuit comptable pour une meilleure remontée</w:t>
      </w:r>
      <w:r w:rsidR="00804868">
        <w:rPr>
          <w:rFonts w:ascii="Garamond" w:hAnsi="Garamond"/>
        </w:rPr>
        <w:t xml:space="preserve"> de l’information et à la mise en place des services provinciaux et locaux de collecte de l’impôt</w:t>
      </w:r>
      <w:r w:rsidR="00804868" w:rsidRPr="009B6D19">
        <w:rPr>
          <w:rFonts w:ascii="Garamond" w:hAnsi="Garamond"/>
        </w:rPr>
        <w:t xml:space="preserve">. Le retard dans la mise en place de ces instruments, leur réajustement ou leur violation intentionnelle </w:t>
      </w:r>
      <w:r w:rsidR="003B22EB">
        <w:rPr>
          <w:rFonts w:ascii="Garamond" w:hAnsi="Garamond"/>
        </w:rPr>
        <w:t>(</w:t>
      </w:r>
      <w:r w:rsidR="003B22EB" w:rsidRPr="009B6D19">
        <w:rPr>
          <w:rFonts w:ascii="Garamond" w:hAnsi="Garamond"/>
        </w:rPr>
        <w:t>Obse</w:t>
      </w:r>
      <w:r w:rsidR="003B22EB">
        <w:rPr>
          <w:rFonts w:ascii="Garamond" w:hAnsi="Garamond"/>
        </w:rPr>
        <w:t xml:space="preserve">rvatoire de la Dépense Publique, </w:t>
      </w:r>
      <w:r w:rsidR="003B22EB" w:rsidRPr="009B6D19">
        <w:rPr>
          <w:rFonts w:ascii="Garamond" w:hAnsi="Garamond"/>
        </w:rPr>
        <w:t>2021)</w:t>
      </w:r>
      <w:r w:rsidR="005B3398">
        <w:rPr>
          <w:rFonts w:ascii="Garamond" w:hAnsi="Garamond"/>
        </w:rPr>
        <w:t xml:space="preserve"> </w:t>
      </w:r>
      <w:r w:rsidR="00804868" w:rsidRPr="009B6D19">
        <w:rPr>
          <w:rFonts w:ascii="Garamond" w:hAnsi="Garamond"/>
        </w:rPr>
        <w:t>constituent une démonstration que la réduction sensible</w:t>
      </w:r>
      <w:r w:rsidR="00804868">
        <w:rPr>
          <w:rFonts w:ascii="Garamond" w:hAnsi="Garamond"/>
        </w:rPr>
        <w:t xml:space="preserve"> </w:t>
      </w:r>
      <w:r w:rsidR="00804868" w:rsidRPr="009B6D19">
        <w:rPr>
          <w:rFonts w:ascii="Garamond" w:hAnsi="Garamond"/>
        </w:rPr>
        <w:t>de la capacité des entités infranationales était préméditée par les acteurs dominants. Le rapport de la Cour des Comptes portant sur l’Edit budgétaire 2017 de la ville de Kinshasa ou alors le rapport CABRI (</w:t>
      </w:r>
      <w:proofErr w:type="spellStart"/>
      <w:r w:rsidR="00804868" w:rsidRPr="009B6D19">
        <w:rPr>
          <w:rFonts w:ascii="Garamond" w:hAnsi="Garamond"/>
        </w:rPr>
        <w:t>Lienert</w:t>
      </w:r>
      <w:proofErr w:type="spellEnd"/>
      <w:r w:rsidR="00804868" w:rsidRPr="009B6D19">
        <w:rPr>
          <w:rFonts w:ascii="Garamond" w:hAnsi="Garamond"/>
        </w:rPr>
        <w:t>, 2012) sur les préalables de la mise en œuvre du Budget-Programme en RDC relèvent ce déficit des capacités dans la gouvernance budgétaire en général et dans les provinces ainsi que les ETD en particulier. Plus récemment, la 9</w:t>
      </w:r>
      <w:r w:rsidR="00804868" w:rsidRPr="009B6D19">
        <w:rPr>
          <w:rFonts w:ascii="Garamond" w:hAnsi="Garamond"/>
          <w:vertAlign w:val="superscript"/>
        </w:rPr>
        <w:t>ème</w:t>
      </w:r>
      <w:r w:rsidR="00804868" w:rsidRPr="009B6D19">
        <w:rPr>
          <w:rFonts w:ascii="Garamond" w:hAnsi="Garamond"/>
        </w:rPr>
        <w:t xml:space="preserve"> session de Conférence des Gouverneurs tenue à Mbandaka</w:t>
      </w:r>
      <w:r w:rsidR="00804868">
        <w:rPr>
          <w:rFonts w:ascii="Garamond" w:hAnsi="Garamond"/>
        </w:rPr>
        <w:t xml:space="preserve"> du 22 au 23 décembre 2022 sous le Présidence du Chef de l’Etat, n’a fait que constater que les grandes résolutions prises en vue de permettre aux provinces et ETD de décoller ne sont pas mises en œuvre. Les provinces et ETD demeurent asphyxiées financièrement réduisant ainsi leurs capacités à répondre parfaitement </w:t>
      </w:r>
      <w:r w:rsidR="00804868" w:rsidRPr="009B6D19">
        <w:rPr>
          <w:rFonts w:ascii="Garamond" w:hAnsi="Garamond"/>
        </w:rPr>
        <w:t xml:space="preserve">aux préoccupations de la population sous leur responsabilité notamment la salubrité, les services de l’Etat-civil, l’assainissement, la desserte en eaux, etc. </w:t>
      </w:r>
    </w:p>
    <w:p w14:paraId="73215185" w14:textId="37D18217" w:rsidR="00804868" w:rsidRPr="009B6D19" w:rsidRDefault="00804868" w:rsidP="00804868">
      <w:pPr>
        <w:rPr>
          <w:rFonts w:ascii="Garamond" w:hAnsi="Garamond"/>
        </w:rPr>
      </w:pPr>
      <w:r w:rsidRPr="009B6D19">
        <w:rPr>
          <w:rFonts w:ascii="Garamond" w:hAnsi="Garamond"/>
        </w:rPr>
        <w:lastRenderedPageBreak/>
        <w:t>Par ailleurs, la 82</w:t>
      </w:r>
      <w:r w:rsidRPr="009B6D19">
        <w:rPr>
          <w:rFonts w:ascii="Garamond" w:hAnsi="Garamond"/>
          <w:vertAlign w:val="superscript"/>
        </w:rPr>
        <w:t>ème</w:t>
      </w:r>
      <w:r w:rsidRPr="009B6D19">
        <w:rPr>
          <w:rFonts w:ascii="Garamond" w:hAnsi="Garamond"/>
        </w:rPr>
        <w:t xml:space="preserve"> réunion du Conseil des Ministres revient sur la faible capacité des cadres des ETD, qui d’ailleurs sont nommés sans tenir compte de leur profil ni de leur expérience. L’unique critère auquel ils doivent répondre favorablement est d’être militant d’un parti politique au pouvoir (</w:t>
      </w:r>
      <w:proofErr w:type="spellStart"/>
      <w:r w:rsidRPr="009B6D19">
        <w:rPr>
          <w:rFonts w:ascii="Garamond" w:hAnsi="Garamond"/>
        </w:rPr>
        <w:t>Mavalaka</w:t>
      </w:r>
      <w:proofErr w:type="spellEnd"/>
      <w:r w:rsidRPr="009B6D19">
        <w:rPr>
          <w:rFonts w:ascii="Garamond" w:hAnsi="Garamond"/>
        </w:rPr>
        <w:t xml:space="preserve">, 2018). La pérennisation de la nomination des responsables des ETD se retrouve justifiée par </w:t>
      </w:r>
      <w:r>
        <w:rPr>
          <w:rFonts w:ascii="Garamond" w:hAnsi="Garamond"/>
        </w:rPr>
        <w:t>cette</w:t>
      </w:r>
      <w:r w:rsidRPr="009B6D19">
        <w:rPr>
          <w:rFonts w:ascii="Garamond" w:hAnsi="Garamond"/>
        </w:rPr>
        <w:t xml:space="preserve"> disposition transitoire</w:t>
      </w:r>
      <w:r>
        <w:rPr>
          <w:rFonts w:ascii="Garamond" w:hAnsi="Garamond"/>
        </w:rPr>
        <w:t xml:space="preserve"> qui stipule</w:t>
      </w:r>
      <w:r w:rsidRPr="009B6D19">
        <w:rPr>
          <w:rFonts w:ascii="Garamond" w:hAnsi="Garamond"/>
        </w:rPr>
        <w:t xml:space="preserve"> que  «</w:t>
      </w:r>
      <w:r w:rsidRPr="00680897">
        <w:rPr>
          <w:rFonts w:ascii="Garamond" w:hAnsi="Garamond"/>
          <w:i/>
        </w:rPr>
        <w:t>en attendant l’organisation des élections urbaines, communales et locales par la Commission électorale nationale indépendante instituée par la constitution, les autorités des différentes entités territoriales décentralisées actuellement en poste sont gérées conformément aux dispositions</w:t>
      </w:r>
      <w:r>
        <w:rPr>
          <w:rFonts w:ascii="Garamond" w:hAnsi="Garamond"/>
          <w:i/>
        </w:rPr>
        <w:t xml:space="preserve"> </w:t>
      </w:r>
      <w:r w:rsidRPr="00680897">
        <w:rPr>
          <w:rFonts w:ascii="Garamond" w:hAnsi="Garamond"/>
          <w:i/>
        </w:rPr>
        <w:t>dudit Décret-Loi</w:t>
      </w:r>
      <w:r w:rsidRPr="009B6D19">
        <w:rPr>
          <w:rFonts w:ascii="Garamond" w:hAnsi="Garamond"/>
        </w:rPr>
        <w:t>»</w:t>
      </w:r>
      <w:r>
        <w:rPr>
          <w:rFonts w:ascii="Garamond" w:hAnsi="Garamond"/>
        </w:rPr>
        <w:t xml:space="preserve"> (RDC, 1998 : )</w:t>
      </w:r>
      <w:r w:rsidRPr="009B6D19">
        <w:rPr>
          <w:rFonts w:ascii="Garamond" w:hAnsi="Garamond"/>
        </w:rPr>
        <w:t xml:space="preserve">. Si le manque des moyens pourrait justifier la </w:t>
      </w:r>
      <w:proofErr w:type="gramStart"/>
      <w:r w:rsidRPr="009B6D19">
        <w:rPr>
          <w:rFonts w:ascii="Garamond" w:hAnsi="Garamond"/>
        </w:rPr>
        <w:t>non organisation</w:t>
      </w:r>
      <w:proofErr w:type="gramEnd"/>
      <w:r w:rsidRPr="009B6D19">
        <w:rPr>
          <w:rFonts w:ascii="Garamond" w:hAnsi="Garamond"/>
        </w:rPr>
        <w:t xml:space="preserve"> des élections municipales et locales en vue de doter les ETD des organes politiques permettant de faciliter la responsabilisation et la reddition des comptes</w:t>
      </w:r>
      <w:r w:rsidR="00B72A65">
        <w:rPr>
          <w:rFonts w:ascii="Garamond" w:hAnsi="Garamond"/>
        </w:rPr>
        <w:t xml:space="preserve"> (</w:t>
      </w:r>
      <w:proofErr w:type="spellStart"/>
      <w:r w:rsidR="00B72A65">
        <w:rPr>
          <w:rFonts w:ascii="Garamond" w:hAnsi="Garamond"/>
          <w:lang w:eastAsia="fr-FR"/>
        </w:rPr>
        <w:t>Devas</w:t>
      </w:r>
      <w:proofErr w:type="spellEnd"/>
      <w:r w:rsidR="00B72A65">
        <w:rPr>
          <w:rFonts w:ascii="Garamond" w:hAnsi="Garamond"/>
          <w:lang w:eastAsia="fr-FR"/>
        </w:rPr>
        <w:t xml:space="preserve"> &amp; Grant, 2003</w:t>
      </w:r>
      <w:r w:rsidR="00B72A65" w:rsidRPr="009B6D19">
        <w:rPr>
          <w:rFonts w:ascii="Garamond" w:hAnsi="Garamond"/>
          <w:lang w:eastAsia="fr-FR"/>
        </w:rPr>
        <w:t>)</w:t>
      </w:r>
      <w:r w:rsidRPr="009B6D19">
        <w:rPr>
          <w:rFonts w:ascii="Garamond" w:hAnsi="Garamond"/>
        </w:rPr>
        <w:t>, aucune autre raison ne pourrait justifier la nomination des animateurs sans capacités t</w:t>
      </w:r>
      <w:r w:rsidR="00DE0687">
        <w:rPr>
          <w:rFonts w:ascii="Garamond" w:hAnsi="Garamond"/>
        </w:rPr>
        <w:t>echniques que de les assujettir et de</w:t>
      </w:r>
      <w:r w:rsidRPr="009B6D19">
        <w:rPr>
          <w:rFonts w:ascii="Garamond" w:hAnsi="Garamond"/>
        </w:rPr>
        <w:t xml:space="preserve"> les mettre à son service pour qu’ils lui soient redevables. Ceci fait des ETD des véritables foyers de corruption, de self-service et de politisation. La gestion des finances publiques qui en résulte dévient opaque et moins redditionnelle. Les destinataires principaux du rapport</w:t>
      </w:r>
      <w:r w:rsidR="003452CA">
        <w:rPr>
          <w:rFonts w:ascii="Garamond" w:hAnsi="Garamond"/>
        </w:rPr>
        <w:t xml:space="preserve"> </w:t>
      </w:r>
      <w:r w:rsidRPr="009B6D19">
        <w:rPr>
          <w:rFonts w:ascii="Garamond" w:hAnsi="Garamond"/>
        </w:rPr>
        <w:t xml:space="preserve">de la reddition des comptes deviennent les gouverneurs des provinces ou les acteurs dominants du pouvoir central au détriment du peuple-électeur. </w:t>
      </w:r>
      <w:r w:rsidRPr="009B6D19">
        <w:rPr>
          <w:rFonts w:ascii="Garamond" w:hAnsi="Garamond"/>
          <w:color w:val="211D1E"/>
        </w:rPr>
        <w:t xml:space="preserve">  </w:t>
      </w:r>
    </w:p>
    <w:p w14:paraId="60414F14" w14:textId="464ACE2F" w:rsidR="00804868" w:rsidRPr="009B6D19" w:rsidRDefault="00804868" w:rsidP="00804868">
      <w:pPr>
        <w:rPr>
          <w:rFonts w:ascii="Garamond" w:hAnsi="Garamond"/>
          <w:color w:val="C00000"/>
        </w:rPr>
      </w:pPr>
      <w:r w:rsidRPr="009B6D19">
        <w:rPr>
          <w:rFonts w:ascii="Garamond" w:hAnsi="Garamond"/>
        </w:rPr>
        <w:t>Ainsi, se prépare des situations qui pourront justifier l’arbitraire ou carrément l’asphyxie financière des provinces et des ETD par le pouvoir central pour ne pas leur accorder les moyens de leurs politiques et les maintenir dans une forme de « parasitage »  ou de mendicité (</w:t>
      </w:r>
      <w:proofErr w:type="spellStart"/>
      <w:r w:rsidRPr="009B6D19">
        <w:rPr>
          <w:rFonts w:ascii="Garamond" w:hAnsi="Garamond"/>
        </w:rPr>
        <w:t>Englebert</w:t>
      </w:r>
      <w:proofErr w:type="spellEnd"/>
      <w:r w:rsidRPr="009B6D19">
        <w:rPr>
          <w:rFonts w:ascii="Garamond" w:hAnsi="Garamond"/>
        </w:rPr>
        <w:t xml:space="preserve"> &amp; Kasongo, 2016 ; International </w:t>
      </w:r>
      <w:proofErr w:type="spellStart"/>
      <w:r w:rsidRPr="009B6D19">
        <w:rPr>
          <w:rFonts w:ascii="Garamond" w:hAnsi="Garamond"/>
        </w:rPr>
        <w:t>Monetary</w:t>
      </w:r>
      <w:proofErr w:type="spellEnd"/>
      <w:r w:rsidRPr="009B6D19">
        <w:rPr>
          <w:rFonts w:ascii="Garamond" w:hAnsi="Garamond"/>
        </w:rPr>
        <w:t xml:space="preserve"> </w:t>
      </w:r>
      <w:proofErr w:type="spellStart"/>
      <w:r w:rsidRPr="009B6D19">
        <w:rPr>
          <w:rFonts w:ascii="Garamond" w:hAnsi="Garamond"/>
        </w:rPr>
        <w:t>Found</w:t>
      </w:r>
      <w:proofErr w:type="spellEnd"/>
      <w:r w:rsidRPr="009B6D19">
        <w:rPr>
          <w:rFonts w:ascii="Garamond" w:hAnsi="Garamond"/>
        </w:rPr>
        <w:t>, 2021). Les coupes intempestives et arbitraires du Budget de l’Etat prévu pour les provinces et ETD ou les transferts irréguliers des subventions constituent une preuve d’un plombage prémédité et d’une coupure intentionnelle des capacités de ces entités infranationales. Cette situation s’exacerbe davantage par manque de pression exogène ou endogène ou par faible capacité de re</w:t>
      </w:r>
      <w:r w:rsidR="00C26BA7">
        <w:rPr>
          <w:rFonts w:ascii="Garamond" w:hAnsi="Garamond"/>
        </w:rPr>
        <w:t>vendication des acteurs locaux. Le cadre constitutionnel</w:t>
      </w:r>
      <w:r w:rsidRPr="009B6D19">
        <w:rPr>
          <w:rFonts w:ascii="Garamond" w:hAnsi="Garamond"/>
        </w:rPr>
        <w:t xml:space="preserve"> qui devrait servir de forum pour un dialogue franc entre acteurs qu’est la conférence des gouverneurs est devenu un cadre de légitimation de la violation de lois et règlements (PEFA, 2020) du fait que les gouverneurs des provinces se retrouvent devant leurs créateurs politiques auprès desquels ils viennent témoigner fidélité, loyauté et protection des intérêts. Il en est de même pour les bourgmestres des communes nommés par le pouvoir central auprès desquels ils sont redevables (</w:t>
      </w:r>
      <w:proofErr w:type="spellStart"/>
      <w:r w:rsidRPr="009B6D19">
        <w:rPr>
          <w:rFonts w:ascii="Garamond" w:hAnsi="Garamond"/>
        </w:rPr>
        <w:t>Mavalaka</w:t>
      </w:r>
      <w:proofErr w:type="spellEnd"/>
      <w:r w:rsidRPr="009B6D19">
        <w:rPr>
          <w:rFonts w:ascii="Garamond" w:hAnsi="Garamond"/>
        </w:rPr>
        <w:t xml:space="preserve">, 2018). Malheureusement, ces nominations interviennent le plus souvent à la veille des périodes électorales pour que ces derniers  préparent et renforcent les Etats-majors et y mettent des moyens humains, matériels et financiers pour favoriser l’élection de leurs parrains politiques dans leurs circonscriptions. Si </w:t>
      </w:r>
      <w:proofErr w:type="spellStart"/>
      <w:r w:rsidRPr="009B6D19">
        <w:rPr>
          <w:rFonts w:ascii="Garamond" w:hAnsi="Garamond"/>
        </w:rPr>
        <w:t>Mavalaka</w:t>
      </w:r>
      <w:proofErr w:type="spellEnd"/>
      <w:r w:rsidRPr="009B6D19">
        <w:rPr>
          <w:rFonts w:ascii="Garamond" w:hAnsi="Garamond"/>
        </w:rPr>
        <w:t xml:space="preserve"> rapporte cette situation à la veille </w:t>
      </w:r>
      <w:r w:rsidRPr="009B6D19">
        <w:rPr>
          <w:rFonts w:ascii="Garamond" w:hAnsi="Garamond"/>
        </w:rPr>
        <w:lastRenderedPageBreak/>
        <w:t xml:space="preserve">des élections à la veille des élections de 2018 sous le pouvoir du Parti du Peuple pour la Reconstruction et le Développement (PPRD) de Joseph Kabila, cette situation resurgit, avec les récentes nominations des bourgmestres politiciens sous la houlette de l’Union pour la Démocratie et le Progrès Social (UDPS), parti au pouvoir. Cette pratique, qui a été institutionnalisée depuis les années 1960 est loin d’être déracinée malgré le pacte constitutionnel de 2006 et les réformes subséquentes à ces dernières,  rendant ainsi illusoire la responsabilisation financière des entités infranationales. </w:t>
      </w:r>
    </w:p>
    <w:p w14:paraId="4483A488" w14:textId="77777777" w:rsidR="00804868" w:rsidRPr="009B6D19" w:rsidRDefault="00804868" w:rsidP="00804868">
      <w:pPr>
        <w:rPr>
          <w:rFonts w:ascii="Garamond" w:hAnsi="Garamond"/>
        </w:rPr>
      </w:pPr>
      <w:r w:rsidRPr="009B6D19">
        <w:rPr>
          <w:rFonts w:ascii="Garamond" w:hAnsi="Garamond"/>
        </w:rPr>
        <w:t xml:space="preserve">Pour rappel, la capacité se traduit, sur le plan de la gestion financière, par l’autonomie budgétaire de l’entité locale. Cette autonomie est un facteur très déterminant pour le renforcement de la responsabilisation financière de la collectivité locale en vue de rendre compte aux citoyens. Sous cette optique, elle constitue, dans le contexte de la décentralisation, un enjeu et un défi majeurs pour l’atteinte des objectifs de la réforme. C’est un enjeu majeur par le fait que plus une entité est autonome sur le plan des finances publiques, plus elle opère librement ses choix budgétaires pour rencontrer les desideratas de la population locale. Par contre, c’est un défi d’autant plus que le prolongement de cette autonomie constitue un risque de radicalisation ou d’insoumission des entités locales vis-à-vis du pouvoir central. C’est pourquoi, les entités locales doivent nécessairement s’activer pour conquérir cette autonomie en vue de mieux accomplir les compétences qui leur sont cédées ou qu’elles exercent concomitamment avec le pouvoir central. </w:t>
      </w:r>
    </w:p>
    <w:p w14:paraId="094BCF53" w14:textId="77777777" w:rsidR="00804868" w:rsidRPr="009B6D19" w:rsidRDefault="00804868" w:rsidP="00804868">
      <w:pPr>
        <w:rPr>
          <w:rFonts w:ascii="Garamond" w:hAnsi="Garamond"/>
        </w:rPr>
      </w:pPr>
      <w:r w:rsidRPr="009B6D19">
        <w:rPr>
          <w:rFonts w:ascii="Garamond" w:hAnsi="Garamond"/>
        </w:rPr>
        <w:t>Selon l’OCDE (201</w:t>
      </w:r>
      <w:r>
        <w:rPr>
          <w:rFonts w:ascii="Garamond" w:hAnsi="Garamond"/>
        </w:rPr>
        <w:t>9</w:t>
      </w:r>
      <w:r w:rsidRPr="009B6D19">
        <w:rPr>
          <w:rFonts w:ascii="Garamond" w:hAnsi="Garamond"/>
        </w:rPr>
        <w:t xml:space="preserve">), l’autonomie budgétaire est cette capacité pour une ETD disposant des prérogatives constitutionnelles par lesquelles elle est habilitée à exécuter toutes les tâches budgétaires en termes d’imposition, des dépenses, d’emprunt et de financement. En matière des dépenses, cette autonomie se traduit par la liberté à assurer la commande publique pour l’exécution des dépenses d’investissements. Par conséquent, étant donné que les ressources sont toujours limitées face aux dépenses, cette autonomie en matière des dépenses est proportionnelle à l’obligation de rendre compte des choix opérés en termes d’allocations, de profil des dépenses (priorisation), de définition des normes, de modes de production et de distribution. </w:t>
      </w:r>
      <w:proofErr w:type="spellStart"/>
      <w:r w:rsidRPr="009B6D19">
        <w:rPr>
          <w:rFonts w:ascii="Garamond" w:hAnsi="Garamond"/>
        </w:rPr>
        <w:t>Falletti</w:t>
      </w:r>
      <w:proofErr w:type="spellEnd"/>
      <w:r w:rsidRPr="009B6D19">
        <w:rPr>
          <w:rFonts w:ascii="Garamond" w:hAnsi="Garamond"/>
        </w:rPr>
        <w:t xml:space="preserve"> cité par </w:t>
      </w:r>
      <w:proofErr w:type="spellStart"/>
      <w:r w:rsidRPr="009B6D19">
        <w:rPr>
          <w:rFonts w:ascii="Garamond" w:hAnsi="Garamond"/>
        </w:rPr>
        <w:t>Bezes</w:t>
      </w:r>
      <w:proofErr w:type="spellEnd"/>
      <w:r w:rsidRPr="009B6D19">
        <w:rPr>
          <w:rFonts w:ascii="Garamond" w:hAnsi="Garamond"/>
        </w:rPr>
        <w:t xml:space="preserve"> &amp; Palier (2018) dans son étude sur la trajectoire de la décentralisation en Amérique latine, avait déjà souligné que la délégation du pouvoir et des ressources à une entité à « faible capacité bureaucratique » constituait gaspillage des ressources. </w:t>
      </w:r>
    </w:p>
    <w:p w14:paraId="3C5D556E" w14:textId="6C9E96E3" w:rsidR="00804868" w:rsidRPr="009B6D19" w:rsidRDefault="00804868" w:rsidP="00804868">
      <w:pPr>
        <w:rPr>
          <w:rFonts w:ascii="Garamond" w:hAnsi="Garamond"/>
        </w:rPr>
      </w:pPr>
      <w:r w:rsidRPr="009B6D19">
        <w:rPr>
          <w:rFonts w:ascii="Garamond" w:hAnsi="Garamond"/>
        </w:rPr>
        <w:t xml:space="preserve">En matière de recettes, une entité locale dispose d’une </w:t>
      </w:r>
      <w:r w:rsidR="002455B1">
        <w:rPr>
          <w:rFonts w:ascii="Garamond" w:hAnsi="Garamond"/>
        </w:rPr>
        <w:t>capacité</w:t>
      </w:r>
      <w:r w:rsidRPr="009B6D19">
        <w:rPr>
          <w:rFonts w:ascii="Garamond" w:hAnsi="Garamond"/>
        </w:rPr>
        <w:t xml:space="preserve"> en matière des recettes dans la mesure où ses recettes propres mobilisées sont supérieures ou égales aux compétences dévolues à l’entité. Ceci voudrait dire que l’entité locale est capable non seulement de financer une part importante des dépenses propres mais aussi tous les transferts dont elle bénéficie du pouvoir </w:t>
      </w:r>
      <w:r w:rsidRPr="009B6D19">
        <w:rPr>
          <w:rFonts w:ascii="Garamond" w:hAnsi="Garamond"/>
        </w:rPr>
        <w:lastRenderedPageBreak/>
        <w:t>central sont inconditionnels et fondés sur les règles. Cette inconditionnalité s’explique par le fait que les transferts conditionnels entravent la priorisation des politiques publiques locales et inhibent la réactivité des gestionnaires locaux. La capacité en matière des recettes se prolonge également jusqu’à la possibilité dont jouissent les entités locales à contracter, sans une quelconque autorisation préalable du pouvoir central, un emprunt ou à émettre des obligatio</w:t>
      </w:r>
      <w:r>
        <w:rPr>
          <w:rFonts w:ascii="Garamond" w:hAnsi="Garamond"/>
        </w:rPr>
        <w:t>ns. C’est aussi cette latitude dont disposent les organes délibérants de</w:t>
      </w:r>
      <w:r w:rsidRPr="009B6D19">
        <w:rPr>
          <w:rFonts w:ascii="Garamond" w:hAnsi="Garamond"/>
        </w:rPr>
        <w:t xml:space="preserve"> supprimer un impôt, </w:t>
      </w:r>
      <w:r>
        <w:rPr>
          <w:rFonts w:ascii="Garamond" w:hAnsi="Garamond"/>
        </w:rPr>
        <w:t>de fixer l’assiette et d’</w:t>
      </w:r>
      <w:r w:rsidRPr="009B6D19">
        <w:rPr>
          <w:rFonts w:ascii="Garamond" w:hAnsi="Garamond"/>
        </w:rPr>
        <w:t xml:space="preserve">accorder une exonération ou encore à effectuer un rabattement de taux. </w:t>
      </w:r>
    </w:p>
    <w:p w14:paraId="63A3323A" w14:textId="77777777" w:rsidR="00804868" w:rsidRPr="009B6D19" w:rsidRDefault="00804868" w:rsidP="00804868">
      <w:pPr>
        <w:rPr>
          <w:rFonts w:ascii="Garamond" w:hAnsi="Garamond"/>
        </w:rPr>
      </w:pPr>
      <w:r>
        <w:rPr>
          <w:rFonts w:ascii="Garamond" w:hAnsi="Garamond"/>
        </w:rPr>
        <w:t>Toutefois, selon l’OCDE (2019</w:t>
      </w:r>
      <w:r w:rsidRPr="009B6D19">
        <w:rPr>
          <w:rFonts w:ascii="Garamond" w:hAnsi="Garamond"/>
        </w:rPr>
        <w:t> : 156), cette capacité financière est largement effritée dans beaucoup des pays en voie de développement notamment</w:t>
      </w:r>
      <w:r>
        <w:rPr>
          <w:rFonts w:ascii="Garamond" w:hAnsi="Garamond"/>
        </w:rPr>
        <w:t xml:space="preserve"> </w:t>
      </w:r>
      <w:r w:rsidRPr="009B6D19">
        <w:rPr>
          <w:rFonts w:ascii="Garamond" w:hAnsi="Garamond"/>
        </w:rPr>
        <w:t>en Afrique et au Moyen Orient</w:t>
      </w:r>
      <w:r>
        <w:rPr>
          <w:rFonts w:ascii="Garamond" w:hAnsi="Garamond"/>
        </w:rPr>
        <w:t xml:space="preserve"> </w:t>
      </w:r>
      <w:r w:rsidRPr="009B6D19">
        <w:rPr>
          <w:rFonts w:ascii="Garamond" w:hAnsi="Garamond"/>
        </w:rPr>
        <w:t>avec des disparités considérables entre les entités urbaines et rurales (</w:t>
      </w:r>
      <w:proofErr w:type="spellStart"/>
      <w:r w:rsidRPr="009B6D19">
        <w:rPr>
          <w:rFonts w:ascii="Garamond" w:hAnsi="Garamond"/>
        </w:rPr>
        <w:t>Okrah</w:t>
      </w:r>
      <w:proofErr w:type="spellEnd"/>
      <w:r w:rsidRPr="009B6D19">
        <w:rPr>
          <w:rFonts w:ascii="Garamond" w:hAnsi="Garamond"/>
        </w:rPr>
        <w:t xml:space="preserve"> &amp; </w:t>
      </w:r>
      <w:proofErr w:type="spellStart"/>
      <w:r w:rsidRPr="009B6D19">
        <w:rPr>
          <w:rFonts w:ascii="Garamond" w:hAnsi="Garamond"/>
        </w:rPr>
        <w:t>Boamah</w:t>
      </w:r>
      <w:proofErr w:type="spellEnd"/>
      <w:r w:rsidRPr="009B6D19">
        <w:rPr>
          <w:rFonts w:ascii="Garamond" w:hAnsi="Garamond"/>
        </w:rPr>
        <w:t>, 2013). La réticence à accorder une réelle autonomie budgétaire aux entités infranationales se justifie le plus souvent par des raisons de gouvernance, des capacités des gouvernants locaux ou de souveraineté (</w:t>
      </w:r>
      <w:proofErr w:type="spellStart"/>
      <w:r w:rsidRPr="009B6D19">
        <w:rPr>
          <w:rFonts w:ascii="Garamond" w:hAnsi="Garamond"/>
        </w:rPr>
        <w:t>Kithatu-Kiwekete</w:t>
      </w:r>
      <w:proofErr w:type="spellEnd"/>
      <w:r w:rsidRPr="009B6D19">
        <w:rPr>
          <w:rFonts w:ascii="Garamond" w:hAnsi="Garamond"/>
        </w:rPr>
        <w:t>, 2017, PEFA, 2020). Il s’agit également d’un véritable choc dans le processus gestionnaire du fait qu’elle mène à la « </w:t>
      </w:r>
      <w:r w:rsidRPr="009B6D19">
        <w:rPr>
          <w:rFonts w:ascii="Garamond" w:hAnsi="Garamond"/>
          <w:i/>
        </w:rPr>
        <w:t>reconfiguration de l’Etat</w:t>
      </w:r>
      <w:r w:rsidRPr="009B6D19">
        <w:rPr>
          <w:rFonts w:ascii="Garamond" w:hAnsi="Garamond"/>
        </w:rPr>
        <w:t> ».</w:t>
      </w:r>
      <w:r>
        <w:rPr>
          <w:rFonts w:ascii="Garamond" w:hAnsi="Garamond"/>
        </w:rPr>
        <w:t xml:space="preserve"> </w:t>
      </w:r>
      <w:r w:rsidRPr="009B6D19">
        <w:rPr>
          <w:rFonts w:ascii="Garamond" w:hAnsi="Garamond"/>
        </w:rPr>
        <w:t>Le pouvoir central</w:t>
      </w:r>
      <w:r>
        <w:rPr>
          <w:rFonts w:ascii="Garamond" w:hAnsi="Garamond"/>
        </w:rPr>
        <w:t xml:space="preserve"> </w:t>
      </w:r>
      <w:r w:rsidRPr="009B6D19">
        <w:rPr>
          <w:rFonts w:ascii="Garamond" w:hAnsi="Garamond"/>
        </w:rPr>
        <w:t>qui jadis jouissant de la plénitude des prérogatives</w:t>
      </w:r>
      <w:r>
        <w:rPr>
          <w:rFonts w:ascii="Garamond" w:hAnsi="Garamond"/>
        </w:rPr>
        <w:t xml:space="preserve"> </w:t>
      </w:r>
      <w:r w:rsidRPr="009B6D19">
        <w:rPr>
          <w:rFonts w:ascii="Garamond" w:hAnsi="Garamond"/>
        </w:rPr>
        <w:t>en matière de gestion des finances publiques, est</w:t>
      </w:r>
      <w:r>
        <w:rPr>
          <w:rFonts w:ascii="Garamond" w:hAnsi="Garamond"/>
        </w:rPr>
        <w:t xml:space="preserve"> </w:t>
      </w:r>
      <w:r w:rsidRPr="009B6D19">
        <w:rPr>
          <w:rFonts w:ascii="Garamond" w:hAnsi="Garamond"/>
        </w:rPr>
        <w:t>obligé de quitter sa zone de confort pour s’orienter vers les nouvelles bifurcations. Ce choc, selon Rouillard (2007),</w:t>
      </w:r>
      <w:r>
        <w:rPr>
          <w:rFonts w:ascii="Garamond" w:hAnsi="Garamond"/>
        </w:rPr>
        <w:t xml:space="preserve"> </w:t>
      </w:r>
      <w:r w:rsidRPr="009B6D19">
        <w:rPr>
          <w:rFonts w:ascii="Garamond" w:hAnsi="Garamond"/>
        </w:rPr>
        <w:t>est susceptible d’affecter</w:t>
      </w:r>
      <w:r>
        <w:rPr>
          <w:rFonts w:ascii="Garamond" w:hAnsi="Garamond"/>
        </w:rPr>
        <w:t xml:space="preserve"> </w:t>
      </w:r>
      <w:r w:rsidRPr="009B6D19">
        <w:rPr>
          <w:rFonts w:ascii="Garamond" w:hAnsi="Garamond"/>
        </w:rPr>
        <w:t>« </w:t>
      </w:r>
      <w:r w:rsidRPr="009B6D19">
        <w:rPr>
          <w:rFonts w:ascii="Garamond" w:hAnsi="Garamond"/>
          <w:i/>
        </w:rPr>
        <w:t>la capacité de l’État</w:t>
      </w:r>
      <w:r>
        <w:rPr>
          <w:rFonts w:ascii="Garamond" w:hAnsi="Garamond"/>
          <w:i/>
        </w:rPr>
        <w:t xml:space="preserve"> d’autant plus qu’il est avant tout question de changer des pratiques, ou </w:t>
      </w:r>
      <w:r w:rsidRPr="009B6D19">
        <w:rPr>
          <w:rFonts w:ascii="Garamond" w:hAnsi="Garamond"/>
          <w:i/>
        </w:rPr>
        <w:t>de composer</w:t>
      </w:r>
      <w:r>
        <w:rPr>
          <w:rFonts w:ascii="Garamond" w:hAnsi="Garamond"/>
          <w:i/>
        </w:rPr>
        <w:t xml:space="preserve"> avec une confrontation entre les ressources et la culture organisationnelle » </w:t>
      </w:r>
      <w:r w:rsidRPr="009C0555">
        <w:rPr>
          <w:rFonts w:ascii="Garamond" w:hAnsi="Garamond"/>
        </w:rPr>
        <w:t>(p.</w:t>
      </w:r>
      <w:r w:rsidRPr="009B6D19">
        <w:rPr>
          <w:rFonts w:ascii="Garamond" w:hAnsi="Garamond"/>
        </w:rPr>
        <w:t>10). Si</w:t>
      </w:r>
      <w:r>
        <w:rPr>
          <w:rFonts w:ascii="Garamond" w:hAnsi="Garamond"/>
        </w:rPr>
        <w:t xml:space="preserve"> </w:t>
      </w:r>
      <w:r w:rsidRPr="009B6D19">
        <w:rPr>
          <w:rFonts w:ascii="Garamond" w:hAnsi="Garamond"/>
        </w:rPr>
        <w:t>dans certains pays, les entités locales ont la capacité de disposer librement des ressources issues de la fiscalité locale, cela n’est pas le cas pour les transferts conditionnels et inconditionnels que l’Etat central est tenu d’affecter régulièrement aux entités infranationales. Dans les pires des cas, comme en RDC, ces transferts sont soit substit</w:t>
      </w:r>
      <w:r w:rsidR="003452CA">
        <w:rPr>
          <w:rFonts w:ascii="Garamond" w:hAnsi="Garamond"/>
        </w:rPr>
        <w:t>ués</w:t>
      </w:r>
      <w:r w:rsidRPr="009B6D19">
        <w:rPr>
          <w:rFonts w:ascii="Garamond" w:hAnsi="Garamond"/>
        </w:rPr>
        <w:t>, soit leurs taux sont rabattus, soit sont versés à la fin de l’année après avoir exécuté les charges les plus importantes du pouvoir central, etc. Toutes ces stratégies visent à aggraver la dépendance financière des entités locales aux ressources de l’Etat central (</w:t>
      </w:r>
      <w:proofErr w:type="spellStart"/>
      <w:r w:rsidRPr="009B6D19">
        <w:rPr>
          <w:rFonts w:ascii="Garamond" w:hAnsi="Garamond"/>
        </w:rPr>
        <w:t>Yatta</w:t>
      </w:r>
      <w:proofErr w:type="spellEnd"/>
      <w:r w:rsidRPr="009B6D19">
        <w:rPr>
          <w:rFonts w:ascii="Garamond" w:hAnsi="Garamond"/>
        </w:rPr>
        <w:t xml:space="preserve">, 2009 : 147, PEFA, 2020) avec des conséquences considérables sur les profils des dépenses et sur la mobilisation des recettes propres. </w:t>
      </w:r>
    </w:p>
    <w:p w14:paraId="06CAD00A" w14:textId="77777777" w:rsidR="00804868" w:rsidRPr="009B6D19" w:rsidRDefault="00804868" w:rsidP="00804868">
      <w:pPr>
        <w:rPr>
          <w:rFonts w:ascii="Garamond" w:hAnsi="Garamond"/>
        </w:rPr>
      </w:pPr>
      <w:r w:rsidRPr="009B6D19">
        <w:rPr>
          <w:rFonts w:ascii="Garamond" w:hAnsi="Garamond"/>
        </w:rPr>
        <w:t>Sur le plan administratif, la capacité est cette aptitude à bien remplir sa mission ou le mandat qui lui a été confié avec efficacité, équité, responsabilité, intégrité et réactivité (OCDE, 20</w:t>
      </w:r>
      <w:r>
        <w:rPr>
          <w:rFonts w:ascii="Garamond" w:hAnsi="Garamond"/>
        </w:rPr>
        <w:t>19</w:t>
      </w:r>
      <w:r w:rsidRPr="009B6D19">
        <w:rPr>
          <w:rFonts w:ascii="Garamond" w:hAnsi="Garamond"/>
        </w:rPr>
        <w:t>). Ce qui voudrait dire que l’entité locale doit être capable de : (i) fournir des services publics de qualité de façon efficiente et durable ; (ii) disposer pleinement d’une administration publique locale axée sur l’atteinte de</w:t>
      </w:r>
      <w:r>
        <w:rPr>
          <w:rFonts w:ascii="Garamond" w:hAnsi="Garamond"/>
        </w:rPr>
        <w:t>s objectifs de performance</w:t>
      </w:r>
      <w:r>
        <w:t xml:space="preserve"> </w:t>
      </w:r>
      <w:r w:rsidRPr="009B6D19">
        <w:rPr>
          <w:rFonts w:ascii="Garamond" w:hAnsi="Garamond"/>
        </w:rPr>
        <w:t>; (iii) assurer le pilotage politique et programmatique des politiques locales en collaboration avec d’autres parties prenantes ; (iv)</w:t>
      </w:r>
      <w:r>
        <w:rPr>
          <w:rFonts w:ascii="Garamond" w:hAnsi="Garamond"/>
        </w:rPr>
        <w:t xml:space="preserve"> de développer une fiscalité propre et d’assurer une affectation</w:t>
      </w:r>
      <w:r w:rsidRPr="009B6D19">
        <w:rPr>
          <w:rFonts w:ascii="Garamond" w:hAnsi="Garamond"/>
        </w:rPr>
        <w:t xml:space="preserve"> rationnelle, transparente </w:t>
      </w:r>
      <w:r>
        <w:rPr>
          <w:rFonts w:ascii="Garamond" w:hAnsi="Garamond"/>
        </w:rPr>
        <w:t>des ressources,</w:t>
      </w:r>
      <w:r w:rsidRPr="009B6D19">
        <w:rPr>
          <w:rFonts w:ascii="Garamond" w:hAnsi="Garamond"/>
        </w:rPr>
        <w:t xml:space="preserve"> sans interférence des </w:t>
      </w:r>
      <w:r w:rsidRPr="009B6D19">
        <w:rPr>
          <w:rFonts w:ascii="Garamond" w:hAnsi="Garamond"/>
        </w:rPr>
        <w:lastRenderedPageBreak/>
        <w:t>instances supérieures</w:t>
      </w:r>
      <w:r>
        <w:rPr>
          <w:rFonts w:ascii="Garamond" w:hAnsi="Garamond"/>
        </w:rPr>
        <w:t xml:space="preserve"> </w:t>
      </w:r>
      <w:r w:rsidRPr="009B6D19">
        <w:rPr>
          <w:rFonts w:ascii="Garamond" w:hAnsi="Garamond"/>
        </w:rPr>
        <w:t> et ; (v) assurer le contrôle de gestion, le suivi-évaluation et le cas échéant, sanctionner ses services.</w:t>
      </w:r>
    </w:p>
    <w:p w14:paraId="2D9BB180" w14:textId="0D949D36" w:rsidR="00804868" w:rsidRPr="009B6D19" w:rsidRDefault="00804868" w:rsidP="00804868">
      <w:pPr>
        <w:rPr>
          <w:rFonts w:ascii="Garamond" w:hAnsi="Garamond"/>
        </w:rPr>
      </w:pPr>
      <w:r w:rsidRPr="009B6D19">
        <w:rPr>
          <w:rFonts w:ascii="Garamond" w:hAnsi="Garamond"/>
        </w:rPr>
        <w:t xml:space="preserve">Sur le plan institutionnel, la capacité comme se définit comme étant la faculté de disposer d’institutions exécutives, législatives, judicaires efficaces et de nouer des partenariats </w:t>
      </w:r>
      <w:r w:rsidR="00D70030">
        <w:rPr>
          <w:rFonts w:ascii="Garamond" w:hAnsi="Garamond"/>
        </w:rPr>
        <w:t>(</w:t>
      </w:r>
      <w:r w:rsidR="00D70030" w:rsidRPr="009B6D19">
        <w:rPr>
          <w:rFonts w:ascii="Garamond" w:hAnsi="Garamond"/>
        </w:rPr>
        <w:t xml:space="preserve">Newman </w:t>
      </w:r>
      <w:r w:rsidR="00D70030">
        <w:rPr>
          <w:rFonts w:ascii="Garamond" w:hAnsi="Garamond"/>
        </w:rPr>
        <w:t>&amp; Perl, 2014</w:t>
      </w:r>
      <w:r w:rsidR="00D70030" w:rsidRPr="009B6D19">
        <w:rPr>
          <w:rFonts w:ascii="Garamond" w:hAnsi="Garamond"/>
        </w:rPr>
        <w:t>)</w:t>
      </w:r>
      <w:r w:rsidR="00D70030">
        <w:rPr>
          <w:rFonts w:ascii="Garamond" w:hAnsi="Garamond"/>
        </w:rPr>
        <w:t xml:space="preserve"> </w:t>
      </w:r>
      <w:r w:rsidRPr="009B6D19">
        <w:rPr>
          <w:rFonts w:ascii="Garamond" w:hAnsi="Garamond"/>
        </w:rPr>
        <w:t>ainsi que d’assurer la coordination inter-administrative, l’audit, l’évaluation et la rétroaction des citoyens. Cette capacité institutionnelle est déjà consacrée par la Constitution congolaise bien que son effectivité est une autre paire de manche. La modicité des ressources issues des transferts du pouvoir central, bien que voulu à dessein et justifiée par les effets d’éviction, selon lesquels, le fonctionnement à base caisse de la trésorerie entraine la priorisation des dépenses (sécurité, sociales et institutions) au détriment des financements des réformes</w:t>
      </w:r>
      <w:r w:rsidR="00D70030">
        <w:rPr>
          <w:rFonts w:ascii="Garamond" w:hAnsi="Garamond"/>
        </w:rPr>
        <w:t xml:space="preserve">. Ceci </w:t>
      </w:r>
      <w:r w:rsidRPr="009B6D19">
        <w:rPr>
          <w:rFonts w:ascii="Garamond" w:hAnsi="Garamond"/>
        </w:rPr>
        <w:t xml:space="preserve">amène les entités infranationales à faire payer leurs services, y compris ceux qui sont gratuits par nature, ainsi que l'application de normes réglementaires simples (PEFA, 2020). </w:t>
      </w:r>
    </w:p>
    <w:p w14:paraId="48F5593C" w14:textId="77777777" w:rsidR="00804868" w:rsidRDefault="00804868" w:rsidP="00804868">
      <w:pPr>
        <w:rPr>
          <w:rFonts w:ascii="Garamond" w:hAnsi="Garamond"/>
        </w:rPr>
      </w:pPr>
      <w:r w:rsidRPr="009B6D19">
        <w:rPr>
          <w:rFonts w:ascii="Garamond" w:hAnsi="Garamond"/>
        </w:rPr>
        <w:t>Enfin, sur le plan stratégique, l’entité locale devra disposer d’une aptitude à se construire une vision de laquelle découlent les objectifs stratégiques déclinés en programmes dont les actions sont atteignables et réalisables dans les délais fixés. De ce fait, l’entité locale devra disposer des ressources administratives</w:t>
      </w:r>
      <w:r>
        <w:rPr>
          <w:rFonts w:ascii="Garamond" w:hAnsi="Garamond"/>
        </w:rPr>
        <w:t xml:space="preserve"> et financières nécessaires à la mise en œuvre du plan de développement local. </w:t>
      </w:r>
      <w:r w:rsidRPr="009B6D19">
        <w:rPr>
          <w:rFonts w:ascii="Garamond" w:hAnsi="Garamond"/>
        </w:rPr>
        <w:t xml:space="preserve">De tout ce qui précède, il ressort qu’une entité locale en RDC qui ne dispose pas pleinement de ses capacités ou dont certains aspects de la capacité subissent l’ombrage des instances supérieures, ne peut jamais conduire à bon port la réforme de la décentralisation. Dès lors que les entités locales paraissent comme une menace pour les pouvoirs central et provincial et que chaque acteur institutionnel vise la conquête de ses intérêts, réduire leurs capacités pour les assujettir davantage devient un enjeu majeur. L’autonomie financière des entités locales est parmi les capacités les plus compromises. </w:t>
      </w:r>
    </w:p>
    <w:p w14:paraId="076D358E" w14:textId="77777777" w:rsidR="00804868" w:rsidRPr="009B6D19" w:rsidRDefault="00804868" w:rsidP="00804868">
      <w:pPr>
        <w:pStyle w:val="Heading3"/>
        <w:rPr>
          <w:rFonts w:eastAsiaTheme="minorHAnsi"/>
        </w:rPr>
      </w:pPr>
      <w:bookmarkStart w:id="55" w:name="_Toc125594175"/>
      <w:bookmarkStart w:id="56" w:name="_Toc143577471"/>
      <w:r w:rsidRPr="009B6D19">
        <w:rPr>
          <w:rFonts w:eastAsiaTheme="minorHAnsi"/>
        </w:rPr>
        <w:t>Faible participation des acteurs de la société civile</w:t>
      </w:r>
      <w:bookmarkEnd w:id="55"/>
      <w:bookmarkEnd w:id="56"/>
    </w:p>
    <w:p w14:paraId="03AC4B80" w14:textId="398958AB" w:rsidR="00804868" w:rsidRPr="009B6D19" w:rsidRDefault="00804868" w:rsidP="00804868">
      <w:pPr>
        <w:rPr>
          <w:rFonts w:ascii="Garamond" w:hAnsi="Garamond"/>
        </w:rPr>
      </w:pPr>
      <w:r w:rsidRPr="009B6D19">
        <w:rPr>
          <w:rFonts w:ascii="Garamond" w:hAnsi="Garamond"/>
        </w:rPr>
        <w:t>Pour rappel, la réforme de la décentralisation faisant l’objet de la présente étude et de laquelle découle la responsabilisation financière et la reddition des comptes, a été consacrée par la Constitution de 2006</w:t>
      </w:r>
      <w:r w:rsidR="006B580F">
        <w:rPr>
          <w:rFonts w:ascii="Garamond" w:hAnsi="Garamond"/>
        </w:rPr>
        <w:t xml:space="preserve"> de la RDC</w:t>
      </w:r>
      <w:r w:rsidRPr="009B6D19">
        <w:rPr>
          <w:rFonts w:ascii="Garamond" w:hAnsi="Garamond"/>
        </w:rPr>
        <w:t>. Cette dernière établit clairement les compétences exclusives du pouvoir central et des provinces et celles concurrentes entre les deux niveaux d’exercice de pouvoir</w:t>
      </w:r>
      <w:r w:rsidR="008611DE">
        <w:rPr>
          <w:rFonts w:ascii="Garamond" w:hAnsi="Garamond"/>
        </w:rPr>
        <w:t xml:space="preserve"> renforçant ainsi une responsabilisation horizontale et verticale</w:t>
      </w:r>
      <w:r w:rsidRPr="009B6D19">
        <w:rPr>
          <w:rFonts w:ascii="Garamond" w:hAnsi="Garamond"/>
        </w:rPr>
        <w:t>. Ce cadre constitutionnel se retrouve complété par une série d’instruments légaux et règlementaires visant</w:t>
      </w:r>
      <w:r w:rsidR="006B580F">
        <w:rPr>
          <w:rFonts w:ascii="Garamond" w:hAnsi="Garamond"/>
        </w:rPr>
        <w:t xml:space="preserve"> à matérialiser l’autonome politique, administrative et financière des entités infranationales en vue de rendre redevables et réactifs, les dirigeants élus, cooptés ou désignés</w:t>
      </w:r>
      <w:r w:rsidRPr="009B6D19">
        <w:rPr>
          <w:rFonts w:ascii="Garamond" w:hAnsi="Garamond"/>
        </w:rPr>
        <w:t xml:space="preserve">. Ces réformes, impulsées dans une </w:t>
      </w:r>
      <w:r w:rsidRPr="009B6D19">
        <w:rPr>
          <w:rFonts w:ascii="Garamond" w:hAnsi="Garamond"/>
        </w:rPr>
        <w:lastRenderedPageBreak/>
        <w:t xml:space="preserve">perspective </w:t>
      </w:r>
      <w:r w:rsidR="002D608F">
        <w:rPr>
          <w:rFonts w:ascii="Garamond" w:hAnsi="Garamond"/>
        </w:rPr>
        <w:t>de la nouvelle gouvernance publique</w:t>
      </w:r>
      <w:r w:rsidRPr="009B6D19">
        <w:rPr>
          <w:rFonts w:ascii="Garamond" w:hAnsi="Garamond"/>
        </w:rPr>
        <w:t xml:space="preserve"> (Rouillard &amp;Burlone, 2008 ; Levy, 2002 ; Groot &amp; </w:t>
      </w:r>
      <w:proofErr w:type="spellStart"/>
      <w:r w:rsidRPr="009B6D19">
        <w:rPr>
          <w:rFonts w:ascii="Garamond" w:hAnsi="Garamond"/>
        </w:rPr>
        <w:t>Budding</w:t>
      </w:r>
      <w:proofErr w:type="spellEnd"/>
      <w:r w:rsidRPr="009B6D19">
        <w:rPr>
          <w:rFonts w:ascii="Garamond" w:hAnsi="Garamond"/>
        </w:rPr>
        <w:t>, 2004), adoptent</w:t>
      </w:r>
      <w:r>
        <w:rPr>
          <w:rFonts w:ascii="Garamond" w:hAnsi="Garamond"/>
        </w:rPr>
        <w:t xml:space="preserve"> </w:t>
      </w:r>
      <w:r w:rsidR="0084042B" w:rsidRPr="009B6D19">
        <w:rPr>
          <w:rFonts w:ascii="Garamond" w:hAnsi="Garamond"/>
        </w:rPr>
        <w:t>d’une part</w:t>
      </w:r>
      <w:r w:rsidR="0084042B">
        <w:rPr>
          <w:rFonts w:ascii="Garamond" w:hAnsi="Garamond"/>
        </w:rPr>
        <w:t xml:space="preserve">, </w:t>
      </w:r>
      <w:r w:rsidRPr="009B6D19">
        <w:rPr>
          <w:rFonts w:ascii="Garamond" w:hAnsi="Garamond"/>
        </w:rPr>
        <w:t xml:space="preserve">une approche participative, inclusive et concertée pour renforcer l’efficacité de l’action publique et </w:t>
      </w:r>
      <w:r w:rsidR="0084042B">
        <w:rPr>
          <w:rFonts w:ascii="Garamond" w:hAnsi="Garamond"/>
        </w:rPr>
        <w:t>d’autre part,</w:t>
      </w:r>
      <w:r w:rsidR="0084042B" w:rsidRPr="009B6D19">
        <w:rPr>
          <w:rFonts w:ascii="Garamond" w:hAnsi="Garamond"/>
        </w:rPr>
        <w:t xml:space="preserve"> </w:t>
      </w:r>
      <w:r w:rsidRPr="009B6D19">
        <w:rPr>
          <w:rFonts w:ascii="Garamond" w:hAnsi="Garamond"/>
        </w:rPr>
        <w:t>responsabilise</w:t>
      </w:r>
      <w:r w:rsidR="0084042B">
        <w:rPr>
          <w:rFonts w:ascii="Garamond" w:hAnsi="Garamond"/>
        </w:rPr>
        <w:t>nt</w:t>
      </w:r>
      <w:r w:rsidRPr="009B6D19">
        <w:rPr>
          <w:rFonts w:ascii="Garamond" w:hAnsi="Garamond"/>
        </w:rPr>
        <w:t xml:space="preserve"> à la fois les </w:t>
      </w:r>
      <w:r w:rsidR="00BB3B0A">
        <w:rPr>
          <w:rFonts w:ascii="Garamond" w:hAnsi="Garamond"/>
        </w:rPr>
        <w:t>entité</w:t>
      </w:r>
      <w:r w:rsidRPr="009B6D19">
        <w:rPr>
          <w:rFonts w:ascii="Garamond" w:hAnsi="Garamond"/>
        </w:rPr>
        <w:t>s municipales et locales par la décentralisation du processus décisionnel. Dans forum</w:t>
      </w:r>
      <w:r w:rsidR="002D608F">
        <w:rPr>
          <w:rFonts w:ascii="Garamond" w:hAnsi="Garamond"/>
        </w:rPr>
        <w:t xml:space="preserve"> décisionnel qui en résulte</w:t>
      </w:r>
      <w:r w:rsidRPr="009B6D19">
        <w:rPr>
          <w:rFonts w:ascii="Garamond" w:hAnsi="Garamond"/>
        </w:rPr>
        <w:t xml:space="preserve">, les acteurs non étatiques jouent un rôle important dans la mise à l’agenda, la conduite et le suivi-évaluation des politiques publiques. Du fait qu’ils soient destinataires de politiques publiques, assujettis à la fiscalité, usagers des services publics et électeurs, ils constituent de ce fait un contrepouvoir susceptible de bloquer toute initiative </w:t>
      </w:r>
      <w:r w:rsidR="00BB3B0A">
        <w:rPr>
          <w:rFonts w:ascii="Garamond" w:hAnsi="Garamond"/>
        </w:rPr>
        <w:t>qui nuit à</w:t>
      </w:r>
      <w:r w:rsidRPr="009B6D19">
        <w:rPr>
          <w:rFonts w:ascii="Garamond" w:hAnsi="Garamond"/>
        </w:rPr>
        <w:t xml:space="preserve"> l’intérêt commun. Leur capacité à assurer le contrôle citoyen est indispensable afin de contrer toute déviation et influence l’évolution vers de nouvelles trajectoires (</w:t>
      </w:r>
      <w:proofErr w:type="spellStart"/>
      <w:r w:rsidRPr="009B6D19">
        <w:rPr>
          <w:rFonts w:ascii="Garamond" w:hAnsi="Garamond"/>
        </w:rPr>
        <w:t>Thelen</w:t>
      </w:r>
      <w:proofErr w:type="spellEnd"/>
      <w:r w:rsidRPr="009B6D19">
        <w:rPr>
          <w:rFonts w:ascii="Garamond" w:hAnsi="Garamond"/>
        </w:rPr>
        <w:t>, 2000). De ce fait, leur rétroaction positive affecte à la fois les dispositions organisationnelles et formelles</w:t>
      </w:r>
      <w:r w:rsidR="002D608F">
        <w:rPr>
          <w:rFonts w:ascii="Garamond" w:hAnsi="Garamond"/>
        </w:rPr>
        <w:t>, et par ricochet, influencent</w:t>
      </w:r>
      <w:r w:rsidRPr="009B6D19">
        <w:rPr>
          <w:rFonts w:ascii="Garamond" w:hAnsi="Garamond"/>
        </w:rPr>
        <w:t xml:space="preserve"> l'élaboration</w:t>
      </w:r>
      <w:r w:rsidR="002D608F">
        <w:rPr>
          <w:rFonts w:ascii="Garamond" w:hAnsi="Garamond"/>
        </w:rPr>
        <w:t xml:space="preserve"> et la mise en œuvre des réformes</w:t>
      </w:r>
      <w:r w:rsidRPr="009B6D19">
        <w:rPr>
          <w:rFonts w:ascii="Garamond" w:hAnsi="Garamond"/>
        </w:rPr>
        <w:t xml:space="preserve"> (</w:t>
      </w:r>
      <w:proofErr w:type="spellStart"/>
      <w:r w:rsidRPr="009B6D19">
        <w:rPr>
          <w:rFonts w:ascii="Garamond" w:hAnsi="Garamond"/>
        </w:rPr>
        <w:t>Kpadé</w:t>
      </w:r>
      <w:proofErr w:type="spellEnd"/>
      <w:r w:rsidRPr="009B6D19">
        <w:rPr>
          <w:rFonts w:ascii="Garamond" w:hAnsi="Garamond"/>
        </w:rPr>
        <w:t xml:space="preserve"> &amp; </w:t>
      </w:r>
      <w:proofErr w:type="spellStart"/>
      <w:r w:rsidRPr="009B6D19">
        <w:rPr>
          <w:rFonts w:ascii="Garamond" w:hAnsi="Garamond"/>
        </w:rPr>
        <w:t>Boinon</w:t>
      </w:r>
      <w:proofErr w:type="spellEnd"/>
      <w:r w:rsidRPr="009B6D19">
        <w:rPr>
          <w:rFonts w:ascii="Garamond" w:hAnsi="Garamond"/>
        </w:rPr>
        <w:t>, 2011). Pour que cette rétroaction soit réellement positive, Smoke (2015: 221) pense que les citoyens doivent impérativement prendre conscience et disposer d’une capacité et un intérêt particulier, comme tout autre acteur, dans la réforme envisagée. Ainsi, disposer d’une capacité voudrait dire que les citoyens ont la bonne information, maitrisent les modes d’accès dans le forum et sont capables d’impacter les choix publics et le processus décisionnel. Dans le cadre de la reddition des comptes par exemple, leur participation effective dans les forums budgétaires (budget participatif), la maitrise des instruments</w:t>
      </w:r>
      <w:r w:rsidR="006B1195">
        <w:rPr>
          <w:rFonts w:ascii="Garamond" w:hAnsi="Garamond"/>
        </w:rPr>
        <w:t xml:space="preserve"> </w:t>
      </w:r>
      <w:r w:rsidRPr="009B6D19">
        <w:rPr>
          <w:rFonts w:ascii="Garamond" w:hAnsi="Garamond"/>
        </w:rPr>
        <w:t>en matière de mobilisation des ressources et d’exécution des dépenses publiques ainsi</w:t>
      </w:r>
      <w:r>
        <w:rPr>
          <w:rFonts w:ascii="Garamond" w:hAnsi="Garamond"/>
        </w:rPr>
        <w:t xml:space="preserve"> </w:t>
      </w:r>
      <w:r w:rsidRPr="009B6D19">
        <w:rPr>
          <w:rFonts w:ascii="Garamond" w:hAnsi="Garamond"/>
        </w:rPr>
        <w:t>des objectifs de performance assignés permettent aux citoyens</w:t>
      </w:r>
      <w:r>
        <w:rPr>
          <w:rFonts w:ascii="Garamond" w:hAnsi="Garamond"/>
        </w:rPr>
        <w:t xml:space="preserve"> </w:t>
      </w:r>
      <w:r w:rsidRPr="009B6D19">
        <w:rPr>
          <w:rFonts w:ascii="Garamond" w:hAnsi="Garamond"/>
        </w:rPr>
        <w:t>de jouer pleinement</w:t>
      </w:r>
      <w:r>
        <w:rPr>
          <w:rFonts w:ascii="Garamond" w:hAnsi="Garamond"/>
        </w:rPr>
        <w:t xml:space="preserve"> </w:t>
      </w:r>
      <w:r w:rsidRPr="009B6D19">
        <w:rPr>
          <w:rFonts w:ascii="Garamond" w:hAnsi="Garamond"/>
        </w:rPr>
        <w:t xml:space="preserve">leur rôle. Par ailleurs, il est clairement établi que la politique de décentralisation a notamment pour but d’améliorer la gouvernance publique en ouvrant la porte du processus décisionnel aux différents acteurs locaux (Rondinelli &amp; al., 1983). De ce fait, il est un paradigme  qui favorise le développement local par le simple fait que tous les acteurs participent à la définition de leurs priorités, suivent leur exécution et sanctionnent les acteurs étatiques non performants. Cette ouverture </w:t>
      </w:r>
      <w:r w:rsidR="00AF7B24">
        <w:rPr>
          <w:rFonts w:ascii="Garamond" w:hAnsi="Garamond"/>
        </w:rPr>
        <w:t>des</w:t>
      </w:r>
      <w:r w:rsidRPr="009B6D19">
        <w:rPr>
          <w:rFonts w:ascii="Garamond" w:hAnsi="Garamond"/>
        </w:rPr>
        <w:t xml:space="preserve"> autorités locales aux acteurs locaux</w:t>
      </w:r>
      <w:r w:rsidR="00C6401D">
        <w:rPr>
          <w:rFonts w:ascii="Garamond" w:hAnsi="Garamond"/>
        </w:rPr>
        <w:t xml:space="preserve"> non-étatiques</w:t>
      </w:r>
      <w:r w:rsidRPr="009B6D19">
        <w:rPr>
          <w:rFonts w:ascii="Garamond" w:hAnsi="Garamond"/>
        </w:rPr>
        <w:t xml:space="preserve"> facilite notamment le transit de l’information en vue d’influencer le processus décisionnel et la reddition des comptes par les gestionnaires. C’est dans ce cadre que l’arrangement institutionnel mis en place dans le contexte de la décentralisation devra être de nature à favoriser la participation et la revendication. Selon Leiderer &amp; Wolf (2006), un système de gestion des finances publiques transparent et participatif est celui qui respecte les droits humains, ouv</w:t>
      </w:r>
      <w:r w:rsidR="00C6401D">
        <w:rPr>
          <w:rFonts w:ascii="Garamond" w:hAnsi="Garamond"/>
        </w:rPr>
        <w:t xml:space="preserve">re une opportunité aux citoyens, </w:t>
      </w:r>
      <w:r w:rsidRPr="009B6D19">
        <w:rPr>
          <w:rFonts w:ascii="Garamond" w:hAnsi="Garamond"/>
        </w:rPr>
        <w:t xml:space="preserve">facilite la revendication et développe l’écoute auprès des élites politiques. Toutefois, North &amp; </w:t>
      </w:r>
      <w:proofErr w:type="spellStart"/>
      <w:r w:rsidRPr="009B6D19">
        <w:rPr>
          <w:rFonts w:ascii="Garamond" w:hAnsi="Garamond"/>
        </w:rPr>
        <w:t>Elson</w:t>
      </w:r>
      <w:proofErr w:type="spellEnd"/>
      <w:r w:rsidRPr="009B6D19">
        <w:rPr>
          <w:rFonts w:ascii="Garamond" w:hAnsi="Garamond"/>
        </w:rPr>
        <w:t xml:space="preserve"> (2002) qui se sont posés la question de savoir « </w:t>
      </w:r>
      <w:proofErr w:type="spellStart"/>
      <w:r w:rsidRPr="009B6D19">
        <w:rPr>
          <w:rFonts w:ascii="Garamond" w:hAnsi="Garamond"/>
          <w:i/>
        </w:rPr>
        <w:t>What’s</w:t>
      </w:r>
      <w:proofErr w:type="spellEnd"/>
      <w:r w:rsidRPr="009B6D19">
        <w:rPr>
          <w:rFonts w:ascii="Garamond" w:hAnsi="Garamond"/>
          <w:i/>
        </w:rPr>
        <w:t xml:space="preserve"> </w:t>
      </w:r>
      <w:proofErr w:type="spellStart"/>
      <w:r w:rsidRPr="009B6D19">
        <w:rPr>
          <w:rFonts w:ascii="Garamond" w:hAnsi="Garamond"/>
          <w:i/>
        </w:rPr>
        <w:t>behind</w:t>
      </w:r>
      <w:proofErr w:type="spellEnd"/>
      <w:r w:rsidRPr="009B6D19">
        <w:rPr>
          <w:rFonts w:ascii="Garamond" w:hAnsi="Garamond"/>
          <w:i/>
        </w:rPr>
        <w:t xml:space="preserve"> the budget </w:t>
      </w:r>
      <w:proofErr w:type="gramStart"/>
      <w:r w:rsidRPr="009B6D19">
        <w:rPr>
          <w:rFonts w:ascii="Garamond" w:hAnsi="Garamond"/>
          <w:i/>
        </w:rPr>
        <w:t>?,…</w:t>
      </w:r>
      <w:proofErr w:type="gramEnd"/>
      <w:r w:rsidRPr="009B6D19">
        <w:rPr>
          <w:rFonts w:ascii="Garamond" w:hAnsi="Garamond"/>
        </w:rPr>
        <w:t xml:space="preserve"> » estiment que cette participation est le plus souvent moins efficace à cause d’une répartition </w:t>
      </w:r>
      <w:r w:rsidRPr="009B6D19">
        <w:rPr>
          <w:rFonts w:ascii="Garamond" w:hAnsi="Garamond"/>
        </w:rPr>
        <w:lastRenderedPageBreak/>
        <w:t xml:space="preserve">inégale des relations de pouvoir dans le processus budgétaire. Ainsi, tout processus budgétaire participatif vise également à réhabiliter la population dans son rôle d’avant-garde </w:t>
      </w:r>
      <w:r w:rsidR="00AF7B24">
        <w:rPr>
          <w:rFonts w:ascii="Garamond" w:hAnsi="Garamond"/>
        </w:rPr>
        <w:t>au travers</w:t>
      </w:r>
      <w:r w:rsidRPr="009B6D19">
        <w:rPr>
          <w:rFonts w:ascii="Garamond" w:hAnsi="Garamond"/>
        </w:rPr>
        <w:t xml:space="preserve"> le contrôle citoyen qui s’effectue aux côtés de ceux administratifs, politiques et juridictionnels. Ce contrôle se</w:t>
      </w:r>
      <w:r>
        <w:rPr>
          <w:rFonts w:ascii="Garamond" w:hAnsi="Garamond"/>
        </w:rPr>
        <w:t xml:space="preserve"> </w:t>
      </w:r>
      <w:r w:rsidRPr="009B6D19">
        <w:rPr>
          <w:rFonts w:ascii="Garamond" w:hAnsi="Garamond"/>
        </w:rPr>
        <w:t xml:space="preserve">traduit par </w:t>
      </w:r>
      <w:r w:rsidR="00D373D8">
        <w:rPr>
          <w:rFonts w:ascii="Garamond" w:hAnsi="Garamond"/>
        </w:rPr>
        <w:t>la vérification</w:t>
      </w:r>
      <w:r w:rsidRPr="009B6D19">
        <w:rPr>
          <w:rFonts w:ascii="Garamond" w:hAnsi="Garamond"/>
        </w:rPr>
        <w:t xml:space="preserve"> </w:t>
      </w:r>
      <w:r w:rsidR="00D373D8">
        <w:rPr>
          <w:rFonts w:ascii="Garamond" w:hAnsi="Garamond"/>
        </w:rPr>
        <w:t>du respect</w:t>
      </w:r>
      <w:r w:rsidRPr="009B6D19">
        <w:rPr>
          <w:rFonts w:ascii="Garamond" w:hAnsi="Garamond"/>
        </w:rPr>
        <w:t xml:space="preserve"> des prescrits légaux et règlementaires et</w:t>
      </w:r>
      <w:r w:rsidR="00D373D8">
        <w:rPr>
          <w:rFonts w:ascii="Garamond" w:hAnsi="Garamond"/>
        </w:rPr>
        <w:t xml:space="preserve"> au cas contrainte, </w:t>
      </w:r>
      <w:r w:rsidRPr="009B6D19">
        <w:rPr>
          <w:rFonts w:ascii="Garamond" w:hAnsi="Garamond"/>
        </w:rPr>
        <w:t xml:space="preserve"> </w:t>
      </w:r>
      <w:r w:rsidR="00D373D8">
        <w:rPr>
          <w:rFonts w:ascii="Garamond" w:hAnsi="Garamond"/>
        </w:rPr>
        <w:t xml:space="preserve">recourir à la revendication comme mode d’expression </w:t>
      </w:r>
      <w:r w:rsidRPr="009B6D19">
        <w:rPr>
          <w:rFonts w:ascii="Garamond" w:hAnsi="Garamond"/>
        </w:rPr>
        <w:t>populaire. Ce n’est qu’en exerçant cette pression sur les acteurs politiques et ce, grâce à une participation effective et agissante, et en suscitant la conscience citoyenne que ces derniers peuvent parvenir à respecter leurs engagements. En plus, participer activement voudrait signifier que toutes les parties prenantes au processus budgétaire ont accès à toutes les informations nécessaires et disposent des capacités de compréhension et d’analyse. C’est la raison pour laquelle le Budget ouvert</w:t>
      </w:r>
      <w:r>
        <w:rPr>
          <w:rFonts w:ascii="Garamond" w:hAnsi="Garamond"/>
        </w:rPr>
        <w:t xml:space="preserve"> </w:t>
      </w:r>
      <w:r w:rsidRPr="009B6D19">
        <w:rPr>
          <w:rFonts w:ascii="Garamond" w:hAnsi="Garamond"/>
        </w:rPr>
        <w:t>constitue aujourd’h</w:t>
      </w:r>
      <w:r w:rsidR="001460A9">
        <w:rPr>
          <w:rFonts w:ascii="Garamond" w:hAnsi="Garamond"/>
        </w:rPr>
        <w:t>ui non seulement un instrument qui sert à évaluer le niveau de participation du public au processus budgétaire et de son accès aux informations budgétaire</w:t>
      </w:r>
      <w:r w:rsidR="0005330A">
        <w:rPr>
          <w:rFonts w:ascii="Garamond" w:hAnsi="Garamond"/>
        </w:rPr>
        <w:t>s</w:t>
      </w:r>
      <w:r w:rsidR="001460A9">
        <w:rPr>
          <w:rFonts w:ascii="Garamond" w:hAnsi="Garamond"/>
        </w:rPr>
        <w:t xml:space="preserve"> (</w:t>
      </w:r>
      <w:r w:rsidR="001460A9" w:rsidRPr="009B6D19">
        <w:rPr>
          <w:rFonts w:ascii="Garamond" w:hAnsi="Garamond"/>
        </w:rPr>
        <w:t>Open</w:t>
      </w:r>
      <w:r w:rsidR="001460A9">
        <w:rPr>
          <w:rFonts w:ascii="Garamond" w:hAnsi="Garamond"/>
        </w:rPr>
        <w:t xml:space="preserve"> Budget Survey, </w:t>
      </w:r>
      <w:r w:rsidR="001460A9" w:rsidRPr="009B6D19">
        <w:rPr>
          <w:rFonts w:ascii="Garamond" w:hAnsi="Garamond"/>
        </w:rPr>
        <w:t>2019)</w:t>
      </w:r>
      <w:r w:rsidR="0005330A">
        <w:rPr>
          <w:rFonts w:ascii="Garamond" w:hAnsi="Garamond"/>
        </w:rPr>
        <w:t xml:space="preserve">, mais aussi un indice de </w:t>
      </w:r>
      <w:r w:rsidRPr="009B6D19">
        <w:rPr>
          <w:rFonts w:ascii="Garamond" w:hAnsi="Garamond"/>
        </w:rPr>
        <w:t>bonne gouvernance. Cet indice classe les pays selon la possibilité dont dispose leurs citoyens à avoir accès</w:t>
      </w:r>
      <w:r>
        <w:rPr>
          <w:rFonts w:ascii="Garamond" w:hAnsi="Garamond"/>
        </w:rPr>
        <w:t xml:space="preserve"> </w:t>
      </w:r>
      <w:r w:rsidRPr="009B6D19">
        <w:rPr>
          <w:rFonts w:ascii="Garamond" w:hAnsi="Garamond"/>
        </w:rPr>
        <w:t>aux documents budgétaires. Cette accessibilité se mesure par le volume d’informations b</w:t>
      </w:r>
      <w:r w:rsidR="00312C49">
        <w:rPr>
          <w:rFonts w:ascii="Garamond" w:hAnsi="Garamond"/>
        </w:rPr>
        <w:t>udgétaires diffusées et les dél</w:t>
      </w:r>
      <w:r w:rsidRPr="009B6D19">
        <w:rPr>
          <w:rFonts w:ascii="Garamond" w:hAnsi="Garamond"/>
        </w:rPr>
        <w:t xml:space="preserve">ais de diffusions comme facteurs permettant d’accroitre la transparence et la responsabilité budgétaires (Cabri, 2017 :2, </w:t>
      </w:r>
      <w:proofErr w:type="spellStart"/>
      <w:r w:rsidRPr="009B6D19">
        <w:rPr>
          <w:rFonts w:ascii="Garamond" w:hAnsi="Garamond"/>
        </w:rPr>
        <w:t>Lienert</w:t>
      </w:r>
      <w:proofErr w:type="spellEnd"/>
      <w:r w:rsidRPr="009B6D19">
        <w:rPr>
          <w:rFonts w:ascii="Garamond" w:hAnsi="Garamond"/>
        </w:rPr>
        <w:t xml:space="preserve">, I., 2012). Malheureusement, les résultats du rapport </w:t>
      </w:r>
      <w:r w:rsidR="008F1882" w:rsidRPr="009B6D19">
        <w:rPr>
          <w:rFonts w:ascii="Garamond" w:hAnsi="Garamond"/>
        </w:rPr>
        <w:t>d’Open</w:t>
      </w:r>
      <w:r w:rsidRPr="009B6D19">
        <w:rPr>
          <w:rFonts w:ascii="Garamond" w:hAnsi="Garamond"/>
        </w:rPr>
        <w:t xml:space="preserve"> Budget Survey (2019) situent respectivement à 33% le niveau de transparence budgétaire, 31% le</w:t>
      </w:r>
      <w:r>
        <w:rPr>
          <w:rFonts w:ascii="Garamond" w:hAnsi="Garamond"/>
        </w:rPr>
        <w:t xml:space="preserve"> </w:t>
      </w:r>
      <w:r w:rsidRPr="009B6D19">
        <w:rPr>
          <w:rFonts w:ascii="Garamond" w:hAnsi="Garamond"/>
        </w:rPr>
        <w:t>niveau de participation</w:t>
      </w:r>
      <w:r>
        <w:rPr>
          <w:rFonts w:ascii="Garamond" w:hAnsi="Garamond"/>
        </w:rPr>
        <w:t xml:space="preserve"> </w:t>
      </w:r>
      <w:r w:rsidRPr="009B6D19">
        <w:rPr>
          <w:rFonts w:ascii="Garamond" w:hAnsi="Garamond"/>
        </w:rPr>
        <w:t>publique et à 44% le niveau de contrôle budgétaire.</w:t>
      </w:r>
      <w:r>
        <w:rPr>
          <w:rFonts w:ascii="Garamond" w:hAnsi="Garamond"/>
        </w:rPr>
        <w:t xml:space="preserve"> </w:t>
      </w:r>
      <w:r w:rsidRPr="009B6D19">
        <w:rPr>
          <w:rFonts w:ascii="Garamond" w:hAnsi="Garamond"/>
        </w:rPr>
        <w:t>Les résultats de cette</w:t>
      </w:r>
      <w:r>
        <w:rPr>
          <w:rFonts w:ascii="Garamond" w:hAnsi="Garamond"/>
        </w:rPr>
        <w:t xml:space="preserve"> </w:t>
      </w:r>
      <w:r w:rsidRPr="009B6D19">
        <w:rPr>
          <w:rFonts w:ascii="Garamond" w:hAnsi="Garamond"/>
        </w:rPr>
        <w:t>enquête démontrent clairement que le</w:t>
      </w:r>
      <w:r>
        <w:rPr>
          <w:rFonts w:ascii="Garamond" w:hAnsi="Garamond"/>
        </w:rPr>
        <w:t xml:space="preserve"> </w:t>
      </w:r>
      <w:r w:rsidRPr="009B6D19">
        <w:rPr>
          <w:rFonts w:ascii="Garamond" w:hAnsi="Garamond"/>
        </w:rPr>
        <w:t>faible niveau de participation des acteurs</w:t>
      </w:r>
      <w:r>
        <w:rPr>
          <w:rFonts w:ascii="Garamond" w:hAnsi="Garamond"/>
        </w:rPr>
        <w:t xml:space="preserve"> </w:t>
      </w:r>
      <w:r w:rsidRPr="009B6D19">
        <w:rPr>
          <w:rFonts w:ascii="Garamond" w:hAnsi="Garamond"/>
        </w:rPr>
        <w:t>au processus budgétaire réduit le niveau de transparence, étouffe le</w:t>
      </w:r>
      <w:r>
        <w:rPr>
          <w:rFonts w:ascii="Garamond" w:hAnsi="Garamond"/>
        </w:rPr>
        <w:t xml:space="preserve"> </w:t>
      </w:r>
      <w:r w:rsidRPr="009B6D19">
        <w:rPr>
          <w:rFonts w:ascii="Garamond" w:hAnsi="Garamond"/>
        </w:rPr>
        <w:t>contrôle budgétaire et</w:t>
      </w:r>
      <w:r>
        <w:rPr>
          <w:rFonts w:ascii="Garamond" w:hAnsi="Garamond"/>
        </w:rPr>
        <w:t xml:space="preserve"> </w:t>
      </w:r>
      <w:r w:rsidRPr="009B6D19">
        <w:rPr>
          <w:rFonts w:ascii="Garamond" w:hAnsi="Garamond"/>
        </w:rPr>
        <w:t>affecte sensiblement</w:t>
      </w:r>
      <w:r>
        <w:rPr>
          <w:rFonts w:ascii="Garamond" w:hAnsi="Garamond"/>
        </w:rPr>
        <w:t xml:space="preserve"> </w:t>
      </w:r>
      <w:r w:rsidRPr="009B6D19">
        <w:rPr>
          <w:rFonts w:ascii="Garamond" w:hAnsi="Garamond"/>
        </w:rPr>
        <w:t>la qualité et l’efficacité de la dépense publique. Le budget participatif introduit depuis 2013 en RDC est resté l’ombre de lui-même de</w:t>
      </w:r>
      <w:r>
        <w:rPr>
          <w:rFonts w:ascii="Garamond" w:hAnsi="Garamond"/>
        </w:rPr>
        <w:t xml:space="preserve"> </w:t>
      </w:r>
      <w:r w:rsidRPr="009B6D19">
        <w:rPr>
          <w:rFonts w:ascii="Garamond" w:hAnsi="Garamond"/>
        </w:rPr>
        <w:t>suite d’une part, d’une désarticulation entre la politique gouvernementale, la politique budgétaire et l’exécution budgétaire</w:t>
      </w:r>
      <w:r w:rsidR="008F1882">
        <w:rPr>
          <w:rFonts w:ascii="Garamond" w:hAnsi="Garamond"/>
        </w:rPr>
        <w:t xml:space="preserve"> </w:t>
      </w:r>
      <w:r w:rsidRPr="009B6D19">
        <w:rPr>
          <w:rFonts w:ascii="Garamond" w:hAnsi="Garamond"/>
        </w:rPr>
        <w:t>et d’autre part, de la</w:t>
      </w:r>
      <w:r>
        <w:rPr>
          <w:rFonts w:ascii="Garamond" w:hAnsi="Garamond"/>
        </w:rPr>
        <w:t xml:space="preserve"> </w:t>
      </w:r>
      <w:r w:rsidRPr="009B6D19">
        <w:rPr>
          <w:rFonts w:ascii="Garamond" w:hAnsi="Garamond"/>
        </w:rPr>
        <w:t>mainmise du pouvoir central sur les finances des entités locales ainsi que le blocage intentionnel de transferts conditionnels et inconditionnels. Les incohérences relevées</w:t>
      </w:r>
      <w:r w:rsidR="008F1882">
        <w:rPr>
          <w:rFonts w:ascii="Garamond" w:hAnsi="Garamond"/>
        </w:rPr>
        <w:t xml:space="preserve"> </w:t>
      </w:r>
      <w:r w:rsidRPr="009B6D19">
        <w:rPr>
          <w:rFonts w:ascii="Garamond" w:hAnsi="Garamond"/>
        </w:rPr>
        <w:t>par la Cour des Comptes dans le rapport sur</w:t>
      </w:r>
      <w:r>
        <w:rPr>
          <w:rFonts w:ascii="Garamond" w:hAnsi="Garamond"/>
        </w:rPr>
        <w:t xml:space="preserve"> </w:t>
      </w:r>
      <w:r w:rsidRPr="009B6D19">
        <w:rPr>
          <w:rFonts w:ascii="Garamond" w:hAnsi="Garamond"/>
        </w:rPr>
        <w:t>l’Edit</w:t>
      </w:r>
      <w:r w:rsidR="008F1882">
        <w:rPr>
          <w:rFonts w:ascii="Garamond" w:hAnsi="Garamond"/>
        </w:rPr>
        <w:t xml:space="preserve"> </w:t>
      </w:r>
      <w:r w:rsidRPr="009B6D19">
        <w:rPr>
          <w:rFonts w:ascii="Garamond" w:hAnsi="Garamond"/>
        </w:rPr>
        <w:t xml:space="preserve">de la reddition des comptes de la ville de Kinshasa en 2017, ne sont que le reflet d’un processus budgétaire moins inclusif et tenu par des acteurs dont les capacités ne sont pas renforcées.  Sur le même registre, les rapports PEFA 2008 et 2020 soulèvent cette problématique de faible participation des acteurs au processus budgétaire. Et pour palier ce déficit, les acteurs dominants montent des stratégies et mécanismes informels de gouvernance participative. Ils se choisissent ainsi les acteurs devant prendre part au forum de préparation du Budget sans les associer à l’étape ultime d’exécution budgétaire. </w:t>
      </w:r>
    </w:p>
    <w:p w14:paraId="03D928D9" w14:textId="14A23DC9" w:rsidR="00804868" w:rsidRDefault="00804868" w:rsidP="00804868">
      <w:pPr>
        <w:rPr>
          <w:rFonts w:ascii="Garamond" w:hAnsi="Garamond"/>
        </w:rPr>
      </w:pPr>
      <w:r w:rsidRPr="009B6D19">
        <w:rPr>
          <w:rFonts w:ascii="Garamond" w:hAnsi="Garamond"/>
        </w:rPr>
        <w:lastRenderedPageBreak/>
        <w:t>Dans un rapport conduit en 2017 par CABRI sur l’Etat des lieux actuels de la transparence des finances publiques et de la participation en RDC, il ressort que la RDC malgré les évolutions timides sur l’ouverture du processus et la publication des informations budgétaires, la RDC demeure dans le groupe des pays qui donne un accès limité aux documents budgétaires et offre très peu d’opportunités de participation. Cette observation relevée en 2017 semble malheureusement se maintenir sur la trajectoire des finances publiques en RDC, qui, malgré son introduction comme pilier du Plan Stratégique de la Réforme des Finances Publiques</w:t>
      </w:r>
      <w:r>
        <w:rPr>
          <w:rFonts w:ascii="Garamond" w:hAnsi="Garamond"/>
        </w:rPr>
        <w:t xml:space="preserve"> </w:t>
      </w:r>
      <w:r w:rsidRPr="009B6D19">
        <w:rPr>
          <w:rFonts w:ascii="Garamond" w:hAnsi="Garamond"/>
        </w:rPr>
        <w:t xml:space="preserve">(2021-2015), constitue un véritable défi dans la gestion des finances publiques. Le récent rapport PEFA de 2020 attribue la note C à la RDC pour dire </w:t>
      </w:r>
      <w:r w:rsidR="0005330A">
        <w:rPr>
          <w:rFonts w:ascii="Garamond" w:hAnsi="Garamond"/>
        </w:rPr>
        <w:t xml:space="preserve">que </w:t>
      </w:r>
      <w:r w:rsidRPr="009B6D19">
        <w:rPr>
          <w:rFonts w:ascii="Garamond" w:hAnsi="Garamond"/>
        </w:rPr>
        <w:t xml:space="preserve">beaucoup d’efforts sont encore à engranger pour un processus budgétaire participatif, et par ricochet, capable de faciliter la responsabilisation des entités locales et de les rendre plus redevables. Selon, </w:t>
      </w:r>
      <w:hyperlink r:id="rId13" w:history="1">
        <w:proofErr w:type="spellStart"/>
        <w:r w:rsidRPr="009B6D19">
          <w:rPr>
            <w:rFonts w:ascii="Garamond" w:hAnsi="Garamond"/>
          </w:rPr>
          <w:t>Pras</w:t>
        </w:r>
        <w:proofErr w:type="spellEnd"/>
      </w:hyperlink>
      <w:r w:rsidRPr="009B6D19">
        <w:rPr>
          <w:rFonts w:ascii="Garamond" w:hAnsi="Garamond"/>
        </w:rPr>
        <w:t xml:space="preserve"> &amp;</w:t>
      </w:r>
      <w:hyperlink r:id="rId14" w:history="1">
        <w:r w:rsidRPr="009B6D19">
          <w:rPr>
            <w:rFonts w:ascii="Garamond" w:hAnsi="Garamond"/>
          </w:rPr>
          <w:t xml:space="preserve"> </w:t>
        </w:r>
        <w:proofErr w:type="spellStart"/>
        <w:r w:rsidRPr="009B6D19">
          <w:rPr>
            <w:rFonts w:ascii="Garamond" w:hAnsi="Garamond"/>
          </w:rPr>
          <w:t>Zarlowski</w:t>
        </w:r>
        <w:proofErr w:type="spellEnd"/>
      </w:hyperlink>
      <w:r w:rsidRPr="009B6D19">
        <w:rPr>
          <w:rFonts w:ascii="Garamond" w:hAnsi="Garamond"/>
        </w:rPr>
        <w:t xml:space="preserve"> (2013), les concepts transparence (processus participatif), la responsabilité et la reddition des comptes qui forment ensemble </w:t>
      </w:r>
      <w:r w:rsidRPr="00090B69">
        <w:rPr>
          <w:rFonts w:ascii="Garamond" w:hAnsi="Garamond"/>
          <w:i/>
          <w:iCs/>
        </w:rPr>
        <w:t>l’</w:t>
      </w:r>
      <w:proofErr w:type="spellStart"/>
      <w:r w:rsidRPr="00090B69">
        <w:rPr>
          <w:rFonts w:ascii="Garamond" w:hAnsi="Garamond"/>
          <w:i/>
          <w:iCs/>
        </w:rPr>
        <w:t>accountability</w:t>
      </w:r>
      <w:proofErr w:type="spellEnd"/>
      <w:r w:rsidRPr="009B6D19">
        <w:rPr>
          <w:rFonts w:ascii="Garamond" w:hAnsi="Garamond"/>
        </w:rPr>
        <w:t xml:space="preserve">, sont indissociables. Leur mariage est assimilable à une philosophie de cohabitation et un impératif de justifier sa conduite. En d’autres termes, la non-effectivité de la participation publique dans le processus budgétaire </w:t>
      </w:r>
      <w:r w:rsidR="0005330A">
        <w:rPr>
          <w:rFonts w:ascii="Garamond" w:hAnsi="Garamond"/>
        </w:rPr>
        <w:t>au niveau des</w:t>
      </w:r>
      <w:r w:rsidRPr="009B6D19">
        <w:rPr>
          <w:rFonts w:ascii="Garamond" w:hAnsi="Garamond"/>
        </w:rPr>
        <w:t xml:space="preserve"> Provinces et ETD en RDC compromet la responsabilisation individuelle et collective des acteurs, rend moins performantes les entités infranationales et moins redditionnelles envers les électeurs et les instances supérieures.  Elle mine la légitimité des politiques publiques conduites au niveau locales avec comme conséquence le désintéressement des acteurs locaux qui, finalement, réalisent que leur participation n’est qu’une validation des forfaitures des acteurs dominants et quand bien-même ils participent, les résolutions adoptées ne tiennent pas comptent de l’orientation adoptée dans le forum hybride. Autrement dit, les provinces et les ETD de la RDC sont loin de se défaire des tares institutionnelles héritées du passé politique et économique malgré les efforts fournis par les bailleurs des fonds dans le souci de rendre le processus budgétaire plus inclusif, responsable et redditionnel (World Bank, 2018 : 20). </w:t>
      </w:r>
    </w:p>
    <w:p w14:paraId="3D00BAEA" w14:textId="77777777" w:rsidR="00B83E1F" w:rsidRDefault="00B83E1F">
      <w:pPr>
        <w:autoSpaceDE/>
        <w:autoSpaceDN/>
        <w:adjustRightInd/>
        <w:spacing w:before="0" w:after="200" w:line="276" w:lineRule="auto"/>
        <w:jc w:val="left"/>
        <w:rPr>
          <w:rFonts w:ascii="Garamond" w:hAnsi="Garamond"/>
        </w:rPr>
      </w:pPr>
      <w:bookmarkStart w:id="57" w:name="_Toc125594176"/>
      <w:r>
        <w:rPr>
          <w:rFonts w:ascii="Garamond" w:hAnsi="Garamond"/>
          <w:b/>
          <w:bCs/>
        </w:rPr>
        <w:br w:type="page"/>
      </w:r>
    </w:p>
    <w:p w14:paraId="600F71AE" w14:textId="77777777" w:rsidR="00804868" w:rsidRPr="009B6D19" w:rsidRDefault="00804868" w:rsidP="00804868">
      <w:pPr>
        <w:pStyle w:val="Heading1"/>
        <w:numPr>
          <w:ilvl w:val="0"/>
          <w:numId w:val="14"/>
        </w:numPr>
        <w:rPr>
          <w:rFonts w:ascii="Garamond" w:eastAsia="Times New Roman" w:hAnsi="Garamond"/>
          <w:szCs w:val="24"/>
          <w:lang w:eastAsia="fr-FR"/>
        </w:rPr>
      </w:pPr>
      <w:bookmarkStart w:id="58" w:name="_Toc143577472"/>
      <w:r w:rsidRPr="009B6D19">
        <w:rPr>
          <w:rFonts w:ascii="Garamond" w:eastAsia="Times New Roman" w:hAnsi="Garamond"/>
          <w:szCs w:val="24"/>
          <w:lang w:eastAsia="fr-FR"/>
        </w:rPr>
        <w:lastRenderedPageBreak/>
        <w:t>CONCLUSION</w:t>
      </w:r>
      <w:bookmarkEnd w:id="57"/>
      <w:bookmarkEnd w:id="58"/>
    </w:p>
    <w:p w14:paraId="4B8915C6" w14:textId="77777777" w:rsidR="00804868" w:rsidRPr="009B6D19" w:rsidRDefault="00804868" w:rsidP="00804868">
      <w:pPr>
        <w:rPr>
          <w:rFonts w:ascii="Garamond" w:hAnsi="Garamond"/>
        </w:rPr>
      </w:pPr>
      <w:r w:rsidRPr="009B6D19">
        <w:rPr>
          <w:rFonts w:ascii="Garamond" w:hAnsi="Garamond"/>
        </w:rPr>
        <w:t>La présente étude</w:t>
      </w:r>
      <w:r>
        <w:rPr>
          <w:rFonts w:ascii="Garamond" w:hAnsi="Garamond"/>
        </w:rPr>
        <w:t xml:space="preserve"> </w:t>
      </w:r>
      <w:r w:rsidRPr="009B6D19">
        <w:rPr>
          <w:rFonts w:ascii="Garamond" w:hAnsi="Garamond"/>
        </w:rPr>
        <w:t>a porté sur la</w:t>
      </w:r>
      <w:r>
        <w:rPr>
          <w:rFonts w:ascii="Garamond" w:hAnsi="Garamond"/>
        </w:rPr>
        <w:t xml:space="preserve"> </w:t>
      </w:r>
      <w:r w:rsidRPr="009B6D19">
        <w:rPr>
          <w:rFonts w:ascii="Garamond" w:hAnsi="Garamond"/>
        </w:rPr>
        <w:t>responsabilisation financière et la reddition de</w:t>
      </w:r>
      <w:r>
        <w:rPr>
          <w:rFonts w:ascii="Garamond" w:hAnsi="Garamond"/>
        </w:rPr>
        <w:t xml:space="preserve"> </w:t>
      </w:r>
      <w:r w:rsidRPr="009B6D19">
        <w:rPr>
          <w:rFonts w:ascii="Garamond" w:hAnsi="Garamond"/>
        </w:rPr>
        <w:t>compte</w:t>
      </w:r>
      <w:r>
        <w:rPr>
          <w:rFonts w:ascii="Garamond" w:hAnsi="Garamond"/>
        </w:rPr>
        <w:t>s</w:t>
      </w:r>
      <w:r w:rsidRPr="009B6D19">
        <w:rPr>
          <w:rFonts w:ascii="Garamond" w:hAnsi="Garamond"/>
        </w:rPr>
        <w:t xml:space="preserve"> dans le cadre de la</w:t>
      </w:r>
      <w:r>
        <w:rPr>
          <w:rFonts w:ascii="Garamond" w:hAnsi="Garamond"/>
        </w:rPr>
        <w:t xml:space="preserve"> </w:t>
      </w:r>
      <w:r w:rsidRPr="009B6D19">
        <w:rPr>
          <w:rFonts w:ascii="Garamond" w:hAnsi="Garamond"/>
        </w:rPr>
        <w:t>décentralisation en RDC. Elle est partie de l’objectif d’analyser la trajectoire de la décentralisation et son influence sur la responsabilisation financière et la reddition des comptes au sein de la Ville-Province de Kinshasa. De ce fait, elle cherchait à comprendre, grâce à la théorie de la dépendance au sentier découlant du néo-institutionnalisme historique, quels sont les facteurs qui favorisaient ou limitaient la responsabilisation financière et l’effectivité de la reddition des comptes ?</w:t>
      </w:r>
      <w:r>
        <w:rPr>
          <w:rFonts w:ascii="Garamond" w:hAnsi="Garamond"/>
        </w:rPr>
        <w:t xml:space="preserve"> </w:t>
      </w:r>
      <w:r w:rsidRPr="009B6D19">
        <w:rPr>
          <w:rFonts w:ascii="Garamond" w:hAnsi="Garamond"/>
        </w:rPr>
        <w:t>Pour répondre à cette question, il</w:t>
      </w:r>
      <w:r>
        <w:rPr>
          <w:rFonts w:ascii="Garamond" w:hAnsi="Garamond"/>
        </w:rPr>
        <w:t xml:space="preserve"> </w:t>
      </w:r>
      <w:r w:rsidRPr="009B6D19">
        <w:rPr>
          <w:rFonts w:ascii="Garamond" w:hAnsi="Garamond"/>
        </w:rPr>
        <w:t>a fallu tout d’abord clarifier, au travers la</w:t>
      </w:r>
      <w:r>
        <w:rPr>
          <w:rFonts w:ascii="Garamond" w:hAnsi="Garamond"/>
        </w:rPr>
        <w:t xml:space="preserve"> </w:t>
      </w:r>
      <w:r w:rsidRPr="009B6D19">
        <w:rPr>
          <w:rFonts w:ascii="Garamond" w:hAnsi="Garamond"/>
        </w:rPr>
        <w:t>revue de la littérature, les différents</w:t>
      </w:r>
      <w:r>
        <w:rPr>
          <w:rFonts w:ascii="Garamond" w:hAnsi="Garamond"/>
        </w:rPr>
        <w:t xml:space="preserve"> </w:t>
      </w:r>
      <w:r w:rsidRPr="009B6D19">
        <w:rPr>
          <w:rFonts w:ascii="Garamond" w:hAnsi="Garamond"/>
        </w:rPr>
        <w:t xml:space="preserve">concepts clés du sujet de recherche. Ensuite, grâce à la méthode empruntée au  </w:t>
      </w:r>
      <w:r w:rsidRPr="009B6D19">
        <w:rPr>
          <w:rFonts w:ascii="Garamond" w:hAnsi="Garamond"/>
          <w:i/>
        </w:rPr>
        <w:t>Causal Process Tracing (CPT)</w:t>
      </w:r>
      <w:r w:rsidRPr="009B6D19">
        <w:rPr>
          <w:rFonts w:ascii="Garamond" w:hAnsi="Garamond"/>
        </w:rPr>
        <w:t xml:space="preserve">, les différentes sources des données ont été collectées et analysées en puisant principalement dans une large revue de la littérature. Ceci a permis de bien mener la recherche d'explications causales historiques des facteurs responsables du bourrage institutionnel, sur la trajectoire de la décentralisation, de l’effectivité de la responsabilité financière et de la reddition des comptes. </w:t>
      </w:r>
    </w:p>
    <w:p w14:paraId="6515268B" w14:textId="77777777" w:rsidR="00804868" w:rsidRPr="009B6D19" w:rsidRDefault="00804868" w:rsidP="00804868">
      <w:pPr>
        <w:rPr>
          <w:rFonts w:ascii="Garamond" w:hAnsi="Garamond"/>
          <w:lang w:eastAsia="fr-FR"/>
        </w:rPr>
      </w:pPr>
      <w:r w:rsidRPr="009B6D19">
        <w:rPr>
          <w:rFonts w:ascii="Garamond" w:hAnsi="Garamond"/>
        </w:rPr>
        <w:t xml:space="preserve">Il ressort des résultats de cette étude que </w:t>
      </w:r>
      <w:r w:rsidRPr="009B6D19">
        <w:rPr>
          <w:rFonts w:ascii="Garamond" w:hAnsi="Garamond"/>
          <w:lang w:eastAsia="fr-FR"/>
        </w:rPr>
        <w:t xml:space="preserve">la trajectoire de la responsabilité financière et la reddition des comptes impulsées depuis 2006 dans le cadre de la décentralisation en RDC, a connu une série des blocages qui ont plombé son effectivité. Pourtant, ces agrégats de gouvernance, qui sont au cœur de toute réforme de décentralisation, étaient censés assurer une réelle traduction de la relation électeur-élu ou mandataire-mandant dont l’équilibre devrait être soutenue par la capacité à exiger des comptes, à rendre compte et au cas échéant, à sanctionner. L’atteinte des résultats devient un indicateur clé pour le renouvellement de la confiance aux mandataires et aux élus. </w:t>
      </w:r>
    </w:p>
    <w:p w14:paraId="777485A0" w14:textId="52DACEBD" w:rsidR="00804868" w:rsidRPr="009B6D19" w:rsidRDefault="00804868" w:rsidP="00804868">
      <w:pPr>
        <w:rPr>
          <w:rFonts w:ascii="Garamond" w:hAnsi="Garamond"/>
          <w:lang w:eastAsia="fr-FR"/>
        </w:rPr>
      </w:pPr>
      <w:r w:rsidRPr="009B6D19">
        <w:rPr>
          <w:rFonts w:ascii="Garamond" w:hAnsi="Garamond"/>
          <w:lang w:eastAsia="fr-FR"/>
        </w:rPr>
        <w:t xml:space="preserve">Plusieurs facteurs sont en cause notamment l’existence d’un cadre légal et réglementaire inachevé </w:t>
      </w:r>
      <w:r w:rsidRPr="009B6D19">
        <w:rPr>
          <w:rFonts w:ascii="Garamond" w:hAnsi="Garamond"/>
        </w:rPr>
        <w:t>avec entre autres comme conséquences l’ambiguïté des solutions retenues ou la dépendance aux dispositions transitoires inadaptées</w:t>
      </w:r>
      <w:r w:rsidRPr="009B6D19">
        <w:rPr>
          <w:rFonts w:ascii="Garamond" w:hAnsi="Garamond"/>
          <w:lang w:eastAsia="fr-FR"/>
        </w:rPr>
        <w:t xml:space="preserve">, la tendance des acteurs dominants du pouvoir central à se maintenir dans leur zone de confort centralisatrice en vue de continuer à mieux assujettir les ETD ainsi que l’amputation intentionnelle des capacités </w:t>
      </w:r>
      <w:r w:rsidR="00593754">
        <w:rPr>
          <w:rFonts w:ascii="Garamond" w:hAnsi="Garamond"/>
          <w:lang w:eastAsia="fr-FR"/>
        </w:rPr>
        <w:t>aux</w:t>
      </w:r>
      <w:r w:rsidRPr="009B6D19">
        <w:rPr>
          <w:rFonts w:ascii="Garamond" w:hAnsi="Garamond"/>
          <w:lang w:eastAsia="fr-FR"/>
        </w:rPr>
        <w:t xml:space="preserve"> ETD. Tout ceci se retrouve exacerbé</w:t>
      </w:r>
      <w:r>
        <w:rPr>
          <w:rFonts w:ascii="Garamond" w:hAnsi="Garamond"/>
          <w:lang w:eastAsia="fr-FR"/>
        </w:rPr>
        <w:t xml:space="preserve"> </w:t>
      </w:r>
      <w:r w:rsidRPr="009B6D19">
        <w:rPr>
          <w:rFonts w:ascii="Garamond" w:hAnsi="Garamond"/>
          <w:lang w:eastAsia="fr-FR"/>
        </w:rPr>
        <w:t>par la faible participation</w:t>
      </w:r>
      <w:r>
        <w:rPr>
          <w:rFonts w:ascii="Garamond" w:hAnsi="Garamond"/>
          <w:lang w:eastAsia="fr-FR"/>
        </w:rPr>
        <w:t xml:space="preserve"> </w:t>
      </w:r>
      <w:r w:rsidRPr="009B6D19">
        <w:rPr>
          <w:rFonts w:ascii="Garamond" w:hAnsi="Garamond"/>
          <w:lang w:eastAsia="fr-FR"/>
        </w:rPr>
        <w:t xml:space="preserve">des acteurs de la société civile qui pourtant devraient constituer un véritable contrepoids dans le processus budgétaire en exigeant régulièrement des comptes aux décideurs locaux. Il a été constaté que ces facteurs traduisaient une véritable dépendance au sentier dont les conditions historiques antécédentes, au-delà d’être la conséquence d’un design institutionnel tordu dès le départ, se sont entretenues et consolidées sur la trajectoire de l’histoire sociale, politique et budgétaire du pays. Cette dernière a largement contribué à </w:t>
      </w:r>
      <w:r w:rsidRPr="009B6D19">
        <w:rPr>
          <w:rFonts w:ascii="Garamond" w:hAnsi="Garamond"/>
          <w:lang w:eastAsia="fr-FR"/>
        </w:rPr>
        <w:lastRenderedPageBreak/>
        <w:t xml:space="preserve">l’institutionnalisation de certaines pratiques formelles ou informelles en érigeant une barrière de persistance institutionnelle malgré les pressions des bailleurs des fonds et d’une frange de la société civile consciente ayant concouru à l’atteinte du point critique. Cette séquence réactive a eu notamment pour conséquences la consécration précoce et précipitée de la responsabilité financière et budgétaire des ETD. Comme nous l’avons vu, les résultats finaux, </w:t>
      </w:r>
      <w:r w:rsidRPr="009B6D19">
        <w:rPr>
          <w:rFonts w:ascii="Garamond" w:hAnsi="Garamond"/>
        </w:rPr>
        <w:t xml:space="preserve">ne sont pas globalement de nature à rendre au souverain primaire (peuple-électeur), au travers ses représentants qui siègent au sein de l’organe délibérant, ses lettres de noblesses en le mettant au centre de l’efficacité de l’action de développement local. Ceci se justifie également par le fait que </w:t>
      </w:r>
      <w:r w:rsidRPr="009B6D19">
        <w:rPr>
          <w:rFonts w:ascii="Garamond" w:hAnsi="Garamond"/>
          <w:lang w:eastAsia="fr-FR"/>
        </w:rPr>
        <w:t>la</w:t>
      </w:r>
      <w:r>
        <w:rPr>
          <w:rFonts w:ascii="Garamond" w:hAnsi="Garamond"/>
          <w:lang w:eastAsia="fr-FR"/>
        </w:rPr>
        <w:t xml:space="preserve"> </w:t>
      </w:r>
      <w:r w:rsidRPr="009B6D19">
        <w:rPr>
          <w:rFonts w:ascii="Garamond" w:hAnsi="Garamond"/>
          <w:lang w:eastAsia="fr-FR"/>
        </w:rPr>
        <w:t>réforme de la responsabilisation financière des ETD</w:t>
      </w:r>
      <w:r>
        <w:rPr>
          <w:rFonts w:ascii="Garamond" w:hAnsi="Garamond"/>
          <w:lang w:eastAsia="fr-FR"/>
        </w:rPr>
        <w:t xml:space="preserve"> </w:t>
      </w:r>
      <w:r w:rsidRPr="009B6D19">
        <w:rPr>
          <w:rFonts w:ascii="Garamond" w:hAnsi="Garamond"/>
          <w:lang w:eastAsia="fr-FR"/>
        </w:rPr>
        <w:t>a été à la base d’un</w:t>
      </w:r>
      <w:r>
        <w:rPr>
          <w:rFonts w:ascii="Garamond" w:hAnsi="Garamond"/>
          <w:lang w:eastAsia="fr-FR"/>
        </w:rPr>
        <w:t xml:space="preserve"> </w:t>
      </w:r>
      <w:r w:rsidRPr="009B6D19">
        <w:rPr>
          <w:rFonts w:ascii="Garamond" w:hAnsi="Garamond"/>
          <w:lang w:eastAsia="fr-FR"/>
        </w:rPr>
        <w:t>court-circuit culturel et manageriel provoqué</w:t>
      </w:r>
      <w:r>
        <w:rPr>
          <w:rFonts w:ascii="Garamond" w:hAnsi="Garamond"/>
          <w:lang w:eastAsia="fr-FR"/>
        </w:rPr>
        <w:t xml:space="preserve"> </w:t>
      </w:r>
      <w:r w:rsidRPr="009B6D19">
        <w:rPr>
          <w:rFonts w:ascii="Garamond" w:hAnsi="Garamond"/>
          <w:lang w:eastAsia="fr-FR"/>
        </w:rPr>
        <w:t>par la nécessité de se conformer à</w:t>
      </w:r>
      <w:r>
        <w:rPr>
          <w:rFonts w:ascii="Garamond" w:hAnsi="Garamond"/>
          <w:lang w:eastAsia="fr-FR"/>
        </w:rPr>
        <w:t xml:space="preserve"> </w:t>
      </w:r>
      <w:r w:rsidRPr="009B6D19">
        <w:rPr>
          <w:rFonts w:ascii="Garamond" w:hAnsi="Garamond"/>
          <w:lang w:eastAsia="fr-FR"/>
        </w:rPr>
        <w:t>un isomorphisme institutionnel sous la houlette des bailleurs des fonds. Les institutions provinciales et locales nées de ce conformisme dicté par la nécessité de continuer à bénéficier d’appuis financiers d’une part, et</w:t>
      </w:r>
      <w:r>
        <w:rPr>
          <w:rFonts w:ascii="Garamond" w:hAnsi="Garamond"/>
          <w:lang w:eastAsia="fr-FR"/>
        </w:rPr>
        <w:t xml:space="preserve"> </w:t>
      </w:r>
      <w:r w:rsidRPr="009B6D19">
        <w:rPr>
          <w:rFonts w:ascii="Garamond" w:hAnsi="Garamond"/>
          <w:lang w:eastAsia="fr-FR"/>
        </w:rPr>
        <w:t>de consolidation de la paix</w:t>
      </w:r>
      <w:r>
        <w:rPr>
          <w:rFonts w:ascii="Garamond" w:hAnsi="Garamond"/>
          <w:lang w:eastAsia="fr-FR"/>
        </w:rPr>
        <w:t xml:space="preserve"> </w:t>
      </w:r>
      <w:r w:rsidRPr="009B6D19">
        <w:rPr>
          <w:rFonts w:ascii="Garamond" w:hAnsi="Garamond"/>
          <w:lang w:eastAsia="fr-FR"/>
        </w:rPr>
        <w:t>d’autre part, se retrouvent financièrement asphyxiées suite aux barrières législatives et politiques, coupées</w:t>
      </w:r>
      <w:r>
        <w:rPr>
          <w:rFonts w:ascii="Garamond" w:hAnsi="Garamond"/>
          <w:lang w:eastAsia="fr-FR"/>
        </w:rPr>
        <w:t xml:space="preserve"> </w:t>
      </w:r>
      <w:r w:rsidRPr="009B6D19">
        <w:rPr>
          <w:rFonts w:ascii="Garamond" w:hAnsi="Garamond"/>
          <w:lang w:eastAsia="fr-FR"/>
        </w:rPr>
        <w:t>de leurs capacités, moins transparentes et redditionnelles (Banque mondiale, 2010 ; PEFA,</w:t>
      </w:r>
      <w:r w:rsidRPr="009B6D19">
        <w:rPr>
          <w:rFonts w:ascii="Garamond" w:hAnsi="Garamond"/>
          <w:color w:val="FF0000"/>
          <w:lang w:eastAsia="fr-FR"/>
        </w:rPr>
        <w:t xml:space="preserve"> </w:t>
      </w:r>
      <w:r w:rsidRPr="009B6D19">
        <w:rPr>
          <w:rFonts w:ascii="Garamond" w:hAnsi="Garamond"/>
          <w:lang w:eastAsia="fr-FR"/>
        </w:rPr>
        <w:t xml:space="preserve">2020). </w:t>
      </w:r>
      <w:r w:rsidRPr="009B6D19">
        <w:rPr>
          <w:rFonts w:ascii="Garamond" w:hAnsi="Garamond"/>
        </w:rPr>
        <w:t xml:space="preserve">C’est dans ce cadre que </w:t>
      </w:r>
      <w:proofErr w:type="spellStart"/>
      <w:r w:rsidRPr="009B6D19">
        <w:rPr>
          <w:rFonts w:ascii="Garamond" w:hAnsi="Garamond"/>
        </w:rPr>
        <w:t>Bezes</w:t>
      </w:r>
      <w:proofErr w:type="spellEnd"/>
      <w:r w:rsidRPr="009B6D19">
        <w:rPr>
          <w:rFonts w:ascii="Garamond" w:hAnsi="Garamond"/>
        </w:rPr>
        <w:t xml:space="preserve"> &amp; Palier (2018 : 1087) pensent que « </w:t>
      </w:r>
      <w:r w:rsidRPr="009B6D19">
        <w:rPr>
          <w:rFonts w:ascii="Garamond" w:hAnsi="Garamond"/>
          <w:i/>
        </w:rPr>
        <w:t>les arrangements institutionnels hérités sont solidement protégés par des règles qui encadrent les conditions de leur réforme ; ils sont défendus par des acteurs-veto prompts à se mobiliser pour garantir le statu quo</w:t>
      </w:r>
      <w:r w:rsidRPr="009B6D19">
        <w:rPr>
          <w:rFonts w:ascii="Garamond" w:hAnsi="Garamond"/>
        </w:rPr>
        <w:t xml:space="preserve"> ». </w:t>
      </w:r>
      <w:r w:rsidRPr="009B6D19">
        <w:rPr>
          <w:rFonts w:ascii="Garamond" w:hAnsi="Garamond"/>
          <w:lang w:eastAsia="fr-FR"/>
        </w:rPr>
        <w:t>Sur le plan des finances publiques locales</w:t>
      </w:r>
      <w:r w:rsidR="00593754">
        <w:rPr>
          <w:rFonts w:ascii="Garamond" w:hAnsi="Garamond"/>
          <w:lang w:eastAsia="fr-FR"/>
        </w:rPr>
        <w:t>,</w:t>
      </w:r>
      <w:r w:rsidRPr="009B6D19">
        <w:rPr>
          <w:rFonts w:ascii="Garamond" w:hAnsi="Garamond"/>
          <w:lang w:eastAsia="fr-FR"/>
        </w:rPr>
        <w:t xml:space="preserve"> ceci se traduit par l’irrégularité et l’illégalité des transferts et autres subventions du pouvoir central aux provinces d’une part et  de la province vers les ETD d’autre part. Pourtant, ces transferts et subventions, estimés à plus de 75% des ressources globales de l’ETD, constituent un levier important du financement du plan de développement local et par ricochet, influe considérablement sur l’offre des services et le développement de la fiscalité locale. Comme le souligne Tellier (2009 :6), les transferts du Gouvernement central aux entités infranationales constituent des leviers importants pour accroitre le niveau des recettes et par conséquent, influencent sur le financement des actions locales. C’est ce qui explique le fait que l’irrégularité de ces transferts, réduit sensiblement leurs capacités d’action, pourtant censées mettre en œuvre une série des compétences et/ou attributions qui leur sont propres notamment l’entretien des collecteurs de drainage et d'égouts ; l’éclairage public communal ; le plan d'aménagement de la commune ; l’aménagement, entretien et gestion des marchés publics d'intérêt communal ainsi que la construction, l’aménagement, l’entretien et la gestion des parcs publics, des complexes sportifs et des aires de jeux</w:t>
      </w:r>
      <w:r w:rsidR="00C13188" w:rsidRPr="00C13188">
        <w:rPr>
          <w:rFonts w:ascii="Garamond" w:hAnsi="Garamond"/>
        </w:rPr>
        <w:t xml:space="preserve"> </w:t>
      </w:r>
      <w:r w:rsidR="00C13188">
        <w:rPr>
          <w:rFonts w:ascii="Garamond" w:hAnsi="Garamond"/>
        </w:rPr>
        <w:t xml:space="preserve">(RDC, </w:t>
      </w:r>
      <w:r w:rsidR="00C13188" w:rsidRPr="003A580A">
        <w:rPr>
          <w:rFonts w:ascii="Garamond" w:hAnsi="Garamond"/>
        </w:rPr>
        <w:t>2008b)</w:t>
      </w:r>
      <w:r w:rsidRPr="009B6D19">
        <w:rPr>
          <w:rFonts w:ascii="Garamond" w:hAnsi="Garamond"/>
          <w:lang w:eastAsia="fr-FR"/>
        </w:rPr>
        <w:t xml:space="preserve">. A cette irrégularité des transferts, viennent se greffer d’autres blocages entre autre l’interdiction de contracter un emprunt sans l’aval du pouvoir central et le faible niveau d’infrastructures et de culture fiscales. Il ne faut pas oublier que l’histoire démontre que depuis l’indépendance de la RDC, le </w:t>
      </w:r>
      <w:r w:rsidRPr="009B6D19">
        <w:rPr>
          <w:rFonts w:ascii="Garamond" w:hAnsi="Garamond"/>
          <w:lang w:eastAsia="fr-FR"/>
        </w:rPr>
        <w:lastRenderedPageBreak/>
        <w:t>Gouvernement central a toujours voulu avoir un c</w:t>
      </w:r>
      <w:r>
        <w:rPr>
          <w:rFonts w:ascii="Garamond" w:hAnsi="Garamond"/>
          <w:lang w:eastAsia="fr-FR"/>
        </w:rPr>
        <w:t>ontrôle sur les entités locales</w:t>
      </w:r>
      <w:r w:rsidRPr="009B6D19">
        <w:rPr>
          <w:rFonts w:ascii="Garamond" w:hAnsi="Garamond"/>
          <w:lang w:eastAsia="fr-FR"/>
        </w:rPr>
        <w:t xml:space="preserve">. Cette pratique s’est institutionnalisée notamment par la nomination en lieu et place de l’élection, des animateurs locaux. Une des raisons majeures de ce blocage politique serait la possibilité d’entrainer les entités locales dans la radicalisation et l’auto-détermination </w:t>
      </w:r>
      <w:r w:rsidRPr="009B6D19">
        <w:rPr>
          <w:rFonts w:ascii="Garamond" w:eastAsia="Times New Roman" w:hAnsi="Garamond"/>
          <w:lang w:eastAsia="fr-FR"/>
        </w:rPr>
        <w:t>(Rondinelli, 1989)</w:t>
      </w:r>
      <w:r w:rsidRPr="009B6D19">
        <w:rPr>
          <w:rFonts w:ascii="Garamond" w:hAnsi="Garamond"/>
          <w:lang w:eastAsia="fr-FR"/>
        </w:rPr>
        <w:t xml:space="preserve">, étant donné que les ressources sont indissociables de l’exercice du pouvoir.  </w:t>
      </w:r>
    </w:p>
    <w:p w14:paraId="4C3730E1" w14:textId="1C810C3D" w:rsidR="00804868" w:rsidRDefault="00804868" w:rsidP="00804868">
      <w:pPr>
        <w:rPr>
          <w:rFonts w:ascii="Garamond" w:hAnsi="Garamond"/>
        </w:rPr>
      </w:pPr>
      <w:r w:rsidRPr="009B6D19">
        <w:rPr>
          <w:rFonts w:ascii="Garamond" w:hAnsi="Garamond"/>
          <w:lang w:eastAsia="fr-FR"/>
        </w:rPr>
        <w:t>Toutefois, malgré ces blocages la population locale, dépositaire du pouvoir de renouvellement de la confiance envers les dirigeants au travers la voie des urnes, voudrait voir ces derniers à l’œuvre</w:t>
      </w:r>
      <w:r>
        <w:rPr>
          <w:rFonts w:ascii="Garamond" w:hAnsi="Garamond"/>
          <w:lang w:eastAsia="fr-FR"/>
        </w:rPr>
        <w:t xml:space="preserve"> </w:t>
      </w:r>
      <w:r w:rsidRPr="009B6D19">
        <w:rPr>
          <w:rFonts w:ascii="Garamond" w:hAnsi="Garamond"/>
          <w:lang w:eastAsia="fr-FR"/>
        </w:rPr>
        <w:t>dans la fourniture des services publics de</w:t>
      </w:r>
      <w:r>
        <w:rPr>
          <w:rFonts w:ascii="Garamond" w:hAnsi="Garamond"/>
          <w:lang w:eastAsia="fr-FR"/>
        </w:rPr>
        <w:t xml:space="preserve"> </w:t>
      </w:r>
      <w:r w:rsidRPr="009B6D19">
        <w:rPr>
          <w:rFonts w:ascii="Garamond" w:hAnsi="Garamond"/>
          <w:lang w:eastAsia="fr-FR"/>
        </w:rPr>
        <w:t>qualité comme interface du pouvoir central. Devant ce dilemme</w:t>
      </w:r>
      <w:r>
        <w:rPr>
          <w:rFonts w:ascii="Garamond" w:hAnsi="Garamond"/>
          <w:lang w:eastAsia="fr-FR"/>
        </w:rPr>
        <w:t>,</w:t>
      </w:r>
      <w:r w:rsidRPr="009B6D19">
        <w:rPr>
          <w:rFonts w:ascii="Garamond" w:hAnsi="Garamond"/>
          <w:lang w:eastAsia="fr-FR"/>
        </w:rPr>
        <w:t xml:space="preserve"> l’exercice de </w:t>
      </w:r>
      <w:r>
        <w:rPr>
          <w:rFonts w:ascii="Garamond" w:hAnsi="Garamond"/>
          <w:lang w:eastAsia="fr-FR"/>
        </w:rPr>
        <w:t xml:space="preserve">la </w:t>
      </w:r>
      <w:r w:rsidRPr="009B6D19">
        <w:rPr>
          <w:rFonts w:ascii="Garamond" w:hAnsi="Garamond"/>
          <w:lang w:eastAsia="fr-FR"/>
        </w:rPr>
        <w:t>reddition des comptes</w:t>
      </w:r>
      <w:r>
        <w:rPr>
          <w:rFonts w:ascii="Garamond" w:hAnsi="Garamond"/>
          <w:lang w:eastAsia="fr-FR"/>
        </w:rPr>
        <w:t xml:space="preserve"> en rapport avec la conduite de l’action gouvernementale au niveau local cède la place à l’allégeance politique</w:t>
      </w:r>
      <w:r w:rsidRPr="009B6D19">
        <w:rPr>
          <w:rFonts w:ascii="Garamond" w:hAnsi="Garamond"/>
          <w:lang w:eastAsia="fr-FR"/>
        </w:rPr>
        <w:t xml:space="preserve"> </w:t>
      </w:r>
      <w:r>
        <w:rPr>
          <w:rFonts w:ascii="Garamond" w:hAnsi="Garamond"/>
          <w:lang w:eastAsia="fr-FR"/>
        </w:rPr>
        <w:t>des animateurs locaux des entités décentralisées. Ceci s’explique par le fait que ces derniers sont nommés et protégés par le pouvoir central pour mieux assurer leurs intérêts et ceux du parti politique au pouvoir (</w:t>
      </w:r>
      <w:proofErr w:type="spellStart"/>
      <w:r>
        <w:rPr>
          <w:rFonts w:ascii="Garamond" w:hAnsi="Garamond"/>
          <w:lang w:eastAsia="fr-FR"/>
        </w:rPr>
        <w:t>Mavalaka</w:t>
      </w:r>
      <w:proofErr w:type="spellEnd"/>
      <w:r>
        <w:rPr>
          <w:rFonts w:ascii="Garamond" w:hAnsi="Garamond"/>
          <w:lang w:eastAsia="fr-FR"/>
        </w:rPr>
        <w:t>, 2018)</w:t>
      </w:r>
      <w:r w:rsidRPr="009B6D19">
        <w:rPr>
          <w:rFonts w:ascii="Garamond" w:hAnsi="Garamond"/>
          <w:lang w:eastAsia="fr-FR"/>
        </w:rPr>
        <w:t xml:space="preserve">. Cela malheureusement a pour conséquence, l’interférence politique, la corruption, le trafic d’influence </w:t>
      </w:r>
      <w:r w:rsidR="00704453">
        <w:rPr>
          <w:rFonts w:ascii="Garamond" w:hAnsi="Garamond"/>
          <w:lang w:eastAsia="fr-FR"/>
        </w:rPr>
        <w:t>(</w:t>
      </w:r>
      <w:r w:rsidR="00704453" w:rsidRPr="009B6D19">
        <w:rPr>
          <w:rFonts w:ascii="Garamond" w:hAnsi="Garamond"/>
        </w:rPr>
        <w:t xml:space="preserve">International </w:t>
      </w:r>
      <w:proofErr w:type="spellStart"/>
      <w:r w:rsidR="00704453" w:rsidRPr="009B6D19">
        <w:rPr>
          <w:rFonts w:ascii="Garamond" w:hAnsi="Garamond"/>
        </w:rPr>
        <w:t>Monetary</w:t>
      </w:r>
      <w:proofErr w:type="spellEnd"/>
      <w:r w:rsidR="00704453" w:rsidRPr="009B6D19">
        <w:rPr>
          <w:rFonts w:ascii="Garamond" w:hAnsi="Garamond"/>
        </w:rPr>
        <w:t xml:space="preserve"> </w:t>
      </w:r>
      <w:proofErr w:type="spellStart"/>
      <w:r w:rsidR="00704453" w:rsidRPr="009B6D19">
        <w:rPr>
          <w:rFonts w:ascii="Garamond" w:hAnsi="Garamond"/>
        </w:rPr>
        <w:t>Found</w:t>
      </w:r>
      <w:proofErr w:type="spellEnd"/>
      <w:r w:rsidR="00704453" w:rsidRPr="009B6D19">
        <w:rPr>
          <w:rFonts w:ascii="Garamond" w:hAnsi="Garamond"/>
        </w:rPr>
        <w:t>, 2021</w:t>
      </w:r>
      <w:r w:rsidR="00704453">
        <w:rPr>
          <w:rFonts w:ascii="Garamond" w:hAnsi="Garamond"/>
        </w:rPr>
        <w:t xml:space="preserve">) </w:t>
      </w:r>
      <w:r w:rsidRPr="009B6D19">
        <w:rPr>
          <w:rFonts w:ascii="Garamond" w:hAnsi="Garamond"/>
          <w:lang w:eastAsia="fr-FR"/>
        </w:rPr>
        <w:t>et la politisation de l’offre des services (</w:t>
      </w:r>
      <w:r w:rsidRPr="009B6D19">
        <w:rPr>
          <w:rFonts w:ascii="Garamond" w:hAnsi="Garamond"/>
        </w:rPr>
        <w:t>Banque mondiale, 2010 : 50)</w:t>
      </w:r>
      <w:r>
        <w:rPr>
          <w:rFonts w:ascii="Garamond" w:hAnsi="Garamond"/>
        </w:rPr>
        <w:t xml:space="preserve"> entrainant ainsi le plombage de la reddition des comptes</w:t>
      </w:r>
      <w:r w:rsidRPr="009B6D19">
        <w:rPr>
          <w:rFonts w:ascii="Garamond" w:hAnsi="Garamond"/>
        </w:rPr>
        <w:t xml:space="preserve">. Cette situation se trouve aggravée par les faibles capacités d’action des acteurs politiques nommés, le manque de dynamisme de la société civile et l’analphabétisme de la population entrainant ainsi de pertes de valeur, de biais d’interprétation, des malentendus ou des lectures superficielles (Martin &amp; </w:t>
      </w:r>
      <w:proofErr w:type="spellStart"/>
      <w:r w:rsidRPr="009B6D19">
        <w:rPr>
          <w:rFonts w:ascii="Garamond" w:hAnsi="Garamond"/>
        </w:rPr>
        <w:t>Sunley</w:t>
      </w:r>
      <w:proofErr w:type="spellEnd"/>
      <w:r w:rsidRPr="009B6D19">
        <w:rPr>
          <w:rFonts w:ascii="Garamond" w:hAnsi="Garamond"/>
        </w:rPr>
        <w:t xml:space="preserve">, 2003) de la réforme. </w:t>
      </w:r>
    </w:p>
    <w:p w14:paraId="7C5AF4FC" w14:textId="013B5E23" w:rsidR="00804868" w:rsidRPr="009B6D19" w:rsidRDefault="00857E5E" w:rsidP="00804868">
      <w:pPr>
        <w:rPr>
          <w:rFonts w:ascii="Garamond" w:hAnsi="Garamond"/>
          <w:lang w:eastAsia="fr-FR"/>
        </w:rPr>
      </w:pPr>
      <w:r>
        <w:rPr>
          <w:rFonts w:ascii="Garamond" w:hAnsi="Garamond"/>
          <w:lang w:eastAsia="fr-FR"/>
        </w:rPr>
        <w:t>C</w:t>
      </w:r>
      <w:r w:rsidR="00804868" w:rsidRPr="009B6D19">
        <w:rPr>
          <w:rFonts w:ascii="Garamond" w:hAnsi="Garamond"/>
          <w:lang w:eastAsia="fr-FR"/>
        </w:rPr>
        <w:t>es barrières sont intentionnellement érigées au travers le retard dans l’adoption des textes légaux et réglementaires, des mesures légales et règlementaires transitoires rendues sciemment définitives pour la sauvegarde de la mise sous-tutelle des provinces et des entités locales</w:t>
      </w:r>
      <w:r w:rsidR="00393317">
        <w:rPr>
          <w:rFonts w:ascii="Garamond" w:hAnsi="Garamond"/>
          <w:lang w:eastAsia="fr-FR"/>
        </w:rPr>
        <w:t xml:space="preserve"> (Liégeois, </w:t>
      </w:r>
      <w:r w:rsidR="001E0BBF">
        <w:rPr>
          <w:rFonts w:ascii="Garamond" w:hAnsi="Garamond"/>
          <w:lang w:eastAsia="fr-FR"/>
        </w:rPr>
        <w:t>200</w:t>
      </w:r>
      <w:r w:rsidR="00393317">
        <w:rPr>
          <w:rFonts w:ascii="Garamond" w:hAnsi="Garamond"/>
          <w:lang w:eastAsia="fr-FR"/>
        </w:rPr>
        <w:t xml:space="preserve">8, </w:t>
      </w:r>
      <w:proofErr w:type="spellStart"/>
      <w:r w:rsidR="00393317" w:rsidRPr="00393317">
        <w:rPr>
          <w:rFonts w:ascii="Garamond" w:hAnsi="Garamond"/>
          <w:lang w:eastAsia="fr-FR"/>
        </w:rPr>
        <w:t>Melmoth</w:t>
      </w:r>
      <w:proofErr w:type="spellEnd"/>
      <w:r w:rsidR="00393317" w:rsidRPr="00393317">
        <w:rPr>
          <w:rFonts w:ascii="Garamond" w:hAnsi="Garamond"/>
          <w:lang w:eastAsia="fr-FR"/>
        </w:rPr>
        <w:t>, 2007)</w:t>
      </w:r>
      <w:r w:rsidR="00804868" w:rsidRPr="009B6D19">
        <w:rPr>
          <w:rFonts w:ascii="Garamond" w:hAnsi="Garamond"/>
          <w:lang w:eastAsia="fr-FR"/>
        </w:rPr>
        <w:t>, l’ambiguïté institutionnellement acceptée dans l’interprétation</w:t>
      </w:r>
      <w:r w:rsidR="001B4C44">
        <w:rPr>
          <w:rFonts w:ascii="Garamond" w:hAnsi="Garamond"/>
          <w:lang w:eastAsia="fr-FR"/>
        </w:rPr>
        <w:t xml:space="preserve"> de certains textes (</w:t>
      </w:r>
      <w:proofErr w:type="spellStart"/>
      <w:r w:rsidR="00393317" w:rsidRPr="00393317">
        <w:rPr>
          <w:rFonts w:ascii="Garamond" w:hAnsi="Garamond"/>
          <w:lang w:eastAsia="fr-FR"/>
        </w:rPr>
        <w:t>Melmoth</w:t>
      </w:r>
      <w:proofErr w:type="spellEnd"/>
      <w:r w:rsidR="00393317" w:rsidRPr="00393317">
        <w:rPr>
          <w:rFonts w:ascii="Garamond" w:hAnsi="Garamond"/>
          <w:lang w:eastAsia="fr-FR"/>
        </w:rPr>
        <w:t>, 2007</w:t>
      </w:r>
      <w:r w:rsidR="00804868" w:rsidRPr="009B6D19">
        <w:rPr>
          <w:rFonts w:ascii="Garamond" w:hAnsi="Garamond"/>
          <w:lang w:eastAsia="fr-FR"/>
        </w:rPr>
        <w:t xml:space="preserve">) ainsi que le faible niveau de leur vulgarisation pour une meilleure appropriation. Ces barrières tapissent le lit du </w:t>
      </w:r>
      <w:r w:rsidR="00804868" w:rsidRPr="00857E5E">
        <w:rPr>
          <w:rFonts w:ascii="Garamond" w:hAnsi="Garamond"/>
          <w:i/>
          <w:lang w:eastAsia="fr-FR"/>
        </w:rPr>
        <w:t>statu quo</w:t>
      </w:r>
      <w:r w:rsidR="00804868" w:rsidRPr="009B6D19">
        <w:rPr>
          <w:rFonts w:ascii="Garamond" w:hAnsi="Garamond"/>
          <w:lang w:eastAsia="fr-FR"/>
        </w:rPr>
        <w:t xml:space="preserve"> institutionnel en érigeant une gestion des finances publiques personnalisée (</w:t>
      </w:r>
      <w:proofErr w:type="spellStart"/>
      <w:r w:rsidR="00804868" w:rsidRPr="009B6D19">
        <w:rPr>
          <w:rFonts w:ascii="Garamond" w:hAnsi="Garamond"/>
          <w:lang w:eastAsia="fr-FR"/>
        </w:rPr>
        <w:t>Masala</w:t>
      </w:r>
      <w:proofErr w:type="spellEnd"/>
      <w:r w:rsidR="00804868" w:rsidRPr="009B6D19">
        <w:rPr>
          <w:rFonts w:ascii="Garamond" w:hAnsi="Garamond"/>
          <w:lang w:eastAsia="fr-FR"/>
        </w:rPr>
        <w:t>, 202</w:t>
      </w:r>
      <w:r w:rsidR="0095057D">
        <w:rPr>
          <w:rFonts w:ascii="Garamond" w:hAnsi="Garamond"/>
          <w:lang w:eastAsia="fr-FR"/>
        </w:rPr>
        <w:t>2</w:t>
      </w:r>
      <w:r w:rsidR="00804868" w:rsidRPr="009B6D19">
        <w:rPr>
          <w:rFonts w:ascii="Garamond" w:hAnsi="Garamond"/>
          <w:lang w:eastAsia="fr-FR"/>
        </w:rPr>
        <w:t xml:space="preserve">), mieux un </w:t>
      </w:r>
      <w:r w:rsidR="00804868" w:rsidRPr="009B6D19">
        <w:rPr>
          <w:rFonts w:ascii="Garamond" w:hAnsi="Garamond"/>
          <w:i/>
          <w:lang w:eastAsia="fr-FR"/>
        </w:rPr>
        <w:t>self-service</w:t>
      </w:r>
      <w:r w:rsidR="00804868" w:rsidRPr="009B6D19">
        <w:rPr>
          <w:rFonts w:ascii="Garamond" w:hAnsi="Garamond"/>
          <w:lang w:eastAsia="fr-FR"/>
        </w:rPr>
        <w:t xml:space="preserve"> </w:t>
      </w:r>
      <w:r w:rsidR="00804868" w:rsidRPr="009B6D19">
        <w:rPr>
          <w:rFonts w:ascii="Garamond" w:hAnsi="Garamond"/>
        </w:rPr>
        <w:t>(</w:t>
      </w:r>
      <w:proofErr w:type="spellStart"/>
      <w:r w:rsidR="00804868" w:rsidRPr="009B6D19">
        <w:rPr>
          <w:rFonts w:ascii="Garamond" w:hAnsi="Garamond"/>
        </w:rPr>
        <w:t>Englebert</w:t>
      </w:r>
      <w:proofErr w:type="spellEnd"/>
      <w:r w:rsidR="00804868" w:rsidRPr="009B6D19">
        <w:rPr>
          <w:rFonts w:ascii="Garamond" w:hAnsi="Garamond"/>
        </w:rPr>
        <w:t xml:space="preserve"> &amp; Kasongo, 2016)</w:t>
      </w:r>
      <w:r w:rsidR="00804868" w:rsidRPr="009B6D19">
        <w:rPr>
          <w:rFonts w:ascii="Garamond" w:hAnsi="Garamond"/>
          <w:lang w:eastAsia="fr-FR"/>
        </w:rPr>
        <w:t xml:space="preserve">, ou un réseau d’interdépendance politique (parasitisme). Sous cet angle, le responsable de l’ETD, à l’occurrence le Bourgmestre de la Commune, unique ordonnateur des dépenses communales et responsable financier et administratif de la Commune, fait à la fois face à une asphyxie financière et à une allocation des ressources aux dépenses dictée </w:t>
      </w:r>
      <w:r w:rsidR="009818A5">
        <w:rPr>
          <w:rFonts w:ascii="Garamond" w:hAnsi="Garamond"/>
          <w:lang w:eastAsia="fr-FR"/>
        </w:rPr>
        <w:t xml:space="preserve">par </w:t>
      </w:r>
      <w:r w:rsidR="00804868" w:rsidRPr="009B6D19">
        <w:rPr>
          <w:rFonts w:ascii="Garamond" w:hAnsi="Garamond"/>
          <w:lang w:eastAsia="fr-FR"/>
        </w:rPr>
        <w:t xml:space="preserve">la hiérarchie politique. Ce qui laisse entrevoir un grand décalage entre la répartition de l’autorité et du pouvoir au sein des communes de Kinshasa. </w:t>
      </w:r>
    </w:p>
    <w:p w14:paraId="4875722A" w14:textId="5589A989" w:rsidR="00804868" w:rsidRPr="009B6D19" w:rsidRDefault="00804868" w:rsidP="00804868">
      <w:pPr>
        <w:rPr>
          <w:rFonts w:ascii="Garamond" w:hAnsi="Garamond"/>
        </w:rPr>
      </w:pPr>
      <w:r w:rsidRPr="009B6D19">
        <w:rPr>
          <w:rFonts w:ascii="Garamond" w:hAnsi="Garamond"/>
        </w:rPr>
        <w:lastRenderedPageBreak/>
        <w:t xml:space="preserve">S’appuyant sur les conditions de responsabilisation énumérées par </w:t>
      </w:r>
      <w:proofErr w:type="spellStart"/>
      <w:r w:rsidRPr="009B6D19">
        <w:rPr>
          <w:rFonts w:ascii="Garamond" w:hAnsi="Garamond"/>
        </w:rPr>
        <w:t>Eraly</w:t>
      </w:r>
      <w:proofErr w:type="spellEnd"/>
      <w:r w:rsidRPr="009B6D19">
        <w:rPr>
          <w:rFonts w:ascii="Garamond" w:hAnsi="Garamond"/>
        </w:rPr>
        <w:t xml:space="preserve"> &amp; </w:t>
      </w:r>
      <w:proofErr w:type="spellStart"/>
      <w:r w:rsidRPr="009B6D19">
        <w:rPr>
          <w:rFonts w:ascii="Garamond" w:hAnsi="Garamond"/>
        </w:rPr>
        <w:t>Hendriks</w:t>
      </w:r>
      <w:proofErr w:type="spellEnd"/>
      <w:r w:rsidRPr="009B6D19">
        <w:rPr>
          <w:rFonts w:ascii="Garamond" w:hAnsi="Garamond"/>
        </w:rPr>
        <w:t xml:space="preserve"> (2007 : 197-198), il ressort clairement que les Communes (ETD) de la ville Province de Kinshasa n’arrivent pas à satisfaire à la plupart de ces préalables. </w:t>
      </w:r>
      <w:r>
        <w:rPr>
          <w:rFonts w:ascii="Garamond" w:hAnsi="Garamond"/>
        </w:rPr>
        <w:t xml:space="preserve">Tous les acteurs impliqués en sont conscients mais n’arrivent pas à renverser la tendance. Ce constat est </w:t>
      </w:r>
      <w:r w:rsidR="00857E5E">
        <w:rPr>
          <w:rFonts w:ascii="Garamond" w:hAnsi="Garamond"/>
        </w:rPr>
        <w:t>re</w:t>
      </w:r>
      <w:r>
        <w:rPr>
          <w:rFonts w:ascii="Garamond" w:hAnsi="Garamond"/>
        </w:rPr>
        <w:t>levé</w:t>
      </w:r>
      <w:r w:rsidR="00857E5E">
        <w:rPr>
          <w:rFonts w:ascii="Garamond" w:hAnsi="Garamond"/>
        </w:rPr>
        <w:t xml:space="preserve"> une fois de plus</w:t>
      </w:r>
      <w:r>
        <w:rPr>
          <w:rFonts w:ascii="Garamond" w:hAnsi="Garamond"/>
        </w:rPr>
        <w:t xml:space="preserve"> lors </w:t>
      </w:r>
      <w:r w:rsidRPr="009B6D19">
        <w:rPr>
          <w:rFonts w:ascii="Garamond" w:hAnsi="Garamond"/>
        </w:rPr>
        <w:t>de la 81ème réunion du</w:t>
      </w:r>
      <w:r>
        <w:rPr>
          <w:rFonts w:ascii="Garamond" w:hAnsi="Garamond"/>
        </w:rPr>
        <w:t xml:space="preserve"> </w:t>
      </w:r>
      <w:r w:rsidRPr="009B6D19">
        <w:rPr>
          <w:rFonts w:ascii="Garamond" w:hAnsi="Garamond"/>
        </w:rPr>
        <w:t>conseil des ministres</w:t>
      </w:r>
      <w:r>
        <w:rPr>
          <w:rFonts w:ascii="Garamond" w:hAnsi="Garamond"/>
        </w:rPr>
        <w:t xml:space="preserve"> du Gouvernement central tenue le 28 décembre 2022 et au cours de laquelle il a été </w:t>
      </w:r>
      <w:r w:rsidRPr="009B6D19">
        <w:rPr>
          <w:rFonts w:ascii="Garamond" w:hAnsi="Garamond"/>
        </w:rPr>
        <w:t xml:space="preserve"> </w:t>
      </w:r>
      <w:r>
        <w:rPr>
          <w:rFonts w:ascii="Garamond" w:hAnsi="Garamond"/>
        </w:rPr>
        <w:t xml:space="preserve">décidé </w:t>
      </w:r>
      <w:r w:rsidR="009818A5">
        <w:rPr>
          <w:rFonts w:ascii="Garamond" w:hAnsi="Garamond"/>
        </w:rPr>
        <w:t xml:space="preserve">de </w:t>
      </w:r>
      <w:r w:rsidRPr="009B6D19">
        <w:rPr>
          <w:rFonts w:ascii="Garamond" w:hAnsi="Garamond"/>
        </w:rPr>
        <w:t>libérer régulièrement la rétrocession et autres subventions destinées aux provinces et ETD</w:t>
      </w:r>
      <w:r>
        <w:rPr>
          <w:rFonts w:ascii="Garamond" w:hAnsi="Garamond"/>
        </w:rPr>
        <w:t xml:space="preserve"> dans le but de faciliter leur décollage</w:t>
      </w:r>
      <w:r w:rsidRPr="009B6D19">
        <w:rPr>
          <w:rFonts w:ascii="Garamond" w:hAnsi="Garamond"/>
        </w:rPr>
        <w:t>. C</w:t>
      </w:r>
      <w:r>
        <w:rPr>
          <w:rFonts w:ascii="Garamond" w:hAnsi="Garamond"/>
        </w:rPr>
        <w:t xml:space="preserve">ette problématique d’asphyxie financière des ETD par le pouvoir central est abordée par plusieurs </w:t>
      </w:r>
      <w:r w:rsidRPr="009B6D19">
        <w:rPr>
          <w:rFonts w:ascii="Garamond" w:hAnsi="Garamond"/>
        </w:rPr>
        <w:t xml:space="preserve">rapports consultés </w:t>
      </w:r>
      <w:r>
        <w:rPr>
          <w:rFonts w:ascii="Garamond" w:hAnsi="Garamond"/>
        </w:rPr>
        <w:t xml:space="preserve">dans le cadre de ce travail. Ils </w:t>
      </w:r>
      <w:r w:rsidRPr="009B6D19">
        <w:rPr>
          <w:rFonts w:ascii="Garamond" w:hAnsi="Garamond"/>
        </w:rPr>
        <w:t>insistent sur l’impérieuse</w:t>
      </w:r>
      <w:r>
        <w:rPr>
          <w:rFonts w:ascii="Garamond" w:hAnsi="Garamond"/>
        </w:rPr>
        <w:t xml:space="preserve"> </w:t>
      </w:r>
      <w:r w:rsidRPr="009B6D19">
        <w:rPr>
          <w:rFonts w:ascii="Garamond" w:hAnsi="Garamond"/>
        </w:rPr>
        <w:t>nécessité de doter</w:t>
      </w:r>
      <w:r>
        <w:rPr>
          <w:rFonts w:ascii="Garamond" w:hAnsi="Garamond"/>
        </w:rPr>
        <w:t xml:space="preserve"> </w:t>
      </w:r>
      <w:r w:rsidRPr="009B6D19">
        <w:rPr>
          <w:rFonts w:ascii="Garamond" w:hAnsi="Garamond"/>
        </w:rPr>
        <w:t xml:space="preserve">les entités locales des ressources financières nécessaires pour la mise en œuvre efficace de son plan de développement d’une part et sur la capacitation de différents acteurs impliqués dans le processus de décentralisation d’autre part. Ce n’est qu’en leur dotant des capacités nécessaires qu’ils peuvent être capables de demander des comptes aux dirigeants et dans le cas échéant, les sanctionner. En plus, l’organisation des élections municipales et locales permettra aux gouvernements locaux (Conseil communal) d’être redevables plus envers leurs électeurs </w:t>
      </w:r>
      <w:r w:rsidR="00B72A65">
        <w:rPr>
          <w:rFonts w:ascii="Garamond" w:hAnsi="Garamond"/>
        </w:rPr>
        <w:t>(</w:t>
      </w:r>
      <w:proofErr w:type="spellStart"/>
      <w:r w:rsidR="00B72A65">
        <w:rPr>
          <w:rFonts w:ascii="Garamond" w:hAnsi="Garamond"/>
          <w:lang w:eastAsia="fr-FR"/>
        </w:rPr>
        <w:t>Devas</w:t>
      </w:r>
      <w:proofErr w:type="spellEnd"/>
      <w:r w:rsidR="00B72A65">
        <w:rPr>
          <w:rFonts w:ascii="Garamond" w:hAnsi="Garamond"/>
          <w:lang w:eastAsia="fr-FR"/>
        </w:rPr>
        <w:t xml:space="preserve"> &amp; Grant, 2003</w:t>
      </w:r>
      <w:r w:rsidR="00B72A65" w:rsidRPr="009B6D19">
        <w:rPr>
          <w:rFonts w:ascii="Garamond" w:hAnsi="Garamond"/>
          <w:lang w:eastAsia="fr-FR"/>
        </w:rPr>
        <w:t xml:space="preserve">) </w:t>
      </w:r>
      <w:r w:rsidRPr="009B6D19">
        <w:rPr>
          <w:rFonts w:ascii="Garamond" w:hAnsi="Garamond"/>
        </w:rPr>
        <w:t>qu’envers leurs partis politiques. C’est dans ce cadre que le processus de démocratisation enclenchée depuis 2006 peut constituer un levier d’efficacité et d’effectivité de la responsabilisation financière et de la reddition des comptes.</w:t>
      </w:r>
      <w:r w:rsidR="00525286">
        <w:rPr>
          <w:rFonts w:ascii="Garamond" w:hAnsi="Garamond"/>
        </w:rPr>
        <w:t xml:space="preserve"> Ainsi, il s’observe que le mobile décentralisateur qui a animé le constituant congolais et qui visait à promouvoir le développement local et la démocratie </w:t>
      </w:r>
      <w:r w:rsidR="00BA38E0">
        <w:rPr>
          <w:rFonts w:ascii="Garamond" w:hAnsi="Garamond"/>
        </w:rPr>
        <w:t>d’imputation</w:t>
      </w:r>
      <w:r w:rsidR="00DB53D2">
        <w:rPr>
          <w:rFonts w:ascii="Garamond" w:hAnsi="Garamond"/>
        </w:rPr>
        <w:t xml:space="preserve"> (</w:t>
      </w:r>
      <w:proofErr w:type="spellStart"/>
      <w:r w:rsidR="00DB53D2">
        <w:rPr>
          <w:rFonts w:ascii="Garamond" w:hAnsi="Garamond"/>
        </w:rPr>
        <w:t>Décary</w:t>
      </w:r>
      <w:proofErr w:type="spellEnd"/>
      <w:r w:rsidR="00DB53D2">
        <w:rPr>
          <w:rFonts w:ascii="Garamond" w:hAnsi="Garamond"/>
        </w:rPr>
        <w:t>-Secours, 2007)</w:t>
      </w:r>
      <w:r w:rsidR="00525286">
        <w:rPr>
          <w:rFonts w:ascii="Garamond" w:hAnsi="Garamond"/>
        </w:rPr>
        <w:t xml:space="preserve"> au travers la réforme de la décentralisation de laquelle découle la décentralisation et la reddition des comptes n’a fait que vendre du vent aux congolais. </w:t>
      </w:r>
      <w:r w:rsidR="00291F8D">
        <w:rPr>
          <w:rFonts w:ascii="Garamond" w:hAnsi="Garamond"/>
        </w:rPr>
        <w:t xml:space="preserve">C’est ce que qualifie </w:t>
      </w:r>
      <w:proofErr w:type="spellStart"/>
      <w:r w:rsidR="009277E2" w:rsidRPr="009277E2">
        <w:rPr>
          <w:rFonts w:ascii="Garamond" w:hAnsi="Garamond"/>
        </w:rPr>
        <w:t>Marysse</w:t>
      </w:r>
      <w:proofErr w:type="spellEnd"/>
      <w:r w:rsidR="009277E2" w:rsidRPr="009277E2">
        <w:rPr>
          <w:rFonts w:ascii="Garamond" w:hAnsi="Garamond"/>
        </w:rPr>
        <w:t xml:space="preserve"> (2018) </w:t>
      </w:r>
      <w:r w:rsidR="005D6740">
        <w:rPr>
          <w:rFonts w:ascii="Garamond" w:hAnsi="Garamond"/>
        </w:rPr>
        <w:t xml:space="preserve">d’éléphant blanc </w:t>
      </w:r>
      <w:r w:rsidR="009277E2" w:rsidRPr="009277E2">
        <w:rPr>
          <w:rFonts w:ascii="Garamond" w:hAnsi="Garamond"/>
        </w:rPr>
        <w:t>comme conséquence d’une gouvernance axée sur la rente</w:t>
      </w:r>
      <w:r w:rsidR="00704453">
        <w:rPr>
          <w:rFonts w:ascii="Garamond" w:hAnsi="Garamond"/>
        </w:rPr>
        <w:t xml:space="preserve"> (</w:t>
      </w:r>
      <w:r w:rsidR="00704453" w:rsidRPr="009B6D19">
        <w:rPr>
          <w:rFonts w:ascii="Garamond" w:hAnsi="Garamond"/>
        </w:rPr>
        <w:t xml:space="preserve">International </w:t>
      </w:r>
      <w:proofErr w:type="spellStart"/>
      <w:r w:rsidR="00704453" w:rsidRPr="009B6D19">
        <w:rPr>
          <w:rFonts w:ascii="Garamond" w:hAnsi="Garamond"/>
        </w:rPr>
        <w:t>Monetary</w:t>
      </w:r>
      <w:proofErr w:type="spellEnd"/>
      <w:r w:rsidR="00704453" w:rsidRPr="009B6D19">
        <w:rPr>
          <w:rFonts w:ascii="Garamond" w:hAnsi="Garamond"/>
        </w:rPr>
        <w:t xml:space="preserve"> </w:t>
      </w:r>
      <w:proofErr w:type="spellStart"/>
      <w:r w:rsidR="00704453" w:rsidRPr="009B6D19">
        <w:rPr>
          <w:rFonts w:ascii="Garamond" w:hAnsi="Garamond"/>
        </w:rPr>
        <w:t>Found</w:t>
      </w:r>
      <w:proofErr w:type="spellEnd"/>
      <w:r w:rsidR="00704453" w:rsidRPr="009B6D19">
        <w:rPr>
          <w:rFonts w:ascii="Garamond" w:hAnsi="Garamond"/>
        </w:rPr>
        <w:t>, 2021</w:t>
      </w:r>
      <w:r w:rsidR="00704453">
        <w:rPr>
          <w:rFonts w:ascii="Garamond" w:hAnsi="Garamond"/>
        </w:rPr>
        <w:t>)</w:t>
      </w:r>
      <w:r w:rsidR="009277E2" w:rsidRPr="009277E2">
        <w:rPr>
          <w:rFonts w:ascii="Garamond" w:hAnsi="Garamond"/>
        </w:rPr>
        <w:t xml:space="preserve">. </w:t>
      </w:r>
      <w:r w:rsidR="005D6740">
        <w:rPr>
          <w:rFonts w:ascii="Garamond" w:hAnsi="Garamond"/>
        </w:rPr>
        <w:t xml:space="preserve">Et pour paraphraser </w:t>
      </w:r>
      <w:proofErr w:type="spellStart"/>
      <w:r w:rsidR="005D6740">
        <w:rPr>
          <w:rFonts w:ascii="Garamond" w:hAnsi="Garamond"/>
        </w:rPr>
        <w:t>Dubresson</w:t>
      </w:r>
      <w:proofErr w:type="spellEnd"/>
      <w:r w:rsidR="005D6740">
        <w:rPr>
          <w:rFonts w:ascii="Garamond" w:hAnsi="Garamond"/>
        </w:rPr>
        <w:t xml:space="preserve"> &amp; Fauré (2005), la réforme de la responsabilisation et de la reddition des comptes dans le contexte congolais est à repenser. </w:t>
      </w:r>
      <w:r w:rsidR="00525286">
        <w:rPr>
          <w:rFonts w:ascii="Garamond" w:hAnsi="Garamond"/>
        </w:rPr>
        <w:t xml:space="preserve">En lieu et place de mettre en place des entités autonomes, responsables et redditionnelles, </w:t>
      </w:r>
      <w:r w:rsidR="00AA04E9">
        <w:rPr>
          <w:rFonts w:ascii="Garamond" w:hAnsi="Garamond"/>
        </w:rPr>
        <w:t>cette réforme</w:t>
      </w:r>
      <w:r w:rsidR="00525286">
        <w:rPr>
          <w:rFonts w:ascii="Garamond" w:hAnsi="Garamond"/>
        </w:rPr>
        <w:t xml:space="preserve"> n’a fait que resserrer et recentrer le maximum de pouvoir au niveau central</w:t>
      </w:r>
      <w:r w:rsidR="009F322D">
        <w:rPr>
          <w:rFonts w:ascii="Garamond" w:hAnsi="Garamond"/>
        </w:rPr>
        <w:t xml:space="preserve"> en bloquant tout mécanisme redditionnel</w:t>
      </w:r>
      <w:r w:rsidR="00525286">
        <w:rPr>
          <w:rFonts w:ascii="Garamond" w:hAnsi="Garamond"/>
        </w:rPr>
        <w:t xml:space="preserve">. Le design institutionnel qui en résulte n’est qu’une reconstitution renouvelée des pratiques centralistes ayant caractérisé la trajectoire politique, financière et économique de l’Etat congolais </w:t>
      </w:r>
      <w:r w:rsidR="000F16E3">
        <w:rPr>
          <w:rFonts w:ascii="Garamond" w:hAnsi="Garamond"/>
        </w:rPr>
        <w:t>depuis 1960</w:t>
      </w:r>
      <w:r w:rsidR="00525286">
        <w:rPr>
          <w:rFonts w:ascii="Garamond" w:hAnsi="Garamond"/>
        </w:rPr>
        <w:t>.</w:t>
      </w:r>
      <w:r w:rsidR="000F16E3">
        <w:rPr>
          <w:rFonts w:ascii="Garamond" w:hAnsi="Garamond"/>
        </w:rPr>
        <w:t xml:space="preserve"> </w:t>
      </w:r>
      <w:r w:rsidRPr="009B6D19">
        <w:rPr>
          <w:rFonts w:ascii="Garamond" w:hAnsi="Garamond"/>
        </w:rPr>
        <w:t xml:space="preserve">Toutefois, faudra-t-il amener la population et les acteurs de la société civile à s’approprier cette réforme pour qu’ils puissent jouer pleinement leur rôle de contrepoids ? Voilà pourquoi, une démarche s’appuyant sur les données primaires et qui recueille les perceptions de la population de Kinshasa devrait constituer le mobile de nos recherches futures. </w:t>
      </w:r>
    </w:p>
    <w:p w14:paraId="52A9FC3C" w14:textId="77777777" w:rsidR="00857E5E" w:rsidRDefault="00857E5E" w:rsidP="00804868">
      <w:pPr>
        <w:autoSpaceDE/>
        <w:autoSpaceDN/>
        <w:adjustRightInd/>
        <w:spacing w:before="0" w:after="200" w:line="276" w:lineRule="auto"/>
        <w:jc w:val="left"/>
        <w:rPr>
          <w:rFonts w:ascii="Garamond" w:hAnsi="Garamond"/>
          <w:lang w:eastAsia="fr-FR"/>
        </w:rPr>
      </w:pPr>
      <w:bookmarkStart w:id="59" w:name="_Toc125594177"/>
    </w:p>
    <w:p w14:paraId="701D012A" w14:textId="77777777" w:rsidR="00804868" w:rsidRPr="009B6D19" w:rsidRDefault="00804868" w:rsidP="00804868">
      <w:pPr>
        <w:pStyle w:val="Heading1"/>
        <w:rPr>
          <w:rFonts w:ascii="Garamond" w:hAnsi="Garamond"/>
          <w:szCs w:val="24"/>
          <w:lang w:eastAsia="fr-FR"/>
        </w:rPr>
      </w:pPr>
      <w:bookmarkStart w:id="60" w:name="_Toc143577473"/>
      <w:r w:rsidRPr="009B6D19">
        <w:rPr>
          <w:rFonts w:ascii="Garamond" w:hAnsi="Garamond"/>
          <w:szCs w:val="24"/>
          <w:lang w:eastAsia="fr-FR"/>
        </w:rPr>
        <w:lastRenderedPageBreak/>
        <w:t>BIBLIOGRAPHIE</w:t>
      </w:r>
      <w:bookmarkEnd w:id="59"/>
      <w:bookmarkEnd w:id="60"/>
    </w:p>
    <w:p w14:paraId="01E080D2" w14:textId="77777777" w:rsidR="001E0BBF" w:rsidRDefault="001E0BBF" w:rsidP="001E0BBF">
      <w:pPr>
        <w:spacing w:before="240" w:after="240" w:line="240" w:lineRule="auto"/>
        <w:rPr>
          <w:rFonts w:ascii="Garamond" w:hAnsi="Garamond"/>
          <w:lang w:val="en-CA"/>
        </w:rPr>
      </w:pPr>
      <w:r w:rsidRPr="001E0BBF">
        <w:rPr>
          <w:rFonts w:ascii="Garamond" w:hAnsi="Garamond"/>
          <w:lang w:val="en-CA"/>
        </w:rPr>
        <w:t xml:space="preserve">Ahmad, R. (2008). Governance, Social Accountability and the Civil Society, </w:t>
      </w:r>
      <w:r w:rsidRPr="001E0BBF">
        <w:rPr>
          <w:rFonts w:ascii="Garamond" w:hAnsi="Garamond"/>
          <w:i/>
          <w:lang w:val="en-CA"/>
        </w:rPr>
        <w:t>JOAAG</w:t>
      </w:r>
      <w:r w:rsidRPr="001E0BBF">
        <w:rPr>
          <w:rFonts w:ascii="Garamond" w:hAnsi="Garamond"/>
          <w:lang w:val="en-CA"/>
        </w:rPr>
        <w:t>, 3(1)</w:t>
      </w:r>
    </w:p>
    <w:p w14:paraId="3F50FBE8" w14:textId="77777777" w:rsidR="001E0BBF" w:rsidRPr="009B6D19" w:rsidRDefault="001E0BBF" w:rsidP="00804868">
      <w:pPr>
        <w:spacing w:before="240" w:after="240" w:line="240" w:lineRule="auto"/>
        <w:jc w:val="left"/>
        <w:rPr>
          <w:rFonts w:ascii="Garamond" w:hAnsi="Garamond"/>
        </w:rPr>
      </w:pPr>
      <w:r w:rsidRPr="009B6D19">
        <w:rPr>
          <w:rFonts w:ascii="Garamond" w:hAnsi="Garamond"/>
        </w:rPr>
        <w:t xml:space="preserve">Archambault, E. (2011). Les institutions sans but lucratif hier et aujourd'hui : comparaison France-États-Unis, </w:t>
      </w:r>
      <w:r w:rsidRPr="009B6D19">
        <w:rPr>
          <w:rFonts w:ascii="Garamond" w:hAnsi="Garamond"/>
          <w:i/>
        </w:rPr>
        <w:t>La revue Tocqueville</w:t>
      </w:r>
      <w:r w:rsidRPr="009B6D19">
        <w:rPr>
          <w:rFonts w:ascii="Garamond" w:hAnsi="Garamond"/>
        </w:rPr>
        <w:t xml:space="preserve">, 2(32), p. 81-98, </w:t>
      </w:r>
      <w:hyperlink r:id="rId15" w:history="1">
        <w:r w:rsidRPr="009B6D19">
          <w:rPr>
            <w:rFonts w:ascii="Garamond" w:hAnsi="Garamond"/>
          </w:rPr>
          <w:t>https://doi.org/10.1353/toc.2011.0023</w:t>
        </w:r>
      </w:hyperlink>
    </w:p>
    <w:p w14:paraId="20DCBCF0"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Atangana </w:t>
      </w:r>
      <w:proofErr w:type="spellStart"/>
      <w:r w:rsidRPr="009B6D19">
        <w:rPr>
          <w:rFonts w:ascii="Garamond" w:hAnsi="Garamond"/>
        </w:rPr>
        <w:t>Mvongo</w:t>
      </w:r>
      <w:proofErr w:type="spellEnd"/>
      <w:r w:rsidRPr="009B6D19">
        <w:rPr>
          <w:rFonts w:ascii="Garamond" w:hAnsi="Garamond"/>
        </w:rPr>
        <w:t xml:space="preserve">, F-G. (2019). Décentralisation, démocratie et gouvernance au Cameroun : Essai d’analyse prospective, </w:t>
      </w:r>
      <w:r w:rsidRPr="009B6D19">
        <w:rPr>
          <w:rFonts w:ascii="Garamond" w:hAnsi="Garamond"/>
          <w:i/>
        </w:rPr>
        <w:t>Revue des Etudes Multidisciplinaires en Sciences Economiques et Sociales</w:t>
      </w:r>
      <w:r w:rsidRPr="009B6D19">
        <w:rPr>
          <w:rFonts w:ascii="Garamond" w:hAnsi="Garamond"/>
        </w:rPr>
        <w:t>, 4(10), p. 172- 200 ;</w:t>
      </w:r>
    </w:p>
    <w:p w14:paraId="4F490BDE"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Awortwi</w:t>
      </w:r>
      <w:proofErr w:type="spellEnd"/>
      <w:r w:rsidRPr="009B6D19">
        <w:rPr>
          <w:rFonts w:ascii="Garamond" w:hAnsi="Garamond"/>
        </w:rPr>
        <w:t xml:space="preserve">, N. (2011). Une trajectoire inébranlable ? Étude comparative des trajectoires suivies en matière de décentralisation et de développement du gouvernement local au Ghana et en Ouganda, </w:t>
      </w:r>
      <w:r w:rsidRPr="009B6D19">
        <w:rPr>
          <w:rFonts w:ascii="Garamond" w:hAnsi="Garamond"/>
          <w:i/>
        </w:rPr>
        <w:t>Revue Internationale des Sciences Administratives</w:t>
      </w:r>
      <w:r w:rsidRPr="009B6D19">
        <w:rPr>
          <w:rFonts w:ascii="Garamond" w:hAnsi="Garamond"/>
        </w:rPr>
        <w:t>, 2(77), p. 353-384, DOI 10.3917/risa.772.0353</w:t>
      </w:r>
    </w:p>
    <w:p w14:paraId="270BA4C7" w14:textId="77777777" w:rsidR="003C4BD4" w:rsidRDefault="001E0BBF" w:rsidP="003C4BD4">
      <w:pPr>
        <w:spacing w:before="240" w:after="240" w:line="240" w:lineRule="auto"/>
        <w:rPr>
          <w:rFonts w:ascii="Garamond" w:hAnsi="Garamond"/>
        </w:rPr>
      </w:pPr>
      <w:r w:rsidRPr="009B6D19">
        <w:rPr>
          <w:rFonts w:ascii="Garamond" w:hAnsi="Garamond"/>
        </w:rPr>
        <w:t>Banque mondiale (2010). République Démocratique du Congo : Etude sur le découpage, Rapport N° 50675- ZR, p. 1-94</w:t>
      </w:r>
    </w:p>
    <w:p w14:paraId="0D40FFE3" w14:textId="04BD24A3" w:rsidR="003C4BD4" w:rsidRPr="003C4BD4" w:rsidRDefault="002C327A" w:rsidP="003C4BD4">
      <w:pPr>
        <w:spacing w:before="240" w:after="240" w:line="240" w:lineRule="auto"/>
        <w:rPr>
          <w:rFonts w:ascii="Garamond" w:hAnsi="Garamond"/>
        </w:rPr>
      </w:pPr>
      <w:hyperlink r:id="rId16" w:history="1">
        <w:proofErr w:type="spellStart"/>
        <w:r w:rsidR="003C4BD4" w:rsidRPr="003C4BD4">
          <w:rPr>
            <w:rFonts w:ascii="Garamond" w:hAnsi="Garamond"/>
          </w:rPr>
          <w:t>Barlatier</w:t>
        </w:r>
        <w:proofErr w:type="spellEnd"/>
      </w:hyperlink>
      <w:r w:rsidR="003C4BD4" w:rsidRPr="003C4BD4">
        <w:rPr>
          <w:rFonts w:ascii="Garamond" w:hAnsi="Garamond"/>
        </w:rPr>
        <w:t xml:space="preserve"> (2018). Chapitre 7. Les études de cas in </w:t>
      </w:r>
      <w:hyperlink r:id="rId17" w:history="1">
        <w:r w:rsidR="003C4BD4" w:rsidRPr="003C4BD4">
          <w:rPr>
            <w:rFonts w:ascii="Garamond" w:hAnsi="Garamond"/>
          </w:rPr>
          <w:t>Les méthodes de recherche du DBA</w:t>
        </w:r>
      </w:hyperlink>
      <w:r w:rsidR="003C4BD4" w:rsidRPr="003C4BD4">
        <w:rPr>
          <w:rFonts w:ascii="Garamond" w:hAnsi="Garamond"/>
        </w:rPr>
        <w:t>, p.126-139</w:t>
      </w:r>
    </w:p>
    <w:p w14:paraId="36E6C969" w14:textId="77777777" w:rsidR="001E0BBF" w:rsidRDefault="001E0BBF" w:rsidP="00804868">
      <w:pPr>
        <w:spacing w:before="240" w:after="240" w:line="240" w:lineRule="auto"/>
        <w:rPr>
          <w:rFonts w:ascii="Garamond" w:hAnsi="Garamond"/>
        </w:rPr>
      </w:pPr>
      <w:r w:rsidRPr="009B6D19">
        <w:rPr>
          <w:rFonts w:ascii="Garamond" w:hAnsi="Garamond"/>
        </w:rPr>
        <w:t xml:space="preserve">Bayart, J-F. (2009). La démocratie à l'épreuve de la tradition en Afrique subsaharienne,  </w:t>
      </w:r>
      <w:r w:rsidRPr="009B6D19">
        <w:rPr>
          <w:rFonts w:ascii="Garamond" w:hAnsi="Garamond"/>
          <w:i/>
        </w:rPr>
        <w:t>Pouvoirs </w:t>
      </w:r>
      <w:r w:rsidRPr="009B6D19">
        <w:rPr>
          <w:rFonts w:ascii="Garamond" w:hAnsi="Garamond"/>
        </w:rPr>
        <w:t xml:space="preserve">; 2(129), p.27-44, </w:t>
      </w:r>
      <w:proofErr w:type="spellStart"/>
      <w:r w:rsidRPr="009B6D19">
        <w:rPr>
          <w:rFonts w:ascii="Garamond" w:hAnsi="Garamond"/>
        </w:rPr>
        <w:t>Doi</w:t>
      </w:r>
      <w:proofErr w:type="spellEnd"/>
      <w:r w:rsidRPr="009B6D19">
        <w:rPr>
          <w:rFonts w:ascii="Garamond" w:hAnsi="Garamond"/>
        </w:rPr>
        <w:t xml:space="preserve"> 10.3917/pouv.129.0027 ; </w:t>
      </w:r>
    </w:p>
    <w:p w14:paraId="4EC9864E" w14:textId="77777777" w:rsidR="001E0BBF" w:rsidRDefault="001E0BBF" w:rsidP="00804868">
      <w:pPr>
        <w:spacing w:after="0" w:line="240" w:lineRule="auto"/>
        <w:rPr>
          <w:rFonts w:ascii="Garamond" w:hAnsi="Garamond"/>
        </w:rPr>
      </w:pPr>
      <w:r w:rsidRPr="00166342">
        <w:rPr>
          <w:rFonts w:ascii="Garamond" w:hAnsi="Garamond"/>
        </w:rPr>
        <w:t xml:space="preserve">Béland, D. &amp; Lecours, A. (2021). L’Alberta, l’aliénation de l’Ouest et le programme fédéral de péréquation : identités territoriales, cadrage idéologique et inscription à l’agenda politique. </w:t>
      </w:r>
      <w:r w:rsidRPr="00166342">
        <w:rPr>
          <w:rFonts w:ascii="Garamond" w:hAnsi="Garamond"/>
          <w:i/>
        </w:rPr>
        <w:t>Politique et Sociétés</w:t>
      </w:r>
      <w:r w:rsidRPr="00166342">
        <w:rPr>
          <w:rFonts w:ascii="Garamond" w:hAnsi="Garamond"/>
        </w:rPr>
        <w:t xml:space="preserve">, 40(3), 177–196. </w:t>
      </w:r>
      <w:hyperlink r:id="rId18" w:history="1">
        <w:r w:rsidRPr="00166342">
          <w:rPr>
            <w:rFonts w:ascii="Garamond" w:hAnsi="Garamond"/>
          </w:rPr>
          <w:t>https://doi.org/10.7202/1083028ar</w:t>
        </w:r>
      </w:hyperlink>
    </w:p>
    <w:p w14:paraId="24322AEA"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Béland, D. (2002). Néo-institutionnalisme historique et politiques sociales : une perspective sociologique, </w:t>
      </w:r>
      <w:r w:rsidRPr="009B6D19">
        <w:rPr>
          <w:rFonts w:ascii="Garamond" w:hAnsi="Garamond"/>
          <w:i/>
        </w:rPr>
        <w:t>Politique et Sociétés</w:t>
      </w:r>
      <w:r w:rsidRPr="009B6D19">
        <w:rPr>
          <w:rFonts w:ascii="Garamond" w:hAnsi="Garamond"/>
        </w:rPr>
        <w:t xml:space="preserve">, 21(3), p. 21–39, </w:t>
      </w:r>
      <w:hyperlink r:id="rId19" w:history="1">
        <w:r w:rsidRPr="009B6D19">
          <w:rPr>
            <w:rStyle w:val="Hyperlink"/>
            <w:rFonts w:ascii="Garamond" w:hAnsi="Garamond"/>
          </w:rPr>
          <w:t>https://doi.org/10.7202/000495ar</w:t>
        </w:r>
      </w:hyperlink>
    </w:p>
    <w:p w14:paraId="33A51EE9"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Bellegarde, P. (2003). Institutionnalisation, implication, restitution : Théorisation d'une pratique associative, </w:t>
      </w:r>
      <w:r w:rsidRPr="009B6D19">
        <w:rPr>
          <w:rFonts w:ascii="Garamond" w:hAnsi="Garamond"/>
          <w:i/>
        </w:rPr>
        <w:t>L'Homme &amp; la Société</w:t>
      </w:r>
      <w:r w:rsidRPr="009B6D19">
        <w:rPr>
          <w:rFonts w:ascii="Garamond" w:hAnsi="Garamond"/>
        </w:rPr>
        <w:t>, 1(147), p. 95-114, DOI 10.3917/lhs.147.0095</w:t>
      </w:r>
    </w:p>
    <w:p w14:paraId="609FAA8F" w14:textId="77777777" w:rsidR="001E0BBF" w:rsidRPr="009B6D19" w:rsidRDefault="001E0BBF" w:rsidP="00804868">
      <w:pPr>
        <w:spacing w:before="240" w:after="240" w:line="240" w:lineRule="auto"/>
        <w:rPr>
          <w:rFonts w:ascii="Garamond" w:hAnsi="Garamond"/>
          <w:color w:val="000000"/>
        </w:rPr>
      </w:pPr>
      <w:proofErr w:type="spellStart"/>
      <w:r w:rsidRPr="009B6D19">
        <w:rPr>
          <w:rFonts w:ascii="Garamond" w:hAnsi="Garamond"/>
        </w:rPr>
        <w:t>Bezes</w:t>
      </w:r>
      <w:proofErr w:type="spellEnd"/>
      <w:r w:rsidRPr="009B6D19">
        <w:rPr>
          <w:rFonts w:ascii="Garamond" w:hAnsi="Garamond"/>
        </w:rPr>
        <w:t xml:space="preserve">, P. &amp;  Palier, B. (2018). Le concept de trajectoire de réformes, </w:t>
      </w:r>
      <w:r w:rsidRPr="009B6D19">
        <w:rPr>
          <w:rFonts w:ascii="Garamond" w:hAnsi="Garamond"/>
          <w:i/>
        </w:rPr>
        <w:t>Revue française de science politique</w:t>
      </w:r>
      <w:r w:rsidRPr="009B6D19">
        <w:rPr>
          <w:rFonts w:ascii="Garamond" w:hAnsi="Garamond"/>
        </w:rPr>
        <w:t>, 6(68), p. 1083-1112</w:t>
      </w:r>
    </w:p>
    <w:p w14:paraId="713C0032" w14:textId="77777777" w:rsidR="00936197" w:rsidRDefault="002C327A" w:rsidP="00936197">
      <w:pPr>
        <w:spacing w:before="240" w:after="240" w:line="240" w:lineRule="auto"/>
        <w:rPr>
          <w:rFonts w:ascii="Garamond" w:hAnsi="Garamond"/>
        </w:rPr>
      </w:pPr>
      <w:hyperlink r:id="rId20" w:history="1">
        <w:proofErr w:type="spellStart"/>
        <w:r w:rsidR="001E0BBF" w:rsidRPr="009B6D19">
          <w:rPr>
            <w:rFonts w:ascii="Garamond" w:hAnsi="Garamond"/>
          </w:rPr>
          <w:t>Billaudot</w:t>
        </w:r>
        <w:proofErr w:type="spellEnd"/>
      </w:hyperlink>
      <w:r w:rsidR="001E0BBF" w:rsidRPr="009B6D19">
        <w:rPr>
          <w:rFonts w:ascii="Garamond" w:hAnsi="Garamond"/>
        </w:rPr>
        <w:t xml:space="preserve">, B. (2009). Une vision institutionnaliste, historique et pragmatique de l'objet de la science économique, </w:t>
      </w:r>
      <w:hyperlink r:id="rId21" w:history="1">
        <w:r w:rsidR="001E0BBF" w:rsidRPr="002C5F76">
          <w:rPr>
            <w:rFonts w:ascii="Garamond" w:hAnsi="Garamond"/>
            <w:i/>
          </w:rPr>
          <w:t>L'Homme &amp; la Société</w:t>
        </w:r>
      </w:hyperlink>
      <w:r w:rsidR="001E0BBF" w:rsidRPr="009B6D19">
        <w:rPr>
          <w:rFonts w:ascii="Garamond" w:hAnsi="Garamond"/>
        </w:rPr>
        <w:t>, </w:t>
      </w:r>
      <w:hyperlink r:id="rId22" w:history="1">
        <w:r w:rsidR="001E0BBF" w:rsidRPr="009B6D19">
          <w:rPr>
            <w:rFonts w:ascii="Garamond" w:hAnsi="Garamond"/>
          </w:rPr>
          <w:t>4-1 (170-171)</w:t>
        </w:r>
      </w:hyperlink>
      <w:r w:rsidR="001E0BBF" w:rsidRPr="009B6D19">
        <w:rPr>
          <w:rFonts w:ascii="Garamond" w:hAnsi="Garamond"/>
        </w:rPr>
        <w:t>, p. 93-126 ;</w:t>
      </w:r>
    </w:p>
    <w:p w14:paraId="50EB0C9F" w14:textId="547A13C7" w:rsidR="00936197" w:rsidRPr="002C327A" w:rsidRDefault="00936197" w:rsidP="00936197">
      <w:pPr>
        <w:spacing w:before="240" w:after="240" w:line="240" w:lineRule="auto"/>
        <w:rPr>
          <w:rFonts w:ascii="Garamond" w:hAnsi="Garamond"/>
          <w:lang w:val="en-CA"/>
        </w:rPr>
      </w:pPr>
      <w:r w:rsidRPr="002C327A">
        <w:rPr>
          <w:rFonts w:ascii="Garamond" w:hAnsi="Garamond"/>
          <w:lang w:val="en-CA"/>
        </w:rPr>
        <w:t xml:space="preserve">Blatter, J. &amp; Haverland, M. (2014). Chapter 4. Case Studies and (Causal-) Process </w:t>
      </w:r>
      <w:proofErr w:type="gramStart"/>
      <w:r w:rsidRPr="002C327A">
        <w:rPr>
          <w:rFonts w:ascii="Garamond" w:hAnsi="Garamond"/>
          <w:lang w:val="en-CA"/>
        </w:rPr>
        <w:t>Tracing ,</w:t>
      </w:r>
      <w:proofErr w:type="gramEnd"/>
      <w:r w:rsidRPr="002C327A">
        <w:rPr>
          <w:rFonts w:ascii="Garamond" w:hAnsi="Garamond"/>
          <w:lang w:val="en-CA"/>
        </w:rPr>
        <w:t xml:space="preserve"> </w:t>
      </w:r>
      <w:r w:rsidRPr="002C327A">
        <w:rPr>
          <w:rFonts w:ascii="Garamond" w:hAnsi="Garamond"/>
          <w:i/>
          <w:lang w:val="en-CA"/>
        </w:rPr>
        <w:t>Comparative Policy Studies</w:t>
      </w:r>
      <w:r w:rsidRPr="002C327A">
        <w:rPr>
          <w:rFonts w:ascii="Garamond" w:hAnsi="Garamond"/>
          <w:lang w:val="en-CA"/>
        </w:rPr>
        <w:t>, p. 59-83</w:t>
      </w:r>
    </w:p>
    <w:p w14:paraId="20D95E20" w14:textId="77777777" w:rsidR="001E0BBF" w:rsidRPr="009B6D19" w:rsidRDefault="001E0BBF" w:rsidP="00804868">
      <w:pPr>
        <w:spacing w:before="240" w:after="240" w:line="240" w:lineRule="auto"/>
        <w:rPr>
          <w:rFonts w:ascii="Garamond" w:hAnsi="Garamond"/>
        </w:rPr>
      </w:pPr>
      <w:r w:rsidRPr="009B6D19">
        <w:rPr>
          <w:rFonts w:ascii="Garamond" w:hAnsi="Garamond"/>
        </w:rPr>
        <w:t>Boyer, R. (2002). L’après consensus de Washington : inst</w:t>
      </w:r>
      <w:r>
        <w:rPr>
          <w:rFonts w:ascii="Garamond" w:hAnsi="Garamond"/>
        </w:rPr>
        <w:t>itutionnaliste et systémique ?</w:t>
      </w:r>
      <w:r w:rsidRPr="009B6D19">
        <w:rPr>
          <w:rFonts w:ascii="Garamond" w:hAnsi="Garamond"/>
        </w:rPr>
        <w:t xml:space="preserve"> </w:t>
      </w:r>
      <w:r w:rsidRPr="002C5F76">
        <w:rPr>
          <w:rFonts w:ascii="Garamond" w:hAnsi="Garamond"/>
          <w:i/>
        </w:rPr>
        <w:t>l’Année de la régulation</w:t>
      </w:r>
      <w:r>
        <w:rPr>
          <w:rFonts w:ascii="Garamond" w:hAnsi="Garamond"/>
        </w:rPr>
        <w:t>,</w:t>
      </w:r>
      <w:r w:rsidRPr="009B6D19">
        <w:rPr>
          <w:rFonts w:ascii="Garamond" w:hAnsi="Garamond"/>
        </w:rPr>
        <w:t xml:space="preserve"> 5, 2001-2002, p. 11-56 ;</w:t>
      </w:r>
    </w:p>
    <w:p w14:paraId="4DFCC039"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Brière, L. (2014). De la responsabilité de la « gouvernance » à la responsabilité </w:t>
      </w:r>
      <w:proofErr w:type="spellStart"/>
      <w:r w:rsidRPr="009B6D19">
        <w:rPr>
          <w:rFonts w:ascii="Garamond" w:hAnsi="Garamond"/>
        </w:rPr>
        <w:t>écopolitique</w:t>
      </w:r>
      <w:proofErr w:type="spellEnd"/>
      <w:r w:rsidRPr="009B6D19">
        <w:rPr>
          <w:rFonts w:ascii="Garamond" w:hAnsi="Garamond"/>
        </w:rPr>
        <w:t xml:space="preserve">, in Enjeux éthiques des politiques publiques en matière d'environnement, </w:t>
      </w:r>
      <w:r w:rsidRPr="009B6D19">
        <w:rPr>
          <w:rFonts w:ascii="Garamond" w:hAnsi="Garamond"/>
          <w:i/>
        </w:rPr>
        <w:t>Ethique</w:t>
      </w:r>
      <w:r w:rsidRPr="009B6D19">
        <w:rPr>
          <w:rFonts w:ascii="Garamond" w:hAnsi="Garamond"/>
        </w:rPr>
        <w:t xml:space="preserve">, 1(16), </w:t>
      </w:r>
      <w:hyperlink r:id="rId23" w:history="1">
        <w:r w:rsidRPr="009B6D19">
          <w:rPr>
            <w:rFonts w:ascii="Garamond" w:hAnsi="Garamond"/>
          </w:rPr>
          <w:t>https://doi.org/10.4000/ethiquepublique.1384</w:t>
        </w:r>
      </w:hyperlink>
      <w:r w:rsidRPr="009B6D19">
        <w:rPr>
          <w:rFonts w:ascii="Garamond" w:hAnsi="Garamond"/>
        </w:rPr>
        <w:t>;</w:t>
      </w:r>
    </w:p>
    <w:p w14:paraId="7467394C" w14:textId="77777777" w:rsidR="001E0BBF" w:rsidRDefault="001E0BBF" w:rsidP="00804868">
      <w:pPr>
        <w:spacing w:before="240" w:after="240" w:line="240" w:lineRule="auto"/>
        <w:rPr>
          <w:rFonts w:ascii="Garamond" w:hAnsi="Garamond"/>
        </w:rPr>
      </w:pPr>
      <w:r w:rsidRPr="009B6D19">
        <w:rPr>
          <w:rFonts w:ascii="Garamond" w:hAnsi="Garamond"/>
        </w:rPr>
        <w:lastRenderedPageBreak/>
        <w:t xml:space="preserve">Bruneau, J-C. (2009). Les nouvelles provinces de la République Démocratique du Congo : construction territoriale et ethnicités, in L’État en Afrique, </w:t>
      </w:r>
      <w:r w:rsidRPr="002C5F76">
        <w:rPr>
          <w:rFonts w:ascii="Garamond" w:hAnsi="Garamond"/>
          <w:i/>
        </w:rPr>
        <w:t>Revue en ligne de géographie politique et de géopolitique</w:t>
      </w:r>
      <w:r w:rsidRPr="009B6D19">
        <w:rPr>
          <w:rFonts w:ascii="Garamond" w:hAnsi="Garamond"/>
        </w:rPr>
        <w:t xml:space="preserve">, 1(7), p. </w:t>
      </w:r>
      <w:hyperlink r:id="rId24" w:history="1">
        <w:r w:rsidRPr="009B6D19">
          <w:rPr>
            <w:rFonts w:ascii="Garamond" w:hAnsi="Garamond"/>
          </w:rPr>
          <w:t>https://doi.org/10.4000/espacepolitique.1296</w:t>
        </w:r>
      </w:hyperlink>
    </w:p>
    <w:p w14:paraId="33702E96" w14:textId="03F58E1D" w:rsidR="001E0BBF" w:rsidRDefault="001E0BBF" w:rsidP="005A52BC">
      <w:pPr>
        <w:spacing w:after="0" w:line="240" w:lineRule="auto"/>
        <w:rPr>
          <w:rFonts w:ascii="Garamond" w:hAnsi="Garamond"/>
        </w:rPr>
      </w:pPr>
      <w:r w:rsidRPr="00502022">
        <w:rPr>
          <w:rFonts w:ascii="Garamond" w:hAnsi="Garamond"/>
        </w:rPr>
        <w:t>Burlone, N. &amp; Giroux, D</w:t>
      </w:r>
      <w:r>
        <w:rPr>
          <w:rFonts w:ascii="Garamond" w:hAnsi="Garamond"/>
        </w:rPr>
        <w:t>. (2005). Débat et délibération,</w:t>
      </w:r>
      <w:r w:rsidRPr="00502022">
        <w:rPr>
          <w:rFonts w:ascii="Garamond" w:hAnsi="Garamond"/>
        </w:rPr>
        <w:t xml:space="preserve"> </w:t>
      </w:r>
      <w:r w:rsidRPr="00502022">
        <w:rPr>
          <w:rFonts w:ascii="Garamond" w:hAnsi="Garamond"/>
          <w:i/>
        </w:rPr>
        <w:t>Revue Gouvernance</w:t>
      </w:r>
      <w:r w:rsidRPr="00502022">
        <w:rPr>
          <w:rFonts w:ascii="Garamond" w:hAnsi="Garamond"/>
        </w:rPr>
        <w:t xml:space="preserve">, 2(2). </w:t>
      </w:r>
      <w:proofErr w:type="gramStart"/>
      <w:r w:rsidRPr="00502022">
        <w:rPr>
          <w:rFonts w:ascii="Garamond" w:hAnsi="Garamond"/>
        </w:rPr>
        <w:t>doi:</w:t>
      </w:r>
      <w:proofErr w:type="gramEnd"/>
      <w:r w:rsidRPr="00502022">
        <w:rPr>
          <w:rFonts w:ascii="Garamond" w:hAnsi="Garamond"/>
        </w:rPr>
        <w:t>10.7202/1039132ar</w:t>
      </w:r>
    </w:p>
    <w:p w14:paraId="71B7FA5E" w14:textId="77777777" w:rsidR="001E0BBF" w:rsidRPr="009B6D19" w:rsidRDefault="001E0BBF" w:rsidP="00804868">
      <w:pPr>
        <w:spacing w:before="240" w:after="240" w:line="240" w:lineRule="auto"/>
        <w:rPr>
          <w:rFonts w:ascii="Garamond" w:hAnsi="Garamond"/>
        </w:rPr>
      </w:pPr>
      <w:r w:rsidRPr="009B6D19">
        <w:rPr>
          <w:rFonts w:ascii="Garamond" w:hAnsi="Garamond"/>
        </w:rPr>
        <w:t>CABRI(2017). État des lieux actuel de la transparence des finances publiques et de la participation en République Démocratique du Congo : État d’avancement et priorités de réforme, p. 1-57 ;</w:t>
      </w:r>
    </w:p>
    <w:p w14:paraId="3A0CEC19"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lang w:val="es-ES"/>
        </w:rPr>
        <w:t>Caldeira</w:t>
      </w:r>
      <w:proofErr w:type="spellEnd"/>
      <w:r w:rsidRPr="009B6D19">
        <w:rPr>
          <w:rFonts w:ascii="Garamond" w:hAnsi="Garamond"/>
          <w:lang w:val="es-ES"/>
        </w:rPr>
        <w:t>, E. &amp; Rota-</w:t>
      </w:r>
      <w:proofErr w:type="spellStart"/>
      <w:r w:rsidRPr="009B6D19">
        <w:rPr>
          <w:rFonts w:ascii="Garamond" w:hAnsi="Garamond"/>
          <w:lang w:val="es-ES"/>
        </w:rPr>
        <w:t>Graziosi</w:t>
      </w:r>
      <w:proofErr w:type="spellEnd"/>
      <w:r w:rsidRPr="009B6D19">
        <w:rPr>
          <w:rFonts w:ascii="Garamond" w:hAnsi="Garamond"/>
          <w:lang w:val="es-ES"/>
        </w:rPr>
        <w:t>, G. (2014).</w:t>
      </w:r>
      <w:r>
        <w:rPr>
          <w:rFonts w:ascii="Garamond" w:hAnsi="Garamond"/>
          <w:lang w:val="es-ES"/>
        </w:rPr>
        <w:t xml:space="preserve"> </w:t>
      </w:r>
      <w:r w:rsidRPr="00313A02">
        <w:rPr>
          <w:rFonts w:ascii="Garamond" w:hAnsi="Garamond"/>
          <w:lang w:val="fr-CA"/>
        </w:rPr>
        <w:t>La décentralisation dans les</w:t>
      </w:r>
      <w:r>
        <w:t xml:space="preserve"> p</w:t>
      </w:r>
      <w:r w:rsidRPr="009B6D19">
        <w:rPr>
          <w:rFonts w:ascii="Garamond" w:hAnsi="Garamond"/>
        </w:rPr>
        <w:t>ays en développement:</w:t>
      </w:r>
      <w:r>
        <w:rPr>
          <w:rFonts w:ascii="Garamond" w:hAnsi="Garamond"/>
        </w:rPr>
        <w:t xml:space="preserve"> une revue de la littérature,</w:t>
      </w:r>
      <w:r w:rsidRPr="009B6D19">
        <w:rPr>
          <w:rFonts w:ascii="Garamond" w:hAnsi="Garamond"/>
        </w:rPr>
        <w:t xml:space="preserve"> </w:t>
      </w:r>
      <w:r w:rsidRPr="00666BBB">
        <w:rPr>
          <w:rFonts w:ascii="Garamond" w:hAnsi="Garamond"/>
          <w:i/>
        </w:rPr>
        <w:t>Revue d'économie du développement</w:t>
      </w:r>
      <w:r w:rsidRPr="009B6D19">
        <w:rPr>
          <w:rFonts w:ascii="Garamond" w:hAnsi="Garamond"/>
        </w:rPr>
        <w:t>, 4(22), p. 5-37, DOI: 10.3917/edd.284.0005 ;</w:t>
      </w:r>
    </w:p>
    <w:p w14:paraId="1CCA4FFA"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Carassus</w:t>
      </w:r>
      <w:proofErr w:type="spellEnd"/>
      <w:r w:rsidRPr="009B6D19">
        <w:rPr>
          <w:rFonts w:ascii="Garamond" w:hAnsi="Garamond"/>
        </w:rPr>
        <w:t xml:space="preserve">, D. &amp; Morin, P. (2014). Modes de gestion des services publics, in Nicolas </w:t>
      </w:r>
      <w:proofErr w:type="spellStart"/>
      <w:r w:rsidRPr="009B6D19">
        <w:rPr>
          <w:rFonts w:ascii="Garamond" w:hAnsi="Garamond"/>
        </w:rPr>
        <w:t>Kada</w:t>
      </w:r>
      <w:proofErr w:type="spellEnd"/>
      <w:r w:rsidRPr="009B6D19">
        <w:rPr>
          <w:rFonts w:ascii="Garamond" w:hAnsi="Garamond"/>
        </w:rPr>
        <w:t xml:space="preserve"> </w:t>
      </w:r>
      <w:hyperlink r:id="rId25" w:history="1">
        <w:r w:rsidRPr="009B6D19">
          <w:rPr>
            <w:rFonts w:ascii="Garamond" w:hAnsi="Garamond"/>
          </w:rPr>
          <w:t>Dictionnaire d'administration publique</w:t>
        </w:r>
      </w:hyperlink>
      <w:r w:rsidRPr="009B6D19">
        <w:rPr>
          <w:rFonts w:ascii="Garamond" w:hAnsi="Garamond"/>
        </w:rPr>
        <w:t xml:space="preserve"> </w:t>
      </w:r>
      <w:hyperlink r:id="rId26" w:history="1">
        <w:r w:rsidRPr="009B6D19">
          <w:rPr>
            <w:rFonts w:ascii="Garamond" w:hAnsi="Garamond"/>
          </w:rPr>
          <w:t>(2014)</w:t>
        </w:r>
      </w:hyperlink>
      <w:r w:rsidRPr="009B6D19">
        <w:rPr>
          <w:rFonts w:ascii="Garamond" w:hAnsi="Garamond"/>
        </w:rPr>
        <w:t xml:space="preserve">, </w:t>
      </w:r>
      <w:r w:rsidRPr="009B6D19">
        <w:rPr>
          <w:rFonts w:ascii="Garamond" w:hAnsi="Garamond"/>
          <w:i/>
        </w:rPr>
        <w:t>Presses universitaires de Grenoble</w:t>
      </w:r>
      <w:r w:rsidRPr="009B6D19">
        <w:rPr>
          <w:rFonts w:ascii="Garamond" w:hAnsi="Garamond"/>
        </w:rPr>
        <w:t>, p. 330-332 ;</w:t>
      </w:r>
    </w:p>
    <w:p w14:paraId="186AFBF2"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Champagne (2012). Chap.1. L’organisation et les structures gouvernementales dans le contexte canadien : Fédéralisme, centralisation et décentralisation, in L'administration contemporaine de l'État: une perspective canadienne et québécoise, </w:t>
      </w:r>
      <w:r w:rsidRPr="009B6D19">
        <w:rPr>
          <w:rFonts w:ascii="Garamond" w:hAnsi="Garamond"/>
          <w:i/>
        </w:rPr>
        <w:t>Presses de l'Université du Québec</w:t>
      </w:r>
      <w:r w:rsidRPr="009B6D19">
        <w:rPr>
          <w:rFonts w:ascii="Garamond" w:hAnsi="Garamond"/>
        </w:rPr>
        <w:t>, p. 19-40.</w:t>
      </w:r>
    </w:p>
    <w:p w14:paraId="5B502963" w14:textId="77777777" w:rsidR="001E0BBF" w:rsidRPr="009B6D19" w:rsidRDefault="001E0BBF" w:rsidP="00804868">
      <w:pPr>
        <w:spacing w:before="240" w:after="240" w:line="240" w:lineRule="auto"/>
        <w:rPr>
          <w:rFonts w:ascii="Garamond" w:hAnsi="Garamond"/>
          <w:lang w:val="en-CA"/>
        </w:rPr>
      </w:pPr>
      <w:r w:rsidRPr="009B6D19">
        <w:rPr>
          <w:rFonts w:ascii="Garamond" w:hAnsi="Garamond"/>
        </w:rPr>
        <w:t xml:space="preserve">Champagne, E. &amp; </w:t>
      </w:r>
      <w:r>
        <w:rPr>
          <w:rFonts w:ascii="Garamond" w:hAnsi="Garamond"/>
        </w:rPr>
        <w:t xml:space="preserve">M.O. </w:t>
      </w:r>
      <w:proofErr w:type="spellStart"/>
      <w:r>
        <w:rPr>
          <w:rFonts w:ascii="Garamond" w:hAnsi="Garamond"/>
        </w:rPr>
        <w:t>Ouedraogo</w:t>
      </w:r>
      <w:proofErr w:type="spellEnd"/>
      <w:r>
        <w:rPr>
          <w:rFonts w:ascii="Garamond" w:hAnsi="Garamond"/>
        </w:rPr>
        <w:t xml:space="preserve"> (2010</w:t>
      </w:r>
      <w:r w:rsidRPr="009B6D19">
        <w:rPr>
          <w:rFonts w:ascii="Garamond" w:hAnsi="Garamond"/>
        </w:rPr>
        <w:t xml:space="preserve">). </w:t>
      </w:r>
      <w:r w:rsidRPr="009B6D19">
        <w:rPr>
          <w:rFonts w:ascii="Garamond" w:hAnsi="Garamond"/>
          <w:lang w:val="en-CA"/>
        </w:rPr>
        <w:t>Ch 9 </w:t>
      </w:r>
      <w:hyperlink r:id="rId27" w:history="1">
        <w:r w:rsidRPr="009B6D19">
          <w:rPr>
            <w:rFonts w:ascii="Garamond" w:hAnsi="Garamond"/>
            <w:lang w:val="en-CA"/>
          </w:rPr>
          <w:t>Decentralization in Burkina Faso: The Slow March Towards Devolution</w:t>
        </w:r>
      </w:hyperlink>
      <w:r>
        <w:rPr>
          <w:rFonts w:ascii="Garamond" w:hAnsi="Garamond"/>
          <w:lang w:val="en-CA"/>
        </w:rPr>
        <w:t xml:space="preserve">, </w:t>
      </w:r>
      <w:r w:rsidRPr="009B6D19">
        <w:rPr>
          <w:rFonts w:ascii="Garamond" w:hAnsi="Garamond"/>
          <w:lang w:val="en-CA"/>
        </w:rPr>
        <w:t>in</w:t>
      </w:r>
      <w:r>
        <w:rPr>
          <w:rFonts w:ascii="Garamond" w:hAnsi="Garamond"/>
          <w:lang w:val="en-CA"/>
        </w:rPr>
        <w:t xml:space="preserve"> Decentralization in developing countries, </w:t>
      </w:r>
      <w:r w:rsidRPr="009B6D19">
        <w:rPr>
          <w:rFonts w:ascii="Garamond" w:hAnsi="Garamond"/>
          <w:lang w:val="en-CA"/>
        </w:rPr>
        <w:t xml:space="preserve">p. 303-326, </w:t>
      </w:r>
      <w:hyperlink r:id="rId28" w:history="1">
        <w:r w:rsidRPr="009B6D19">
          <w:rPr>
            <w:rStyle w:val="Hyperlink"/>
            <w:rFonts w:ascii="Garamond" w:hAnsi="Garamond"/>
            <w:lang w:val="en-CA"/>
          </w:rPr>
          <w:t>https://doi.org/10.4337/9781781000878.00014</w:t>
        </w:r>
      </w:hyperlink>
    </w:p>
    <w:p w14:paraId="2D5096D4" w14:textId="77777777" w:rsidR="001E0BBF" w:rsidRDefault="001E0BBF" w:rsidP="001E0BBF">
      <w:pPr>
        <w:spacing w:before="240" w:after="240" w:line="240" w:lineRule="auto"/>
        <w:rPr>
          <w:rFonts w:ascii="Garamond" w:hAnsi="Garamond"/>
          <w:lang w:val="en-CA"/>
        </w:rPr>
      </w:pPr>
      <w:r w:rsidRPr="001E0BBF">
        <w:rPr>
          <w:rFonts w:ascii="Garamond" w:hAnsi="Garamond"/>
          <w:lang w:val="en-CA"/>
        </w:rPr>
        <w:t>Cléro, J-P. (2011) « Foucault et l’Utilitarisme », </w:t>
      </w:r>
      <w:r w:rsidRPr="001E0BBF">
        <w:rPr>
          <w:rFonts w:ascii="Garamond" w:hAnsi="Garamond"/>
          <w:i/>
          <w:iCs/>
          <w:lang w:val="en-CA"/>
        </w:rPr>
        <w:t xml:space="preserve">Revue d’études benthamiennes, 8, </w:t>
      </w:r>
      <w:proofErr w:type="gramStart"/>
      <w:r w:rsidRPr="001E0BBF">
        <w:rPr>
          <w:rFonts w:ascii="Garamond" w:hAnsi="Garamond"/>
          <w:lang w:val="en-CA"/>
        </w:rPr>
        <w:t>DOI :</w:t>
      </w:r>
      <w:proofErr w:type="gramEnd"/>
      <w:r w:rsidRPr="001E0BBF">
        <w:rPr>
          <w:rFonts w:ascii="Garamond" w:hAnsi="Garamond"/>
          <w:lang w:val="en-CA"/>
        </w:rPr>
        <w:t xml:space="preserve"> </w:t>
      </w:r>
      <w:hyperlink r:id="rId29" w:history="1">
        <w:r w:rsidRPr="001E0BBF">
          <w:rPr>
            <w:rFonts w:ascii="Garamond" w:hAnsi="Garamond"/>
            <w:lang w:val="en-CA"/>
          </w:rPr>
          <w:t>https://doi.org/10.4000/etudes-benthamiennes.242</w:t>
        </w:r>
      </w:hyperlink>
    </w:p>
    <w:p w14:paraId="5A256DDA" w14:textId="687E91D4" w:rsidR="006F3AB9" w:rsidRPr="00757417" w:rsidRDefault="006F3AB9" w:rsidP="001E0BBF">
      <w:pPr>
        <w:spacing w:before="240" w:after="240" w:line="240" w:lineRule="auto"/>
        <w:rPr>
          <w:rFonts w:ascii="Garamond" w:hAnsi="Garamond"/>
          <w:lang w:val="en-CA"/>
        </w:rPr>
      </w:pPr>
      <w:r w:rsidRPr="002C327A">
        <w:rPr>
          <w:rFonts w:ascii="Garamond" w:hAnsi="Garamond"/>
          <w:lang w:val="fr-CA"/>
        </w:rPr>
        <w:t xml:space="preserve">Cellule Technique d’Appui à la Décentralisation en RD Congo. </w:t>
      </w:r>
      <w:r>
        <w:rPr>
          <w:rFonts w:ascii="Garamond" w:hAnsi="Garamond"/>
          <w:lang w:val="en-CA"/>
        </w:rPr>
        <w:t xml:space="preserve">(2013). La decentralisation </w:t>
      </w:r>
      <w:proofErr w:type="spellStart"/>
      <w:r>
        <w:rPr>
          <w:rFonts w:ascii="Garamond" w:hAnsi="Garamond"/>
          <w:lang w:val="en-CA"/>
        </w:rPr>
        <w:t>en</w:t>
      </w:r>
      <w:proofErr w:type="spellEnd"/>
      <w:r>
        <w:rPr>
          <w:rFonts w:ascii="Garamond" w:hAnsi="Garamond"/>
          <w:lang w:val="en-CA"/>
        </w:rPr>
        <w:t xml:space="preserve"> </w:t>
      </w:r>
      <w:proofErr w:type="spellStart"/>
      <w:r>
        <w:rPr>
          <w:rFonts w:ascii="Garamond" w:hAnsi="Garamond"/>
          <w:lang w:val="en-CA"/>
        </w:rPr>
        <w:t>bref</w:t>
      </w:r>
      <w:proofErr w:type="spellEnd"/>
      <w:r>
        <w:rPr>
          <w:rFonts w:ascii="Garamond" w:hAnsi="Garamond"/>
          <w:lang w:val="en-CA"/>
        </w:rPr>
        <w:t xml:space="preserve">, </w:t>
      </w:r>
      <w:r w:rsidRPr="006F3AB9">
        <w:rPr>
          <w:rFonts w:ascii="Garamond" w:hAnsi="Garamond"/>
          <w:i/>
          <w:lang w:val="en-CA"/>
        </w:rPr>
        <w:t xml:space="preserve">Cellule d’appui </w:t>
      </w:r>
      <w:proofErr w:type="spellStart"/>
      <w:r w:rsidRPr="006F3AB9">
        <w:rPr>
          <w:rFonts w:ascii="Garamond" w:hAnsi="Garamond"/>
          <w:i/>
          <w:lang w:val="en-CA"/>
        </w:rPr>
        <w:t>politologique</w:t>
      </w:r>
      <w:proofErr w:type="spellEnd"/>
      <w:r w:rsidRPr="006F3AB9">
        <w:rPr>
          <w:rFonts w:ascii="Garamond" w:hAnsi="Garamond"/>
          <w:i/>
          <w:lang w:val="en-CA"/>
        </w:rPr>
        <w:t xml:space="preserve"> Afrique-</w:t>
      </w:r>
      <w:proofErr w:type="spellStart"/>
      <w:r w:rsidRPr="006F3AB9">
        <w:rPr>
          <w:rFonts w:ascii="Garamond" w:hAnsi="Garamond"/>
          <w:i/>
          <w:lang w:val="en-CA"/>
        </w:rPr>
        <w:t>Caraïbes</w:t>
      </w:r>
      <w:proofErr w:type="spellEnd"/>
      <w:r>
        <w:rPr>
          <w:rFonts w:ascii="Garamond" w:hAnsi="Garamond"/>
          <w:i/>
          <w:lang w:val="en-CA"/>
        </w:rPr>
        <w:t xml:space="preserve">, </w:t>
      </w:r>
      <w:r w:rsidR="00757417" w:rsidRPr="00757417">
        <w:rPr>
          <w:rFonts w:ascii="Garamond" w:hAnsi="Garamond"/>
          <w:lang w:val="en-CA"/>
        </w:rPr>
        <w:t>p. 1-142</w:t>
      </w:r>
    </w:p>
    <w:p w14:paraId="07B71105"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COUR DES COMPTES RDC (2018). Rapports publics exercices 2010 à 2014 et 2015, </w:t>
      </w:r>
      <w:r w:rsidRPr="00666BBB">
        <w:rPr>
          <w:rFonts w:ascii="Garamond" w:hAnsi="Garamond"/>
          <w:i/>
        </w:rPr>
        <w:t>Journal officiel</w:t>
      </w:r>
      <w:r w:rsidRPr="009B6D19">
        <w:rPr>
          <w:rFonts w:ascii="Garamond" w:hAnsi="Garamond"/>
        </w:rPr>
        <w:t>, p. 1-174</w:t>
      </w:r>
    </w:p>
    <w:p w14:paraId="1514A3AB" w14:textId="77777777" w:rsidR="001E0BBF" w:rsidRPr="009B6D19" w:rsidRDefault="001E0BBF" w:rsidP="00804868">
      <w:pPr>
        <w:spacing w:before="240" w:after="240" w:line="240" w:lineRule="auto"/>
        <w:rPr>
          <w:rFonts w:ascii="Garamond" w:hAnsi="Garamond"/>
        </w:rPr>
      </w:pPr>
      <w:r w:rsidRPr="009B6D19">
        <w:rPr>
          <w:rFonts w:ascii="Garamond" w:hAnsi="Garamond"/>
        </w:rPr>
        <w:t>COUR DES COMPTES RDC (2020).</w:t>
      </w:r>
      <w:r>
        <w:rPr>
          <w:rFonts w:ascii="Garamond" w:hAnsi="Garamond"/>
        </w:rPr>
        <w:t xml:space="preserve"> </w:t>
      </w:r>
      <w:r w:rsidRPr="009B6D19">
        <w:rPr>
          <w:rFonts w:ascii="Garamond" w:hAnsi="Garamond"/>
        </w:rPr>
        <w:t>Rapport général sur le contrôle de l’exécution de l’édit n°004/2018 du 31/12/2018 portant</w:t>
      </w:r>
      <w:r>
        <w:rPr>
          <w:rFonts w:ascii="Garamond" w:hAnsi="Garamond"/>
        </w:rPr>
        <w:t xml:space="preserve"> </w:t>
      </w:r>
      <w:r w:rsidRPr="009B6D19">
        <w:rPr>
          <w:rFonts w:ascii="Garamond" w:hAnsi="Garamond"/>
        </w:rPr>
        <w:t>budget de la ville de Kinshasa</w:t>
      </w:r>
      <w:r>
        <w:rPr>
          <w:rFonts w:ascii="Garamond" w:hAnsi="Garamond"/>
        </w:rPr>
        <w:t xml:space="preserve"> </w:t>
      </w:r>
      <w:r w:rsidRPr="009B6D19">
        <w:rPr>
          <w:rFonts w:ascii="Garamond" w:hAnsi="Garamond"/>
        </w:rPr>
        <w:t>en vue de la reddition des comptes pour l’exercice</w:t>
      </w:r>
      <w:r>
        <w:rPr>
          <w:rFonts w:ascii="Garamond" w:hAnsi="Garamond"/>
        </w:rPr>
        <w:t xml:space="preserve"> </w:t>
      </w:r>
      <w:r w:rsidRPr="009B6D19">
        <w:rPr>
          <w:rFonts w:ascii="Garamond" w:hAnsi="Garamond"/>
        </w:rPr>
        <w:t>2019, p.1-42 ;</w:t>
      </w:r>
    </w:p>
    <w:p w14:paraId="53D78919" w14:textId="77777777" w:rsidR="001E0BBF" w:rsidRPr="009B6D19" w:rsidRDefault="001E0BBF" w:rsidP="00804868">
      <w:pPr>
        <w:spacing w:before="240" w:after="240" w:line="240" w:lineRule="auto"/>
        <w:rPr>
          <w:rFonts w:ascii="Garamond" w:hAnsi="Garamond"/>
        </w:rPr>
      </w:pPr>
      <w:r w:rsidRPr="009B6D19">
        <w:rPr>
          <w:rFonts w:ascii="Garamond" w:hAnsi="Garamond"/>
        </w:rPr>
        <w:t>COUR DES COMPTES RDC (2021). Rapport public 2018 ; Inédit, p. 1-61</w:t>
      </w:r>
    </w:p>
    <w:p w14:paraId="0EB363D8" w14:textId="77777777" w:rsidR="001E0BBF" w:rsidRPr="009B6D19" w:rsidRDefault="001E0BBF" w:rsidP="00804868">
      <w:pPr>
        <w:spacing w:before="240" w:after="240" w:line="240" w:lineRule="auto"/>
        <w:rPr>
          <w:rFonts w:ascii="Garamond" w:hAnsi="Garamond"/>
          <w:lang w:eastAsia="fr-FR"/>
        </w:rPr>
      </w:pPr>
      <w:proofErr w:type="spellStart"/>
      <w:r w:rsidRPr="009B6D19">
        <w:rPr>
          <w:rFonts w:ascii="Garamond" w:hAnsi="Garamond"/>
          <w:lang w:eastAsia="fr-FR"/>
        </w:rPr>
        <w:t>Dafflon</w:t>
      </w:r>
      <w:proofErr w:type="spellEnd"/>
      <w:r w:rsidRPr="009B6D19">
        <w:rPr>
          <w:rFonts w:ascii="Garamond" w:hAnsi="Garamond"/>
          <w:lang w:eastAsia="fr-FR"/>
        </w:rPr>
        <w:t xml:space="preserve"> (2011). 1. Décentralisations institutionnelle et budgétaire : proposition d’une grille de lecture, dans </w:t>
      </w:r>
      <w:proofErr w:type="spellStart"/>
      <w:r w:rsidRPr="009B6D19">
        <w:rPr>
          <w:rFonts w:ascii="Garamond" w:hAnsi="Garamond"/>
          <w:lang w:eastAsia="fr-FR"/>
        </w:rPr>
        <w:t>Dafflon</w:t>
      </w:r>
      <w:proofErr w:type="spellEnd"/>
      <w:r w:rsidRPr="009B6D19">
        <w:rPr>
          <w:rFonts w:ascii="Garamond" w:hAnsi="Garamond"/>
          <w:lang w:eastAsia="fr-FR"/>
        </w:rPr>
        <w:t xml:space="preserve">, B. &amp;  </w:t>
      </w:r>
      <w:proofErr w:type="spellStart"/>
      <w:r w:rsidRPr="009B6D19">
        <w:rPr>
          <w:rFonts w:ascii="Garamond" w:hAnsi="Garamond"/>
          <w:lang w:eastAsia="fr-FR"/>
        </w:rPr>
        <w:t>Madiès</w:t>
      </w:r>
      <w:proofErr w:type="spellEnd"/>
      <w:r w:rsidRPr="009B6D19">
        <w:rPr>
          <w:rFonts w:ascii="Garamond" w:hAnsi="Garamond"/>
          <w:lang w:eastAsia="fr-FR"/>
        </w:rPr>
        <w:t xml:space="preserve">, T. (2011), L’économie politique de la décentralisation dans quatre pays d’Afrique subsaharienne Burkina Faso, Sénégal, Ghana et Kenya, </w:t>
      </w:r>
      <w:r w:rsidRPr="009B6D19">
        <w:rPr>
          <w:rFonts w:ascii="Garamond" w:hAnsi="Garamond"/>
          <w:i/>
          <w:lang w:eastAsia="fr-FR"/>
        </w:rPr>
        <w:t>Agence France de Développement</w:t>
      </w:r>
      <w:r w:rsidRPr="009B6D19">
        <w:rPr>
          <w:rFonts w:ascii="Garamond" w:hAnsi="Garamond"/>
          <w:lang w:eastAsia="fr-FR"/>
        </w:rPr>
        <w:t>, p. 21-58 ;</w:t>
      </w:r>
    </w:p>
    <w:p w14:paraId="130A0E31" w14:textId="77777777" w:rsidR="001E0BBF" w:rsidRPr="002C327A" w:rsidRDefault="001E0BBF" w:rsidP="001E0BBF">
      <w:pPr>
        <w:spacing w:after="0" w:line="240" w:lineRule="auto"/>
        <w:rPr>
          <w:lang w:val="fr-CA"/>
        </w:rPr>
      </w:pPr>
      <w:r w:rsidRPr="002C327A">
        <w:rPr>
          <w:rFonts w:ascii="Garamond" w:hAnsi="Garamond"/>
          <w:lang w:val="fr-CA"/>
        </w:rPr>
        <w:t xml:space="preserve">Dale, A. (1993). Le rôle de l'analyse secondaire dans la recherche en sciences sociales, Sociétés contemporaines, 14-15, p. 7-21; doi : </w:t>
      </w:r>
      <w:hyperlink r:id="rId30" w:history="1">
        <w:r w:rsidRPr="002C327A">
          <w:rPr>
            <w:rFonts w:ascii="Garamond" w:hAnsi="Garamond"/>
            <w:lang w:val="fr-CA"/>
          </w:rPr>
          <w:t>https://doi.org/10.3406/socco.1993.1124</w:t>
        </w:r>
      </w:hyperlink>
      <w:r w:rsidRPr="002C327A">
        <w:rPr>
          <w:rFonts w:ascii="Garamond" w:hAnsi="Garamond"/>
          <w:lang w:val="fr-CA"/>
        </w:rPr>
        <w:t>.</w:t>
      </w:r>
    </w:p>
    <w:p w14:paraId="03CF3489"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Décary</w:t>
      </w:r>
      <w:proofErr w:type="spellEnd"/>
      <w:r>
        <w:rPr>
          <w:rFonts w:ascii="Garamond" w:hAnsi="Garamond"/>
        </w:rPr>
        <w:t xml:space="preserve">-Secours, B. (2007). </w:t>
      </w:r>
      <w:r w:rsidRPr="009B6D19">
        <w:rPr>
          <w:rFonts w:ascii="Garamond" w:hAnsi="Garamond"/>
        </w:rPr>
        <w:t xml:space="preserve">La contre-démocratie de Pierre Rosanvallon, Paris, </w:t>
      </w:r>
      <w:r w:rsidRPr="001C7FA4">
        <w:rPr>
          <w:rFonts w:ascii="Garamond" w:hAnsi="Garamond"/>
          <w:i/>
        </w:rPr>
        <w:t>Éditions du Seuil</w:t>
      </w:r>
      <w:r w:rsidRPr="009B6D19">
        <w:rPr>
          <w:rFonts w:ascii="Garamond" w:hAnsi="Garamond"/>
        </w:rPr>
        <w:t xml:space="preserve">, </w:t>
      </w:r>
      <w:r>
        <w:rPr>
          <w:rFonts w:ascii="Garamond" w:hAnsi="Garamond"/>
        </w:rPr>
        <w:t xml:space="preserve">p. </w:t>
      </w:r>
      <w:r w:rsidRPr="009B6D19">
        <w:rPr>
          <w:rFonts w:ascii="Garamond" w:hAnsi="Garamond"/>
        </w:rPr>
        <w:t>345</w:t>
      </w:r>
    </w:p>
    <w:p w14:paraId="35EA0994" w14:textId="77777777" w:rsidR="00B72A65" w:rsidRDefault="002C327A" w:rsidP="00B72A65">
      <w:pPr>
        <w:spacing w:before="240" w:after="240" w:line="240" w:lineRule="auto"/>
        <w:rPr>
          <w:rFonts w:ascii="Garamond" w:hAnsi="Garamond"/>
        </w:rPr>
      </w:pPr>
      <w:hyperlink r:id="rId31" w:history="1">
        <w:proofErr w:type="spellStart"/>
        <w:r w:rsidR="001E0BBF" w:rsidRPr="009B6D19">
          <w:rPr>
            <w:rFonts w:ascii="Garamond" w:hAnsi="Garamond"/>
          </w:rPr>
          <w:t>Delpeuch</w:t>
        </w:r>
        <w:proofErr w:type="spellEnd"/>
      </w:hyperlink>
      <w:r w:rsidR="001E0BBF" w:rsidRPr="009B6D19">
        <w:rPr>
          <w:rFonts w:ascii="Garamond" w:hAnsi="Garamond"/>
        </w:rPr>
        <w:t>, T. &amp; </w:t>
      </w:r>
      <w:proofErr w:type="spellStart"/>
      <w:r w:rsidR="001E0BBF">
        <w:fldChar w:fldCharType="begin"/>
      </w:r>
      <w:r w:rsidR="001E0BBF">
        <w:instrText xml:space="preserve"> HYPERLINK "https://www.cairn.info/publications-de-C%C3%A9cile-Vigour--24296.htm" </w:instrText>
      </w:r>
      <w:r w:rsidR="001E0BBF">
        <w:fldChar w:fldCharType="separate"/>
      </w:r>
      <w:r w:rsidR="001E0BBF" w:rsidRPr="009B6D19">
        <w:rPr>
          <w:rFonts w:ascii="Garamond" w:hAnsi="Garamond"/>
        </w:rPr>
        <w:t>Vigour</w:t>
      </w:r>
      <w:proofErr w:type="spellEnd"/>
      <w:r w:rsidR="001E0BBF">
        <w:rPr>
          <w:rFonts w:ascii="Garamond" w:hAnsi="Garamond"/>
        </w:rPr>
        <w:fldChar w:fldCharType="end"/>
      </w:r>
      <w:r w:rsidR="001E0BBF" w:rsidRPr="009B6D19">
        <w:rPr>
          <w:rFonts w:ascii="Garamond" w:hAnsi="Garamond"/>
        </w:rPr>
        <w:t xml:space="preserve">, C. (2014). Création et changement institutionnels, </w:t>
      </w:r>
      <w:hyperlink r:id="rId32" w:history="1">
        <w:r w:rsidR="001E0BBF" w:rsidRPr="009B6D19">
          <w:rPr>
            <w:rFonts w:ascii="Garamond" w:hAnsi="Garamond"/>
          </w:rPr>
          <w:t>Dictionnaire des politiques publiques</w:t>
        </w:r>
      </w:hyperlink>
      <w:r w:rsidR="001E0BBF" w:rsidRPr="009B6D19">
        <w:rPr>
          <w:rFonts w:ascii="Garamond" w:hAnsi="Garamond"/>
        </w:rPr>
        <w:t xml:space="preserve">, </w:t>
      </w:r>
      <w:r w:rsidR="001E0BBF" w:rsidRPr="001C7FA4">
        <w:rPr>
          <w:rFonts w:ascii="Garamond" w:hAnsi="Garamond"/>
          <w:i/>
        </w:rPr>
        <w:t>Presses de Sciences Po</w:t>
      </w:r>
      <w:r w:rsidR="001E0BBF">
        <w:rPr>
          <w:rFonts w:ascii="Garamond" w:hAnsi="Garamond"/>
        </w:rPr>
        <w:t xml:space="preserve">, </w:t>
      </w:r>
      <w:r w:rsidR="001E0BBF" w:rsidRPr="009B6D19">
        <w:rPr>
          <w:rFonts w:ascii="Garamond" w:hAnsi="Garamond"/>
        </w:rPr>
        <w:t>p. 188-196 ;</w:t>
      </w:r>
    </w:p>
    <w:p w14:paraId="2382C7F4" w14:textId="6E7E3586" w:rsidR="00B72A65" w:rsidRPr="00B72A65" w:rsidRDefault="00B72A65" w:rsidP="00B72A65">
      <w:pPr>
        <w:spacing w:before="240" w:after="240" w:line="240" w:lineRule="auto"/>
        <w:rPr>
          <w:rFonts w:ascii="Garamond" w:hAnsi="Garamond"/>
        </w:rPr>
      </w:pPr>
      <w:proofErr w:type="spellStart"/>
      <w:r w:rsidRPr="00AE6643">
        <w:rPr>
          <w:rFonts w:ascii="Garamond" w:hAnsi="Garamond" w:cs="Times New Roman"/>
          <w:color w:val="000000"/>
        </w:rPr>
        <w:t>Devas</w:t>
      </w:r>
      <w:proofErr w:type="spellEnd"/>
      <w:r w:rsidRPr="00AE6643">
        <w:rPr>
          <w:rFonts w:ascii="Garamond" w:hAnsi="Garamond" w:cs="Times New Roman"/>
          <w:color w:val="000000"/>
        </w:rPr>
        <w:t xml:space="preserve">, N., &amp; Grant, U. (2003). Local </w:t>
      </w:r>
      <w:proofErr w:type="spellStart"/>
      <w:r w:rsidRPr="00AE6643">
        <w:rPr>
          <w:rFonts w:ascii="Garamond" w:hAnsi="Garamond" w:cs="Times New Roman"/>
          <w:color w:val="000000"/>
        </w:rPr>
        <w:t>government</w:t>
      </w:r>
      <w:proofErr w:type="spellEnd"/>
      <w:r w:rsidRPr="00AE6643">
        <w:rPr>
          <w:rFonts w:ascii="Garamond" w:hAnsi="Garamond" w:cs="Times New Roman"/>
          <w:color w:val="000000"/>
        </w:rPr>
        <w:t xml:space="preserve"> </w:t>
      </w:r>
      <w:proofErr w:type="spellStart"/>
      <w:r w:rsidRPr="00AE6643">
        <w:rPr>
          <w:rFonts w:ascii="Garamond" w:hAnsi="Garamond" w:cs="Times New Roman"/>
          <w:color w:val="000000"/>
        </w:rPr>
        <w:t>decision</w:t>
      </w:r>
      <w:r w:rsidRPr="00AE6643">
        <w:rPr>
          <w:rFonts w:ascii="Times New Roman" w:hAnsi="Times New Roman" w:cs="Times New Roman"/>
          <w:color w:val="000000"/>
        </w:rPr>
        <w:t>‐</w:t>
      </w:r>
      <w:r w:rsidRPr="00AE6643">
        <w:rPr>
          <w:rFonts w:ascii="Garamond" w:hAnsi="Garamond" w:cs="Times New Roman"/>
          <w:color w:val="000000"/>
        </w:rPr>
        <w:t>making</w:t>
      </w:r>
      <w:proofErr w:type="spellEnd"/>
      <w:r w:rsidRPr="00AE6643">
        <w:rPr>
          <w:rFonts w:ascii="Garamond" w:hAnsi="Garamond" w:cs="Garamond"/>
          <w:color w:val="000000"/>
        </w:rPr>
        <w:t>—</w:t>
      </w:r>
      <w:proofErr w:type="spellStart"/>
      <w:r w:rsidRPr="00AE6643">
        <w:rPr>
          <w:rFonts w:ascii="Garamond" w:hAnsi="Garamond" w:cs="Times New Roman"/>
          <w:color w:val="000000"/>
        </w:rPr>
        <w:t>citizen</w:t>
      </w:r>
      <w:proofErr w:type="spellEnd"/>
      <w:r w:rsidRPr="00AE6643">
        <w:rPr>
          <w:rFonts w:ascii="Garamond" w:hAnsi="Garamond" w:cs="Times New Roman"/>
          <w:color w:val="000000"/>
        </w:rPr>
        <w:t xml:space="preserve"> participation and local </w:t>
      </w:r>
      <w:proofErr w:type="spellStart"/>
      <w:r w:rsidRPr="00AE6643">
        <w:rPr>
          <w:rFonts w:ascii="Garamond" w:hAnsi="Garamond" w:cs="Times New Roman"/>
          <w:color w:val="000000"/>
        </w:rPr>
        <w:t>accountability</w:t>
      </w:r>
      <w:proofErr w:type="spellEnd"/>
      <w:r w:rsidRPr="00AE6643">
        <w:rPr>
          <w:rFonts w:ascii="Garamond" w:hAnsi="Garamond" w:cs="Times New Roman"/>
          <w:color w:val="000000"/>
        </w:rPr>
        <w:t xml:space="preserve">: </w:t>
      </w:r>
      <w:proofErr w:type="spellStart"/>
      <w:r w:rsidRPr="00AE6643">
        <w:rPr>
          <w:rFonts w:ascii="Garamond" w:hAnsi="Garamond" w:cs="Times New Roman"/>
          <w:color w:val="000000"/>
        </w:rPr>
        <w:t>Some</w:t>
      </w:r>
      <w:proofErr w:type="spellEnd"/>
      <w:r w:rsidRPr="00AE6643">
        <w:rPr>
          <w:rFonts w:ascii="Garamond" w:hAnsi="Garamond" w:cs="Times New Roman"/>
          <w:color w:val="000000"/>
        </w:rPr>
        <w:t xml:space="preserve"> </w:t>
      </w:r>
      <w:proofErr w:type="spellStart"/>
      <w:r w:rsidRPr="00AE6643">
        <w:rPr>
          <w:rFonts w:ascii="Garamond" w:hAnsi="Garamond" w:cs="Times New Roman"/>
          <w:color w:val="000000"/>
        </w:rPr>
        <w:t>evidence</w:t>
      </w:r>
      <w:proofErr w:type="spellEnd"/>
      <w:r w:rsidRPr="00AE6643">
        <w:rPr>
          <w:rFonts w:ascii="Garamond" w:hAnsi="Garamond" w:cs="Times New Roman"/>
          <w:color w:val="000000"/>
        </w:rPr>
        <w:t xml:space="preserve"> </w:t>
      </w:r>
      <w:proofErr w:type="spellStart"/>
      <w:r w:rsidRPr="00AE6643">
        <w:rPr>
          <w:rFonts w:ascii="Garamond" w:hAnsi="Garamond" w:cs="Times New Roman"/>
          <w:color w:val="000000"/>
        </w:rPr>
        <w:t>from</w:t>
      </w:r>
      <w:proofErr w:type="spellEnd"/>
      <w:r w:rsidRPr="00AE6643">
        <w:rPr>
          <w:rFonts w:ascii="Garamond" w:hAnsi="Garamond" w:cs="Times New Roman"/>
          <w:color w:val="000000"/>
        </w:rPr>
        <w:t xml:space="preserve"> Kenya and Uganda. </w:t>
      </w:r>
      <w:r w:rsidRPr="00B72A65">
        <w:rPr>
          <w:rFonts w:ascii="Garamond" w:hAnsi="Garamond" w:cs="Times New Roman"/>
          <w:i/>
          <w:color w:val="000000"/>
        </w:rPr>
        <w:t xml:space="preserve">Public Administration and </w:t>
      </w:r>
      <w:proofErr w:type="spellStart"/>
      <w:r w:rsidRPr="00B72A65">
        <w:rPr>
          <w:rFonts w:ascii="Garamond" w:hAnsi="Garamond" w:cs="Times New Roman"/>
          <w:i/>
          <w:color w:val="000000"/>
        </w:rPr>
        <w:t>Development</w:t>
      </w:r>
      <w:proofErr w:type="spellEnd"/>
      <w:r w:rsidRPr="00AE6643">
        <w:rPr>
          <w:rFonts w:ascii="Garamond" w:hAnsi="Garamond" w:cs="Times New Roman"/>
          <w:color w:val="000000"/>
        </w:rPr>
        <w:t>, 23(4), 307-316.</w:t>
      </w:r>
    </w:p>
    <w:p w14:paraId="2AB06686"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Di </w:t>
      </w:r>
      <w:proofErr w:type="spellStart"/>
      <w:r w:rsidRPr="009B6D19">
        <w:rPr>
          <w:rFonts w:ascii="Garamond" w:hAnsi="Garamond"/>
        </w:rPr>
        <w:t>Maggio</w:t>
      </w:r>
      <w:proofErr w:type="spellEnd"/>
      <w:r w:rsidRPr="009B6D19">
        <w:rPr>
          <w:rFonts w:ascii="Garamond" w:hAnsi="Garamond"/>
        </w:rPr>
        <w:t xml:space="preserve"> P.J. &amp; Walter, P. W. (1997). Le néo-institutionnalisme dans l'analyse des organisations,</w:t>
      </w:r>
      <w:r w:rsidRPr="009B6D19">
        <w:rPr>
          <w:rFonts w:ascii="Garamond" w:hAnsi="Garamond" w:cs="ArialMT"/>
        </w:rPr>
        <w:t xml:space="preserve"> </w:t>
      </w:r>
      <w:proofErr w:type="spellStart"/>
      <w:r w:rsidRPr="009B6D19">
        <w:rPr>
          <w:rFonts w:ascii="Garamond" w:hAnsi="Garamond" w:cs="ArialMT"/>
          <w:i/>
        </w:rPr>
        <w:t>Politix</w:t>
      </w:r>
      <w:proofErr w:type="spellEnd"/>
      <w:r w:rsidRPr="009B6D19">
        <w:rPr>
          <w:rFonts w:ascii="Garamond" w:hAnsi="Garamond" w:cs="ArialMT"/>
        </w:rPr>
        <w:t xml:space="preserve">, </w:t>
      </w:r>
      <w:r w:rsidRPr="009B6D19">
        <w:rPr>
          <w:rFonts w:ascii="Garamond" w:hAnsi="Garamond"/>
        </w:rPr>
        <w:t xml:space="preserve">10(40), p. 113-154, </w:t>
      </w:r>
      <w:proofErr w:type="spellStart"/>
      <w:r w:rsidRPr="009B6D19">
        <w:rPr>
          <w:rFonts w:ascii="Garamond" w:hAnsi="Garamond"/>
        </w:rPr>
        <w:t>Doi</w:t>
      </w:r>
      <w:proofErr w:type="spellEnd"/>
      <w:r w:rsidRPr="009B6D19">
        <w:rPr>
          <w:rFonts w:ascii="Garamond" w:hAnsi="Garamond" w:cs="Arial"/>
        </w:rPr>
        <w:t xml:space="preserve"> : </w:t>
      </w:r>
      <w:hyperlink r:id="rId33" w:history="1">
        <w:r w:rsidRPr="009B6D19">
          <w:rPr>
            <w:rStyle w:val="Hyperlink"/>
            <w:rFonts w:ascii="Garamond" w:hAnsi="Garamond" w:cs="Arial"/>
          </w:rPr>
          <w:t>https://doi.org/10.3406/polix.1997.1703</w:t>
        </w:r>
      </w:hyperlink>
    </w:p>
    <w:p w14:paraId="4C59DE19" w14:textId="77777777" w:rsidR="001E0BBF" w:rsidRPr="009B6D19" w:rsidRDefault="001E0BBF" w:rsidP="00804868">
      <w:pPr>
        <w:spacing w:before="240" w:after="240" w:line="240" w:lineRule="auto"/>
        <w:rPr>
          <w:rFonts w:ascii="Garamond" w:hAnsi="Garamond"/>
        </w:rPr>
      </w:pPr>
      <w:r w:rsidRPr="009B6D19">
        <w:rPr>
          <w:rFonts w:ascii="Garamond" w:hAnsi="Garamond"/>
        </w:rPr>
        <w:t>Direction de l’Évaluation de la Politique et des Opérations (IOB), Ministère des Affaires étrangères, La Haye, et Service de l’Évaluation Spéciale de la Coopération internationale (SES), Service Public Fédéral Affaires étrangères, Commerce extérieur et Coopération au Développement (2012). Table rase – et après ? Evaluation de l’allègement de la dette</w:t>
      </w:r>
      <w:r>
        <w:rPr>
          <w:rFonts w:ascii="Garamond" w:hAnsi="Garamond"/>
        </w:rPr>
        <w:t xml:space="preserve"> </w:t>
      </w:r>
      <w:r w:rsidRPr="009B6D19">
        <w:rPr>
          <w:rFonts w:ascii="Garamond" w:hAnsi="Garamond"/>
        </w:rPr>
        <w:t>en République démocratique du Congo</w:t>
      </w:r>
      <w:r>
        <w:rPr>
          <w:rFonts w:ascii="Garamond" w:hAnsi="Garamond"/>
        </w:rPr>
        <w:t xml:space="preserve"> </w:t>
      </w:r>
      <w:r w:rsidRPr="009B6D19">
        <w:rPr>
          <w:rFonts w:ascii="Garamond" w:hAnsi="Garamond"/>
        </w:rPr>
        <w:t>2003-2010, p. 1-224 ;</w:t>
      </w:r>
    </w:p>
    <w:p w14:paraId="2EAA407F" w14:textId="59CC86A3" w:rsidR="001E0BBF" w:rsidRDefault="006E536A" w:rsidP="003E748F">
      <w:pPr>
        <w:spacing w:after="0" w:line="240" w:lineRule="auto"/>
        <w:rPr>
          <w:rFonts w:ascii="Garamond" w:hAnsi="Garamond"/>
          <w:lang w:val="en-CA"/>
        </w:rPr>
      </w:pPr>
      <w:proofErr w:type="spellStart"/>
      <w:r>
        <w:rPr>
          <w:rFonts w:ascii="Garamond" w:hAnsi="Garamond"/>
          <w:lang w:val="en-CA"/>
        </w:rPr>
        <w:t>Divay</w:t>
      </w:r>
      <w:proofErr w:type="spellEnd"/>
      <w:r>
        <w:rPr>
          <w:rFonts w:ascii="Garamond" w:hAnsi="Garamond"/>
          <w:lang w:val="en-CA"/>
        </w:rPr>
        <w:t xml:space="preserve">, </w:t>
      </w:r>
      <w:proofErr w:type="gramStart"/>
      <w:r>
        <w:rPr>
          <w:rFonts w:ascii="Garamond" w:hAnsi="Garamond"/>
          <w:lang w:val="en-CA"/>
        </w:rPr>
        <w:t>G.</w:t>
      </w:r>
      <w:r w:rsidR="001E0BBF" w:rsidRPr="001E0BBF">
        <w:rPr>
          <w:rFonts w:ascii="Garamond" w:hAnsi="Garamond"/>
          <w:lang w:val="en-CA"/>
        </w:rPr>
        <w:t>(</w:t>
      </w:r>
      <w:proofErr w:type="gramEnd"/>
      <w:r w:rsidR="001E0BBF" w:rsidRPr="001E0BBF">
        <w:rPr>
          <w:rFonts w:ascii="Garamond" w:hAnsi="Garamond"/>
          <w:lang w:val="en-CA"/>
        </w:rPr>
        <w:t xml:space="preserve">2012). Déconcentration, in L. Côté et J.-F. Savard (dir.), Le Dictionnaire encyclopédique de </w:t>
      </w:r>
      <w:proofErr w:type="spellStart"/>
      <w:r w:rsidR="001E0BBF" w:rsidRPr="001E0BBF">
        <w:rPr>
          <w:rFonts w:ascii="Garamond" w:hAnsi="Garamond"/>
          <w:lang w:val="en-CA"/>
        </w:rPr>
        <w:t>l’administration</w:t>
      </w:r>
      <w:proofErr w:type="spellEnd"/>
      <w:r w:rsidR="001E0BBF" w:rsidRPr="001E0BBF">
        <w:rPr>
          <w:rFonts w:ascii="Garamond" w:hAnsi="Garamond"/>
          <w:lang w:val="en-CA"/>
        </w:rPr>
        <w:t xml:space="preserve"> </w:t>
      </w:r>
      <w:proofErr w:type="spellStart"/>
      <w:r w:rsidR="001E0BBF" w:rsidRPr="001E0BBF">
        <w:rPr>
          <w:rFonts w:ascii="Garamond" w:hAnsi="Garamond"/>
          <w:lang w:val="en-CA"/>
        </w:rPr>
        <w:t>publique</w:t>
      </w:r>
      <w:proofErr w:type="spellEnd"/>
      <w:r w:rsidR="001E0BBF" w:rsidRPr="001E0BBF">
        <w:rPr>
          <w:rFonts w:ascii="Garamond" w:hAnsi="Garamond"/>
          <w:lang w:val="en-CA"/>
        </w:rPr>
        <w:t>, [</w:t>
      </w:r>
      <w:proofErr w:type="spellStart"/>
      <w:r w:rsidR="001E0BBF" w:rsidRPr="001E0BBF">
        <w:rPr>
          <w:rFonts w:ascii="Garamond" w:hAnsi="Garamond"/>
          <w:lang w:val="en-CA"/>
        </w:rPr>
        <w:t>en</w:t>
      </w:r>
      <w:proofErr w:type="spellEnd"/>
      <w:r w:rsidR="001E0BBF" w:rsidRPr="001E0BBF">
        <w:rPr>
          <w:rFonts w:ascii="Garamond" w:hAnsi="Garamond"/>
          <w:lang w:val="en-CA"/>
        </w:rPr>
        <w:t xml:space="preserve"> </w:t>
      </w:r>
      <w:proofErr w:type="spellStart"/>
      <w:r w:rsidR="001E0BBF" w:rsidRPr="001E0BBF">
        <w:rPr>
          <w:rFonts w:ascii="Garamond" w:hAnsi="Garamond"/>
          <w:lang w:val="en-CA"/>
        </w:rPr>
        <w:t>ligne</w:t>
      </w:r>
      <w:proofErr w:type="spellEnd"/>
      <w:r w:rsidR="001E0BBF" w:rsidRPr="001E0BBF">
        <w:rPr>
          <w:rFonts w:ascii="Garamond" w:hAnsi="Garamond"/>
          <w:lang w:val="en-CA"/>
        </w:rPr>
        <w:t xml:space="preserve">], </w:t>
      </w:r>
      <w:hyperlink r:id="rId34" w:history="1">
        <w:r w:rsidR="001E0BBF" w:rsidRPr="001E0BBF">
          <w:rPr>
            <w:rFonts w:ascii="Garamond" w:hAnsi="Garamond"/>
            <w:lang w:val="en-CA"/>
          </w:rPr>
          <w:t>www.dictionnaire.enap.ca</w:t>
        </w:r>
      </w:hyperlink>
    </w:p>
    <w:p w14:paraId="33021237" w14:textId="77777777" w:rsidR="00C0337F" w:rsidRDefault="001E0BBF" w:rsidP="00804868">
      <w:pPr>
        <w:spacing w:before="240" w:after="240" w:line="240" w:lineRule="auto"/>
        <w:rPr>
          <w:rFonts w:ascii="Garamond" w:hAnsi="Garamond"/>
        </w:rPr>
      </w:pPr>
      <w:r w:rsidRPr="009B6D19">
        <w:rPr>
          <w:rFonts w:ascii="Garamond" w:hAnsi="Garamond"/>
        </w:rPr>
        <w:t xml:space="preserve">Dubet, F. (2002). Le déclin de l’institution, in L’épreuve des faits, </w:t>
      </w:r>
      <w:r w:rsidRPr="009B6D19">
        <w:rPr>
          <w:rFonts w:ascii="Garamond" w:hAnsi="Garamond"/>
          <w:i/>
        </w:rPr>
        <w:t>Seuil</w:t>
      </w:r>
      <w:r w:rsidRPr="009B6D19">
        <w:rPr>
          <w:rFonts w:ascii="Garamond" w:hAnsi="Garamond"/>
        </w:rPr>
        <w:t xml:space="preserve">, p. </w:t>
      </w:r>
      <w:r>
        <w:rPr>
          <w:rFonts w:ascii="Garamond" w:hAnsi="Garamond"/>
        </w:rPr>
        <w:t>22</w:t>
      </w:r>
    </w:p>
    <w:p w14:paraId="4836F486" w14:textId="71819514" w:rsidR="00C0337F" w:rsidRDefault="00C0337F" w:rsidP="00804868">
      <w:pPr>
        <w:spacing w:before="240" w:after="240" w:line="240" w:lineRule="auto"/>
        <w:rPr>
          <w:rFonts w:ascii="Garamond" w:hAnsi="Garamond"/>
        </w:rPr>
      </w:pPr>
      <w:proofErr w:type="spellStart"/>
      <w:r w:rsidRPr="00C0337F">
        <w:rPr>
          <w:rFonts w:ascii="Garamond" w:hAnsi="Garamond"/>
        </w:rPr>
        <w:t>Dubresson</w:t>
      </w:r>
      <w:proofErr w:type="spellEnd"/>
      <w:r w:rsidRPr="00C0337F">
        <w:rPr>
          <w:rFonts w:ascii="Garamond" w:hAnsi="Garamond"/>
        </w:rPr>
        <w:t>, A. &amp; Fauré, Y. (2005). Décentralisation et développement local : un lien à repenser. </w:t>
      </w:r>
      <w:r w:rsidRPr="003B3F70">
        <w:rPr>
          <w:rFonts w:ascii="Garamond" w:hAnsi="Garamond"/>
          <w:i/>
        </w:rPr>
        <w:t>Revue Tiers Monde</w:t>
      </w:r>
      <w:r w:rsidRPr="00C0337F">
        <w:rPr>
          <w:rFonts w:ascii="Garamond" w:hAnsi="Garamond"/>
        </w:rPr>
        <w:t>, 181, 7-20. </w:t>
      </w:r>
      <w:hyperlink r:id="rId35" w:history="1">
        <w:r w:rsidRPr="00C0337F">
          <w:rPr>
            <w:rFonts w:ascii="Garamond" w:hAnsi="Garamond"/>
          </w:rPr>
          <w:t>https://doi.org/10.3917/rtm.181.0007</w:t>
        </w:r>
      </w:hyperlink>
    </w:p>
    <w:p w14:paraId="43CEDFE0" w14:textId="77777777" w:rsidR="001E0BBF" w:rsidRPr="00CD52C1" w:rsidRDefault="001E0BBF" w:rsidP="001E0BBF">
      <w:pPr>
        <w:spacing w:before="240" w:after="240" w:line="240" w:lineRule="auto"/>
        <w:rPr>
          <w:rFonts w:ascii="Garamond" w:hAnsi="Garamond"/>
        </w:rPr>
      </w:pPr>
      <w:r w:rsidRPr="00CD52C1">
        <w:rPr>
          <w:rFonts w:ascii="Garamond" w:hAnsi="Garamond"/>
        </w:rPr>
        <w:t xml:space="preserve">Dupuy, C. &amp; Halpern, C. (2009). Les politiques publiques face à leurs protestataires, </w:t>
      </w:r>
      <w:hyperlink r:id="rId36" w:history="1">
        <w:r w:rsidRPr="00277B74">
          <w:rPr>
            <w:rFonts w:ascii="Garamond" w:hAnsi="Garamond"/>
            <w:i/>
          </w:rPr>
          <w:t>Revue française de science politique</w:t>
        </w:r>
      </w:hyperlink>
      <w:r w:rsidRPr="00CD52C1">
        <w:rPr>
          <w:rFonts w:ascii="Garamond" w:hAnsi="Garamond"/>
        </w:rPr>
        <w:t>, 4(59), 701-722</w:t>
      </w:r>
    </w:p>
    <w:p w14:paraId="726F6A77" w14:textId="3D2181E5" w:rsidR="001E0BBF" w:rsidRPr="002C327A" w:rsidRDefault="001E0BBF" w:rsidP="001E0BBF">
      <w:pPr>
        <w:spacing w:after="0" w:line="240" w:lineRule="auto"/>
        <w:rPr>
          <w:rFonts w:ascii="Garamond" w:hAnsi="Garamond"/>
          <w:lang w:val="fr-CA"/>
        </w:rPr>
      </w:pPr>
      <w:r w:rsidRPr="002C327A">
        <w:rPr>
          <w:rFonts w:ascii="Garamond" w:hAnsi="Garamond"/>
          <w:lang w:val="fr-CA"/>
        </w:rPr>
        <w:t xml:space="preserve">Duran, P. (2009). Légitimité, droit et action publique, </w:t>
      </w:r>
      <w:r w:rsidRPr="002C327A">
        <w:rPr>
          <w:rFonts w:ascii="Garamond" w:hAnsi="Garamond"/>
          <w:i/>
          <w:lang w:val="fr-CA"/>
        </w:rPr>
        <w:t>L'Année sociologique</w:t>
      </w:r>
      <w:r w:rsidRPr="002C327A">
        <w:rPr>
          <w:rFonts w:ascii="Garamond" w:hAnsi="Garamond"/>
          <w:lang w:val="fr-CA"/>
        </w:rPr>
        <w:t>,</w:t>
      </w:r>
      <w:r w:rsidR="00D534BA" w:rsidRPr="002C327A">
        <w:rPr>
          <w:rFonts w:ascii="Garamond" w:hAnsi="Garamond"/>
          <w:lang w:val="fr-CA"/>
        </w:rPr>
        <w:t xml:space="preserve"> </w:t>
      </w:r>
      <w:r w:rsidRPr="002C327A">
        <w:rPr>
          <w:rFonts w:ascii="Garamond" w:hAnsi="Garamond"/>
          <w:lang w:val="fr-CA"/>
        </w:rPr>
        <w:t>2 (59), p.303-344, DOI10.3917/anso.092.0303</w:t>
      </w:r>
    </w:p>
    <w:p w14:paraId="227BD0E7" w14:textId="01DFE8CB" w:rsidR="00D534BA" w:rsidRDefault="00D534BA" w:rsidP="00D534BA">
      <w:pPr>
        <w:spacing w:before="240" w:after="240" w:line="240" w:lineRule="auto"/>
        <w:rPr>
          <w:rFonts w:ascii="Garamond" w:hAnsi="Garamond"/>
        </w:rPr>
      </w:pPr>
      <w:r w:rsidRPr="00D336F6">
        <w:rPr>
          <w:rFonts w:ascii="Garamond" w:hAnsi="Garamond"/>
        </w:rPr>
        <w:t>Duran, P. (2013). La responsabilité administrative au prisme de l'action publique. </w:t>
      </w:r>
      <w:r w:rsidRPr="00D336F6">
        <w:rPr>
          <w:rFonts w:ascii="Garamond" w:hAnsi="Garamond"/>
          <w:i/>
        </w:rPr>
        <w:t>Revue française d'administration publique</w:t>
      </w:r>
      <w:r w:rsidRPr="00D336F6">
        <w:rPr>
          <w:rFonts w:ascii="Garamond" w:hAnsi="Garamond"/>
        </w:rPr>
        <w:t>, 147, 589-602. </w:t>
      </w:r>
      <w:hyperlink r:id="rId37" w:history="1">
        <w:r w:rsidRPr="00D336F6">
          <w:rPr>
            <w:rFonts w:ascii="Garamond" w:hAnsi="Garamond"/>
          </w:rPr>
          <w:t>https://doi.org/10.3917/rfap.147.0589</w:t>
        </w:r>
      </w:hyperlink>
    </w:p>
    <w:p w14:paraId="62321244" w14:textId="5D17C459" w:rsidR="006E536A" w:rsidRDefault="006E536A" w:rsidP="00804868">
      <w:pPr>
        <w:spacing w:before="240" w:after="240" w:line="240" w:lineRule="auto"/>
        <w:rPr>
          <w:rFonts w:ascii="Garamond" w:hAnsi="Garamond"/>
        </w:rPr>
      </w:pPr>
      <w:proofErr w:type="spellStart"/>
      <w:r w:rsidRPr="007A0635">
        <w:rPr>
          <w:rFonts w:ascii="Garamond" w:hAnsi="Garamond"/>
        </w:rPr>
        <w:t>Eraly</w:t>
      </w:r>
      <w:proofErr w:type="spellEnd"/>
      <w:r w:rsidRPr="007A0635">
        <w:rPr>
          <w:rFonts w:ascii="Garamond" w:hAnsi="Garamond"/>
        </w:rPr>
        <w:t xml:space="preserve">, A. &amp; </w:t>
      </w:r>
      <w:proofErr w:type="spellStart"/>
      <w:r w:rsidRPr="007A0635">
        <w:rPr>
          <w:rFonts w:ascii="Garamond" w:hAnsi="Garamond"/>
        </w:rPr>
        <w:t>Hindriks</w:t>
      </w:r>
      <w:proofErr w:type="spellEnd"/>
      <w:r w:rsidRPr="007A0635">
        <w:rPr>
          <w:rFonts w:ascii="Garamond" w:hAnsi="Garamond"/>
        </w:rPr>
        <w:t>,</w:t>
      </w:r>
      <w:r>
        <w:rPr>
          <w:rFonts w:ascii="Garamond" w:hAnsi="Garamond"/>
        </w:rPr>
        <w:t xml:space="preserve"> </w:t>
      </w:r>
      <w:r w:rsidRPr="007A0635">
        <w:rPr>
          <w:rFonts w:ascii="Garamond" w:hAnsi="Garamond"/>
        </w:rPr>
        <w:t xml:space="preserve">J. (2007). Le principe de responsabilité dans la gestion publique », </w:t>
      </w:r>
      <w:r w:rsidRPr="007A0635">
        <w:rPr>
          <w:rFonts w:ascii="Garamond" w:hAnsi="Garamond"/>
          <w:i/>
        </w:rPr>
        <w:t>Reflets et perspectives de la vie économique</w:t>
      </w:r>
      <w:r w:rsidRPr="007A0635">
        <w:rPr>
          <w:rFonts w:ascii="Garamond" w:hAnsi="Garamond"/>
        </w:rPr>
        <w:t>, 1(XLVI), p. 193-208. DOI : 10.3917/rpve.461.0193</w:t>
      </w:r>
    </w:p>
    <w:p w14:paraId="66E2B089" w14:textId="35F397EA" w:rsidR="001E0BBF" w:rsidRPr="006E536A" w:rsidRDefault="001E0BBF" w:rsidP="00804868">
      <w:pPr>
        <w:spacing w:before="240" w:after="240" w:line="240" w:lineRule="auto"/>
        <w:rPr>
          <w:rFonts w:ascii="Garamond" w:hAnsi="Garamond"/>
        </w:rPr>
      </w:pPr>
      <w:r>
        <w:rPr>
          <w:rFonts w:ascii="Garamond" w:hAnsi="Garamond"/>
          <w:lang w:val="en-CA"/>
        </w:rPr>
        <w:t xml:space="preserve">Englebert, P. &amp; </w:t>
      </w:r>
      <w:proofErr w:type="spellStart"/>
      <w:r w:rsidRPr="009B6D19">
        <w:rPr>
          <w:rFonts w:ascii="Garamond" w:hAnsi="Garamond"/>
          <w:lang w:val="en-CA"/>
        </w:rPr>
        <w:t>Kasongo</w:t>
      </w:r>
      <w:proofErr w:type="spellEnd"/>
      <w:r w:rsidRPr="009B6D19">
        <w:rPr>
          <w:rFonts w:ascii="Garamond" w:hAnsi="Garamond"/>
          <w:lang w:val="en-CA"/>
        </w:rPr>
        <w:t xml:space="preserve">, </w:t>
      </w:r>
      <w:proofErr w:type="gramStart"/>
      <w:r w:rsidRPr="009B6D19">
        <w:rPr>
          <w:rFonts w:ascii="Garamond" w:hAnsi="Garamond"/>
          <w:lang w:val="en-CA"/>
        </w:rPr>
        <w:t>M.E.(</w:t>
      </w:r>
      <w:proofErr w:type="gramEnd"/>
      <w:r w:rsidRPr="009B6D19">
        <w:rPr>
          <w:rFonts w:ascii="Garamond" w:hAnsi="Garamond"/>
          <w:lang w:val="en-CA"/>
        </w:rPr>
        <w:t xml:space="preserve">2016). Misguided and Misdiagnosed: The Failure of Decentralization Reforms in the DR Congo, </w:t>
      </w:r>
      <w:r w:rsidRPr="00A25A6E">
        <w:rPr>
          <w:rFonts w:ascii="Garamond" w:hAnsi="Garamond"/>
          <w:i/>
          <w:lang w:val="en-CA"/>
        </w:rPr>
        <w:t>African Studies Association</w:t>
      </w:r>
      <w:r w:rsidRPr="009B6D19">
        <w:rPr>
          <w:rFonts w:ascii="Garamond" w:hAnsi="Garamond"/>
          <w:lang w:val="en-CA"/>
        </w:rPr>
        <w:t>, p. 5-32; Doi:10.1017/asr.2016.5</w:t>
      </w:r>
    </w:p>
    <w:p w14:paraId="397C7B4E" w14:textId="77777777" w:rsidR="00F20593" w:rsidRDefault="002C327A" w:rsidP="00F20593">
      <w:pPr>
        <w:spacing w:before="240" w:after="240" w:line="240" w:lineRule="auto"/>
        <w:rPr>
          <w:rFonts w:ascii="Garamond" w:hAnsi="Garamond"/>
        </w:rPr>
      </w:pPr>
      <w:hyperlink r:id="rId38" w:history="1">
        <w:r w:rsidR="001E0BBF" w:rsidRPr="009B6D19">
          <w:rPr>
            <w:rFonts w:ascii="Garamond" w:hAnsi="Garamond"/>
          </w:rPr>
          <w:t>Englebert</w:t>
        </w:r>
      </w:hyperlink>
      <w:r w:rsidR="001E0BBF" w:rsidRPr="009B6D19">
        <w:rPr>
          <w:rFonts w:ascii="Garamond" w:hAnsi="Garamond"/>
        </w:rPr>
        <w:t xml:space="preserve">, P. (2012). Incertitude, autonomie et parasitisme : les entités territoriales décentralisées et l'État en République démocratique du Congo, </w:t>
      </w:r>
      <w:hyperlink r:id="rId39" w:history="1">
        <w:r w:rsidR="001E0BBF" w:rsidRPr="005D5825">
          <w:rPr>
            <w:rFonts w:ascii="Garamond" w:hAnsi="Garamond"/>
            <w:i/>
          </w:rPr>
          <w:t>Politique africaine</w:t>
        </w:r>
      </w:hyperlink>
      <w:r w:rsidR="001E0BBF" w:rsidRPr="009B6D19">
        <w:rPr>
          <w:rFonts w:ascii="Garamond" w:hAnsi="Garamond"/>
        </w:rPr>
        <w:t>, </w:t>
      </w:r>
      <w:hyperlink r:id="rId40" w:history="1">
        <w:r w:rsidR="001E0BBF" w:rsidRPr="009B6D19">
          <w:rPr>
            <w:rFonts w:ascii="Garamond" w:hAnsi="Garamond"/>
          </w:rPr>
          <w:t>1(125)</w:t>
        </w:r>
      </w:hyperlink>
      <w:r w:rsidR="001E0BBF" w:rsidRPr="009B6D19">
        <w:rPr>
          <w:rFonts w:ascii="Garamond" w:hAnsi="Garamond"/>
        </w:rPr>
        <w:t>, p. 169-188 ;</w:t>
      </w:r>
    </w:p>
    <w:p w14:paraId="1083F920" w14:textId="77932863" w:rsidR="00F20593" w:rsidRPr="00F20593" w:rsidRDefault="00F20593" w:rsidP="00F20593">
      <w:pPr>
        <w:spacing w:before="240" w:after="240" w:line="240" w:lineRule="auto"/>
        <w:rPr>
          <w:rFonts w:ascii="Garamond" w:hAnsi="Garamond"/>
        </w:rPr>
      </w:pPr>
      <w:r w:rsidRPr="001E7C71">
        <w:rPr>
          <w:rFonts w:ascii="Garamond" w:hAnsi="Garamond" w:cs="Times New Roman"/>
          <w:color w:val="000000"/>
        </w:rPr>
        <w:t>Escobar-</w:t>
      </w:r>
      <w:proofErr w:type="spellStart"/>
      <w:r w:rsidRPr="001E7C71">
        <w:rPr>
          <w:rFonts w:ascii="Garamond" w:hAnsi="Garamond" w:cs="Times New Roman"/>
          <w:color w:val="000000"/>
        </w:rPr>
        <w:t>Lemmon</w:t>
      </w:r>
      <w:proofErr w:type="spellEnd"/>
      <w:r w:rsidRPr="001E7C71">
        <w:rPr>
          <w:rFonts w:ascii="Garamond" w:hAnsi="Garamond" w:cs="Times New Roman"/>
          <w:color w:val="000000"/>
        </w:rPr>
        <w:t xml:space="preserve">, M &amp; D. Ross, A. (2014). </w:t>
      </w:r>
      <w:proofErr w:type="spellStart"/>
      <w:r w:rsidRPr="001E7C71">
        <w:rPr>
          <w:rFonts w:ascii="Garamond" w:hAnsi="Garamond" w:cs="Times New Roman"/>
          <w:color w:val="000000"/>
        </w:rPr>
        <w:t>Does</w:t>
      </w:r>
      <w:proofErr w:type="spellEnd"/>
      <w:r w:rsidRPr="001E7C71">
        <w:rPr>
          <w:rFonts w:ascii="Garamond" w:hAnsi="Garamond" w:cs="Times New Roman"/>
          <w:color w:val="000000"/>
        </w:rPr>
        <w:t xml:space="preserve"> </w:t>
      </w:r>
      <w:proofErr w:type="spellStart"/>
      <w:r w:rsidRPr="001E7C71">
        <w:rPr>
          <w:rFonts w:ascii="Garamond" w:hAnsi="Garamond" w:cs="Times New Roman"/>
          <w:color w:val="000000"/>
        </w:rPr>
        <w:t>Decentralization</w:t>
      </w:r>
      <w:proofErr w:type="spellEnd"/>
      <w:r w:rsidRPr="001E7C71">
        <w:rPr>
          <w:rFonts w:ascii="Garamond" w:hAnsi="Garamond" w:cs="Times New Roman"/>
          <w:color w:val="000000"/>
        </w:rPr>
        <w:t xml:space="preserve"> </w:t>
      </w:r>
      <w:proofErr w:type="spellStart"/>
      <w:r w:rsidRPr="001E7C71">
        <w:rPr>
          <w:rFonts w:ascii="Garamond" w:hAnsi="Garamond" w:cs="Times New Roman"/>
          <w:color w:val="000000"/>
        </w:rPr>
        <w:t>Improve</w:t>
      </w:r>
      <w:proofErr w:type="spellEnd"/>
      <w:r w:rsidRPr="001E7C71">
        <w:rPr>
          <w:rFonts w:ascii="Garamond" w:hAnsi="Garamond" w:cs="Times New Roman"/>
          <w:color w:val="000000"/>
        </w:rPr>
        <w:t xml:space="preserve"> Perceptions of </w:t>
      </w:r>
      <w:proofErr w:type="spellStart"/>
      <w:r w:rsidRPr="001E7C71">
        <w:rPr>
          <w:rFonts w:ascii="Garamond" w:hAnsi="Garamond" w:cs="Times New Roman"/>
          <w:color w:val="000000"/>
        </w:rPr>
        <w:t>Accountability</w:t>
      </w:r>
      <w:proofErr w:type="spellEnd"/>
      <w:r w:rsidRPr="001E7C71">
        <w:rPr>
          <w:rFonts w:ascii="Garamond" w:hAnsi="Garamond" w:cs="Times New Roman"/>
          <w:color w:val="000000"/>
        </w:rPr>
        <w:t xml:space="preserve">? Attitudinal Evidence </w:t>
      </w:r>
      <w:proofErr w:type="spellStart"/>
      <w:r w:rsidRPr="001E7C71">
        <w:rPr>
          <w:rFonts w:ascii="Garamond" w:hAnsi="Garamond" w:cs="Times New Roman"/>
          <w:color w:val="000000"/>
        </w:rPr>
        <w:t>from</w:t>
      </w:r>
      <w:proofErr w:type="spellEnd"/>
      <w:r w:rsidRPr="001E7C71">
        <w:rPr>
          <w:rFonts w:ascii="Garamond" w:hAnsi="Garamond" w:cs="Times New Roman"/>
          <w:color w:val="000000"/>
        </w:rPr>
        <w:t xml:space="preserve"> Colombia, </w:t>
      </w:r>
      <w:r w:rsidRPr="001E7C71">
        <w:rPr>
          <w:rFonts w:ascii="Garamond" w:hAnsi="Garamond" w:cs="Times New Roman"/>
          <w:i/>
          <w:color w:val="000000"/>
        </w:rPr>
        <w:t xml:space="preserve">American Journal of </w:t>
      </w:r>
      <w:proofErr w:type="spellStart"/>
      <w:r w:rsidRPr="001E7C71">
        <w:rPr>
          <w:rFonts w:ascii="Garamond" w:hAnsi="Garamond" w:cs="Times New Roman"/>
          <w:i/>
          <w:color w:val="000000"/>
        </w:rPr>
        <w:t>Political</w:t>
      </w:r>
      <w:proofErr w:type="spellEnd"/>
      <w:r w:rsidRPr="001E7C71">
        <w:rPr>
          <w:rFonts w:ascii="Garamond" w:hAnsi="Garamond" w:cs="Times New Roman"/>
          <w:i/>
          <w:color w:val="000000"/>
        </w:rPr>
        <w:t xml:space="preserve"> Science</w:t>
      </w:r>
      <w:r w:rsidRPr="001E7C71">
        <w:rPr>
          <w:rFonts w:ascii="Garamond" w:hAnsi="Garamond" w:cs="Times New Roman"/>
          <w:color w:val="000000"/>
        </w:rPr>
        <w:t xml:space="preserve">, 58(1), p. 175-188, </w:t>
      </w:r>
      <w:hyperlink r:id="rId41" w:history="1">
        <w:r w:rsidRPr="001E7C71">
          <w:rPr>
            <w:rFonts w:ascii="Garamond" w:hAnsi="Garamond" w:cs="Times New Roman"/>
            <w:color w:val="000000"/>
          </w:rPr>
          <w:t>https://www.jstor.org/stable/24363476</w:t>
        </w:r>
      </w:hyperlink>
    </w:p>
    <w:p w14:paraId="5FDE5099" w14:textId="77777777" w:rsidR="001E0BBF" w:rsidRPr="001E0BBF" w:rsidRDefault="001E0BBF" w:rsidP="001E0BBF">
      <w:pPr>
        <w:spacing w:before="240" w:after="240" w:line="240" w:lineRule="auto"/>
        <w:rPr>
          <w:rFonts w:ascii="Garamond" w:hAnsi="Garamond"/>
          <w:lang w:val="en-CA"/>
        </w:rPr>
      </w:pPr>
      <w:proofErr w:type="spellStart"/>
      <w:r w:rsidRPr="001E0BBF">
        <w:rPr>
          <w:rFonts w:ascii="Garamond" w:hAnsi="Garamond"/>
          <w:lang w:val="en-CA"/>
        </w:rPr>
        <w:t>Fioretos</w:t>
      </w:r>
      <w:proofErr w:type="spellEnd"/>
      <w:r w:rsidRPr="001E0BBF">
        <w:rPr>
          <w:rFonts w:ascii="Garamond" w:hAnsi="Garamond"/>
          <w:lang w:val="en-CA"/>
        </w:rPr>
        <w:t>, O.</w:t>
      </w:r>
      <w:proofErr w:type="gramStart"/>
      <w:r w:rsidRPr="001E0BBF">
        <w:rPr>
          <w:rFonts w:ascii="Garamond" w:hAnsi="Garamond"/>
          <w:lang w:val="en-CA"/>
        </w:rPr>
        <w:t xml:space="preserve">,  </w:t>
      </w:r>
      <w:proofErr w:type="spellStart"/>
      <w:r w:rsidRPr="001E0BBF">
        <w:rPr>
          <w:rFonts w:ascii="Garamond" w:hAnsi="Garamond"/>
          <w:lang w:val="en-CA"/>
        </w:rPr>
        <w:t>Falleti</w:t>
      </w:r>
      <w:proofErr w:type="spellEnd"/>
      <w:proofErr w:type="gramEnd"/>
      <w:r w:rsidRPr="001E0BBF">
        <w:rPr>
          <w:rFonts w:ascii="Garamond" w:hAnsi="Garamond"/>
          <w:lang w:val="en-CA"/>
        </w:rPr>
        <w:t xml:space="preserve">, T.G. &amp;  </w:t>
      </w:r>
      <w:proofErr w:type="spellStart"/>
      <w:r w:rsidRPr="001E0BBF">
        <w:rPr>
          <w:rFonts w:ascii="Garamond" w:hAnsi="Garamond"/>
          <w:lang w:val="en-CA"/>
        </w:rPr>
        <w:t>Sheingate</w:t>
      </w:r>
      <w:proofErr w:type="spellEnd"/>
      <w:r w:rsidRPr="001E0BBF">
        <w:rPr>
          <w:rFonts w:ascii="Garamond" w:hAnsi="Garamond"/>
          <w:lang w:val="en-CA"/>
        </w:rPr>
        <w:t xml:space="preserve">, A. (2016). 1 Historical Institutionalism in Political Science. In Orfeo </w:t>
      </w:r>
      <w:proofErr w:type="spellStart"/>
      <w:r w:rsidRPr="001E0BBF">
        <w:rPr>
          <w:rFonts w:ascii="Garamond" w:hAnsi="Garamond"/>
          <w:lang w:val="en-CA"/>
        </w:rPr>
        <w:t>Fioretos</w:t>
      </w:r>
      <w:proofErr w:type="spellEnd"/>
      <w:r w:rsidRPr="001E0BBF">
        <w:rPr>
          <w:rFonts w:ascii="Garamond" w:hAnsi="Garamond"/>
          <w:lang w:val="en-CA"/>
        </w:rPr>
        <w:t xml:space="preserve"> (ed.) et al., The Oxford Handbook of Historical Institutionalism, 3-28, </w:t>
      </w:r>
      <w:hyperlink r:id="rId42" w:history="1">
        <w:r w:rsidRPr="001E0BBF">
          <w:rPr>
            <w:rFonts w:ascii="Garamond" w:hAnsi="Garamond"/>
            <w:lang w:val="en-CA"/>
          </w:rPr>
          <w:t>https://doi.org/10.1093/oxfordhb/9780199662814.013.1</w:t>
        </w:r>
      </w:hyperlink>
    </w:p>
    <w:p w14:paraId="6EC6F3E4" w14:textId="77777777" w:rsidR="001E0BBF" w:rsidRDefault="001E0BBF" w:rsidP="001E0BBF">
      <w:pPr>
        <w:spacing w:before="240" w:after="240" w:line="240" w:lineRule="auto"/>
        <w:rPr>
          <w:rFonts w:ascii="Garamond" w:hAnsi="Garamond"/>
          <w:lang w:val="en-CA"/>
        </w:rPr>
      </w:pPr>
      <w:r w:rsidRPr="001E0BBF">
        <w:rPr>
          <w:rFonts w:ascii="Garamond" w:hAnsi="Garamond"/>
          <w:lang w:val="en-CA"/>
        </w:rPr>
        <w:t xml:space="preserve">Fox, J. (2000). Civil Society and Political Accountability: Propositions for Discussion, </w:t>
      </w:r>
      <w:r w:rsidRPr="001E0BBF">
        <w:rPr>
          <w:rFonts w:ascii="Garamond" w:hAnsi="Garamond"/>
          <w:i/>
          <w:lang w:val="en-CA"/>
        </w:rPr>
        <w:t>The Helen Kellogg Institute for International Studies</w:t>
      </w:r>
      <w:r>
        <w:rPr>
          <w:rFonts w:ascii="Garamond" w:hAnsi="Garamond"/>
          <w:lang w:val="en-CA"/>
        </w:rPr>
        <w:t>, 1-24</w:t>
      </w:r>
    </w:p>
    <w:p w14:paraId="61876AC3" w14:textId="77777777" w:rsidR="001E0BBF" w:rsidRPr="009B6D19" w:rsidRDefault="001E0BBF" w:rsidP="00804868">
      <w:pPr>
        <w:spacing w:before="240" w:after="240" w:line="240" w:lineRule="auto"/>
        <w:rPr>
          <w:rFonts w:ascii="Garamond" w:hAnsi="Garamond" w:cs="Arial"/>
        </w:rPr>
      </w:pPr>
      <w:proofErr w:type="spellStart"/>
      <w:r w:rsidRPr="009B6D19">
        <w:rPr>
          <w:rFonts w:ascii="Garamond" w:hAnsi="Garamond"/>
        </w:rPr>
        <w:lastRenderedPageBreak/>
        <w:t>Gazibo</w:t>
      </w:r>
      <w:proofErr w:type="spellEnd"/>
      <w:r w:rsidRPr="009B6D19">
        <w:rPr>
          <w:rFonts w:ascii="Garamond" w:hAnsi="Garamond"/>
        </w:rPr>
        <w:t xml:space="preserve">, M. (2002). Le néo-institutionnalisme dans l’analyse comparée des processus de démocratisation, </w:t>
      </w:r>
      <w:r w:rsidRPr="00A25A6E">
        <w:rPr>
          <w:rFonts w:ascii="Garamond" w:hAnsi="Garamond"/>
          <w:i/>
        </w:rPr>
        <w:t>Politique et  Sociétés</w:t>
      </w:r>
      <w:r w:rsidRPr="009B6D19">
        <w:rPr>
          <w:rFonts w:ascii="Garamond" w:hAnsi="Garamond"/>
        </w:rPr>
        <w:t>, 21(3), p. 139–160,</w:t>
      </w:r>
      <w:r w:rsidRPr="009B6D19">
        <w:rPr>
          <w:rFonts w:ascii="Garamond" w:hAnsi="Garamond" w:cs="Arial"/>
        </w:rPr>
        <w:t xml:space="preserve"> </w:t>
      </w:r>
      <w:hyperlink r:id="rId43" w:history="1">
        <w:r w:rsidRPr="009B6D19">
          <w:rPr>
            <w:rStyle w:val="Hyperlink"/>
            <w:rFonts w:ascii="Garamond" w:hAnsi="Garamond" w:cs="Arial"/>
          </w:rPr>
          <w:t>https://doi.org/10.7202/000500ar</w:t>
        </w:r>
      </w:hyperlink>
    </w:p>
    <w:p w14:paraId="23179B20"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Gerold, G. (2019). RD Congo : l’échec des pouvoirs provinciaux, une nouvelle étape dans la déconstruction de la troisième République, </w:t>
      </w:r>
      <w:r w:rsidRPr="009B6D19">
        <w:rPr>
          <w:rFonts w:ascii="Garamond" w:hAnsi="Garamond"/>
          <w:i/>
        </w:rPr>
        <w:t>Les Cahiers d’Afrique de l’Est</w:t>
      </w:r>
      <w:r w:rsidRPr="009B6D19">
        <w:rPr>
          <w:rFonts w:ascii="Garamond" w:hAnsi="Garamond"/>
        </w:rPr>
        <w:t xml:space="preserve">, </w:t>
      </w:r>
      <w:hyperlink r:id="rId44" w:history="1">
        <w:r w:rsidRPr="009B6D19">
          <w:rPr>
            <w:rStyle w:val="Hyperlink"/>
            <w:rFonts w:ascii="Garamond" w:hAnsi="Garamond"/>
          </w:rPr>
          <w:t>http://journals.openedition.org/eastafrica/387</w:t>
        </w:r>
      </w:hyperlink>
    </w:p>
    <w:p w14:paraId="5BA6DDC2" w14:textId="77777777" w:rsidR="001E0BBF" w:rsidRPr="009B6D19" w:rsidRDefault="001E0BBF" w:rsidP="00804868">
      <w:pPr>
        <w:spacing w:before="240" w:after="240" w:line="240" w:lineRule="auto"/>
        <w:rPr>
          <w:rFonts w:ascii="Garamond" w:hAnsi="Garamond"/>
          <w:lang w:val="en-CA"/>
        </w:rPr>
      </w:pPr>
      <w:r w:rsidRPr="009B6D19">
        <w:rPr>
          <w:rFonts w:ascii="Garamond" w:hAnsi="Garamond"/>
          <w:lang w:val="en-CA"/>
        </w:rPr>
        <w:t>Groot</w:t>
      </w:r>
      <w:r>
        <w:rPr>
          <w:rFonts w:ascii="Garamond" w:hAnsi="Garamond"/>
          <w:lang w:val="en-CA"/>
        </w:rPr>
        <w:t>, T.</w:t>
      </w:r>
      <w:r w:rsidRPr="009B6D19">
        <w:rPr>
          <w:rFonts w:ascii="Garamond" w:hAnsi="Garamond"/>
          <w:lang w:val="en-CA"/>
        </w:rPr>
        <w:t xml:space="preserve"> &amp; Budding</w:t>
      </w:r>
      <w:r>
        <w:rPr>
          <w:rFonts w:ascii="Garamond" w:hAnsi="Garamond"/>
          <w:lang w:val="en-CA"/>
        </w:rPr>
        <w:t xml:space="preserve">, G.T. </w:t>
      </w:r>
      <w:r w:rsidRPr="009B6D19">
        <w:rPr>
          <w:rFonts w:ascii="Garamond" w:hAnsi="Garamond"/>
          <w:lang w:val="en-CA"/>
        </w:rPr>
        <w:t>(2004). The influence of new public management practices on product costing and service pricing de</w:t>
      </w:r>
      <w:r>
        <w:rPr>
          <w:rFonts w:ascii="Garamond" w:hAnsi="Garamond"/>
          <w:lang w:val="en-CA"/>
        </w:rPr>
        <w:t xml:space="preserve">cisions in </w:t>
      </w:r>
      <w:proofErr w:type="spellStart"/>
      <w:r>
        <w:rPr>
          <w:rFonts w:ascii="Garamond" w:hAnsi="Garamond"/>
          <w:lang w:val="en-CA"/>
        </w:rPr>
        <w:t>dutch</w:t>
      </w:r>
      <w:proofErr w:type="spellEnd"/>
      <w:r>
        <w:rPr>
          <w:rFonts w:ascii="Garamond" w:hAnsi="Garamond"/>
          <w:lang w:val="en-CA"/>
        </w:rPr>
        <w:t xml:space="preserve"> municipalities</w:t>
      </w:r>
      <w:r w:rsidRPr="009B6D19">
        <w:rPr>
          <w:rFonts w:ascii="Garamond" w:hAnsi="Garamond"/>
          <w:lang w:val="en-CA"/>
        </w:rPr>
        <w:t xml:space="preserve">, </w:t>
      </w:r>
      <w:r w:rsidRPr="004A5B02">
        <w:rPr>
          <w:rFonts w:ascii="Garamond" w:hAnsi="Garamond"/>
          <w:i/>
          <w:lang w:val="en-CA"/>
        </w:rPr>
        <w:t>Financial Accountability &amp; Management</w:t>
      </w:r>
      <w:r w:rsidRPr="009B6D19">
        <w:rPr>
          <w:rFonts w:ascii="Garamond" w:hAnsi="Garamond"/>
          <w:lang w:val="en-CA"/>
        </w:rPr>
        <w:t>, 20(4), November 2004, 0267-4424</w:t>
      </w:r>
    </w:p>
    <w:p w14:paraId="2B965217" w14:textId="77777777" w:rsidR="001E0BBF" w:rsidRPr="009B6D19" w:rsidRDefault="001E0BBF" w:rsidP="00804868">
      <w:pPr>
        <w:spacing w:before="240" w:after="240" w:line="240" w:lineRule="auto"/>
        <w:rPr>
          <w:rFonts w:ascii="Garamond" w:eastAsia="Times New Roman" w:hAnsi="Garamond"/>
          <w:lang w:eastAsia="fr-FR"/>
        </w:rPr>
      </w:pPr>
      <w:r w:rsidRPr="009B6D19">
        <w:rPr>
          <w:rFonts w:ascii="Garamond" w:hAnsi="Garamond"/>
          <w:lang w:val="en-CA"/>
        </w:rPr>
        <w:t xml:space="preserve">Hall, P.A, Taylor, R.C.R. &amp; </w:t>
      </w:r>
      <w:proofErr w:type="spellStart"/>
      <w:r w:rsidRPr="009B6D19">
        <w:rPr>
          <w:rFonts w:ascii="Garamond" w:hAnsi="Garamond"/>
          <w:lang w:val="en-CA"/>
        </w:rPr>
        <w:t>Baillon</w:t>
      </w:r>
      <w:proofErr w:type="spellEnd"/>
      <w:r w:rsidRPr="009B6D19">
        <w:rPr>
          <w:rFonts w:ascii="Garamond" w:hAnsi="Garamond"/>
          <w:lang w:val="en-CA"/>
        </w:rPr>
        <w:t xml:space="preserve">, J-F. </w:t>
      </w:r>
      <w:r w:rsidRPr="009B6D19">
        <w:rPr>
          <w:rFonts w:ascii="Garamond" w:hAnsi="Garamond"/>
        </w:rPr>
        <w:t>(1997).</w:t>
      </w:r>
      <w:r>
        <w:rPr>
          <w:rFonts w:ascii="Garamond" w:hAnsi="Garamond"/>
        </w:rPr>
        <w:t xml:space="preserve"> </w:t>
      </w:r>
      <w:r w:rsidRPr="009B6D19">
        <w:rPr>
          <w:rFonts w:ascii="Garamond" w:hAnsi="Garamond"/>
        </w:rPr>
        <w:t>La science politique et les trois néo-institutionnalismes</w:t>
      </w:r>
      <w:r w:rsidRPr="009B6D19">
        <w:rPr>
          <w:rFonts w:ascii="Garamond" w:hAnsi="Garamond"/>
          <w:i/>
        </w:rPr>
        <w:t>,  Revue française de science politique</w:t>
      </w:r>
      <w:r w:rsidRPr="009B6D19">
        <w:rPr>
          <w:rFonts w:ascii="Garamond" w:hAnsi="Garamond"/>
        </w:rPr>
        <w:t>, 3(47), p. 469-496</w:t>
      </w:r>
    </w:p>
    <w:p w14:paraId="40D80470" w14:textId="77777777" w:rsidR="001E0BBF" w:rsidRPr="009B6D19" w:rsidRDefault="001E0BBF" w:rsidP="00804868">
      <w:pPr>
        <w:spacing w:before="240" w:after="240" w:line="240" w:lineRule="auto"/>
        <w:rPr>
          <w:rFonts w:ascii="Garamond" w:eastAsia="Times New Roman" w:hAnsi="Garamond"/>
          <w:lang w:eastAsia="fr-FR"/>
        </w:rPr>
      </w:pPr>
      <w:r w:rsidRPr="009B6D19">
        <w:rPr>
          <w:rFonts w:ascii="Garamond" w:hAnsi="Garamond"/>
        </w:rPr>
        <w:t xml:space="preserve">Hertzog, R. (2016). Rendre compte : de quoi parle-t-on ? Les quadratures du cercle démocratique, </w:t>
      </w:r>
      <w:hyperlink r:id="rId45" w:history="1">
        <w:r w:rsidRPr="00A02102">
          <w:rPr>
            <w:rFonts w:ascii="Garamond" w:hAnsi="Garamond"/>
            <w:i/>
          </w:rPr>
          <w:t>Revue française d'administration publique</w:t>
        </w:r>
      </w:hyperlink>
      <w:r w:rsidRPr="009B6D19">
        <w:rPr>
          <w:rFonts w:ascii="Garamond" w:hAnsi="Garamond"/>
        </w:rPr>
        <w:t>, 4(160), p. 1011-1026 ;</w:t>
      </w:r>
    </w:p>
    <w:p w14:paraId="3A2F0C7D" w14:textId="77777777" w:rsidR="001E0BBF" w:rsidRPr="00313A02" w:rsidRDefault="002C327A" w:rsidP="00804868">
      <w:pPr>
        <w:spacing w:before="240" w:after="240" w:line="240" w:lineRule="auto"/>
        <w:rPr>
          <w:rFonts w:ascii="Garamond" w:hAnsi="Garamond"/>
          <w:lang w:val="en-CA"/>
        </w:rPr>
      </w:pPr>
      <w:hyperlink r:id="rId46" w:history="1">
        <w:proofErr w:type="spellStart"/>
        <w:r w:rsidR="001E0BBF" w:rsidRPr="009B6D19">
          <w:rPr>
            <w:rFonts w:ascii="Garamond" w:hAnsi="Garamond"/>
          </w:rPr>
          <w:t>Humphreys</w:t>
        </w:r>
        <w:proofErr w:type="spellEnd"/>
      </w:hyperlink>
      <w:r w:rsidR="001E0BBF" w:rsidRPr="009B6D19">
        <w:rPr>
          <w:rFonts w:ascii="Garamond" w:hAnsi="Garamond"/>
        </w:rPr>
        <w:t>,</w:t>
      </w:r>
      <w:r w:rsidR="001E0BBF">
        <w:rPr>
          <w:rFonts w:ascii="Garamond" w:hAnsi="Garamond"/>
        </w:rPr>
        <w:t xml:space="preserve"> </w:t>
      </w:r>
      <w:r w:rsidR="001E0BBF" w:rsidRPr="009B6D19">
        <w:rPr>
          <w:rFonts w:ascii="Garamond" w:hAnsi="Garamond"/>
        </w:rPr>
        <w:t xml:space="preserve">P.C &amp; </w:t>
      </w:r>
      <w:hyperlink r:id="rId47" w:history="1">
        <w:proofErr w:type="spellStart"/>
        <w:r w:rsidR="001E0BBF" w:rsidRPr="009B6D19">
          <w:rPr>
            <w:rFonts w:ascii="Garamond" w:hAnsi="Garamond"/>
          </w:rPr>
          <w:t>O’Donnell</w:t>
        </w:r>
        <w:proofErr w:type="spellEnd"/>
      </w:hyperlink>
      <w:r w:rsidR="001E0BBF" w:rsidRPr="009B6D19">
        <w:rPr>
          <w:rFonts w:ascii="Garamond" w:hAnsi="Garamond"/>
        </w:rPr>
        <w:t xml:space="preserve">, O. (2007). Le leadership au sein d'une fonction publique décentralisée : quelques enseignements venus d'Irlande ? </w:t>
      </w:r>
      <w:hyperlink r:id="rId48" w:history="1">
        <w:r w:rsidR="001E0BBF" w:rsidRPr="00313A02">
          <w:rPr>
            <w:rFonts w:ascii="Garamond" w:hAnsi="Garamond"/>
            <w:i/>
            <w:lang w:val="en-CA"/>
          </w:rPr>
          <w:t xml:space="preserve">Revue </w:t>
        </w:r>
        <w:proofErr w:type="spellStart"/>
        <w:r w:rsidR="001E0BBF" w:rsidRPr="00313A02">
          <w:rPr>
            <w:rFonts w:ascii="Garamond" w:hAnsi="Garamond"/>
            <w:i/>
            <w:lang w:val="en-CA"/>
          </w:rPr>
          <w:t>Internationale</w:t>
        </w:r>
        <w:proofErr w:type="spellEnd"/>
        <w:r w:rsidR="001E0BBF" w:rsidRPr="00313A02">
          <w:rPr>
            <w:rFonts w:ascii="Garamond" w:hAnsi="Garamond"/>
            <w:i/>
            <w:lang w:val="en-CA"/>
          </w:rPr>
          <w:t xml:space="preserve"> des Sciences </w:t>
        </w:r>
        <w:proofErr w:type="spellStart"/>
        <w:r w:rsidR="001E0BBF" w:rsidRPr="00313A02">
          <w:rPr>
            <w:rFonts w:ascii="Garamond" w:hAnsi="Garamond"/>
            <w:i/>
            <w:lang w:val="en-CA"/>
          </w:rPr>
          <w:t>Administratives</w:t>
        </w:r>
        <w:proofErr w:type="spellEnd"/>
      </w:hyperlink>
      <w:r w:rsidR="001E0BBF" w:rsidRPr="00313A02">
        <w:rPr>
          <w:rFonts w:ascii="Garamond" w:hAnsi="Garamond"/>
          <w:lang w:val="en-CA"/>
        </w:rPr>
        <w:t xml:space="preserve"> , </w:t>
      </w:r>
      <w:hyperlink r:id="rId49" w:history="1">
        <w:r w:rsidR="001E0BBF" w:rsidRPr="00313A02">
          <w:rPr>
            <w:rFonts w:ascii="Garamond" w:hAnsi="Garamond"/>
            <w:lang w:val="en-CA"/>
          </w:rPr>
          <w:t>1 (73)</w:t>
        </w:r>
      </w:hyperlink>
      <w:r w:rsidR="001E0BBF" w:rsidRPr="00313A02">
        <w:rPr>
          <w:rFonts w:ascii="Garamond" w:hAnsi="Garamond"/>
          <w:lang w:val="en-CA"/>
        </w:rPr>
        <w:t>, p. 69-85</w:t>
      </w:r>
    </w:p>
    <w:p w14:paraId="39FEDC0C" w14:textId="77777777" w:rsidR="001E0BBF" w:rsidRPr="009B6D19" w:rsidRDefault="001E0BBF" w:rsidP="00804868">
      <w:pPr>
        <w:spacing w:before="240" w:after="240" w:line="240" w:lineRule="auto"/>
        <w:rPr>
          <w:rFonts w:ascii="Garamond" w:hAnsi="Garamond"/>
          <w:lang w:val="en-CA"/>
        </w:rPr>
      </w:pPr>
      <w:r w:rsidRPr="009B6D19">
        <w:rPr>
          <w:rFonts w:ascii="Garamond" w:hAnsi="Garamond"/>
          <w:lang w:val="en-CA"/>
        </w:rPr>
        <w:t>International Monetary Found (2021). Democratic Republic of the Congo: Technical assistance report—governance and anti-corruption assessment, 21(95), p. 1-74;</w:t>
      </w:r>
    </w:p>
    <w:p w14:paraId="014C7A86" w14:textId="77777777" w:rsidR="001E0BBF" w:rsidRPr="009B6D19" w:rsidRDefault="001E0BBF" w:rsidP="00804868">
      <w:pPr>
        <w:spacing w:before="240" w:after="240" w:line="240" w:lineRule="auto"/>
        <w:rPr>
          <w:rFonts w:ascii="Garamond" w:hAnsi="Garamond"/>
          <w:lang w:val="en-CA"/>
        </w:rPr>
      </w:pPr>
      <w:r w:rsidRPr="009B6D19">
        <w:rPr>
          <w:rFonts w:ascii="Garamond" w:hAnsi="Garamond"/>
          <w:lang w:val="en-CA"/>
        </w:rPr>
        <w:t xml:space="preserve">International Monetary Found (2021). Democratic Republic of the Congo: request for a three-year arrangement under the extended credit facility; review of performance under the staff monitored program—press release; 21(168), p. 1-118; </w:t>
      </w:r>
    </w:p>
    <w:p w14:paraId="6E052910"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Jacquemot, P. (2009). L'économie politique des conflits en République démocratique du Congo, </w:t>
      </w:r>
      <w:hyperlink r:id="rId50" w:history="1">
        <w:r w:rsidRPr="009B6D19">
          <w:rPr>
            <w:rFonts w:ascii="Garamond" w:hAnsi="Garamond"/>
            <w:i/>
          </w:rPr>
          <w:t>Afrique contemporaine</w:t>
        </w:r>
      </w:hyperlink>
      <w:r w:rsidRPr="009B6D19">
        <w:rPr>
          <w:rFonts w:ascii="Garamond" w:hAnsi="Garamond"/>
        </w:rPr>
        <w:t>, 2(230), p. 187-212</w:t>
      </w:r>
    </w:p>
    <w:p w14:paraId="57054878" w14:textId="77777777" w:rsidR="001E0BBF" w:rsidRDefault="001E0BBF" w:rsidP="00804868">
      <w:pPr>
        <w:spacing w:before="240" w:after="240" w:line="240" w:lineRule="auto"/>
        <w:rPr>
          <w:rFonts w:ascii="Garamond" w:hAnsi="Garamond"/>
          <w:lang w:val="es-ES"/>
        </w:rPr>
      </w:pPr>
      <w:r w:rsidRPr="00363264">
        <w:rPr>
          <w:rFonts w:ascii="Garamond" w:hAnsi="Garamond"/>
          <w:lang w:val="es-ES"/>
        </w:rPr>
        <w:t xml:space="preserve">Joubert, S. (2014). Délégation. </w:t>
      </w:r>
      <w:r>
        <w:rPr>
          <w:rFonts w:ascii="Garamond" w:hAnsi="Garamond"/>
          <w:lang w:val="es-ES"/>
        </w:rPr>
        <w:t>in</w:t>
      </w:r>
      <w:r w:rsidRPr="00363264">
        <w:rPr>
          <w:rFonts w:ascii="Garamond" w:hAnsi="Garamond"/>
          <w:lang w:val="es-ES"/>
        </w:rPr>
        <w:t xml:space="preserve"> Nicolas </w:t>
      </w:r>
      <w:proofErr w:type="spellStart"/>
      <w:r w:rsidRPr="00363264">
        <w:rPr>
          <w:rFonts w:ascii="Garamond" w:hAnsi="Garamond"/>
          <w:lang w:val="es-ES"/>
        </w:rPr>
        <w:t>Kada</w:t>
      </w:r>
      <w:proofErr w:type="spellEnd"/>
      <w:r w:rsidRPr="00363264">
        <w:rPr>
          <w:rFonts w:ascii="Garamond" w:hAnsi="Garamond"/>
          <w:lang w:val="es-ES"/>
        </w:rPr>
        <w:t xml:space="preserve"> </w:t>
      </w:r>
      <w:proofErr w:type="spellStart"/>
      <w:r w:rsidRPr="00363264">
        <w:rPr>
          <w:rFonts w:ascii="Garamond" w:hAnsi="Garamond"/>
          <w:lang w:val="es-ES"/>
        </w:rPr>
        <w:t>éd</w:t>
      </w:r>
      <w:proofErr w:type="spellEnd"/>
      <w:r w:rsidRPr="00363264">
        <w:rPr>
          <w:rFonts w:ascii="Garamond" w:hAnsi="Garamond"/>
          <w:lang w:val="es-ES"/>
        </w:rPr>
        <w:t>., </w:t>
      </w:r>
      <w:proofErr w:type="spellStart"/>
      <w:r w:rsidRPr="00363264">
        <w:rPr>
          <w:rFonts w:ascii="Garamond" w:hAnsi="Garamond"/>
          <w:lang w:val="es-ES"/>
        </w:rPr>
        <w:t>Dictionnaire</w:t>
      </w:r>
      <w:proofErr w:type="spellEnd"/>
      <w:r w:rsidRPr="00363264">
        <w:rPr>
          <w:rFonts w:ascii="Garamond" w:hAnsi="Garamond"/>
          <w:lang w:val="es-ES"/>
        </w:rPr>
        <w:t xml:space="preserve"> </w:t>
      </w:r>
      <w:proofErr w:type="spellStart"/>
      <w:r w:rsidRPr="00363264">
        <w:rPr>
          <w:rFonts w:ascii="Garamond" w:hAnsi="Garamond"/>
          <w:lang w:val="es-ES"/>
        </w:rPr>
        <w:t>d'administration</w:t>
      </w:r>
      <w:proofErr w:type="spellEnd"/>
      <w:r w:rsidRPr="00363264">
        <w:rPr>
          <w:rFonts w:ascii="Garamond" w:hAnsi="Garamond"/>
          <w:lang w:val="es-ES"/>
        </w:rPr>
        <w:t xml:space="preserve"> publique</w:t>
      </w:r>
      <w:r>
        <w:rPr>
          <w:rFonts w:ascii="Garamond" w:hAnsi="Garamond"/>
          <w:lang w:val="es-ES"/>
        </w:rPr>
        <w:t xml:space="preserve">, p. 138-140, </w:t>
      </w:r>
      <w:proofErr w:type="spellStart"/>
      <w:r>
        <w:rPr>
          <w:rFonts w:ascii="Garamond" w:hAnsi="Garamond"/>
          <w:lang w:val="es-ES"/>
        </w:rPr>
        <w:t>éd</w:t>
      </w:r>
      <w:proofErr w:type="spellEnd"/>
      <w:r w:rsidRPr="00363264">
        <w:rPr>
          <w:rFonts w:ascii="Garamond" w:hAnsi="Garamond"/>
          <w:lang w:val="es-ES"/>
        </w:rPr>
        <w:t xml:space="preserve">. FONTAINE: </w:t>
      </w:r>
      <w:proofErr w:type="spellStart"/>
      <w:r w:rsidRPr="00363264">
        <w:rPr>
          <w:rFonts w:ascii="Garamond" w:hAnsi="Garamond"/>
          <w:lang w:val="es-ES"/>
        </w:rPr>
        <w:t>Pres</w:t>
      </w:r>
      <w:r>
        <w:rPr>
          <w:rFonts w:ascii="Garamond" w:hAnsi="Garamond"/>
          <w:lang w:val="es-ES"/>
        </w:rPr>
        <w:t>ses</w:t>
      </w:r>
      <w:proofErr w:type="spellEnd"/>
      <w:r>
        <w:rPr>
          <w:rFonts w:ascii="Garamond" w:hAnsi="Garamond"/>
          <w:lang w:val="es-ES"/>
        </w:rPr>
        <w:t xml:space="preserve"> </w:t>
      </w:r>
      <w:proofErr w:type="spellStart"/>
      <w:r>
        <w:rPr>
          <w:rFonts w:ascii="Garamond" w:hAnsi="Garamond"/>
          <w:lang w:val="es-ES"/>
        </w:rPr>
        <w:t>universitaires</w:t>
      </w:r>
      <w:proofErr w:type="spellEnd"/>
      <w:r>
        <w:rPr>
          <w:rFonts w:ascii="Garamond" w:hAnsi="Garamond"/>
          <w:lang w:val="es-ES"/>
        </w:rPr>
        <w:t xml:space="preserve"> de </w:t>
      </w:r>
      <w:proofErr w:type="spellStart"/>
      <w:r>
        <w:rPr>
          <w:rFonts w:ascii="Garamond" w:hAnsi="Garamond"/>
          <w:lang w:val="es-ES"/>
        </w:rPr>
        <w:t>Grenoble</w:t>
      </w:r>
      <w:proofErr w:type="spellEnd"/>
      <w:r>
        <w:rPr>
          <w:rFonts w:ascii="Garamond" w:hAnsi="Garamond"/>
          <w:lang w:val="es-ES"/>
        </w:rPr>
        <w:t>.</w:t>
      </w:r>
    </w:p>
    <w:p w14:paraId="00B9F9FE" w14:textId="77777777" w:rsidR="001E0BBF" w:rsidRPr="00CA4C5D" w:rsidRDefault="001E0BBF" w:rsidP="00CA4C5D">
      <w:pPr>
        <w:spacing w:after="0" w:line="240" w:lineRule="auto"/>
        <w:rPr>
          <w:rStyle w:val="Hyperlink"/>
        </w:rPr>
      </w:pPr>
      <w:proofErr w:type="spellStart"/>
      <w:r w:rsidRPr="00CA4C5D">
        <w:rPr>
          <w:rFonts w:ascii="Garamond" w:hAnsi="Garamond"/>
          <w:lang w:val="es-ES"/>
        </w:rPr>
        <w:t>Joumard</w:t>
      </w:r>
      <w:proofErr w:type="spellEnd"/>
      <w:r w:rsidRPr="00CA4C5D">
        <w:rPr>
          <w:rFonts w:ascii="Garamond" w:hAnsi="Garamond"/>
          <w:lang w:val="es-ES"/>
        </w:rPr>
        <w:t xml:space="preserve">, I. (2005). </w:t>
      </w:r>
      <w:proofErr w:type="spellStart"/>
      <w:r w:rsidRPr="00CA4C5D">
        <w:rPr>
          <w:rFonts w:ascii="Garamond" w:hAnsi="Garamond"/>
          <w:lang w:val="es-ES"/>
        </w:rPr>
        <w:t>Getting</w:t>
      </w:r>
      <w:proofErr w:type="spellEnd"/>
      <w:r w:rsidRPr="00CA4C5D">
        <w:rPr>
          <w:rFonts w:ascii="Garamond" w:hAnsi="Garamond"/>
          <w:lang w:val="es-ES"/>
        </w:rPr>
        <w:t xml:space="preserve"> </w:t>
      </w:r>
      <w:proofErr w:type="spellStart"/>
      <w:r w:rsidRPr="00CA4C5D">
        <w:rPr>
          <w:rFonts w:ascii="Garamond" w:hAnsi="Garamond"/>
          <w:lang w:val="es-ES"/>
        </w:rPr>
        <w:t>the</w:t>
      </w:r>
      <w:proofErr w:type="spellEnd"/>
      <w:r w:rsidRPr="00CA4C5D">
        <w:rPr>
          <w:rFonts w:ascii="Garamond" w:hAnsi="Garamond"/>
          <w:lang w:val="es-ES"/>
        </w:rPr>
        <w:t xml:space="preserve"> </w:t>
      </w:r>
      <w:proofErr w:type="spellStart"/>
      <w:r w:rsidRPr="00CA4C5D">
        <w:rPr>
          <w:rFonts w:ascii="Garamond" w:hAnsi="Garamond"/>
          <w:lang w:val="es-ES"/>
        </w:rPr>
        <w:t>Most</w:t>
      </w:r>
      <w:proofErr w:type="spellEnd"/>
      <w:r w:rsidRPr="00CA4C5D">
        <w:rPr>
          <w:rFonts w:ascii="Garamond" w:hAnsi="Garamond"/>
          <w:lang w:val="es-ES"/>
        </w:rPr>
        <w:t xml:space="preserve"> </w:t>
      </w:r>
      <w:proofErr w:type="spellStart"/>
      <w:r w:rsidRPr="00CA4C5D">
        <w:rPr>
          <w:rFonts w:ascii="Garamond" w:hAnsi="Garamond"/>
          <w:lang w:val="es-ES"/>
        </w:rPr>
        <w:t>Out</w:t>
      </w:r>
      <w:proofErr w:type="spellEnd"/>
      <w:r w:rsidRPr="00CA4C5D">
        <w:rPr>
          <w:rFonts w:ascii="Garamond" w:hAnsi="Garamond"/>
          <w:lang w:val="es-ES"/>
        </w:rPr>
        <w:t xml:space="preserve"> of </w:t>
      </w:r>
      <w:proofErr w:type="spellStart"/>
      <w:r w:rsidRPr="00CA4C5D">
        <w:rPr>
          <w:rFonts w:ascii="Garamond" w:hAnsi="Garamond"/>
          <w:lang w:val="es-ES"/>
        </w:rPr>
        <w:t>Public</w:t>
      </w:r>
      <w:proofErr w:type="spellEnd"/>
      <w:r w:rsidRPr="00CA4C5D">
        <w:rPr>
          <w:rFonts w:ascii="Garamond" w:hAnsi="Garamond"/>
          <w:lang w:val="es-ES"/>
        </w:rPr>
        <w:t xml:space="preserve"> Sector </w:t>
      </w:r>
      <w:proofErr w:type="spellStart"/>
      <w:r w:rsidRPr="00CA4C5D">
        <w:rPr>
          <w:rFonts w:ascii="Garamond" w:hAnsi="Garamond"/>
          <w:lang w:val="es-ES"/>
        </w:rPr>
        <w:t>Decentralisation</w:t>
      </w:r>
      <w:proofErr w:type="spellEnd"/>
      <w:r w:rsidRPr="00CA4C5D">
        <w:rPr>
          <w:rFonts w:ascii="Garamond" w:hAnsi="Garamond"/>
          <w:lang w:val="es-ES"/>
        </w:rPr>
        <w:t xml:space="preserve"> in </w:t>
      </w:r>
      <w:proofErr w:type="spellStart"/>
      <w:r w:rsidRPr="00CA4C5D">
        <w:rPr>
          <w:rFonts w:ascii="Garamond" w:hAnsi="Garamond"/>
          <w:lang w:val="es-ES"/>
        </w:rPr>
        <w:t>Mexico</w:t>
      </w:r>
      <w:proofErr w:type="spellEnd"/>
      <w:r w:rsidRPr="00CA4C5D">
        <w:rPr>
          <w:rFonts w:ascii="Garamond" w:hAnsi="Garamond"/>
          <w:lang w:val="es-ES"/>
        </w:rPr>
        <w:t xml:space="preserve">; </w:t>
      </w:r>
      <w:r w:rsidRPr="00CA4C5D">
        <w:rPr>
          <w:rFonts w:ascii="Garamond" w:hAnsi="Garamond"/>
          <w:i/>
        </w:rPr>
        <w:t xml:space="preserve">OECD </w:t>
      </w:r>
      <w:proofErr w:type="spellStart"/>
      <w:r w:rsidRPr="00CA4C5D">
        <w:rPr>
          <w:rFonts w:ascii="Garamond" w:hAnsi="Garamond"/>
          <w:i/>
        </w:rPr>
        <w:t>Economics</w:t>
      </w:r>
      <w:proofErr w:type="spellEnd"/>
      <w:r w:rsidRPr="00CA4C5D">
        <w:rPr>
          <w:rFonts w:ascii="Garamond" w:hAnsi="Garamond"/>
          <w:i/>
        </w:rPr>
        <w:t xml:space="preserve"> </w:t>
      </w:r>
      <w:proofErr w:type="spellStart"/>
      <w:r w:rsidRPr="00CA4C5D">
        <w:rPr>
          <w:rFonts w:ascii="Garamond" w:hAnsi="Garamond"/>
          <w:i/>
        </w:rPr>
        <w:t>Department</w:t>
      </w:r>
      <w:proofErr w:type="spellEnd"/>
      <w:r w:rsidRPr="00CA4C5D">
        <w:rPr>
          <w:rFonts w:ascii="Garamond" w:hAnsi="Garamond"/>
          <w:lang w:val="es-ES"/>
        </w:rPr>
        <w:t xml:space="preserve">, 453, </w:t>
      </w:r>
      <w:hyperlink r:id="rId51" w:history="1">
        <w:r w:rsidRPr="00CA4C5D">
          <w:rPr>
            <w:rStyle w:val="Hyperlink"/>
          </w:rPr>
          <w:t>https://dx.doi.org/10.1787/881825436538</w:t>
        </w:r>
      </w:hyperlink>
    </w:p>
    <w:p w14:paraId="4EA9E938" w14:textId="77777777" w:rsidR="00A426A3" w:rsidRDefault="001E0BBF" w:rsidP="00A426A3">
      <w:pPr>
        <w:spacing w:before="240" w:after="240" w:line="240" w:lineRule="auto"/>
        <w:rPr>
          <w:rFonts w:ascii="Garamond" w:hAnsi="Garamond"/>
        </w:rPr>
      </w:pPr>
      <w:proofErr w:type="spellStart"/>
      <w:r w:rsidRPr="009B6D19">
        <w:rPr>
          <w:rFonts w:ascii="Garamond" w:hAnsi="Garamond"/>
          <w:lang w:val="es-ES"/>
        </w:rPr>
        <w:t>Joyal</w:t>
      </w:r>
      <w:proofErr w:type="spellEnd"/>
      <w:r w:rsidRPr="009B6D19">
        <w:rPr>
          <w:rFonts w:ascii="Garamond" w:hAnsi="Garamond"/>
          <w:lang w:val="es-ES"/>
        </w:rPr>
        <w:t xml:space="preserve">, A. &amp;  El </w:t>
      </w:r>
      <w:proofErr w:type="spellStart"/>
      <w:r w:rsidRPr="009B6D19">
        <w:rPr>
          <w:rFonts w:ascii="Garamond" w:hAnsi="Garamond"/>
          <w:lang w:val="es-ES"/>
        </w:rPr>
        <w:t>Batal</w:t>
      </w:r>
      <w:proofErr w:type="spellEnd"/>
      <w:r w:rsidRPr="009B6D19">
        <w:rPr>
          <w:rFonts w:ascii="Garamond" w:hAnsi="Garamond"/>
          <w:lang w:val="es-ES"/>
        </w:rPr>
        <w:t xml:space="preserve">, K. (2007). </w:t>
      </w:r>
      <w:r w:rsidRPr="009B6D19">
        <w:rPr>
          <w:rFonts w:ascii="Garamond" w:hAnsi="Garamond"/>
        </w:rPr>
        <w:t xml:space="preserve">Décentralisation et développement rural. Étude de cas québécois, </w:t>
      </w:r>
      <w:r w:rsidRPr="009B6D19">
        <w:rPr>
          <w:rFonts w:ascii="Garamond" w:hAnsi="Garamond"/>
          <w:i/>
        </w:rPr>
        <w:t>Revue d’Économie Régionale &amp; Urbaine</w:t>
      </w:r>
      <w:r w:rsidRPr="009B6D19">
        <w:rPr>
          <w:rFonts w:ascii="Garamond" w:hAnsi="Garamond"/>
        </w:rPr>
        <w:t>, p. 251-267, DOI 10.3917/reru.072.0251</w:t>
      </w:r>
    </w:p>
    <w:p w14:paraId="32A1690A" w14:textId="6764F71D" w:rsidR="00A426A3" w:rsidRPr="00A426A3" w:rsidRDefault="00A426A3" w:rsidP="00A426A3">
      <w:pPr>
        <w:spacing w:before="240" w:after="240" w:line="240" w:lineRule="auto"/>
        <w:rPr>
          <w:rFonts w:ascii="Garamond" w:hAnsi="Garamond"/>
        </w:rPr>
      </w:pPr>
      <w:proofErr w:type="spellStart"/>
      <w:r w:rsidRPr="00B86D70">
        <w:rPr>
          <w:rFonts w:ascii="Garamond" w:hAnsi="Garamond" w:cs="Times New Roman"/>
          <w:color w:val="000000"/>
        </w:rPr>
        <w:t>Kpadé</w:t>
      </w:r>
      <w:proofErr w:type="spellEnd"/>
      <w:r w:rsidRPr="00B86D70">
        <w:rPr>
          <w:rFonts w:ascii="Garamond" w:hAnsi="Garamond" w:cs="Times New Roman"/>
          <w:color w:val="000000"/>
        </w:rPr>
        <w:t xml:space="preserve">, P.C. &amp; </w:t>
      </w:r>
      <w:proofErr w:type="spellStart"/>
      <w:r w:rsidRPr="00B86D70">
        <w:rPr>
          <w:rFonts w:ascii="Garamond" w:hAnsi="Garamond" w:cs="Times New Roman"/>
          <w:color w:val="000000"/>
        </w:rPr>
        <w:t>Boinon</w:t>
      </w:r>
      <w:proofErr w:type="spellEnd"/>
      <w:r w:rsidRPr="00B86D70">
        <w:rPr>
          <w:rFonts w:ascii="Garamond" w:hAnsi="Garamond" w:cs="Times New Roman"/>
          <w:color w:val="000000"/>
        </w:rPr>
        <w:t>, J.P. (2011). Dynamique des politiques cotonnières au Bénin. Une</w:t>
      </w:r>
      <w:r>
        <w:rPr>
          <w:rFonts w:ascii="Garamond" w:hAnsi="Garamond" w:cs="Times New Roman"/>
          <w:color w:val="000000"/>
        </w:rPr>
        <w:t xml:space="preserve"> </w:t>
      </w:r>
      <w:r w:rsidRPr="00B86D70">
        <w:rPr>
          <w:rFonts w:ascii="Garamond" w:hAnsi="Garamond" w:cs="Times New Roman"/>
          <w:color w:val="000000"/>
        </w:rPr>
        <w:t xml:space="preserve">lecture par la dépendance de sentier », </w:t>
      </w:r>
      <w:r w:rsidRPr="00B86D70">
        <w:rPr>
          <w:rFonts w:ascii="Garamond" w:hAnsi="Garamond" w:cs="Times New Roman"/>
          <w:i/>
          <w:color w:val="000000"/>
        </w:rPr>
        <w:t>Économie rural</w:t>
      </w:r>
      <w:r>
        <w:rPr>
          <w:rFonts w:ascii="Garamond" w:hAnsi="Garamond" w:cs="Times New Roman"/>
          <w:i/>
          <w:color w:val="000000"/>
        </w:rPr>
        <w:t>e</w:t>
      </w:r>
      <w:r>
        <w:rPr>
          <w:rFonts w:ascii="Garamond" w:hAnsi="Garamond" w:cs="Times New Roman"/>
          <w:color w:val="000000"/>
        </w:rPr>
        <w:t xml:space="preserve">, </w:t>
      </w:r>
      <w:r w:rsidRPr="00B86D70">
        <w:rPr>
          <w:rFonts w:ascii="Garamond" w:hAnsi="Garamond" w:cs="Times New Roman"/>
          <w:color w:val="000000"/>
        </w:rPr>
        <w:t xml:space="preserve">321 </w:t>
      </w:r>
      <w:r>
        <w:rPr>
          <w:rFonts w:ascii="Garamond" w:hAnsi="Garamond" w:cs="Times New Roman"/>
          <w:color w:val="000000"/>
        </w:rPr>
        <w:t xml:space="preserve">(1-2), p. 58-72, </w:t>
      </w:r>
      <w:r w:rsidRPr="00B86D70">
        <w:rPr>
          <w:rFonts w:ascii="Garamond" w:hAnsi="Garamond" w:cs="Times New Roman"/>
          <w:color w:val="000000"/>
        </w:rPr>
        <w:t>DOI : 10.4000/economierurale.2949</w:t>
      </w:r>
    </w:p>
    <w:p w14:paraId="269488E8" w14:textId="77777777" w:rsidR="001E0BBF" w:rsidRDefault="001E0BBF" w:rsidP="00804868">
      <w:pPr>
        <w:spacing w:before="240" w:after="240" w:line="240" w:lineRule="auto"/>
        <w:rPr>
          <w:rFonts w:ascii="Garamond" w:hAnsi="Garamond"/>
          <w:lang w:val="es-ES"/>
        </w:rPr>
      </w:pPr>
      <w:proofErr w:type="spellStart"/>
      <w:r w:rsidRPr="009B6D19">
        <w:rPr>
          <w:rFonts w:ascii="Garamond" w:hAnsi="Garamond"/>
        </w:rPr>
        <w:t>Kamukinga</w:t>
      </w:r>
      <w:proofErr w:type="spellEnd"/>
      <w:r w:rsidRPr="009B6D19">
        <w:rPr>
          <w:rFonts w:ascii="Garamond" w:hAnsi="Garamond"/>
        </w:rPr>
        <w:t xml:space="preserve"> (2011). Problématique de la conformité à la constitution de la loi organique sur les Entités Territoriales Décentralisées en République Démocratique du Congo. Regard sur la commune de Mont-Ngafula dans la ville de KINSHASA, </w:t>
      </w:r>
      <w:r w:rsidRPr="009B6D19">
        <w:rPr>
          <w:rFonts w:ascii="Garamond" w:hAnsi="Garamond"/>
          <w:i/>
        </w:rPr>
        <w:t xml:space="preserve">Konrad Adenauer </w:t>
      </w:r>
      <w:proofErr w:type="spellStart"/>
      <w:r w:rsidRPr="009B6D19">
        <w:rPr>
          <w:rFonts w:ascii="Garamond" w:hAnsi="Garamond"/>
          <w:i/>
        </w:rPr>
        <w:t>Stiftung</w:t>
      </w:r>
      <w:proofErr w:type="spellEnd"/>
      <w:r w:rsidRPr="009B6D19">
        <w:rPr>
          <w:rFonts w:ascii="Garamond" w:hAnsi="Garamond"/>
          <w:i/>
        </w:rPr>
        <w:t xml:space="preserve"> &amp; </w:t>
      </w:r>
      <w:proofErr w:type="spellStart"/>
      <w:r w:rsidRPr="009B6D19">
        <w:rPr>
          <w:rFonts w:ascii="Garamond" w:hAnsi="Garamond"/>
          <w:i/>
        </w:rPr>
        <w:t>Authors</w:t>
      </w:r>
      <w:proofErr w:type="spellEnd"/>
      <w:r w:rsidRPr="009B6D19">
        <w:rPr>
          <w:rFonts w:ascii="Garamond" w:hAnsi="Garamond"/>
        </w:rPr>
        <w:t>, p. 93-107.</w:t>
      </w:r>
    </w:p>
    <w:p w14:paraId="2B54F88F" w14:textId="77777777" w:rsidR="001E0BBF" w:rsidRPr="001E0BBF" w:rsidRDefault="001E0BBF" w:rsidP="00804868">
      <w:pPr>
        <w:spacing w:before="240" w:after="240" w:line="240" w:lineRule="auto"/>
        <w:rPr>
          <w:rFonts w:ascii="Garamond" w:hAnsi="Garamond"/>
          <w:lang w:val="es-ES"/>
        </w:rPr>
      </w:pPr>
      <w:proofErr w:type="spellStart"/>
      <w:r w:rsidRPr="009B6D19">
        <w:rPr>
          <w:rFonts w:ascii="Garamond" w:hAnsi="Garamond"/>
          <w:lang w:val="en-CA"/>
        </w:rPr>
        <w:t>Kessy</w:t>
      </w:r>
      <w:proofErr w:type="spellEnd"/>
      <w:r w:rsidRPr="009B6D19">
        <w:rPr>
          <w:rFonts w:ascii="Garamond" w:hAnsi="Garamond"/>
          <w:lang w:val="en-CA"/>
        </w:rPr>
        <w:t xml:space="preserve">, T.A. (2018). Decentralisation, Local Governance and Path Dependency Theory, </w:t>
      </w:r>
      <w:proofErr w:type="spellStart"/>
      <w:r w:rsidRPr="009B6D19">
        <w:rPr>
          <w:rFonts w:ascii="Garamond" w:hAnsi="Garamond"/>
          <w:i/>
          <w:lang w:val="en-CA"/>
        </w:rPr>
        <w:t>Utafiti</w:t>
      </w:r>
      <w:proofErr w:type="spellEnd"/>
      <w:r w:rsidRPr="009B6D19">
        <w:rPr>
          <w:rFonts w:ascii="Garamond" w:hAnsi="Garamond"/>
          <w:lang w:val="en-CA"/>
        </w:rPr>
        <w:t>, 13(1), p. 54-76, DOI: 10.1163/26836408-01301005</w:t>
      </w:r>
    </w:p>
    <w:p w14:paraId="75D05C57" w14:textId="77777777" w:rsidR="001E0BBF" w:rsidRPr="009B6D19" w:rsidRDefault="001E0BBF" w:rsidP="00804868">
      <w:pPr>
        <w:spacing w:before="240" w:after="240" w:line="240" w:lineRule="auto"/>
        <w:rPr>
          <w:rFonts w:ascii="Garamond" w:hAnsi="Garamond"/>
          <w:lang w:val="en-CA"/>
        </w:rPr>
      </w:pPr>
      <w:proofErr w:type="spellStart"/>
      <w:r w:rsidRPr="009B6D19">
        <w:rPr>
          <w:rFonts w:ascii="Garamond" w:hAnsi="Garamond"/>
          <w:lang w:val="en-CA"/>
        </w:rPr>
        <w:lastRenderedPageBreak/>
        <w:t>Kithatu-Kiwekete</w:t>
      </w:r>
      <w:proofErr w:type="spellEnd"/>
      <w:r w:rsidRPr="009B6D19">
        <w:rPr>
          <w:rFonts w:ascii="Garamond" w:hAnsi="Garamond"/>
          <w:lang w:val="en-CA"/>
        </w:rPr>
        <w:t xml:space="preserve">, A. (2017). Fiscal decentralization in the DRC: evidence of revenue assignment, </w:t>
      </w:r>
      <w:r w:rsidRPr="005D5825">
        <w:rPr>
          <w:rFonts w:ascii="Garamond" w:hAnsi="Garamond"/>
          <w:i/>
          <w:lang w:val="en-CA"/>
        </w:rPr>
        <w:t>International j</w:t>
      </w:r>
      <w:r w:rsidRPr="009B6D19">
        <w:rPr>
          <w:rFonts w:ascii="Garamond" w:hAnsi="Garamond"/>
          <w:i/>
          <w:lang w:val="en-CA"/>
        </w:rPr>
        <w:t>ournal of Economics and Finance Studies</w:t>
      </w:r>
      <w:r w:rsidRPr="009B6D19">
        <w:rPr>
          <w:rFonts w:ascii="Garamond" w:hAnsi="Garamond"/>
          <w:lang w:val="en-CA"/>
        </w:rPr>
        <w:t>, 2(9),</w:t>
      </w:r>
      <w:r w:rsidRPr="009B6D19">
        <w:rPr>
          <w:rFonts w:ascii="Garamond" w:hAnsi="Garamond"/>
          <w:color w:val="000000"/>
          <w:lang w:val="en-CA"/>
        </w:rPr>
        <w:t xml:space="preserve"> p. 1-</w:t>
      </w:r>
      <w:proofErr w:type="gramStart"/>
      <w:r w:rsidRPr="009B6D19">
        <w:rPr>
          <w:rFonts w:ascii="Garamond" w:hAnsi="Garamond"/>
          <w:color w:val="000000"/>
          <w:lang w:val="en-CA"/>
        </w:rPr>
        <w:t>15 ;</w:t>
      </w:r>
      <w:proofErr w:type="gramEnd"/>
    </w:p>
    <w:p w14:paraId="55736001"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Kombo</w:t>
      </w:r>
      <w:proofErr w:type="spellEnd"/>
      <w:r w:rsidRPr="009B6D19">
        <w:rPr>
          <w:rFonts w:ascii="Garamond" w:hAnsi="Garamond"/>
        </w:rPr>
        <w:t xml:space="preserve"> </w:t>
      </w:r>
      <w:proofErr w:type="spellStart"/>
      <w:r w:rsidRPr="009B6D19">
        <w:rPr>
          <w:rFonts w:ascii="Garamond" w:hAnsi="Garamond"/>
        </w:rPr>
        <w:t>Yetilo</w:t>
      </w:r>
      <w:proofErr w:type="spellEnd"/>
      <w:r w:rsidRPr="009B6D19">
        <w:rPr>
          <w:rFonts w:ascii="Garamond" w:hAnsi="Garamond"/>
        </w:rPr>
        <w:t xml:space="preserve">, J. (2010). La sous-administration territoriale en République démocratique du Congo. Etat des lieux et perspectives, in Les réformes de l'administration vues d'en bas, </w:t>
      </w:r>
      <w:r w:rsidRPr="009B6D19">
        <w:rPr>
          <w:rFonts w:ascii="Garamond" w:hAnsi="Garamond"/>
          <w:i/>
        </w:rPr>
        <w:t>Revue du Centre d’Etudes et des Recherches en Administration publique</w:t>
      </w:r>
      <w:r w:rsidRPr="009B6D19">
        <w:rPr>
          <w:rFonts w:ascii="Garamond" w:hAnsi="Garamond"/>
        </w:rPr>
        <w:t>, 3, p. 105-128</w:t>
      </w:r>
    </w:p>
    <w:p w14:paraId="41DC8138" w14:textId="77777777" w:rsidR="001E0BBF" w:rsidRDefault="001E0BBF" w:rsidP="00804868">
      <w:pPr>
        <w:spacing w:before="240" w:after="240" w:line="240" w:lineRule="auto"/>
        <w:rPr>
          <w:rFonts w:ascii="Garamond" w:hAnsi="Garamond"/>
        </w:rPr>
      </w:pPr>
      <w:proofErr w:type="spellStart"/>
      <w:r w:rsidRPr="009B6D19">
        <w:rPr>
          <w:rFonts w:ascii="Garamond" w:hAnsi="Garamond"/>
        </w:rPr>
        <w:t>Kpadé</w:t>
      </w:r>
      <w:proofErr w:type="spellEnd"/>
      <w:r w:rsidRPr="009B6D19">
        <w:rPr>
          <w:rFonts w:ascii="Garamond" w:hAnsi="Garamond"/>
        </w:rPr>
        <w:t xml:space="preserve">, P.C &amp; </w:t>
      </w:r>
      <w:proofErr w:type="spellStart"/>
      <w:r w:rsidRPr="009B6D19">
        <w:rPr>
          <w:rFonts w:ascii="Garamond" w:hAnsi="Garamond"/>
        </w:rPr>
        <w:t>Boinon</w:t>
      </w:r>
      <w:proofErr w:type="spellEnd"/>
      <w:r w:rsidRPr="009B6D19">
        <w:rPr>
          <w:rFonts w:ascii="Garamond" w:hAnsi="Garamond"/>
        </w:rPr>
        <w:t xml:space="preserve">, J-P. (2011). Dynamique des politiques cotonnières au Bénin. Une lecture par la dépendance de sentier, </w:t>
      </w:r>
      <w:r w:rsidRPr="009B6D19">
        <w:rPr>
          <w:rFonts w:ascii="Garamond" w:hAnsi="Garamond"/>
          <w:i/>
        </w:rPr>
        <w:t>Économie rurale : Agricultures, alimentations, territoires</w:t>
      </w:r>
      <w:r w:rsidRPr="009B6D19">
        <w:rPr>
          <w:rFonts w:ascii="Garamond" w:hAnsi="Garamond"/>
        </w:rPr>
        <w:t> ; 321, p. 58-72 ;</w:t>
      </w:r>
    </w:p>
    <w:p w14:paraId="435615A3" w14:textId="77777777" w:rsidR="001E0BBF" w:rsidRDefault="001E0BBF" w:rsidP="00804868">
      <w:pPr>
        <w:spacing w:before="240" w:after="240" w:line="240" w:lineRule="auto"/>
        <w:rPr>
          <w:rFonts w:ascii="Garamond" w:hAnsi="Garamond"/>
        </w:rPr>
      </w:pPr>
      <w:r w:rsidRPr="009B6D19">
        <w:rPr>
          <w:rFonts w:ascii="Garamond" w:hAnsi="Garamond"/>
        </w:rPr>
        <w:t>Le Bourhis, J-P. &amp; Lascoumes, P. (2011) Les résistances aux instruments de gouvernement. Essai d’inventaire et de typologie des pratiques. In Les</w:t>
      </w:r>
      <w:r>
        <w:rPr>
          <w:rFonts w:ascii="Garamond" w:hAnsi="Garamond"/>
        </w:rPr>
        <w:t xml:space="preserve"> </w:t>
      </w:r>
      <w:r w:rsidRPr="009B6D19">
        <w:rPr>
          <w:rFonts w:ascii="Garamond" w:hAnsi="Garamond"/>
        </w:rPr>
        <w:t>instruments d’action publique: mise en discussion théorique, p. 1-25.</w:t>
      </w:r>
    </w:p>
    <w:p w14:paraId="5888F551" w14:textId="77777777" w:rsidR="001E0BBF" w:rsidRPr="002C327A" w:rsidRDefault="001E0BBF" w:rsidP="001E0BBF">
      <w:pPr>
        <w:spacing w:before="240" w:after="240" w:line="240" w:lineRule="auto"/>
        <w:rPr>
          <w:rFonts w:ascii="Garamond" w:hAnsi="Garamond"/>
          <w:lang w:val="fr-CA"/>
        </w:rPr>
      </w:pPr>
      <w:r w:rsidRPr="002C327A">
        <w:rPr>
          <w:rFonts w:ascii="Garamond" w:hAnsi="Garamond"/>
          <w:lang w:val="fr-CA"/>
        </w:rPr>
        <w:t xml:space="preserve">Leclerc, G. ; Moynagh, W.D, Boisclair, J-P &amp; Hanson, H.R. (1996). Partie 1. Reddition des comptes, in Reddition de comptes, rapports sur la performance et vérification intégrée - une vue d’ensemble, </w:t>
      </w:r>
      <w:r w:rsidRPr="002C327A">
        <w:rPr>
          <w:rFonts w:ascii="Garamond" w:hAnsi="Garamond"/>
          <w:i/>
          <w:lang w:val="fr-CA"/>
        </w:rPr>
        <w:t>Ottawa canada : CCAF-FCVI Inc</w:t>
      </w:r>
      <w:r w:rsidRPr="002C327A">
        <w:rPr>
          <w:rFonts w:ascii="Garamond" w:hAnsi="Garamond"/>
          <w:lang w:val="fr-CA"/>
        </w:rPr>
        <w:t>, p. 3-99</w:t>
      </w:r>
    </w:p>
    <w:p w14:paraId="1937FBDF" w14:textId="77777777" w:rsidR="001E0BBF" w:rsidRDefault="001E0BBF" w:rsidP="00D74E9A">
      <w:pPr>
        <w:spacing w:before="240" w:after="240" w:line="240" w:lineRule="auto"/>
        <w:rPr>
          <w:rFonts w:ascii="Garamond" w:hAnsi="Garamond"/>
        </w:rPr>
      </w:pPr>
      <w:r w:rsidRPr="00166342">
        <w:rPr>
          <w:rFonts w:ascii="Garamond" w:hAnsi="Garamond"/>
        </w:rPr>
        <w:t xml:space="preserve">Lecours, A. (2002). L’approche néo-institutionnaliste en science politique : unité ou diversité? </w:t>
      </w:r>
      <w:r w:rsidRPr="00166342">
        <w:rPr>
          <w:rFonts w:ascii="Garamond" w:hAnsi="Garamond"/>
          <w:i/>
        </w:rPr>
        <w:t>Politique et Sociétés</w:t>
      </w:r>
      <w:r w:rsidRPr="00166342">
        <w:rPr>
          <w:rFonts w:ascii="Garamond" w:hAnsi="Garamond"/>
        </w:rPr>
        <w:t xml:space="preserve">, 21(3), 3–19. </w:t>
      </w:r>
      <w:hyperlink r:id="rId52" w:history="1">
        <w:r w:rsidRPr="00166342">
          <w:rPr>
            <w:rFonts w:ascii="Garamond" w:hAnsi="Garamond"/>
          </w:rPr>
          <w:t>https://doi.org/10.7202/000494ar</w:t>
        </w:r>
      </w:hyperlink>
      <w:r w:rsidRPr="00D74E9A">
        <w:rPr>
          <w:rFonts w:ascii="Garamond" w:hAnsi="Garamond"/>
        </w:rPr>
        <w:t xml:space="preserve"> </w:t>
      </w:r>
    </w:p>
    <w:p w14:paraId="13C64C84" w14:textId="77777777" w:rsidR="001E0BBF" w:rsidRPr="009B6D19" w:rsidRDefault="001E0BBF" w:rsidP="00D74E9A">
      <w:pPr>
        <w:spacing w:before="240" w:after="240" w:line="240" w:lineRule="auto"/>
        <w:rPr>
          <w:rFonts w:ascii="Garamond" w:hAnsi="Garamond"/>
        </w:rPr>
      </w:pPr>
      <w:r>
        <w:rPr>
          <w:rFonts w:ascii="Garamond" w:hAnsi="Garamond"/>
        </w:rPr>
        <w:t>Lefèvre, P. (2012). Chapitre 5. La responsabilité et la délégation, in Guide du métier du cadre, p.155-174</w:t>
      </w:r>
    </w:p>
    <w:p w14:paraId="397227C4" w14:textId="77777777" w:rsidR="001E0BBF" w:rsidRDefault="001E0BBF" w:rsidP="00804868">
      <w:pPr>
        <w:spacing w:before="240" w:after="240" w:line="240" w:lineRule="auto"/>
        <w:rPr>
          <w:rFonts w:ascii="Garamond" w:hAnsi="Garamond"/>
        </w:rPr>
      </w:pPr>
      <w:r w:rsidRPr="009B6D19">
        <w:rPr>
          <w:rFonts w:ascii="Garamond" w:hAnsi="Garamond"/>
        </w:rPr>
        <w:t xml:space="preserve">Leiderer, S. &amp; </w:t>
      </w:r>
      <w:proofErr w:type="spellStart"/>
      <w:proofErr w:type="gramStart"/>
      <w:r w:rsidRPr="009B6D19">
        <w:rPr>
          <w:rFonts w:ascii="Garamond" w:hAnsi="Garamond"/>
        </w:rPr>
        <w:t>Wolff,P</w:t>
      </w:r>
      <w:proofErr w:type="spellEnd"/>
      <w:r w:rsidRPr="009B6D19">
        <w:rPr>
          <w:rFonts w:ascii="Garamond" w:hAnsi="Garamond"/>
        </w:rPr>
        <w:t>.</w:t>
      </w:r>
      <w:proofErr w:type="gramEnd"/>
      <w:r w:rsidRPr="009B6D19">
        <w:rPr>
          <w:rFonts w:ascii="Garamond" w:hAnsi="Garamond"/>
        </w:rPr>
        <w:t xml:space="preserve"> (2007) ; « Gestion des finances publiques : une contribution à la bonne gouvernance financière », </w:t>
      </w:r>
      <w:r w:rsidRPr="005D5825">
        <w:rPr>
          <w:rFonts w:ascii="Garamond" w:hAnsi="Garamond"/>
          <w:i/>
        </w:rPr>
        <w:t>Annuaire suisse de politique de développement</w:t>
      </w:r>
      <w:r w:rsidRPr="009B6D19">
        <w:rPr>
          <w:rFonts w:ascii="Garamond" w:hAnsi="Garamond"/>
        </w:rPr>
        <w:t xml:space="preserve"> , p. 175-195, DOI : 10.4000/aspd.142</w:t>
      </w:r>
    </w:p>
    <w:p w14:paraId="33811E9D" w14:textId="53798ADF" w:rsidR="00C84C9C" w:rsidRPr="0039293B" w:rsidRDefault="00C84C9C" w:rsidP="00C84C9C">
      <w:pPr>
        <w:pStyle w:val="Default"/>
        <w:rPr>
          <w:rFonts w:ascii="Garamond" w:hAnsi="Garamond"/>
        </w:rPr>
      </w:pPr>
      <w:r w:rsidRPr="0039293B">
        <w:rPr>
          <w:rFonts w:ascii="Garamond" w:hAnsi="Garamond"/>
        </w:rPr>
        <w:t>Lemieux</w:t>
      </w:r>
      <w:r>
        <w:rPr>
          <w:rFonts w:ascii="Garamond" w:hAnsi="Garamond"/>
        </w:rPr>
        <w:t>, V.</w:t>
      </w:r>
      <w:r w:rsidRPr="0039293B">
        <w:rPr>
          <w:rFonts w:ascii="Garamond" w:hAnsi="Garamond"/>
        </w:rPr>
        <w:t xml:space="preserve"> (2001), Décentralisation, politiques publiques et relations de pouvoir</w:t>
      </w:r>
      <w:r>
        <w:rPr>
          <w:rFonts w:ascii="Garamond" w:hAnsi="Garamond"/>
        </w:rPr>
        <w:t xml:space="preserve">, </w:t>
      </w:r>
      <w:r w:rsidRPr="0039293B">
        <w:rPr>
          <w:rFonts w:ascii="Garamond" w:hAnsi="Garamond"/>
          <w:i/>
        </w:rPr>
        <w:t>Les Presses de l’Université de Montréal</w:t>
      </w:r>
      <w:r w:rsidRPr="0039293B">
        <w:rPr>
          <w:rFonts w:ascii="Garamond" w:hAnsi="Garamond"/>
        </w:rPr>
        <w:t xml:space="preserve">, </w:t>
      </w:r>
      <w:r>
        <w:rPr>
          <w:rFonts w:ascii="Garamond" w:hAnsi="Garamond"/>
        </w:rPr>
        <w:t>p. 1-210</w:t>
      </w:r>
    </w:p>
    <w:p w14:paraId="6B6C4C70"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Léon de St Moulin (2015). Enjeux et défis du découpage administratif, in Décentralisation pour une administration de proximité, </w:t>
      </w:r>
      <w:r w:rsidRPr="009B6D19">
        <w:rPr>
          <w:rFonts w:ascii="Garamond" w:hAnsi="Garamond"/>
          <w:i/>
        </w:rPr>
        <w:t xml:space="preserve">Le Journal du fonctionnaire, </w:t>
      </w:r>
      <w:r w:rsidRPr="009B6D19">
        <w:rPr>
          <w:rFonts w:ascii="Garamond" w:hAnsi="Garamond"/>
        </w:rPr>
        <w:t>3, p. 34-38</w:t>
      </w:r>
    </w:p>
    <w:p w14:paraId="5E5BED06" w14:textId="77777777" w:rsidR="001E0BBF" w:rsidRPr="0086008A" w:rsidRDefault="001E0BBF" w:rsidP="00804868">
      <w:pPr>
        <w:spacing w:before="240" w:after="240" w:line="240" w:lineRule="auto"/>
        <w:rPr>
          <w:rFonts w:ascii="Garamond" w:hAnsi="Garamond"/>
        </w:rPr>
      </w:pPr>
      <w:r w:rsidRPr="0086008A">
        <w:rPr>
          <w:rFonts w:ascii="Garamond" w:hAnsi="Garamond"/>
        </w:rPr>
        <w:t xml:space="preserve">Levy(2002). Modernisation, </w:t>
      </w:r>
      <w:proofErr w:type="spellStart"/>
      <w:r w:rsidRPr="0086008A">
        <w:rPr>
          <w:rFonts w:ascii="Garamond" w:hAnsi="Garamond"/>
        </w:rPr>
        <w:t>decentralisation</w:t>
      </w:r>
      <w:proofErr w:type="spellEnd"/>
      <w:r w:rsidRPr="0086008A">
        <w:rPr>
          <w:rFonts w:ascii="Garamond" w:hAnsi="Garamond"/>
        </w:rPr>
        <w:t xml:space="preserve"> and </w:t>
      </w:r>
      <w:proofErr w:type="spellStart"/>
      <w:r w:rsidRPr="0086008A">
        <w:rPr>
          <w:rFonts w:ascii="Garamond" w:hAnsi="Garamond"/>
        </w:rPr>
        <w:t>governance</w:t>
      </w:r>
      <w:proofErr w:type="spellEnd"/>
      <w:r w:rsidRPr="0086008A">
        <w:rPr>
          <w:rFonts w:ascii="Garamond" w:hAnsi="Garamond"/>
        </w:rPr>
        <w:t xml:space="preserve">: A public management perspective, </w:t>
      </w:r>
      <w:r w:rsidRPr="005D5825">
        <w:rPr>
          <w:rFonts w:ascii="Garamond" w:hAnsi="Garamond"/>
          <w:i/>
        </w:rPr>
        <w:t xml:space="preserve">PSA </w:t>
      </w:r>
      <w:proofErr w:type="spellStart"/>
      <w:r w:rsidRPr="005D5825">
        <w:rPr>
          <w:rFonts w:ascii="Garamond" w:hAnsi="Garamond"/>
          <w:i/>
        </w:rPr>
        <w:t>Annual</w:t>
      </w:r>
      <w:proofErr w:type="spellEnd"/>
      <w:r w:rsidRPr="005D5825">
        <w:rPr>
          <w:rFonts w:ascii="Garamond" w:hAnsi="Garamond"/>
          <w:i/>
        </w:rPr>
        <w:t xml:space="preserve"> </w:t>
      </w:r>
      <w:proofErr w:type="spellStart"/>
      <w:r w:rsidRPr="005D5825">
        <w:rPr>
          <w:rFonts w:ascii="Garamond" w:hAnsi="Garamond"/>
          <w:i/>
        </w:rPr>
        <w:t>Conference</w:t>
      </w:r>
      <w:proofErr w:type="spellEnd"/>
      <w:r w:rsidRPr="005D5825">
        <w:rPr>
          <w:rFonts w:ascii="Garamond" w:hAnsi="Garamond"/>
          <w:i/>
        </w:rPr>
        <w:t xml:space="preserve">, </w:t>
      </w:r>
      <w:proofErr w:type="spellStart"/>
      <w:r w:rsidRPr="005D5825">
        <w:rPr>
          <w:rFonts w:ascii="Garamond" w:hAnsi="Garamond"/>
          <w:i/>
        </w:rPr>
        <w:t>University</w:t>
      </w:r>
      <w:proofErr w:type="spellEnd"/>
      <w:r w:rsidRPr="005D5825">
        <w:rPr>
          <w:rFonts w:ascii="Garamond" w:hAnsi="Garamond"/>
          <w:i/>
        </w:rPr>
        <w:t xml:space="preserve"> of Aberdeen</w:t>
      </w:r>
      <w:r w:rsidRPr="0086008A">
        <w:rPr>
          <w:rFonts w:ascii="Garamond" w:hAnsi="Garamond"/>
        </w:rPr>
        <w:t>, 4-6 April 2002</w:t>
      </w:r>
    </w:p>
    <w:p w14:paraId="07A0F7D1"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Liégeois, M. (2008). Acteurs et enjeux du processus de décentralisation, in La décentralisation en RD Congo, enjeux et défis, </w:t>
      </w:r>
      <w:r w:rsidRPr="005D5825">
        <w:rPr>
          <w:rFonts w:ascii="Garamond" w:hAnsi="Garamond"/>
          <w:i/>
        </w:rPr>
        <w:t>Les rapports du Grip</w:t>
      </w:r>
      <w:r w:rsidRPr="009B6D19">
        <w:rPr>
          <w:rFonts w:ascii="Garamond" w:hAnsi="Garamond"/>
        </w:rPr>
        <w:t>, p. 67-84</w:t>
      </w:r>
    </w:p>
    <w:p w14:paraId="454FD156"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Lienert</w:t>
      </w:r>
      <w:proofErr w:type="spellEnd"/>
      <w:r w:rsidRPr="009B6D19">
        <w:rPr>
          <w:rFonts w:ascii="Garamond" w:hAnsi="Garamond"/>
        </w:rPr>
        <w:t xml:space="preserve">, I. (2012). Préalables nécessaires à la conduite d’une réforme budgétaire axée sur les programmes et les performances, in Élaborer un budget basé sur les résultats : Vers une budgétisation axée sur les performances, </w:t>
      </w:r>
      <w:r w:rsidRPr="009B6D19">
        <w:rPr>
          <w:rFonts w:ascii="Garamond" w:hAnsi="Garamond"/>
          <w:i/>
          <w:iCs/>
        </w:rPr>
        <w:t xml:space="preserve">Collaborative </w:t>
      </w:r>
      <w:proofErr w:type="spellStart"/>
      <w:r w:rsidRPr="009B6D19">
        <w:rPr>
          <w:rFonts w:ascii="Garamond" w:hAnsi="Garamond"/>
          <w:i/>
          <w:iCs/>
        </w:rPr>
        <w:t>Africa</w:t>
      </w:r>
      <w:proofErr w:type="spellEnd"/>
      <w:r w:rsidRPr="009B6D19">
        <w:rPr>
          <w:rFonts w:ascii="Garamond" w:hAnsi="Garamond"/>
          <w:i/>
          <w:iCs/>
        </w:rPr>
        <w:t xml:space="preserve"> Budget Reform Initiative(CABRI), p. 10-38</w:t>
      </w:r>
    </w:p>
    <w:p w14:paraId="0C81240A"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Long, M. (1996). Gestion déléguée de Services publics: dans le cadre du plan d'action </w:t>
      </w:r>
      <w:proofErr w:type="spellStart"/>
      <w:r w:rsidRPr="009B6D19">
        <w:rPr>
          <w:rFonts w:ascii="Garamond" w:hAnsi="Garamond"/>
        </w:rPr>
        <w:t>regional</w:t>
      </w:r>
      <w:proofErr w:type="spellEnd"/>
      <w:r>
        <w:rPr>
          <w:rFonts w:ascii="Garamond" w:hAnsi="Garamond"/>
        </w:rPr>
        <w:t xml:space="preserve"> </w:t>
      </w:r>
      <w:r w:rsidRPr="009B6D19">
        <w:rPr>
          <w:rFonts w:ascii="Garamond" w:hAnsi="Garamond"/>
        </w:rPr>
        <w:t xml:space="preserve">énergie environnement urbain dans les pays méditerranéens, </w:t>
      </w:r>
      <w:r w:rsidRPr="005D5825">
        <w:rPr>
          <w:rFonts w:ascii="Garamond" w:hAnsi="Garamond"/>
          <w:i/>
        </w:rPr>
        <w:t>La Revue administrative</w:t>
      </w:r>
      <w:r w:rsidRPr="009B6D19">
        <w:rPr>
          <w:rFonts w:ascii="Garamond" w:hAnsi="Garamond"/>
        </w:rPr>
        <w:t xml:space="preserve">, 49(294), p.624-628, </w:t>
      </w:r>
      <w:hyperlink r:id="rId53" w:history="1">
        <w:r w:rsidRPr="009B6D19">
          <w:rPr>
            <w:rStyle w:val="Hyperlink"/>
            <w:rFonts w:ascii="Garamond" w:hAnsi="Garamond"/>
          </w:rPr>
          <w:t>https://www.jstor.org/stable/40770716</w:t>
        </w:r>
      </w:hyperlink>
    </w:p>
    <w:p w14:paraId="51504370"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Lotoy</w:t>
      </w:r>
      <w:proofErr w:type="spellEnd"/>
      <w:r w:rsidRPr="009B6D19">
        <w:rPr>
          <w:rFonts w:ascii="Garamond" w:hAnsi="Garamond"/>
        </w:rPr>
        <w:t xml:space="preserve"> Ilango, B. J-P. (2013). 6. La décentralisation territoriale et le développement des entités locales en République Démocratique du Congo (RDC), in Les réformes du secteur public en République démocratique du Congo, p. 107-130</w:t>
      </w:r>
    </w:p>
    <w:p w14:paraId="0F37F52F" w14:textId="77777777" w:rsidR="001E0BBF" w:rsidRPr="009B6D19" w:rsidRDefault="001E0BBF" w:rsidP="00804868">
      <w:pPr>
        <w:spacing w:before="240" w:after="240" w:line="240" w:lineRule="auto"/>
        <w:rPr>
          <w:rFonts w:ascii="Garamond" w:hAnsi="Garamond"/>
        </w:rPr>
      </w:pPr>
      <w:r w:rsidRPr="009B6D19">
        <w:rPr>
          <w:rFonts w:ascii="Garamond" w:hAnsi="Garamond"/>
        </w:rPr>
        <w:lastRenderedPageBreak/>
        <w:t xml:space="preserve">Mabiala, P. M-N. (2009). Processus de décentralisation en République Démocratique du Congo, </w:t>
      </w:r>
      <w:r w:rsidRPr="009B6D19">
        <w:rPr>
          <w:rFonts w:ascii="Garamond" w:hAnsi="Garamond"/>
          <w:i/>
        </w:rPr>
        <w:t>Fondation Konrad Adenauer</w:t>
      </w:r>
      <w:r w:rsidRPr="009B6D19">
        <w:rPr>
          <w:rFonts w:ascii="Garamond" w:hAnsi="Garamond"/>
        </w:rPr>
        <w:t>, p. 1-173</w:t>
      </w:r>
    </w:p>
    <w:p w14:paraId="70C5C937"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Magrin</w:t>
      </w:r>
      <w:proofErr w:type="spellEnd"/>
      <w:r w:rsidRPr="009B6D19">
        <w:rPr>
          <w:rFonts w:ascii="Garamond" w:hAnsi="Garamond"/>
        </w:rPr>
        <w:t xml:space="preserve">, G. (2013). 7. Les politiques locales de la rente, in Réconcilier ressources et territoires ?, voyage en Afrique rentière, </w:t>
      </w:r>
      <w:r w:rsidRPr="009B6D19">
        <w:rPr>
          <w:rFonts w:ascii="Garamond" w:hAnsi="Garamond"/>
          <w:i/>
        </w:rPr>
        <w:t>Editions de la Sorbonne</w:t>
      </w:r>
      <w:r w:rsidRPr="009B6D19">
        <w:rPr>
          <w:rFonts w:ascii="Garamond" w:hAnsi="Garamond"/>
        </w:rPr>
        <w:t xml:space="preserve">, p. 251-279, </w:t>
      </w:r>
    </w:p>
    <w:p w14:paraId="6EC52535" w14:textId="77777777" w:rsidR="001E0BBF" w:rsidRPr="009B6D19" w:rsidRDefault="001E0BBF" w:rsidP="00804868">
      <w:pPr>
        <w:spacing w:before="240" w:after="240" w:line="240" w:lineRule="auto"/>
        <w:rPr>
          <w:rFonts w:ascii="Garamond" w:hAnsi="Garamond"/>
          <w:lang w:val="en-CA"/>
        </w:rPr>
      </w:pPr>
      <w:r w:rsidRPr="009B6D19">
        <w:rPr>
          <w:rFonts w:ascii="Garamond" w:hAnsi="Garamond"/>
          <w:lang w:val="en-CA"/>
        </w:rPr>
        <w:t xml:space="preserve">Mahoney, J. (2000). Path Dependence in Historical Sociology, </w:t>
      </w:r>
      <w:r w:rsidRPr="009B6D19">
        <w:rPr>
          <w:rFonts w:ascii="Garamond" w:hAnsi="Garamond"/>
          <w:i/>
          <w:lang w:val="en-CA"/>
        </w:rPr>
        <w:t>Theory and Society</w:t>
      </w:r>
      <w:r w:rsidRPr="009B6D19">
        <w:rPr>
          <w:rFonts w:ascii="Garamond" w:hAnsi="Garamond"/>
          <w:lang w:val="en-CA"/>
        </w:rPr>
        <w:t xml:space="preserve">, 29(4), p. 507-548, </w:t>
      </w:r>
      <w:hyperlink r:id="rId54" w:history="1">
        <w:r w:rsidRPr="009B6D19">
          <w:rPr>
            <w:rFonts w:ascii="Garamond" w:hAnsi="Garamond"/>
            <w:lang w:val="en-CA"/>
          </w:rPr>
          <w:t>http://www.jstor.org/stable/3108585</w:t>
        </w:r>
      </w:hyperlink>
      <w:r w:rsidRPr="009B6D19">
        <w:rPr>
          <w:rFonts w:ascii="Garamond" w:hAnsi="Garamond"/>
          <w:lang w:val="en-CA"/>
        </w:rPr>
        <w:t>;</w:t>
      </w:r>
    </w:p>
    <w:p w14:paraId="1C31678E" w14:textId="77777777" w:rsidR="001E0BBF" w:rsidRDefault="001E0BBF" w:rsidP="00804868">
      <w:pPr>
        <w:spacing w:before="240" w:after="240" w:line="240" w:lineRule="auto"/>
        <w:rPr>
          <w:rFonts w:ascii="Garamond" w:hAnsi="Garamond"/>
          <w:lang w:val="en-CA"/>
        </w:rPr>
      </w:pPr>
      <w:r w:rsidRPr="009B6D19">
        <w:rPr>
          <w:rFonts w:ascii="Garamond" w:hAnsi="Garamond"/>
          <w:lang w:val="en-CA"/>
        </w:rPr>
        <w:t xml:space="preserve">Mahoney, J. (2001). Path-dependent explanations of regime change: Central America in comparative..., </w:t>
      </w:r>
      <w:r w:rsidRPr="0062588D">
        <w:rPr>
          <w:rFonts w:ascii="Garamond" w:hAnsi="Garamond"/>
          <w:i/>
          <w:lang w:val="en-CA"/>
        </w:rPr>
        <w:t>Studies in Comparative International Development</w:t>
      </w:r>
      <w:r w:rsidRPr="009B6D19">
        <w:rPr>
          <w:rFonts w:ascii="Garamond" w:hAnsi="Garamond"/>
          <w:lang w:val="en-CA"/>
        </w:rPr>
        <w:t>; 1(36), p. 111-141</w:t>
      </w:r>
    </w:p>
    <w:p w14:paraId="106C8ABF" w14:textId="77777777" w:rsidR="00A97E3B" w:rsidRPr="00362699" w:rsidRDefault="00A97E3B" w:rsidP="00A97E3B">
      <w:pPr>
        <w:spacing w:after="0" w:line="240" w:lineRule="auto"/>
        <w:rPr>
          <w:rFonts w:ascii="Garamond" w:hAnsi="Garamond"/>
        </w:rPr>
      </w:pPr>
      <w:r w:rsidRPr="00362699">
        <w:rPr>
          <w:rFonts w:ascii="Garamond" w:hAnsi="Garamond" w:cstheme="minorBidi"/>
        </w:rPr>
        <w:t xml:space="preserve">Mahoney, J. &amp; </w:t>
      </w:r>
      <w:proofErr w:type="spellStart"/>
      <w:r w:rsidRPr="00362699">
        <w:rPr>
          <w:rFonts w:ascii="Garamond" w:hAnsi="Garamond" w:cstheme="minorBidi"/>
        </w:rPr>
        <w:t>Thelen</w:t>
      </w:r>
      <w:proofErr w:type="spellEnd"/>
      <w:r w:rsidRPr="00362699">
        <w:rPr>
          <w:rFonts w:ascii="Garamond" w:hAnsi="Garamond" w:cstheme="minorBidi"/>
        </w:rPr>
        <w:t>, K. (201</w:t>
      </w:r>
      <w:r w:rsidRPr="00362699">
        <w:rPr>
          <w:rFonts w:ascii="Garamond" w:hAnsi="Garamond"/>
        </w:rPr>
        <w:t>0</w:t>
      </w:r>
      <w:r w:rsidRPr="00362699">
        <w:rPr>
          <w:rFonts w:ascii="Garamond" w:hAnsi="Garamond" w:cstheme="minorBidi"/>
        </w:rPr>
        <w:t xml:space="preserve">). A Theory of </w:t>
      </w:r>
      <w:proofErr w:type="spellStart"/>
      <w:r w:rsidRPr="00362699">
        <w:rPr>
          <w:rFonts w:ascii="Garamond" w:hAnsi="Garamond" w:cstheme="minorBidi"/>
        </w:rPr>
        <w:t>Gradual</w:t>
      </w:r>
      <w:proofErr w:type="spellEnd"/>
      <w:r w:rsidRPr="00362699">
        <w:rPr>
          <w:rFonts w:ascii="Garamond" w:hAnsi="Garamond" w:cstheme="minorBidi"/>
        </w:rPr>
        <w:t xml:space="preserve"> </w:t>
      </w:r>
      <w:proofErr w:type="spellStart"/>
      <w:r w:rsidRPr="00362699">
        <w:rPr>
          <w:rFonts w:ascii="Garamond" w:hAnsi="Garamond" w:cstheme="minorBidi"/>
        </w:rPr>
        <w:t>Institutional</w:t>
      </w:r>
      <w:proofErr w:type="spellEnd"/>
      <w:r w:rsidRPr="00362699">
        <w:rPr>
          <w:rFonts w:ascii="Garamond" w:hAnsi="Garamond" w:cstheme="minorBidi"/>
        </w:rPr>
        <w:t xml:space="preserve"> Change</w:t>
      </w:r>
      <w:r w:rsidRPr="00362699">
        <w:rPr>
          <w:rFonts w:ascii="Garamond" w:hAnsi="Garamond"/>
        </w:rPr>
        <w:t xml:space="preserve">, </w:t>
      </w:r>
      <w:r w:rsidRPr="00362699">
        <w:rPr>
          <w:rFonts w:ascii="Garamond" w:hAnsi="Garamond" w:cs="Georgia"/>
          <w:i/>
        </w:rPr>
        <w:t xml:space="preserve">Cambridge </w:t>
      </w:r>
      <w:proofErr w:type="spellStart"/>
      <w:r w:rsidRPr="00362699">
        <w:rPr>
          <w:rFonts w:ascii="Garamond" w:hAnsi="Garamond" w:cs="Georgia"/>
          <w:i/>
        </w:rPr>
        <w:t>University</w:t>
      </w:r>
      <w:proofErr w:type="spellEnd"/>
      <w:r w:rsidRPr="00362699">
        <w:rPr>
          <w:rFonts w:ascii="Garamond" w:hAnsi="Garamond" w:cs="Georgia"/>
          <w:i/>
        </w:rPr>
        <w:t xml:space="preserve"> </w:t>
      </w:r>
      <w:proofErr w:type="spellStart"/>
      <w:r w:rsidRPr="00362699">
        <w:rPr>
          <w:rFonts w:ascii="Garamond" w:hAnsi="Garamond" w:cs="Georgia"/>
          <w:i/>
        </w:rPr>
        <w:t>Press</w:t>
      </w:r>
      <w:proofErr w:type="spellEnd"/>
      <w:r w:rsidRPr="00362699">
        <w:rPr>
          <w:rFonts w:ascii="Garamond" w:hAnsi="Garamond" w:cs="Georgia"/>
        </w:rPr>
        <w:t xml:space="preserve">, p. 1-10, </w:t>
      </w:r>
      <w:r w:rsidRPr="00362699">
        <w:rPr>
          <w:rFonts w:ascii="Garamond" w:hAnsi="Garamond" w:cstheme="minorBidi"/>
        </w:rPr>
        <w:t>DO</w:t>
      </w:r>
      <w:r w:rsidRPr="00362699">
        <w:rPr>
          <w:rFonts w:ascii="Garamond" w:hAnsi="Garamond"/>
        </w:rPr>
        <w:t>I: 10.1017/CBO9780511806414.003</w:t>
      </w:r>
    </w:p>
    <w:p w14:paraId="2E5E6B75" w14:textId="77777777" w:rsidR="001E0BBF" w:rsidRPr="0086008A" w:rsidRDefault="001E0BBF" w:rsidP="00804868">
      <w:pPr>
        <w:spacing w:line="240" w:lineRule="auto"/>
        <w:jc w:val="left"/>
        <w:rPr>
          <w:rFonts w:ascii="Garamond" w:hAnsi="Garamond"/>
          <w:lang w:val="fr-CA"/>
        </w:rPr>
      </w:pPr>
      <w:r w:rsidRPr="0086008A">
        <w:rPr>
          <w:rFonts w:ascii="Garamond" w:hAnsi="Garamond"/>
          <w:lang w:val="fr-CA"/>
        </w:rPr>
        <w:t>Maillet, A. &amp; </w:t>
      </w:r>
      <w:proofErr w:type="spellStart"/>
      <w:r w:rsidRPr="0086008A">
        <w:rPr>
          <w:rFonts w:ascii="Garamond" w:hAnsi="Garamond"/>
          <w:lang w:val="fr-CA"/>
        </w:rPr>
        <w:t>Mayaux</w:t>
      </w:r>
      <w:proofErr w:type="spellEnd"/>
      <w:r w:rsidRPr="0086008A">
        <w:rPr>
          <w:rFonts w:ascii="Garamond" w:hAnsi="Garamond"/>
          <w:lang w:val="fr-CA"/>
        </w:rPr>
        <w:t>, P. (2018). Le process tracing: Entre narration historique et raisonnement expérimental. </w:t>
      </w:r>
      <w:r w:rsidRPr="00522024">
        <w:rPr>
          <w:rFonts w:ascii="Garamond" w:hAnsi="Garamond"/>
          <w:i/>
          <w:lang w:val="fr-CA"/>
        </w:rPr>
        <w:t>Revue française de science politique</w:t>
      </w:r>
      <w:r w:rsidRPr="0086008A">
        <w:rPr>
          <w:rFonts w:ascii="Garamond" w:hAnsi="Garamond"/>
          <w:lang w:val="fr-CA"/>
        </w:rPr>
        <w:t>, 68, 1061-1082</w:t>
      </w:r>
      <w:r>
        <w:rPr>
          <w:rFonts w:ascii="Garamond" w:hAnsi="Garamond"/>
          <w:lang w:val="fr-CA"/>
        </w:rPr>
        <w:t xml:space="preserve">, </w:t>
      </w:r>
      <w:hyperlink r:id="rId55" w:history="1">
        <w:r w:rsidRPr="0086008A">
          <w:rPr>
            <w:rFonts w:ascii="Garamond" w:hAnsi="Garamond"/>
            <w:lang w:val="fr-CA"/>
          </w:rPr>
          <w:t>https://doi.org/10.3917/rfsp.686.1061</w:t>
        </w:r>
      </w:hyperlink>
    </w:p>
    <w:p w14:paraId="5BB9ABDC" w14:textId="77777777" w:rsidR="00B818B0" w:rsidRDefault="001E0BBF" w:rsidP="00B818B0">
      <w:pPr>
        <w:spacing w:before="240" w:after="240" w:line="240" w:lineRule="auto"/>
        <w:rPr>
          <w:rFonts w:ascii="Garamond" w:hAnsi="Garamond"/>
          <w:lang w:val="en-CA"/>
        </w:rPr>
      </w:pPr>
      <w:r w:rsidRPr="009B6D19">
        <w:rPr>
          <w:rFonts w:ascii="Garamond" w:hAnsi="Garamond"/>
          <w:lang w:val="en-CA"/>
        </w:rPr>
        <w:t xml:space="preserve">Martin, R. &amp; </w:t>
      </w:r>
      <w:proofErr w:type="spellStart"/>
      <w:r w:rsidRPr="009B6D19">
        <w:rPr>
          <w:rFonts w:ascii="Garamond" w:hAnsi="Garamond"/>
          <w:lang w:val="en-CA"/>
        </w:rPr>
        <w:t>Sunley</w:t>
      </w:r>
      <w:proofErr w:type="spellEnd"/>
      <w:r>
        <w:rPr>
          <w:rFonts w:ascii="Garamond" w:hAnsi="Garamond"/>
          <w:lang w:val="en-CA"/>
        </w:rPr>
        <w:t xml:space="preserve">, </w:t>
      </w:r>
      <w:proofErr w:type="gramStart"/>
      <w:r>
        <w:rPr>
          <w:rFonts w:ascii="Garamond" w:hAnsi="Garamond"/>
          <w:lang w:val="en-CA"/>
        </w:rPr>
        <w:t>P.</w:t>
      </w:r>
      <w:r w:rsidRPr="009B6D19">
        <w:rPr>
          <w:rFonts w:ascii="Garamond" w:hAnsi="Garamond"/>
          <w:lang w:val="en-CA"/>
        </w:rPr>
        <w:t>(</w:t>
      </w:r>
      <w:proofErr w:type="gramEnd"/>
      <w:r w:rsidRPr="009B6D19">
        <w:rPr>
          <w:rFonts w:ascii="Garamond" w:hAnsi="Garamond"/>
          <w:lang w:val="en-CA"/>
        </w:rPr>
        <w:t>2006)</w:t>
      </w:r>
      <w:r>
        <w:rPr>
          <w:rFonts w:ascii="Garamond" w:hAnsi="Garamond"/>
          <w:lang w:val="en-CA"/>
        </w:rPr>
        <w:t>.</w:t>
      </w:r>
      <w:r w:rsidRPr="009B6D19">
        <w:rPr>
          <w:rFonts w:ascii="Garamond" w:hAnsi="Garamond"/>
          <w:lang w:val="en-CA"/>
        </w:rPr>
        <w:t xml:space="preserve"> Path dependence and regional economic evolution, </w:t>
      </w:r>
      <w:r w:rsidRPr="009B6D19">
        <w:rPr>
          <w:rFonts w:ascii="Garamond" w:hAnsi="Garamond"/>
          <w:i/>
          <w:lang w:val="en-CA"/>
        </w:rPr>
        <w:t>Journal of Economic Geography</w:t>
      </w:r>
      <w:r>
        <w:rPr>
          <w:rFonts w:ascii="Garamond" w:hAnsi="Garamond"/>
          <w:lang w:val="en-CA"/>
        </w:rPr>
        <w:t>, p</w:t>
      </w:r>
      <w:r w:rsidRPr="009B6D19">
        <w:rPr>
          <w:rFonts w:ascii="Garamond" w:hAnsi="Garamond"/>
          <w:lang w:val="en-CA"/>
        </w:rPr>
        <w:t xml:space="preserve">. </w:t>
      </w:r>
      <w:r w:rsidR="00B818B0">
        <w:rPr>
          <w:rFonts w:ascii="Garamond" w:hAnsi="Garamond"/>
          <w:lang w:val="en-CA"/>
        </w:rPr>
        <w:t>395–437, doi:10.1093/</w:t>
      </w:r>
      <w:proofErr w:type="spellStart"/>
      <w:r w:rsidR="00B818B0">
        <w:rPr>
          <w:rFonts w:ascii="Garamond" w:hAnsi="Garamond"/>
          <w:lang w:val="en-CA"/>
        </w:rPr>
        <w:t>jeg</w:t>
      </w:r>
      <w:proofErr w:type="spellEnd"/>
      <w:r w:rsidR="00B818B0">
        <w:rPr>
          <w:rFonts w:ascii="Garamond" w:hAnsi="Garamond"/>
          <w:lang w:val="en-CA"/>
        </w:rPr>
        <w:t>/lbl012</w:t>
      </w:r>
    </w:p>
    <w:p w14:paraId="0041AFD4" w14:textId="7D030B22" w:rsidR="00B818B0" w:rsidRPr="00B818B0" w:rsidRDefault="00B818B0" w:rsidP="00B818B0">
      <w:pPr>
        <w:spacing w:before="240" w:after="240" w:line="240" w:lineRule="auto"/>
        <w:rPr>
          <w:rFonts w:ascii="Garamond" w:hAnsi="Garamond"/>
          <w:lang w:val="en-CA"/>
        </w:rPr>
      </w:pPr>
      <w:proofErr w:type="spellStart"/>
      <w:r w:rsidRPr="00465AA9">
        <w:rPr>
          <w:rFonts w:ascii="Garamond" w:hAnsi="Garamond" w:cs="Times New Roman"/>
          <w:color w:val="000000"/>
        </w:rPr>
        <w:t>Marysse</w:t>
      </w:r>
      <w:proofErr w:type="spellEnd"/>
      <w:r w:rsidRPr="00465AA9">
        <w:rPr>
          <w:rFonts w:ascii="Garamond" w:hAnsi="Garamond" w:cs="Times New Roman"/>
          <w:color w:val="000000"/>
        </w:rPr>
        <w:t xml:space="preserve">, S. (2018). La gouvernance au quotidien : entre réformes et éléphants blancs, </w:t>
      </w:r>
      <w:r w:rsidRPr="003F7943">
        <w:rPr>
          <w:rFonts w:ascii="Garamond" w:hAnsi="Garamond" w:cs="Times New Roman"/>
          <w:i/>
          <w:color w:val="000000"/>
        </w:rPr>
        <w:t>Conjonctures de l’Afrique centrale</w:t>
      </w:r>
      <w:r w:rsidRPr="00465AA9">
        <w:rPr>
          <w:rFonts w:ascii="Garamond" w:hAnsi="Garamond" w:cs="Times New Roman"/>
          <w:color w:val="000000"/>
        </w:rPr>
        <w:t>, p. 231-255</w:t>
      </w:r>
    </w:p>
    <w:p w14:paraId="4A684896"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Masala</w:t>
      </w:r>
      <w:proofErr w:type="spellEnd"/>
      <w:r w:rsidRPr="009B6D19">
        <w:rPr>
          <w:rFonts w:ascii="Garamond" w:hAnsi="Garamond"/>
        </w:rPr>
        <w:t>, M. M-P (2022). Décentralisation financière, victime d’une gouvernance personnalisée en R.D.C. : regard sur l’exécution de</w:t>
      </w:r>
      <w:r>
        <w:rPr>
          <w:rFonts w:ascii="Garamond" w:hAnsi="Garamond"/>
        </w:rPr>
        <w:t xml:space="preserve"> </w:t>
      </w:r>
      <w:r w:rsidRPr="009B6D19">
        <w:rPr>
          <w:rFonts w:ascii="Garamond" w:hAnsi="Garamond"/>
        </w:rPr>
        <w:t>budget de la commune de</w:t>
      </w:r>
      <w:r>
        <w:rPr>
          <w:rFonts w:ascii="Garamond" w:hAnsi="Garamond"/>
        </w:rPr>
        <w:t xml:space="preserve"> </w:t>
      </w:r>
      <w:r w:rsidRPr="009B6D19">
        <w:rPr>
          <w:rFonts w:ascii="Garamond" w:hAnsi="Garamond"/>
        </w:rPr>
        <w:t xml:space="preserve">Lemba, dans la ville de Kinshasa, </w:t>
      </w:r>
      <w:r w:rsidRPr="0062588D">
        <w:rPr>
          <w:rFonts w:ascii="Garamond" w:hAnsi="Garamond"/>
          <w:i/>
        </w:rPr>
        <w:t>Revue internationale des dynamiques sociales</w:t>
      </w:r>
      <w:r w:rsidRPr="009B6D19">
        <w:rPr>
          <w:rFonts w:ascii="Garamond" w:hAnsi="Garamond"/>
        </w:rPr>
        <w:t>, 2(117), p. 31-41</w:t>
      </w:r>
    </w:p>
    <w:p w14:paraId="31E09B38" w14:textId="77777777" w:rsidR="00CE0D54" w:rsidRDefault="001E0BBF" w:rsidP="00CE0D54">
      <w:pPr>
        <w:pStyle w:val="Pa9"/>
        <w:spacing w:before="240" w:after="240" w:line="240" w:lineRule="auto"/>
        <w:jc w:val="both"/>
        <w:rPr>
          <w:rFonts w:ascii="Garamond" w:hAnsi="Garamond" w:cstheme="minorHAnsi"/>
        </w:rPr>
      </w:pPr>
      <w:proofErr w:type="spellStart"/>
      <w:r w:rsidRPr="009B6D19">
        <w:rPr>
          <w:rFonts w:ascii="Garamond" w:hAnsi="Garamond" w:cstheme="minorHAnsi"/>
          <w:iCs/>
        </w:rPr>
        <w:t>Mavakala</w:t>
      </w:r>
      <w:proofErr w:type="spellEnd"/>
      <w:r w:rsidRPr="009B6D19">
        <w:rPr>
          <w:rFonts w:ascii="Garamond" w:hAnsi="Garamond" w:cstheme="minorHAnsi"/>
          <w:iCs/>
        </w:rPr>
        <w:t>, K.K.J. (2018).</w:t>
      </w:r>
      <w:r w:rsidRPr="009B6D19">
        <w:rPr>
          <w:rFonts w:ascii="Garamond" w:hAnsi="Garamond" w:cstheme="minorHAnsi"/>
        </w:rPr>
        <w:t xml:space="preserve"> Le bourgmestre comme intermédiaire dans la délivrance des services publics dans le territoire périurbain de </w:t>
      </w:r>
      <w:proofErr w:type="spellStart"/>
      <w:r w:rsidRPr="009B6D19">
        <w:rPr>
          <w:rFonts w:ascii="Garamond" w:hAnsi="Garamond" w:cstheme="minorHAnsi"/>
        </w:rPr>
        <w:t>Maluku</w:t>
      </w:r>
      <w:proofErr w:type="spellEnd"/>
      <w:r w:rsidRPr="009B6D19">
        <w:rPr>
          <w:rFonts w:ascii="Garamond" w:hAnsi="Garamond" w:cstheme="minorHAnsi"/>
        </w:rPr>
        <w:t xml:space="preserve"> à Kinshasa, in Conjonctures de l’Afrique centrale, </w:t>
      </w:r>
      <w:r w:rsidRPr="009B6D19">
        <w:rPr>
          <w:rFonts w:ascii="Garamond" w:hAnsi="Garamond" w:cstheme="minorHAnsi"/>
          <w:i/>
        </w:rPr>
        <w:t>Cahiers africains</w:t>
      </w:r>
      <w:r w:rsidRPr="009B6D19">
        <w:rPr>
          <w:rFonts w:ascii="Garamond" w:hAnsi="Garamond" w:cstheme="minorHAnsi"/>
          <w:i/>
          <w:iCs/>
          <w:color w:val="221E1F"/>
        </w:rPr>
        <w:t>,</w:t>
      </w:r>
      <w:r>
        <w:rPr>
          <w:rFonts w:ascii="Garamond" w:hAnsi="Garamond" w:cstheme="minorHAnsi"/>
          <w:i/>
          <w:iCs/>
          <w:color w:val="221E1F"/>
        </w:rPr>
        <w:t xml:space="preserve"> </w:t>
      </w:r>
      <w:r w:rsidRPr="009B6D19">
        <w:rPr>
          <w:rFonts w:ascii="Garamond" w:hAnsi="Garamond" w:cstheme="minorHAnsi"/>
        </w:rPr>
        <w:t>p. 83-101</w:t>
      </w:r>
    </w:p>
    <w:p w14:paraId="5706AB5A" w14:textId="10AF7F19" w:rsidR="00CE0D54" w:rsidRPr="00CE0D54" w:rsidRDefault="00CE0D54" w:rsidP="00CE0D54">
      <w:pPr>
        <w:pStyle w:val="Pa9"/>
        <w:spacing w:before="240" w:after="240" w:line="240" w:lineRule="auto"/>
        <w:jc w:val="both"/>
        <w:rPr>
          <w:rFonts w:ascii="Garamond" w:hAnsi="Garamond" w:cstheme="minorHAnsi"/>
          <w:sz w:val="32"/>
        </w:rPr>
      </w:pPr>
      <w:r w:rsidRPr="00CE0D54">
        <w:rPr>
          <w:rFonts w:ascii="Garamond" w:hAnsi="Garamond"/>
          <w:color w:val="333333"/>
          <w:szCs w:val="21"/>
          <w:shd w:val="clear" w:color="auto" w:fill="FFFFFF"/>
        </w:rPr>
        <w:t>Mayer R., Ouellet F., Saint-Jacques M-C., Turcotte D. (2000). </w:t>
      </w:r>
      <w:r w:rsidRPr="00CE0D54">
        <w:rPr>
          <w:rFonts w:ascii="Garamond" w:hAnsi="Garamond"/>
          <w:iCs/>
          <w:color w:val="333333"/>
          <w:szCs w:val="21"/>
          <w:bdr w:val="none" w:sz="0" w:space="0" w:color="auto" w:frame="1"/>
          <w:shd w:val="clear" w:color="auto" w:fill="FFFFFF"/>
        </w:rPr>
        <w:t>Méthodes de recherche en intervention sociale</w:t>
      </w:r>
      <w:r w:rsidRPr="00CE0D54">
        <w:rPr>
          <w:rFonts w:ascii="Garamond" w:hAnsi="Garamond"/>
          <w:i/>
          <w:iCs/>
          <w:color w:val="333333"/>
          <w:szCs w:val="21"/>
          <w:bdr w:val="none" w:sz="0" w:space="0" w:color="auto" w:frame="1"/>
          <w:shd w:val="clear" w:color="auto" w:fill="FFFFFF"/>
        </w:rPr>
        <w:t>.</w:t>
      </w:r>
      <w:r w:rsidRPr="00CE0D54">
        <w:rPr>
          <w:rFonts w:ascii="Garamond" w:hAnsi="Garamond"/>
          <w:color w:val="333333"/>
          <w:szCs w:val="21"/>
          <w:shd w:val="clear" w:color="auto" w:fill="FFFFFF"/>
        </w:rPr>
        <w:t> PARIS : GAETAN MORIN (EDITEUR), p.1-409</w:t>
      </w:r>
    </w:p>
    <w:p w14:paraId="579D6CF8" w14:textId="77777777" w:rsidR="001E0BBF" w:rsidRDefault="001E0BBF" w:rsidP="00393317">
      <w:pPr>
        <w:pStyle w:val="Pa9"/>
        <w:spacing w:before="240" w:after="240" w:line="240" w:lineRule="auto"/>
        <w:jc w:val="both"/>
        <w:rPr>
          <w:rFonts w:ascii="Garamond" w:hAnsi="Garamond"/>
          <w:lang w:eastAsia="fr-FR"/>
        </w:rPr>
      </w:pPr>
      <w:proofErr w:type="spellStart"/>
      <w:r w:rsidRPr="00393317">
        <w:rPr>
          <w:rFonts w:ascii="Garamond" w:hAnsi="Garamond"/>
          <w:lang w:eastAsia="fr-FR"/>
        </w:rPr>
        <w:t>Melmoth</w:t>
      </w:r>
      <w:proofErr w:type="spellEnd"/>
      <w:r w:rsidRPr="00393317">
        <w:rPr>
          <w:rFonts w:ascii="Garamond" w:hAnsi="Garamond"/>
          <w:lang w:eastAsia="fr-FR"/>
        </w:rPr>
        <w:t xml:space="preserve">, S. (2007). République démocratique du Congo : décentralisation et sortie de conflit, </w:t>
      </w:r>
      <w:r w:rsidRPr="00393317">
        <w:rPr>
          <w:rFonts w:ascii="Garamond" w:hAnsi="Garamond"/>
          <w:i/>
          <w:lang w:eastAsia="fr-FR"/>
        </w:rPr>
        <w:t>Afrique contemporaine</w:t>
      </w:r>
      <w:r w:rsidRPr="00393317">
        <w:rPr>
          <w:rFonts w:ascii="Garamond" w:hAnsi="Garamond"/>
          <w:lang w:eastAsia="fr-FR"/>
        </w:rPr>
        <w:t>, 1(221), p. 75-85, DOI10.3917/afco.221.0075</w:t>
      </w:r>
    </w:p>
    <w:p w14:paraId="4D6A5B22"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Merrien, F-X. (2000). La restructuration des Etats-providence "sentier de dépendance", ou tournant néo-libéral ? Une interprétation néo-institutionnaliste, </w:t>
      </w:r>
      <w:r w:rsidRPr="009B6D19">
        <w:rPr>
          <w:rFonts w:ascii="Garamond" w:hAnsi="Garamond"/>
          <w:i/>
        </w:rPr>
        <w:t>Recherches sociologiques</w:t>
      </w:r>
      <w:r w:rsidRPr="009B6D19">
        <w:rPr>
          <w:rFonts w:ascii="Garamond" w:hAnsi="Garamond"/>
        </w:rPr>
        <w:t>, 2, p. 29-44 ;</w:t>
      </w:r>
    </w:p>
    <w:p w14:paraId="4B9D58D6" w14:textId="77777777" w:rsidR="001E0BBF" w:rsidRPr="00313A02" w:rsidRDefault="001E0BBF" w:rsidP="00804868">
      <w:pPr>
        <w:spacing w:before="240" w:after="240" w:line="240" w:lineRule="auto"/>
        <w:jc w:val="left"/>
        <w:rPr>
          <w:rFonts w:ascii="Garamond" w:hAnsi="Garamond"/>
          <w:lang w:val="fr-CA"/>
        </w:rPr>
      </w:pPr>
      <w:proofErr w:type="spellStart"/>
      <w:r w:rsidRPr="009B6D19">
        <w:rPr>
          <w:rFonts w:ascii="Garamond" w:hAnsi="Garamond"/>
        </w:rPr>
        <w:t>Morrissette</w:t>
      </w:r>
      <w:proofErr w:type="spellEnd"/>
      <w:r w:rsidRPr="009B6D19">
        <w:rPr>
          <w:rFonts w:ascii="Garamond" w:hAnsi="Garamond"/>
        </w:rPr>
        <w:t xml:space="preserve">, J. &amp; Demazière, D. (2019). Les approches qualitatives à l’épreuve de </w:t>
      </w:r>
      <w:r>
        <w:rPr>
          <w:rFonts w:ascii="Garamond" w:hAnsi="Garamond"/>
        </w:rPr>
        <w:t xml:space="preserve">la quantification des sciences, </w:t>
      </w:r>
      <w:r w:rsidRPr="00860257">
        <w:rPr>
          <w:rFonts w:ascii="Garamond" w:hAnsi="Garamond"/>
          <w:i/>
        </w:rPr>
        <w:t>Recherches qualitatives</w:t>
      </w:r>
      <w:r w:rsidRPr="00313A02">
        <w:rPr>
          <w:rFonts w:ascii="Garamond" w:hAnsi="Garamond"/>
          <w:lang w:val="fr-CA"/>
        </w:rPr>
        <w:t xml:space="preserve">, 38(1), 88–104, https://doi.org/10.7202/1059649ar,                                                                                                                                               </w:t>
      </w:r>
    </w:p>
    <w:p w14:paraId="6E65ECDF" w14:textId="77777777" w:rsidR="001E0BBF" w:rsidRDefault="001E0BBF" w:rsidP="00804868">
      <w:pPr>
        <w:spacing w:before="240" w:after="240" w:line="240" w:lineRule="auto"/>
        <w:rPr>
          <w:rFonts w:ascii="Garamond" w:hAnsi="Garamond"/>
          <w:lang w:val="en-CA"/>
        </w:rPr>
      </w:pPr>
      <w:r w:rsidRPr="009B6D19">
        <w:rPr>
          <w:rFonts w:ascii="Garamond" w:hAnsi="Garamond"/>
          <w:lang w:val="en-CA"/>
        </w:rPr>
        <w:t xml:space="preserve">Moshonas, S. (2018). Power and policy-making in the DR Congo: The politics of human resource management and payroll reform, </w:t>
      </w:r>
      <w:r w:rsidRPr="009B6D19">
        <w:rPr>
          <w:rFonts w:ascii="Garamond" w:hAnsi="Garamond"/>
          <w:i/>
          <w:lang w:val="en-CA"/>
        </w:rPr>
        <w:t>WORKING PAPER / 2018.01, Institute of Development Policy (IOB),</w:t>
      </w:r>
      <w:r w:rsidRPr="009B6D19">
        <w:rPr>
          <w:rFonts w:ascii="Garamond" w:hAnsi="Garamond"/>
          <w:color w:val="FF0000"/>
          <w:lang w:val="en-CA"/>
        </w:rPr>
        <w:t xml:space="preserve"> </w:t>
      </w:r>
      <w:r w:rsidRPr="009B6D19">
        <w:rPr>
          <w:rFonts w:ascii="Garamond" w:hAnsi="Garamond"/>
          <w:lang w:val="en-CA"/>
        </w:rPr>
        <w:t>p. 1-47</w:t>
      </w:r>
      <w:r>
        <w:rPr>
          <w:rFonts w:ascii="Garamond" w:hAnsi="Garamond"/>
          <w:lang w:val="en-CA"/>
        </w:rPr>
        <w:t>;</w:t>
      </w:r>
    </w:p>
    <w:p w14:paraId="573D0CC3" w14:textId="77777777" w:rsidR="001E0BBF" w:rsidRDefault="001E0BBF" w:rsidP="00804868">
      <w:pPr>
        <w:spacing w:before="240" w:after="240" w:line="240" w:lineRule="auto"/>
        <w:rPr>
          <w:rFonts w:ascii="Garamond" w:hAnsi="Garamond"/>
          <w:lang w:val="en-CA"/>
        </w:rPr>
      </w:pPr>
      <w:proofErr w:type="spellStart"/>
      <w:r>
        <w:rPr>
          <w:rFonts w:ascii="Garamond" w:hAnsi="Garamond"/>
          <w:lang w:val="en-CA"/>
        </w:rPr>
        <w:t>Mustaq</w:t>
      </w:r>
      <w:proofErr w:type="spellEnd"/>
      <w:r>
        <w:rPr>
          <w:rFonts w:ascii="Garamond" w:hAnsi="Garamond"/>
          <w:lang w:val="en-CA"/>
        </w:rPr>
        <w:t xml:space="preserve"> H. K. (2003). </w:t>
      </w:r>
      <w:proofErr w:type="spellStart"/>
      <w:r w:rsidRPr="002D09B0">
        <w:rPr>
          <w:rFonts w:ascii="Garamond" w:hAnsi="Garamond"/>
          <w:lang w:val="en-CA"/>
        </w:rPr>
        <w:t>L'échec</w:t>
      </w:r>
      <w:proofErr w:type="spellEnd"/>
      <w:r w:rsidRPr="002D09B0">
        <w:rPr>
          <w:rFonts w:ascii="Garamond" w:hAnsi="Garamond"/>
          <w:lang w:val="en-CA"/>
        </w:rPr>
        <w:t xml:space="preserve"> de </w:t>
      </w:r>
      <w:proofErr w:type="spellStart"/>
      <w:r w:rsidRPr="002D09B0">
        <w:rPr>
          <w:rFonts w:ascii="Garamond" w:hAnsi="Garamond"/>
          <w:lang w:val="en-CA"/>
        </w:rPr>
        <w:t>l'État</w:t>
      </w:r>
      <w:proofErr w:type="spellEnd"/>
      <w:r w:rsidRPr="002D09B0">
        <w:rPr>
          <w:rFonts w:ascii="Garamond" w:hAnsi="Garamond"/>
          <w:lang w:val="en-CA"/>
        </w:rPr>
        <w:t xml:space="preserve"> dans les pays </w:t>
      </w:r>
      <w:proofErr w:type="spellStart"/>
      <w:r w:rsidRPr="002D09B0">
        <w:rPr>
          <w:rFonts w:ascii="Garamond" w:hAnsi="Garamond"/>
          <w:lang w:val="en-CA"/>
        </w:rPr>
        <w:t>en</w:t>
      </w:r>
      <w:proofErr w:type="spellEnd"/>
      <w:r w:rsidRPr="002D09B0">
        <w:rPr>
          <w:rFonts w:ascii="Garamond" w:hAnsi="Garamond"/>
          <w:lang w:val="en-CA"/>
        </w:rPr>
        <w:t xml:space="preserve"> </w:t>
      </w:r>
      <w:proofErr w:type="spellStart"/>
      <w:r w:rsidRPr="002D09B0">
        <w:rPr>
          <w:rFonts w:ascii="Garamond" w:hAnsi="Garamond"/>
          <w:lang w:val="en-CA"/>
        </w:rPr>
        <w:t>développement</w:t>
      </w:r>
      <w:proofErr w:type="spellEnd"/>
      <w:r w:rsidRPr="002D09B0">
        <w:rPr>
          <w:rFonts w:ascii="Garamond" w:hAnsi="Garamond"/>
          <w:lang w:val="en-CA"/>
        </w:rPr>
        <w:t xml:space="preserve"> et les </w:t>
      </w:r>
      <w:proofErr w:type="spellStart"/>
      <w:r w:rsidRPr="002D09B0">
        <w:rPr>
          <w:rFonts w:ascii="Garamond" w:hAnsi="Garamond"/>
          <w:lang w:val="en-CA"/>
        </w:rPr>
        <w:t>stratégi</w:t>
      </w:r>
      <w:r>
        <w:rPr>
          <w:rFonts w:ascii="Garamond" w:hAnsi="Garamond"/>
          <w:lang w:val="en-CA"/>
        </w:rPr>
        <w:t>es</w:t>
      </w:r>
      <w:proofErr w:type="spellEnd"/>
      <w:r>
        <w:rPr>
          <w:rFonts w:ascii="Garamond" w:hAnsi="Garamond"/>
          <w:lang w:val="en-CA"/>
        </w:rPr>
        <w:t xml:space="preserve"> de </w:t>
      </w:r>
      <w:proofErr w:type="spellStart"/>
      <w:r>
        <w:rPr>
          <w:rFonts w:ascii="Garamond" w:hAnsi="Garamond"/>
          <w:lang w:val="en-CA"/>
        </w:rPr>
        <w:t>réforme</w:t>
      </w:r>
      <w:proofErr w:type="spellEnd"/>
      <w:r>
        <w:rPr>
          <w:rFonts w:ascii="Garamond" w:hAnsi="Garamond"/>
          <w:lang w:val="en-CA"/>
        </w:rPr>
        <w:t xml:space="preserve"> </w:t>
      </w:r>
      <w:proofErr w:type="spellStart"/>
      <w:r>
        <w:rPr>
          <w:rFonts w:ascii="Garamond" w:hAnsi="Garamond"/>
          <w:lang w:val="en-CA"/>
        </w:rPr>
        <w:t>institutionnelle</w:t>
      </w:r>
      <w:proofErr w:type="spellEnd"/>
      <w:r w:rsidRPr="002D09B0">
        <w:rPr>
          <w:rFonts w:ascii="Garamond" w:hAnsi="Garamond"/>
          <w:lang w:val="en-CA"/>
        </w:rPr>
        <w:t xml:space="preserve">, </w:t>
      </w:r>
      <w:r w:rsidRPr="002D09B0">
        <w:rPr>
          <w:rFonts w:ascii="Garamond" w:hAnsi="Garamond"/>
          <w:i/>
          <w:lang w:val="en-CA"/>
        </w:rPr>
        <w:t xml:space="preserve">Revue </w:t>
      </w:r>
      <w:proofErr w:type="spellStart"/>
      <w:r w:rsidRPr="002D09B0">
        <w:rPr>
          <w:rFonts w:ascii="Garamond" w:hAnsi="Garamond"/>
          <w:i/>
          <w:lang w:val="en-CA"/>
        </w:rPr>
        <w:t>d'économie</w:t>
      </w:r>
      <w:proofErr w:type="spellEnd"/>
      <w:r w:rsidRPr="002D09B0">
        <w:rPr>
          <w:rFonts w:ascii="Garamond" w:hAnsi="Garamond"/>
          <w:i/>
          <w:lang w:val="en-CA"/>
        </w:rPr>
        <w:t xml:space="preserve"> du </w:t>
      </w:r>
      <w:proofErr w:type="spellStart"/>
      <w:r w:rsidRPr="002D09B0">
        <w:rPr>
          <w:rFonts w:ascii="Garamond" w:hAnsi="Garamond"/>
          <w:i/>
          <w:lang w:val="en-CA"/>
        </w:rPr>
        <w:t>développement</w:t>
      </w:r>
      <w:proofErr w:type="spellEnd"/>
      <w:r>
        <w:rPr>
          <w:rFonts w:ascii="Garamond" w:hAnsi="Garamond"/>
          <w:lang w:val="en-CA"/>
        </w:rPr>
        <w:t>, 2(</w:t>
      </w:r>
      <w:r w:rsidRPr="002D09B0">
        <w:rPr>
          <w:rFonts w:ascii="Garamond" w:hAnsi="Garamond"/>
          <w:lang w:val="en-CA"/>
        </w:rPr>
        <w:t>11), p. 5-48. DOI 10.3917/edd.172.0005</w:t>
      </w:r>
    </w:p>
    <w:p w14:paraId="5C1F884E" w14:textId="77777777" w:rsidR="001E0BBF" w:rsidRPr="009B6D19" w:rsidRDefault="001E0BBF" w:rsidP="00804868">
      <w:pPr>
        <w:spacing w:before="240" w:after="240" w:line="240" w:lineRule="auto"/>
        <w:rPr>
          <w:rFonts w:ascii="Garamond" w:hAnsi="Garamond"/>
          <w:lang w:val="en-CA"/>
        </w:rPr>
      </w:pPr>
      <w:r w:rsidRPr="009B6D19">
        <w:rPr>
          <w:rFonts w:ascii="Garamond" w:hAnsi="Garamond"/>
          <w:lang w:val="en-CA"/>
        </w:rPr>
        <w:lastRenderedPageBreak/>
        <w:t xml:space="preserve">Newman, J &amp; Perl, </w:t>
      </w:r>
      <w:proofErr w:type="gramStart"/>
      <w:r w:rsidRPr="009B6D19">
        <w:rPr>
          <w:rFonts w:ascii="Garamond" w:hAnsi="Garamond"/>
          <w:lang w:val="en-CA"/>
        </w:rPr>
        <w:t>A.(</w:t>
      </w:r>
      <w:proofErr w:type="gramEnd"/>
      <w:r w:rsidRPr="009B6D19">
        <w:rPr>
          <w:rFonts w:ascii="Garamond" w:hAnsi="Garamond"/>
          <w:lang w:val="en-CA"/>
        </w:rPr>
        <w:t xml:space="preserve">2014). Partners in clime: Public-private partnerships and British Columbia’s capacity to pursue climate policy objectives, </w:t>
      </w:r>
      <w:r w:rsidRPr="009B6D19">
        <w:rPr>
          <w:rFonts w:ascii="Garamond" w:hAnsi="Garamond"/>
          <w:i/>
          <w:lang w:val="en-CA"/>
        </w:rPr>
        <w:t>Canadian Public Administration</w:t>
      </w:r>
      <w:r w:rsidRPr="009B6D19">
        <w:rPr>
          <w:rFonts w:ascii="Garamond" w:hAnsi="Garamond"/>
          <w:lang w:val="en-CA"/>
        </w:rPr>
        <w:t>, 2(57), p. 217–233</w:t>
      </w:r>
    </w:p>
    <w:p w14:paraId="40BCEEA7" w14:textId="77777777" w:rsidR="001E0BBF" w:rsidRPr="009B6D19" w:rsidRDefault="001E0BBF" w:rsidP="00804868">
      <w:pPr>
        <w:spacing w:before="240" w:after="240" w:line="240" w:lineRule="auto"/>
        <w:rPr>
          <w:rFonts w:ascii="Garamond" w:hAnsi="Garamond"/>
          <w:lang w:val="en-CA"/>
        </w:rPr>
      </w:pPr>
      <w:r w:rsidRPr="009B6D19">
        <w:rPr>
          <w:rFonts w:ascii="Garamond" w:hAnsi="Garamond"/>
          <w:lang w:val="en-CA"/>
        </w:rPr>
        <w:t xml:space="preserve">Niamh, G. (2016). Challenges to Decentralisation in the Democratic Republic of the Congo: Beyond the Political Settlement: Beyond the Political Settlement, </w:t>
      </w:r>
      <w:r w:rsidRPr="0062588D">
        <w:rPr>
          <w:rFonts w:ascii="Garamond" w:hAnsi="Garamond"/>
          <w:i/>
          <w:lang w:val="en-CA"/>
        </w:rPr>
        <w:t>Journal of International Development</w:t>
      </w:r>
      <w:r w:rsidRPr="009B6D19">
        <w:rPr>
          <w:rFonts w:ascii="Garamond" w:hAnsi="Garamond"/>
          <w:lang w:val="en-CA"/>
        </w:rPr>
        <w:t>, 2(28), p. 198-213, DOI: 10.1002/jid.3046</w:t>
      </w:r>
    </w:p>
    <w:p w14:paraId="2B1C6019" w14:textId="77777777" w:rsidR="001E0BBF" w:rsidRPr="009B6D19" w:rsidRDefault="001E0BBF" w:rsidP="00804868">
      <w:pPr>
        <w:spacing w:before="240" w:after="240" w:line="240" w:lineRule="auto"/>
        <w:rPr>
          <w:rFonts w:ascii="Garamond" w:hAnsi="Garamond"/>
          <w:lang w:val="en-CA"/>
        </w:rPr>
      </w:pPr>
      <w:r w:rsidRPr="009B6D19">
        <w:rPr>
          <w:rFonts w:ascii="Garamond" w:hAnsi="Garamond"/>
          <w:lang w:val="en-CA"/>
        </w:rPr>
        <w:t>Norton, A. </w:t>
      </w:r>
      <w:proofErr w:type="gramStart"/>
      <w:r w:rsidRPr="009B6D19">
        <w:rPr>
          <w:rFonts w:ascii="Garamond" w:hAnsi="Garamond"/>
          <w:lang w:val="en-CA"/>
        </w:rPr>
        <w:t>&amp;  Elson</w:t>
      </w:r>
      <w:proofErr w:type="gramEnd"/>
      <w:r w:rsidRPr="009B6D19">
        <w:rPr>
          <w:rFonts w:ascii="Garamond" w:hAnsi="Garamond"/>
          <w:lang w:val="en-CA"/>
        </w:rPr>
        <w:t xml:space="preserve">, D. (2002). What’s behind the budget? Politics, rights and accountability in the budget process, </w:t>
      </w:r>
      <w:r w:rsidRPr="009B6D19">
        <w:rPr>
          <w:rFonts w:ascii="Garamond" w:hAnsi="Garamond"/>
          <w:i/>
          <w:lang w:val="en-CA"/>
        </w:rPr>
        <w:t>Overseas Development Institute</w:t>
      </w:r>
      <w:r w:rsidRPr="009B6D19">
        <w:rPr>
          <w:rFonts w:ascii="Garamond" w:hAnsi="Garamond"/>
          <w:lang w:val="en-CA"/>
        </w:rPr>
        <w:t>, p. 1-64</w:t>
      </w:r>
    </w:p>
    <w:p w14:paraId="7A9F7A57" w14:textId="77777777" w:rsidR="001E0BBF" w:rsidRPr="009B6D19" w:rsidRDefault="002C327A" w:rsidP="00804868">
      <w:pPr>
        <w:spacing w:before="240" w:after="240" w:line="240" w:lineRule="auto"/>
        <w:rPr>
          <w:rFonts w:ascii="Garamond" w:hAnsi="Garamond"/>
        </w:rPr>
      </w:pPr>
      <w:hyperlink r:id="rId56" w:history="1">
        <w:r w:rsidR="001E0BBF" w:rsidRPr="009B6D19">
          <w:rPr>
            <w:rFonts w:ascii="Garamond" w:hAnsi="Garamond"/>
          </w:rPr>
          <w:t>Novak</w:t>
        </w:r>
      </w:hyperlink>
      <w:r w:rsidR="001E0BBF" w:rsidRPr="009B6D19">
        <w:rPr>
          <w:rFonts w:ascii="Garamond" w:hAnsi="Garamond"/>
        </w:rPr>
        <w:t xml:space="preserve">, S. (2017). La prise de décision peut-elle être informelle ?, </w:t>
      </w:r>
      <w:hyperlink r:id="rId57" w:history="1">
        <w:r w:rsidR="001E0BBF" w:rsidRPr="009B6D19">
          <w:rPr>
            <w:rFonts w:ascii="Garamond" w:hAnsi="Garamond"/>
            <w:i/>
          </w:rPr>
          <w:t>Négociations</w:t>
        </w:r>
      </w:hyperlink>
      <w:r w:rsidR="001E0BBF" w:rsidRPr="009B6D19">
        <w:rPr>
          <w:rFonts w:ascii="Garamond" w:hAnsi="Garamond"/>
          <w:i/>
        </w:rPr>
        <w:t>, </w:t>
      </w:r>
      <w:hyperlink r:id="rId58" w:history="1">
        <w:r w:rsidR="001E0BBF" w:rsidRPr="009B6D19">
          <w:rPr>
            <w:rFonts w:ascii="Garamond" w:hAnsi="Garamond"/>
          </w:rPr>
          <w:t>1(27)</w:t>
        </w:r>
      </w:hyperlink>
      <w:r w:rsidR="001E0BBF" w:rsidRPr="009B6D19">
        <w:rPr>
          <w:rFonts w:ascii="Garamond" w:hAnsi="Garamond"/>
        </w:rPr>
        <w:t>, p. 91-107</w:t>
      </w:r>
    </w:p>
    <w:p w14:paraId="532564F3" w14:textId="77777777" w:rsidR="001E0BBF" w:rsidRDefault="001E0BBF" w:rsidP="00804868">
      <w:pPr>
        <w:spacing w:before="240" w:after="240" w:line="240" w:lineRule="auto"/>
        <w:rPr>
          <w:rFonts w:ascii="Garamond" w:hAnsi="Garamond"/>
        </w:rPr>
      </w:pPr>
      <w:r w:rsidRPr="009B6D19">
        <w:rPr>
          <w:rFonts w:ascii="Garamond" w:hAnsi="Garamond"/>
        </w:rPr>
        <w:t>Observatoire de la Dépense Publique(2021).</w:t>
      </w:r>
      <w:r>
        <w:rPr>
          <w:rFonts w:ascii="Garamond" w:hAnsi="Garamond"/>
        </w:rPr>
        <w:t xml:space="preserve"> </w:t>
      </w:r>
      <w:r w:rsidRPr="009B6D19">
        <w:rPr>
          <w:rFonts w:ascii="Garamond" w:hAnsi="Garamond"/>
        </w:rPr>
        <w:t>En République Démocratique du Congo, les</w:t>
      </w:r>
      <w:r>
        <w:rPr>
          <w:rFonts w:ascii="Garamond" w:hAnsi="Garamond"/>
        </w:rPr>
        <w:t xml:space="preserve"> </w:t>
      </w:r>
      <w:r w:rsidRPr="009B6D19">
        <w:rPr>
          <w:rFonts w:ascii="Garamond" w:hAnsi="Garamond"/>
        </w:rPr>
        <w:t>régimes se succèdent, mais</w:t>
      </w:r>
      <w:r>
        <w:rPr>
          <w:rFonts w:ascii="Garamond" w:hAnsi="Garamond"/>
        </w:rPr>
        <w:t xml:space="preserve"> </w:t>
      </w:r>
      <w:r w:rsidRPr="009B6D19">
        <w:rPr>
          <w:rFonts w:ascii="Garamond" w:hAnsi="Garamond"/>
        </w:rPr>
        <w:t>la mauvaise gouvernance</w:t>
      </w:r>
      <w:r>
        <w:rPr>
          <w:rFonts w:ascii="Garamond" w:hAnsi="Garamond"/>
        </w:rPr>
        <w:t xml:space="preserve"> </w:t>
      </w:r>
      <w:r w:rsidRPr="009B6D19">
        <w:rPr>
          <w:rFonts w:ascii="Garamond" w:hAnsi="Garamond"/>
        </w:rPr>
        <w:t>des finances publiques demeure et empire, au mépris de</w:t>
      </w:r>
      <w:r>
        <w:rPr>
          <w:rFonts w:ascii="Garamond" w:hAnsi="Garamond"/>
        </w:rPr>
        <w:t xml:space="preserve"> </w:t>
      </w:r>
      <w:r w:rsidRPr="009B6D19">
        <w:rPr>
          <w:rFonts w:ascii="Garamond" w:hAnsi="Garamond"/>
        </w:rPr>
        <w:t xml:space="preserve">l’éradication de la pauvreté et de la lutte pour le développement et la transformation sociale, </w:t>
      </w:r>
      <w:r w:rsidRPr="0062588D">
        <w:rPr>
          <w:rFonts w:ascii="Garamond" w:hAnsi="Garamond"/>
          <w:i/>
        </w:rPr>
        <w:t>inédit</w:t>
      </w:r>
      <w:r>
        <w:rPr>
          <w:rFonts w:ascii="Garamond" w:hAnsi="Garamond"/>
        </w:rPr>
        <w:t xml:space="preserve">, </w:t>
      </w:r>
      <w:r w:rsidRPr="009B6D19">
        <w:rPr>
          <w:rFonts w:ascii="Garamond" w:hAnsi="Garamond"/>
        </w:rPr>
        <w:t>p. 1-21 ;</w:t>
      </w:r>
    </w:p>
    <w:p w14:paraId="5C9E962B" w14:textId="77777777" w:rsidR="001E0BBF" w:rsidRPr="009B6D19" w:rsidRDefault="001E0BBF" w:rsidP="00804868">
      <w:pPr>
        <w:spacing w:before="240" w:after="240" w:line="240" w:lineRule="auto"/>
        <w:rPr>
          <w:rFonts w:ascii="Garamond" w:hAnsi="Garamond"/>
        </w:rPr>
      </w:pPr>
      <w:r w:rsidRPr="0062588D">
        <w:rPr>
          <w:rFonts w:ascii="Garamond" w:hAnsi="Garamond"/>
        </w:rPr>
        <w:t xml:space="preserve">OCDE (2019), Réussir la décentralisation : Manuel à l’intention des décideurs, </w:t>
      </w:r>
      <w:r w:rsidRPr="0062588D">
        <w:rPr>
          <w:rFonts w:ascii="Garamond" w:hAnsi="Garamond"/>
          <w:i/>
        </w:rPr>
        <w:t>Éditions OCDE</w:t>
      </w:r>
      <w:r w:rsidRPr="0062588D">
        <w:rPr>
          <w:rFonts w:ascii="Garamond" w:hAnsi="Garamond"/>
        </w:rPr>
        <w:t>, </w:t>
      </w:r>
      <w:hyperlink r:id="rId59" w:history="1">
        <w:r w:rsidRPr="0062588D">
          <w:rPr>
            <w:rFonts w:ascii="Garamond" w:hAnsi="Garamond"/>
          </w:rPr>
          <w:t>https://doi.org/10.1787/551847c0-fr</w:t>
        </w:r>
      </w:hyperlink>
      <w:r w:rsidRPr="0062588D">
        <w:rPr>
          <w:rFonts w:ascii="Garamond" w:hAnsi="Garamond"/>
        </w:rPr>
        <w:t>.</w:t>
      </w:r>
    </w:p>
    <w:p w14:paraId="4AF3CBEF" w14:textId="77777777" w:rsidR="001E0BBF" w:rsidRPr="009B6D19" w:rsidRDefault="001E0BBF" w:rsidP="00804868">
      <w:pPr>
        <w:spacing w:before="240" w:after="240" w:line="240" w:lineRule="auto"/>
        <w:rPr>
          <w:rFonts w:ascii="Garamond" w:hAnsi="Garamond"/>
          <w:lang w:val="en-CA"/>
        </w:rPr>
      </w:pPr>
      <w:proofErr w:type="spellStart"/>
      <w:r w:rsidRPr="009B6D19">
        <w:rPr>
          <w:rFonts w:ascii="Garamond" w:hAnsi="Garamond"/>
          <w:lang w:val="en-CA"/>
        </w:rPr>
        <w:t>Ogbazghi</w:t>
      </w:r>
      <w:proofErr w:type="spellEnd"/>
      <w:r w:rsidRPr="009B6D19">
        <w:rPr>
          <w:rFonts w:ascii="Garamond" w:hAnsi="Garamond"/>
          <w:lang w:val="en-CA"/>
        </w:rPr>
        <w:t xml:space="preserve">, P. B. (2022). Breaking the Mould of Centralization? Path Dependence and Local Government Reform in Ireland: 1898–2014, </w:t>
      </w:r>
      <w:r w:rsidRPr="007C5E81">
        <w:rPr>
          <w:rFonts w:ascii="Garamond" w:hAnsi="Garamond"/>
          <w:i/>
          <w:lang w:val="en-CA"/>
        </w:rPr>
        <w:t>International Journal of Public Administration</w:t>
      </w:r>
      <w:r>
        <w:rPr>
          <w:rFonts w:ascii="Garamond" w:hAnsi="Garamond"/>
          <w:lang w:val="en-CA"/>
        </w:rPr>
        <w:t>, 4(45)</w:t>
      </w:r>
      <w:r w:rsidRPr="009B6D19">
        <w:rPr>
          <w:rFonts w:ascii="Garamond" w:hAnsi="Garamond"/>
          <w:lang w:val="en-CA"/>
        </w:rPr>
        <w:t>, p.346-363, DOI: 10.1080/01900692.2020.1765797;</w:t>
      </w:r>
    </w:p>
    <w:p w14:paraId="05E36146" w14:textId="77777777" w:rsidR="001E0BBF" w:rsidRPr="0086008A" w:rsidRDefault="001E0BBF" w:rsidP="00804868">
      <w:pPr>
        <w:spacing w:before="240" w:after="240" w:line="240" w:lineRule="auto"/>
        <w:rPr>
          <w:rFonts w:ascii="Garamond" w:hAnsi="Garamond"/>
          <w:lang w:val="en-CA"/>
        </w:rPr>
      </w:pPr>
      <w:proofErr w:type="spellStart"/>
      <w:r w:rsidRPr="009B6D19">
        <w:rPr>
          <w:rFonts w:ascii="Garamond" w:hAnsi="Garamond"/>
          <w:lang w:val="en-CA"/>
        </w:rPr>
        <w:t>Okrah</w:t>
      </w:r>
      <w:proofErr w:type="spellEnd"/>
      <w:r w:rsidRPr="009B6D19">
        <w:rPr>
          <w:rFonts w:ascii="Garamond" w:hAnsi="Garamond"/>
          <w:lang w:val="en-CA"/>
        </w:rPr>
        <w:t xml:space="preserve">, M. &amp; Boamah, N-A. (2013). Deepening Representative Democracy through Fiscal Decentralisation: Is Ghana Ready for Composite Budgeting? </w:t>
      </w:r>
      <w:r w:rsidRPr="0086008A">
        <w:rPr>
          <w:rFonts w:ascii="Garamond" w:hAnsi="Garamond"/>
          <w:i/>
          <w:lang w:val="en-CA"/>
        </w:rPr>
        <w:t>An International Journal of Arts and Humanities</w:t>
      </w:r>
      <w:r w:rsidRPr="0086008A">
        <w:rPr>
          <w:rFonts w:ascii="Garamond" w:hAnsi="Garamond"/>
          <w:lang w:val="en-CA"/>
        </w:rPr>
        <w:t>, 2(2), p.  73-</w:t>
      </w:r>
      <w:proofErr w:type="gramStart"/>
      <w:r w:rsidRPr="0086008A">
        <w:rPr>
          <w:rFonts w:ascii="Garamond" w:hAnsi="Garamond"/>
          <w:lang w:val="en-CA"/>
        </w:rPr>
        <w:t>90 ;</w:t>
      </w:r>
      <w:proofErr w:type="gramEnd"/>
    </w:p>
    <w:p w14:paraId="7F177EE9" w14:textId="77777777" w:rsidR="001E0BBF" w:rsidRPr="009B6D19" w:rsidRDefault="001E0BBF" w:rsidP="00804868">
      <w:pPr>
        <w:spacing w:before="240" w:after="240" w:line="240" w:lineRule="auto"/>
        <w:rPr>
          <w:rFonts w:ascii="Garamond" w:hAnsi="Garamond"/>
        </w:rPr>
      </w:pPr>
      <w:r w:rsidRPr="0086008A">
        <w:rPr>
          <w:rFonts w:ascii="Garamond" w:hAnsi="Garamond"/>
          <w:lang w:val="en-CA"/>
        </w:rPr>
        <w:t xml:space="preserve">Open Budget Survey (2019). </w:t>
      </w:r>
      <w:r w:rsidRPr="009B6D19">
        <w:rPr>
          <w:rFonts w:ascii="Garamond" w:hAnsi="Garamond"/>
        </w:rPr>
        <w:t xml:space="preserve">République Démocratique du Congo, </w:t>
      </w:r>
      <w:r w:rsidRPr="007C5E81">
        <w:rPr>
          <w:rFonts w:ascii="Garamond" w:hAnsi="Garamond"/>
          <w:i/>
        </w:rPr>
        <w:t xml:space="preserve">International Budget </w:t>
      </w:r>
      <w:proofErr w:type="spellStart"/>
      <w:r w:rsidRPr="007C5E81">
        <w:rPr>
          <w:rFonts w:ascii="Garamond" w:hAnsi="Garamond"/>
          <w:i/>
        </w:rPr>
        <w:t>Partenarship</w:t>
      </w:r>
      <w:proofErr w:type="spellEnd"/>
      <w:r w:rsidRPr="009B6D19">
        <w:rPr>
          <w:rFonts w:ascii="Garamond" w:hAnsi="Garamond"/>
        </w:rPr>
        <w:t>, p. 1-10</w:t>
      </w:r>
    </w:p>
    <w:p w14:paraId="436CB199"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Ouedraogo</w:t>
      </w:r>
      <w:proofErr w:type="spellEnd"/>
      <w:r w:rsidRPr="009B6D19">
        <w:rPr>
          <w:rFonts w:ascii="Garamond" w:hAnsi="Garamond"/>
        </w:rPr>
        <w:t xml:space="preserve">, H.  M. G. (2006). Décentralisation et pouvoirs traditionnels : le paradoxe des légitimités locales, </w:t>
      </w:r>
      <w:r w:rsidRPr="009B6D19">
        <w:rPr>
          <w:rFonts w:ascii="Garamond" w:hAnsi="Garamond"/>
          <w:i/>
        </w:rPr>
        <w:t>Mondes en développement</w:t>
      </w:r>
      <w:r w:rsidRPr="009B6D19">
        <w:rPr>
          <w:rFonts w:ascii="Garamond" w:hAnsi="Garamond"/>
        </w:rPr>
        <w:t>, 1(133), p. 9-29, DOI 10.3917/med.133.0009</w:t>
      </w:r>
    </w:p>
    <w:p w14:paraId="353B43AC" w14:textId="77777777" w:rsidR="000F2C21" w:rsidRDefault="001E0BBF" w:rsidP="000F2C21">
      <w:pPr>
        <w:spacing w:before="240" w:after="240" w:line="240" w:lineRule="auto"/>
        <w:rPr>
          <w:rFonts w:ascii="Garamond" w:hAnsi="Garamond"/>
        </w:rPr>
      </w:pPr>
      <w:r w:rsidRPr="009B6D19">
        <w:rPr>
          <w:rFonts w:ascii="Garamond" w:hAnsi="Garamond"/>
        </w:rPr>
        <w:t xml:space="preserve">Palier, B. &amp; </w:t>
      </w:r>
      <w:proofErr w:type="spellStart"/>
      <w:r w:rsidRPr="009B6D19">
        <w:rPr>
          <w:rFonts w:ascii="Garamond" w:hAnsi="Garamond"/>
        </w:rPr>
        <w:t>Surel</w:t>
      </w:r>
      <w:proofErr w:type="spellEnd"/>
      <w:r w:rsidRPr="009B6D19">
        <w:rPr>
          <w:rFonts w:ascii="Garamond" w:hAnsi="Garamond"/>
        </w:rPr>
        <w:t xml:space="preserve">, Y. (2010). L’explication du changement dans l’analyse des politiques publiques : identification, causes et mécanismes, </w:t>
      </w:r>
      <w:r w:rsidRPr="009B6D19">
        <w:rPr>
          <w:rFonts w:ascii="Garamond" w:hAnsi="Garamond"/>
          <w:i/>
        </w:rPr>
        <w:t>Centre d’études européennes</w:t>
      </w:r>
      <w:r w:rsidRPr="009B6D19">
        <w:rPr>
          <w:rFonts w:ascii="Garamond" w:hAnsi="Garamond"/>
        </w:rPr>
        <w:t>, p. 11-53</w:t>
      </w:r>
    </w:p>
    <w:p w14:paraId="3B6418A5" w14:textId="3D9FF72D" w:rsidR="009810B9" w:rsidRPr="000F2C21" w:rsidRDefault="009810B9" w:rsidP="000F2C21">
      <w:pPr>
        <w:spacing w:before="240" w:after="240" w:line="240" w:lineRule="auto"/>
        <w:rPr>
          <w:rFonts w:ascii="Garamond" w:hAnsi="Garamond"/>
        </w:rPr>
      </w:pPr>
      <w:r w:rsidRPr="000F2C21">
        <w:rPr>
          <w:rFonts w:ascii="Garamond" w:hAnsi="Garamond"/>
        </w:rPr>
        <w:t xml:space="preserve">Palier, B. &amp; </w:t>
      </w:r>
      <w:proofErr w:type="spellStart"/>
      <w:r w:rsidRPr="000F2C21">
        <w:rPr>
          <w:rFonts w:ascii="Garamond" w:hAnsi="Garamond"/>
        </w:rPr>
        <w:t>Bonoli</w:t>
      </w:r>
      <w:proofErr w:type="spellEnd"/>
      <w:r w:rsidRPr="000F2C21">
        <w:rPr>
          <w:rFonts w:ascii="Garamond" w:hAnsi="Garamond"/>
        </w:rPr>
        <w:t xml:space="preserve">, G. (1999). Phénomènes de Path </w:t>
      </w:r>
      <w:proofErr w:type="spellStart"/>
      <w:r w:rsidRPr="000F2C21">
        <w:rPr>
          <w:rFonts w:ascii="Garamond" w:hAnsi="Garamond"/>
        </w:rPr>
        <w:t>Dependence</w:t>
      </w:r>
      <w:proofErr w:type="spellEnd"/>
      <w:r w:rsidRPr="000F2C21">
        <w:rPr>
          <w:rFonts w:ascii="Garamond" w:hAnsi="Garamond"/>
        </w:rPr>
        <w:t xml:space="preserve"> et réformes des systèmes de protection sociale, </w:t>
      </w:r>
      <w:hyperlink r:id="rId60" w:history="1">
        <w:r w:rsidRPr="000F2C21">
          <w:rPr>
            <w:rFonts w:ascii="Garamond" w:hAnsi="Garamond"/>
            <w:i/>
          </w:rPr>
          <w:t>Revue française de science politique</w:t>
        </w:r>
      </w:hyperlink>
      <w:r w:rsidRPr="000F2C21">
        <w:rPr>
          <w:rFonts w:ascii="Garamond" w:hAnsi="Garamond"/>
        </w:rPr>
        <w:t>, 49(3), p. 399-420</w:t>
      </w:r>
    </w:p>
    <w:p w14:paraId="7876C5E8" w14:textId="77777777" w:rsidR="009810B9" w:rsidRDefault="001E0BBF" w:rsidP="009810B9">
      <w:pPr>
        <w:spacing w:before="240" w:after="240" w:line="240" w:lineRule="auto"/>
        <w:rPr>
          <w:rFonts w:ascii="Garamond" w:hAnsi="Garamond"/>
        </w:rPr>
      </w:pPr>
      <w:r w:rsidRPr="00B75AC7">
        <w:rPr>
          <w:rFonts w:ascii="Garamond" w:hAnsi="Garamond"/>
        </w:rPr>
        <w:t xml:space="preserve">Palier, B. (2010). Path </w:t>
      </w:r>
      <w:proofErr w:type="spellStart"/>
      <w:r w:rsidRPr="00B75AC7">
        <w:rPr>
          <w:rFonts w:ascii="Garamond" w:hAnsi="Garamond"/>
        </w:rPr>
        <w:t>dependence</w:t>
      </w:r>
      <w:proofErr w:type="spellEnd"/>
      <w:r w:rsidRPr="00B75AC7">
        <w:rPr>
          <w:rFonts w:ascii="Garamond" w:hAnsi="Garamond"/>
        </w:rPr>
        <w:t xml:space="preserve"> (Dépendance au chemin emprunté). Dans : Laurie </w:t>
      </w:r>
      <w:proofErr w:type="spellStart"/>
      <w:r w:rsidRPr="00B75AC7">
        <w:rPr>
          <w:rFonts w:ascii="Garamond" w:hAnsi="Garamond"/>
        </w:rPr>
        <w:t>Boussaguet</w:t>
      </w:r>
      <w:proofErr w:type="spellEnd"/>
      <w:r w:rsidRPr="00B75AC7">
        <w:rPr>
          <w:rFonts w:ascii="Garamond" w:hAnsi="Garamond"/>
        </w:rPr>
        <w:t xml:space="preserve"> éd., Dictionna</w:t>
      </w:r>
      <w:r>
        <w:rPr>
          <w:rFonts w:ascii="Garamond" w:hAnsi="Garamond"/>
        </w:rPr>
        <w:t>ire des politiques publiques: 3</w:t>
      </w:r>
      <w:r w:rsidRPr="00B75AC7">
        <w:rPr>
          <w:rFonts w:ascii="Garamond" w:hAnsi="Garamond"/>
          <w:vertAlign w:val="superscript"/>
        </w:rPr>
        <w:t>ème</w:t>
      </w:r>
      <w:r>
        <w:rPr>
          <w:rFonts w:ascii="Garamond" w:hAnsi="Garamond"/>
        </w:rPr>
        <w:t xml:space="preserve"> </w:t>
      </w:r>
      <w:r w:rsidRPr="00B75AC7">
        <w:rPr>
          <w:rFonts w:ascii="Garamond" w:hAnsi="Garamond"/>
        </w:rPr>
        <w:t>édition actualisée et augmentée</w:t>
      </w:r>
      <w:r>
        <w:rPr>
          <w:rFonts w:ascii="Garamond" w:hAnsi="Garamond"/>
        </w:rPr>
        <w:t>)</w:t>
      </w:r>
      <w:r w:rsidRPr="00B75AC7">
        <w:rPr>
          <w:rFonts w:ascii="Garamond" w:hAnsi="Garamond"/>
        </w:rPr>
        <w:t xml:space="preserve">. </w:t>
      </w:r>
      <w:r w:rsidRPr="00B75AC7">
        <w:rPr>
          <w:rFonts w:ascii="Garamond" w:hAnsi="Garamond"/>
          <w:i/>
        </w:rPr>
        <w:t>Presses de Sciences Po</w:t>
      </w:r>
      <w:r w:rsidRPr="00B75AC7">
        <w:rPr>
          <w:rFonts w:ascii="Garamond" w:hAnsi="Garamond"/>
        </w:rPr>
        <w:t>.</w:t>
      </w:r>
      <w:r>
        <w:rPr>
          <w:rFonts w:ascii="Garamond" w:hAnsi="Garamond"/>
        </w:rPr>
        <w:t xml:space="preserve">, </w:t>
      </w:r>
      <w:r w:rsidRPr="00B75AC7">
        <w:rPr>
          <w:rFonts w:ascii="Garamond" w:hAnsi="Garamond"/>
        </w:rPr>
        <w:t> p. 411-419</w:t>
      </w:r>
      <w:r>
        <w:rPr>
          <w:rFonts w:ascii="Garamond" w:hAnsi="Garamond"/>
        </w:rPr>
        <w:t xml:space="preserve">, </w:t>
      </w:r>
      <w:hyperlink r:id="rId61" w:history="1">
        <w:r w:rsidRPr="00B75AC7">
          <w:rPr>
            <w:rFonts w:ascii="Garamond" w:hAnsi="Garamond"/>
          </w:rPr>
          <w:t>https://doi.org/10.3917/scpo.bouss.2010.01.0411</w:t>
        </w:r>
      </w:hyperlink>
    </w:p>
    <w:p w14:paraId="0F92C3C3" w14:textId="7F934B11" w:rsidR="001E0BBF" w:rsidRPr="009B6D19" w:rsidRDefault="001E0BBF" w:rsidP="009810B9">
      <w:pPr>
        <w:spacing w:before="240" w:after="240" w:line="240" w:lineRule="auto"/>
        <w:rPr>
          <w:rFonts w:ascii="Garamond" w:hAnsi="Garamond"/>
        </w:rPr>
      </w:pPr>
      <w:r w:rsidRPr="009B6D19">
        <w:rPr>
          <w:rFonts w:ascii="Garamond" w:hAnsi="Garamond"/>
        </w:rPr>
        <w:t xml:space="preserve">Payre &amp; </w:t>
      </w:r>
      <w:proofErr w:type="spellStart"/>
      <w:r w:rsidRPr="009B6D19">
        <w:rPr>
          <w:rFonts w:ascii="Garamond" w:hAnsi="Garamond"/>
        </w:rPr>
        <w:t>Guiral</w:t>
      </w:r>
      <w:proofErr w:type="spellEnd"/>
      <w:r w:rsidRPr="009B6D19">
        <w:rPr>
          <w:rFonts w:ascii="Garamond" w:hAnsi="Garamond"/>
        </w:rPr>
        <w:t xml:space="preserve">-Treuil, </w:t>
      </w:r>
      <w:r>
        <w:rPr>
          <w:rFonts w:ascii="Garamond" w:hAnsi="Garamond"/>
        </w:rPr>
        <w:t>(2018</w:t>
      </w:r>
      <w:r w:rsidRPr="009B6D19">
        <w:rPr>
          <w:rFonts w:ascii="Garamond" w:hAnsi="Garamond"/>
        </w:rPr>
        <w:t xml:space="preserve">). </w:t>
      </w:r>
      <w:proofErr w:type="spellStart"/>
      <w:r>
        <w:rPr>
          <w:rFonts w:ascii="Garamond" w:hAnsi="Garamond"/>
        </w:rPr>
        <w:t>Chap</w:t>
      </w:r>
      <w:proofErr w:type="spellEnd"/>
      <w:r>
        <w:rPr>
          <w:rFonts w:ascii="Garamond" w:hAnsi="Garamond"/>
        </w:rPr>
        <w:t xml:space="preserve"> 4. </w:t>
      </w:r>
      <w:r w:rsidRPr="00904AFC">
        <w:rPr>
          <w:rFonts w:ascii="Garamond" w:hAnsi="Garamond" w:cs="TimesNewRomanPS-BoldMT"/>
          <w:bCs/>
        </w:rPr>
        <w:t>Les approches néo-institutionnelles</w:t>
      </w:r>
      <w:r>
        <w:rPr>
          <w:rFonts w:ascii="Garamond" w:hAnsi="Garamond" w:cs="TimesNewRomanPS-BoldMT"/>
          <w:bCs/>
        </w:rPr>
        <w:t xml:space="preserve">, </w:t>
      </w:r>
      <w:r w:rsidRPr="009B6D19">
        <w:rPr>
          <w:rFonts w:ascii="Garamond" w:hAnsi="Garamond"/>
        </w:rPr>
        <w:t>in La santé globale au prisme de l'a</w:t>
      </w:r>
      <w:r>
        <w:rPr>
          <w:rFonts w:ascii="Garamond" w:hAnsi="Garamond"/>
        </w:rPr>
        <w:t xml:space="preserve">nalyse des politiques publiques, </w:t>
      </w:r>
      <w:r w:rsidRPr="00F07B86">
        <w:rPr>
          <w:rFonts w:ascii="Garamond" w:hAnsi="Garamond"/>
          <w:i/>
        </w:rPr>
        <w:t xml:space="preserve">Éditions </w:t>
      </w:r>
      <w:proofErr w:type="spellStart"/>
      <w:r w:rsidRPr="00F07B86">
        <w:rPr>
          <w:rFonts w:ascii="Garamond" w:hAnsi="Garamond"/>
          <w:i/>
        </w:rPr>
        <w:t>Quæ</w:t>
      </w:r>
      <w:proofErr w:type="spellEnd"/>
      <w:r w:rsidRPr="00F07B86">
        <w:rPr>
          <w:rFonts w:ascii="Garamond" w:hAnsi="Garamond"/>
        </w:rPr>
        <w:t xml:space="preserve">, </w:t>
      </w:r>
      <w:r>
        <w:rPr>
          <w:rFonts w:ascii="Garamond" w:hAnsi="Garamond"/>
        </w:rPr>
        <w:t>p. 43-46</w:t>
      </w:r>
    </w:p>
    <w:p w14:paraId="0C6CB8C2" w14:textId="77777777" w:rsidR="001E0BBF" w:rsidRPr="009B6D19" w:rsidRDefault="001E0BBF" w:rsidP="00804868">
      <w:pPr>
        <w:spacing w:before="240" w:after="240" w:line="240" w:lineRule="auto"/>
        <w:rPr>
          <w:rFonts w:ascii="Garamond" w:hAnsi="Garamond"/>
        </w:rPr>
      </w:pPr>
      <w:r w:rsidRPr="009B6D19">
        <w:rPr>
          <w:rFonts w:ascii="Garamond" w:hAnsi="Garamond"/>
        </w:rPr>
        <w:t xml:space="preserve">PEFA (2008). </w:t>
      </w:r>
      <w:proofErr w:type="spellStart"/>
      <w:r w:rsidRPr="009B6D19">
        <w:rPr>
          <w:rFonts w:ascii="Garamond" w:hAnsi="Garamond"/>
        </w:rPr>
        <w:t>Mesurede</w:t>
      </w:r>
      <w:proofErr w:type="spellEnd"/>
      <w:r w:rsidRPr="009B6D19">
        <w:rPr>
          <w:rFonts w:ascii="Garamond" w:hAnsi="Garamond"/>
        </w:rPr>
        <w:t xml:space="preserve"> la performance de la gestion des finances publiques en République Démocratique du Congo</w:t>
      </w:r>
      <w:r>
        <w:rPr>
          <w:rFonts w:ascii="Garamond" w:hAnsi="Garamond"/>
        </w:rPr>
        <w:t xml:space="preserve"> </w:t>
      </w:r>
      <w:r w:rsidRPr="009B6D19">
        <w:rPr>
          <w:rFonts w:ascii="Garamond" w:hAnsi="Garamond"/>
        </w:rPr>
        <w:t>selon la méthodologie PEFA, p. 1-254</w:t>
      </w:r>
    </w:p>
    <w:p w14:paraId="41F89556" w14:textId="77777777" w:rsidR="001E0BBF" w:rsidRDefault="001E0BBF" w:rsidP="00804868">
      <w:pPr>
        <w:spacing w:before="240" w:after="240" w:line="240" w:lineRule="auto"/>
        <w:rPr>
          <w:rFonts w:ascii="Garamond" w:hAnsi="Garamond"/>
        </w:rPr>
      </w:pPr>
      <w:r w:rsidRPr="009B6D19">
        <w:rPr>
          <w:rFonts w:ascii="Garamond" w:hAnsi="Garamond"/>
        </w:rPr>
        <w:t>PEFA (2020).</w:t>
      </w:r>
      <w:r>
        <w:rPr>
          <w:rFonts w:ascii="Garamond" w:hAnsi="Garamond"/>
        </w:rPr>
        <w:t xml:space="preserve"> </w:t>
      </w:r>
      <w:r w:rsidRPr="009B6D19">
        <w:rPr>
          <w:rFonts w:ascii="Garamond" w:hAnsi="Garamond"/>
        </w:rPr>
        <w:t>Evaluation de la performance</w:t>
      </w:r>
      <w:r>
        <w:rPr>
          <w:rFonts w:ascii="Garamond" w:hAnsi="Garamond"/>
        </w:rPr>
        <w:t xml:space="preserve"> </w:t>
      </w:r>
      <w:r w:rsidRPr="009B6D19">
        <w:rPr>
          <w:rFonts w:ascii="Garamond" w:hAnsi="Garamond"/>
        </w:rPr>
        <w:t>de la gestion des finances publiques en République Démocratique du Congo selon la méthodologie PEFA 2016, p. 1-273 ;</w:t>
      </w:r>
    </w:p>
    <w:p w14:paraId="7885DA2F" w14:textId="77777777" w:rsidR="001E0BBF" w:rsidRPr="009B6D19" w:rsidRDefault="001E0BBF" w:rsidP="00804868">
      <w:pPr>
        <w:spacing w:before="240" w:after="240" w:line="240" w:lineRule="auto"/>
        <w:rPr>
          <w:rFonts w:ascii="Garamond" w:eastAsia="Times New Roman" w:hAnsi="Garamond"/>
          <w:lang w:val="en-CA" w:eastAsia="fr-FR"/>
        </w:rPr>
      </w:pPr>
      <w:r w:rsidRPr="009B6D19">
        <w:rPr>
          <w:rFonts w:ascii="Garamond" w:hAnsi="Garamond"/>
          <w:lang w:val="en-CA"/>
        </w:rPr>
        <w:lastRenderedPageBreak/>
        <w:t xml:space="preserve">Pierson, P. (2000). Increasing Returns, Path Dependence, and the Study of Politics, </w:t>
      </w:r>
      <w:r w:rsidRPr="009B6D19">
        <w:rPr>
          <w:rFonts w:ascii="Garamond" w:hAnsi="Garamond"/>
          <w:i/>
          <w:lang w:val="en-CA"/>
        </w:rPr>
        <w:t>The American Political Science Review</w:t>
      </w:r>
      <w:r w:rsidRPr="009B6D19">
        <w:rPr>
          <w:rFonts w:ascii="Garamond" w:hAnsi="Garamond"/>
          <w:lang w:val="en-CA"/>
        </w:rPr>
        <w:t>, 2(94), p. 251-267</w:t>
      </w:r>
    </w:p>
    <w:p w14:paraId="42102407"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Pourtier</w:t>
      </w:r>
      <w:proofErr w:type="spellEnd"/>
      <w:r w:rsidRPr="009B6D19">
        <w:rPr>
          <w:rFonts w:ascii="Garamond" w:hAnsi="Garamond"/>
        </w:rPr>
        <w:t xml:space="preserve">, R. (2008). Reconstruire le territoire pour reconstruire l'état : la RDC à la croisée des chemins, </w:t>
      </w:r>
      <w:r w:rsidRPr="00B75AC7">
        <w:rPr>
          <w:rFonts w:ascii="Garamond" w:hAnsi="Garamond"/>
          <w:i/>
        </w:rPr>
        <w:t>Afrique contemporaine</w:t>
      </w:r>
      <w:r w:rsidRPr="009B6D19">
        <w:rPr>
          <w:rFonts w:ascii="Garamond" w:hAnsi="Garamond"/>
        </w:rPr>
        <w:t>, 3(227), p. 23-52, DOI 10.3917/afco.227.0023 ;</w:t>
      </w:r>
    </w:p>
    <w:p w14:paraId="0042EA0D" w14:textId="77777777" w:rsidR="001E0BBF" w:rsidRDefault="001E0BBF" w:rsidP="00804868">
      <w:pPr>
        <w:spacing w:before="240" w:after="240" w:line="240" w:lineRule="auto"/>
        <w:rPr>
          <w:rFonts w:ascii="Garamond" w:hAnsi="Garamond"/>
        </w:rPr>
      </w:pPr>
      <w:proofErr w:type="spellStart"/>
      <w:r w:rsidRPr="009B6D19">
        <w:rPr>
          <w:rFonts w:ascii="Garamond" w:hAnsi="Garamond"/>
        </w:rPr>
        <w:t>Pras</w:t>
      </w:r>
      <w:proofErr w:type="spellEnd"/>
      <w:r w:rsidRPr="009B6D19">
        <w:rPr>
          <w:rFonts w:ascii="Garamond" w:hAnsi="Garamond"/>
        </w:rPr>
        <w:t xml:space="preserve">, B. &amp; </w:t>
      </w:r>
      <w:proofErr w:type="spellStart"/>
      <w:r w:rsidRPr="009B6D19">
        <w:rPr>
          <w:rFonts w:ascii="Garamond" w:hAnsi="Garamond"/>
        </w:rPr>
        <w:t>Zarlowski</w:t>
      </w:r>
      <w:proofErr w:type="spellEnd"/>
      <w:r w:rsidRPr="009B6D19">
        <w:rPr>
          <w:rFonts w:ascii="Garamond" w:hAnsi="Garamond"/>
        </w:rPr>
        <w:t>, P. (2013). Obligation de rendre des comptes : Enjeux de légitimi</w:t>
      </w:r>
      <w:r>
        <w:rPr>
          <w:rFonts w:ascii="Garamond" w:hAnsi="Garamond"/>
        </w:rPr>
        <w:t xml:space="preserve">té et d'efficacité, </w:t>
      </w:r>
      <w:r w:rsidRPr="00690A8C">
        <w:rPr>
          <w:rFonts w:ascii="Garamond" w:hAnsi="Garamond"/>
          <w:i/>
        </w:rPr>
        <w:t>Revue française de gestion</w:t>
      </w:r>
      <w:r>
        <w:rPr>
          <w:rFonts w:ascii="Garamond" w:hAnsi="Garamond"/>
        </w:rPr>
        <w:t xml:space="preserve">, </w:t>
      </w:r>
      <w:r w:rsidRPr="009B6D19">
        <w:rPr>
          <w:rFonts w:ascii="Garamond" w:hAnsi="Garamond"/>
        </w:rPr>
        <w:t>8</w:t>
      </w:r>
      <w:r>
        <w:rPr>
          <w:rFonts w:ascii="Garamond" w:hAnsi="Garamond"/>
        </w:rPr>
        <w:t>(</w:t>
      </w:r>
      <w:r w:rsidRPr="009B6D19">
        <w:rPr>
          <w:rFonts w:ascii="Garamond" w:hAnsi="Garamond"/>
        </w:rPr>
        <w:t>237</w:t>
      </w:r>
      <w:r>
        <w:rPr>
          <w:rFonts w:ascii="Garamond" w:hAnsi="Garamond"/>
        </w:rPr>
        <w:t>), p.13-</w:t>
      </w:r>
      <w:r w:rsidRPr="009B6D19">
        <w:rPr>
          <w:rFonts w:ascii="Garamond" w:hAnsi="Garamond"/>
        </w:rPr>
        <w:t>32</w:t>
      </w:r>
      <w:r>
        <w:rPr>
          <w:rFonts w:ascii="Garamond" w:hAnsi="Garamond"/>
        </w:rPr>
        <w:t> ;</w:t>
      </w:r>
    </w:p>
    <w:p w14:paraId="4E6D51A8" w14:textId="77777777" w:rsidR="001E0BBF" w:rsidRDefault="001E0BBF" w:rsidP="00804868">
      <w:pPr>
        <w:spacing w:before="240" w:after="240" w:line="240" w:lineRule="auto"/>
        <w:rPr>
          <w:rFonts w:ascii="Garamond" w:hAnsi="Garamond"/>
          <w:i/>
        </w:rPr>
      </w:pPr>
      <w:r w:rsidRPr="005C036E">
        <w:rPr>
          <w:rFonts w:ascii="Garamond" w:hAnsi="Garamond"/>
        </w:rPr>
        <w:t>RDC (2008a). Loi n°08/012 portant principes fondamentaux relatifs à la libre administration des provinces,</w:t>
      </w:r>
      <w:r>
        <w:rPr>
          <w:rFonts w:ascii="Garamond" w:hAnsi="Garamond"/>
          <w:i/>
        </w:rPr>
        <w:t xml:space="preserve"> Journal officiel</w:t>
      </w:r>
    </w:p>
    <w:p w14:paraId="56D21B6F" w14:textId="77777777" w:rsidR="00032758" w:rsidRDefault="001E0BBF" w:rsidP="00032758">
      <w:pPr>
        <w:spacing w:before="240" w:after="240" w:line="240" w:lineRule="auto"/>
        <w:rPr>
          <w:rFonts w:ascii="Garamond" w:hAnsi="Garamond"/>
          <w:i/>
        </w:rPr>
      </w:pPr>
      <w:r w:rsidRPr="003A580A">
        <w:rPr>
          <w:rFonts w:ascii="Garamond" w:hAnsi="Garamond"/>
        </w:rPr>
        <w:t>RDC (2008b).</w:t>
      </w:r>
      <w:r>
        <w:rPr>
          <w:rFonts w:ascii="Garamond" w:hAnsi="Garamond"/>
          <w:i/>
        </w:rPr>
        <w:t xml:space="preserve"> </w:t>
      </w:r>
      <w:r w:rsidRPr="00036018">
        <w:rPr>
          <w:rFonts w:ascii="Garamond" w:hAnsi="Garamond"/>
        </w:rPr>
        <w:t>Loi organique n° 08/016 du 07 octobre 2008 portant composition, organisation et fonctionnement des Entités Territoriales Décentralisées et leurs rapports avec l'Etat et les Provinces,</w:t>
      </w:r>
      <w:r w:rsidR="00032758">
        <w:rPr>
          <w:rFonts w:ascii="Garamond" w:hAnsi="Garamond"/>
          <w:i/>
        </w:rPr>
        <w:t xml:space="preserve"> Journal officiel</w:t>
      </w:r>
    </w:p>
    <w:p w14:paraId="3A56B680" w14:textId="77777777" w:rsidR="00032758" w:rsidRDefault="001E0BBF" w:rsidP="00032758">
      <w:pPr>
        <w:spacing w:before="240" w:after="240" w:line="240" w:lineRule="auto"/>
        <w:rPr>
          <w:rFonts w:ascii="Garamond" w:hAnsi="Garamond"/>
          <w:i/>
          <w:lang w:eastAsia="fr-FR"/>
        </w:rPr>
      </w:pPr>
      <w:r>
        <w:rPr>
          <w:rFonts w:ascii="Garamond" w:hAnsi="Garamond"/>
          <w:lang w:eastAsia="fr-FR"/>
        </w:rPr>
        <w:t xml:space="preserve">RDC (2011). Loi n°11/011 du 13 juillet 2011 relative aux finances publiques, </w:t>
      </w:r>
      <w:r w:rsidRPr="005C0B82">
        <w:rPr>
          <w:rFonts w:ascii="Garamond" w:hAnsi="Garamond"/>
          <w:i/>
          <w:lang w:eastAsia="fr-FR"/>
        </w:rPr>
        <w:t>Journal officiel</w:t>
      </w:r>
    </w:p>
    <w:p w14:paraId="7C7B79BF" w14:textId="77777777" w:rsidR="00032758" w:rsidRDefault="001E0BBF" w:rsidP="00032758">
      <w:pPr>
        <w:spacing w:before="240" w:after="240" w:line="240" w:lineRule="auto"/>
        <w:rPr>
          <w:rFonts w:ascii="Garamond" w:hAnsi="Garamond"/>
          <w:lang w:eastAsia="fr-FR"/>
        </w:rPr>
      </w:pPr>
      <w:r>
        <w:rPr>
          <w:rFonts w:ascii="Garamond" w:hAnsi="Garamond"/>
          <w:lang w:eastAsia="fr-FR"/>
        </w:rPr>
        <w:t xml:space="preserve">RDC (2013). </w:t>
      </w:r>
      <w:r w:rsidRPr="009B6D19">
        <w:rPr>
          <w:rFonts w:ascii="Garamond" w:hAnsi="Garamond"/>
          <w:lang w:eastAsia="fr-FR"/>
        </w:rPr>
        <w:t>Décret n° 13/050  du 6 novembre 2013 portant règlement général sur la comptabilité publique</w:t>
      </w:r>
      <w:r>
        <w:rPr>
          <w:rFonts w:ascii="Garamond" w:hAnsi="Garamond"/>
          <w:lang w:eastAsia="fr-FR"/>
        </w:rPr>
        <w:t xml:space="preserve">, </w:t>
      </w:r>
      <w:r w:rsidRPr="003A580A">
        <w:rPr>
          <w:rFonts w:ascii="Garamond" w:hAnsi="Garamond"/>
          <w:i/>
          <w:lang w:eastAsia="fr-FR"/>
        </w:rPr>
        <w:t>Journal officiel</w:t>
      </w:r>
      <w:r>
        <w:rPr>
          <w:rFonts w:ascii="Garamond" w:hAnsi="Garamond"/>
          <w:i/>
          <w:lang w:eastAsia="fr-FR"/>
        </w:rPr>
        <w:t xml:space="preserve">, </w:t>
      </w:r>
      <w:r w:rsidRPr="001D1F0D">
        <w:rPr>
          <w:rFonts w:ascii="Garamond" w:hAnsi="Garamond"/>
          <w:lang w:eastAsia="fr-FR"/>
        </w:rPr>
        <w:t>J.O.RDC., 15 décembre 2013, n° 24, col. 7</w:t>
      </w:r>
    </w:p>
    <w:p w14:paraId="7AFB3B0D" w14:textId="77777777" w:rsidR="001E0BBF" w:rsidRPr="009B6D19" w:rsidRDefault="001E0BBF" w:rsidP="00804868">
      <w:pPr>
        <w:spacing w:before="240" w:after="240" w:line="240" w:lineRule="auto"/>
        <w:rPr>
          <w:rFonts w:ascii="Garamond" w:hAnsi="Garamond"/>
          <w:lang w:val="en-CA"/>
        </w:rPr>
      </w:pPr>
      <w:r w:rsidRPr="009B6D19">
        <w:rPr>
          <w:rFonts w:ascii="Garamond" w:hAnsi="Garamond"/>
          <w:lang w:val="en-CA"/>
        </w:rPr>
        <w:t>Richards, P. (2011). A Systematic Approach to Cultural Explanations of War: Tracing Causal Processes in Two West African Insurgencies, World Development, Vol. 39, No. 2, pp. 212–220, 2011, Doi: 10.1016/j.worlddev.2009.11.030</w:t>
      </w:r>
    </w:p>
    <w:p w14:paraId="13156A2C" w14:textId="77777777" w:rsidR="001E0BBF" w:rsidRPr="009B6D19" w:rsidRDefault="001E0BBF" w:rsidP="00804868">
      <w:pPr>
        <w:spacing w:before="240" w:after="240" w:line="240" w:lineRule="auto"/>
        <w:rPr>
          <w:rFonts w:ascii="Garamond" w:hAnsi="Garamond"/>
          <w:lang w:val="en-CA"/>
        </w:rPr>
      </w:pPr>
      <w:r w:rsidRPr="009B6D19">
        <w:rPr>
          <w:rFonts w:ascii="Garamond" w:hAnsi="Garamond"/>
        </w:rPr>
        <w:t xml:space="preserve">Rondinelli, D.A., Nellis, J.R, Cheema, G.S. (1983). </w:t>
      </w:r>
      <w:r w:rsidRPr="009B6D19">
        <w:rPr>
          <w:rFonts w:ascii="Garamond" w:hAnsi="Garamond"/>
          <w:lang w:val="en-CA"/>
        </w:rPr>
        <w:t xml:space="preserve">Decentralization in Developing </w:t>
      </w:r>
      <w:proofErr w:type="spellStart"/>
      <w:r w:rsidRPr="009B6D19">
        <w:rPr>
          <w:rFonts w:ascii="Garamond" w:hAnsi="Garamond"/>
          <w:lang w:val="en-CA"/>
        </w:rPr>
        <w:t>Countries,A</w:t>
      </w:r>
      <w:proofErr w:type="spellEnd"/>
      <w:r w:rsidRPr="009B6D19">
        <w:rPr>
          <w:rFonts w:ascii="Garamond" w:hAnsi="Garamond"/>
          <w:lang w:val="en-CA"/>
        </w:rPr>
        <w:t xml:space="preserve"> Review of Recent Experience, in</w:t>
      </w:r>
      <w:r>
        <w:rPr>
          <w:rFonts w:ascii="Garamond" w:hAnsi="Garamond"/>
          <w:lang w:val="en-CA"/>
        </w:rPr>
        <w:t xml:space="preserve"> </w:t>
      </w:r>
      <w:r w:rsidRPr="009B6D19">
        <w:rPr>
          <w:rFonts w:ascii="Garamond" w:hAnsi="Garamond"/>
          <w:lang w:val="en-CA"/>
        </w:rPr>
        <w:t>World Bank Staff</w:t>
      </w:r>
      <w:r>
        <w:rPr>
          <w:rFonts w:ascii="Garamond" w:hAnsi="Garamond"/>
          <w:lang w:val="en-CA"/>
        </w:rPr>
        <w:t xml:space="preserve"> </w:t>
      </w:r>
      <w:r w:rsidRPr="009B6D19">
        <w:rPr>
          <w:rFonts w:ascii="Garamond" w:hAnsi="Garamond"/>
          <w:lang w:val="en-CA"/>
        </w:rPr>
        <w:t>working papers, 8(581), p. 1-110 ;</w:t>
      </w:r>
    </w:p>
    <w:p w14:paraId="3796C49F" w14:textId="77777777" w:rsidR="001E0BBF" w:rsidRPr="009B6D19" w:rsidRDefault="001E0BBF" w:rsidP="00804868">
      <w:pPr>
        <w:spacing w:before="240" w:after="240" w:line="240" w:lineRule="auto"/>
        <w:rPr>
          <w:rFonts w:ascii="Garamond" w:eastAsia="Times New Roman" w:hAnsi="Garamond"/>
        </w:rPr>
      </w:pPr>
      <w:r w:rsidRPr="009B6D19">
        <w:rPr>
          <w:rFonts w:ascii="Garamond" w:hAnsi="Garamond"/>
        </w:rPr>
        <w:t>Rouillard, C. &amp; Burlone, N. (2011). « Éléments</w:t>
      </w:r>
      <w:r>
        <w:rPr>
          <w:rFonts w:ascii="Garamond" w:hAnsi="Garamond"/>
        </w:rPr>
        <w:t xml:space="preserve"> </w:t>
      </w:r>
      <w:r w:rsidRPr="009B6D19">
        <w:rPr>
          <w:rFonts w:ascii="Garamond" w:hAnsi="Garamond"/>
        </w:rPr>
        <w:t>de réflexion sur la notion de gouvernance», In</w:t>
      </w:r>
      <w:r w:rsidRPr="009B6D19">
        <w:rPr>
          <w:rFonts w:ascii="Garamond" w:eastAsia="Times New Roman" w:hAnsi="Garamond"/>
        </w:rPr>
        <w:t xml:space="preserve"> </w:t>
      </w:r>
      <w:r w:rsidRPr="00B75AC7">
        <w:rPr>
          <w:rFonts w:ascii="Garamond" w:eastAsia="Times New Roman" w:hAnsi="Garamond"/>
        </w:rPr>
        <w:t>L’État et la société civile</w:t>
      </w:r>
      <w:r>
        <w:rPr>
          <w:rFonts w:ascii="Garamond" w:eastAsia="Times New Roman" w:hAnsi="Garamond"/>
        </w:rPr>
        <w:t xml:space="preserve"> </w:t>
      </w:r>
      <w:r w:rsidRPr="00B75AC7">
        <w:rPr>
          <w:rFonts w:ascii="Garamond" w:eastAsia="Times New Roman" w:hAnsi="Garamond"/>
        </w:rPr>
        <w:t>sous le joug de la gouvernance</w:t>
      </w:r>
      <w:r w:rsidRPr="009B6D19">
        <w:rPr>
          <w:rFonts w:ascii="Garamond" w:eastAsia="Times New Roman" w:hAnsi="Garamond"/>
        </w:rPr>
        <w:t>, p. 263-276.</w:t>
      </w:r>
    </w:p>
    <w:p w14:paraId="2E01C8CD" w14:textId="77777777" w:rsidR="001E0BBF" w:rsidRPr="009B6D19" w:rsidRDefault="001E0BBF" w:rsidP="00804868">
      <w:pPr>
        <w:spacing w:before="240" w:after="240" w:line="240" w:lineRule="auto"/>
        <w:rPr>
          <w:rFonts w:ascii="Garamond" w:hAnsi="Garamond"/>
        </w:rPr>
      </w:pPr>
      <w:r w:rsidRPr="009B6D19">
        <w:rPr>
          <w:rFonts w:ascii="Garamond" w:hAnsi="Garamond"/>
          <w:lang w:val="en-CA"/>
        </w:rPr>
        <w:t xml:space="preserve">Rouillard, C. &amp; </w:t>
      </w:r>
      <w:proofErr w:type="spellStart"/>
      <w:r w:rsidRPr="009B6D19">
        <w:rPr>
          <w:rFonts w:ascii="Garamond" w:hAnsi="Garamond"/>
          <w:lang w:val="en-CA"/>
        </w:rPr>
        <w:t>Hudon</w:t>
      </w:r>
      <w:proofErr w:type="spellEnd"/>
      <w:r w:rsidRPr="009B6D19">
        <w:rPr>
          <w:rFonts w:ascii="Garamond" w:hAnsi="Garamond"/>
          <w:lang w:val="en-CA"/>
        </w:rPr>
        <w:t xml:space="preserve">, P-A. </w:t>
      </w:r>
      <w:r w:rsidRPr="009B6D19">
        <w:rPr>
          <w:rFonts w:ascii="Garamond" w:hAnsi="Garamond"/>
        </w:rPr>
        <w:t xml:space="preserve">(2007). Le partenariat public-privé : un instrument d’action publique au cœur de la reconfiguration de l’État québécois, </w:t>
      </w:r>
      <w:r w:rsidRPr="009B6D19">
        <w:rPr>
          <w:rFonts w:ascii="Garamond" w:hAnsi="Garamond"/>
          <w:i/>
        </w:rPr>
        <w:t>Économie et Solidarités</w:t>
      </w:r>
      <w:r w:rsidRPr="009B6D19">
        <w:rPr>
          <w:rFonts w:ascii="Garamond" w:hAnsi="Garamond"/>
        </w:rPr>
        <w:t>, 2(38), p.7-26</w:t>
      </w:r>
    </w:p>
    <w:p w14:paraId="15812D6D" w14:textId="77777777" w:rsidR="001E0BBF" w:rsidRDefault="001E0BBF" w:rsidP="001E0BBF">
      <w:pPr>
        <w:spacing w:before="240" w:after="240" w:line="240" w:lineRule="auto"/>
        <w:rPr>
          <w:rFonts w:ascii="Garamond" w:hAnsi="Garamond"/>
          <w:lang w:val="en-CA"/>
        </w:rPr>
      </w:pPr>
      <w:r w:rsidRPr="002C327A">
        <w:rPr>
          <w:rFonts w:ascii="Garamond" w:hAnsi="Garamond"/>
          <w:lang w:val="fr-CA"/>
        </w:rPr>
        <w:t xml:space="preserve">Signé, L. (2014). Intérêts, stratégies des acteurs et innovation en politiques de développement en Afrique. </w:t>
      </w:r>
      <w:r w:rsidRPr="001E0BBF">
        <w:rPr>
          <w:rFonts w:ascii="Garamond" w:hAnsi="Garamond"/>
          <w:i/>
          <w:lang w:val="en-CA"/>
        </w:rPr>
        <w:t>Politique et Sociétés</w:t>
      </w:r>
      <w:r w:rsidRPr="001E0BBF">
        <w:rPr>
          <w:rFonts w:ascii="Garamond" w:hAnsi="Garamond"/>
          <w:lang w:val="en-CA"/>
        </w:rPr>
        <w:t xml:space="preserve">, 33(3), 131–153. </w:t>
      </w:r>
      <w:hyperlink r:id="rId62" w:history="1">
        <w:r w:rsidRPr="001E0BBF">
          <w:rPr>
            <w:rFonts w:ascii="Garamond" w:hAnsi="Garamond"/>
            <w:lang w:val="en-CA"/>
          </w:rPr>
          <w:t>https://doi.org/10.7202/1027943ar</w:t>
        </w:r>
      </w:hyperlink>
    </w:p>
    <w:p w14:paraId="17B876FB" w14:textId="77777777" w:rsidR="001E0BBF" w:rsidRPr="009B6D19" w:rsidRDefault="001E0BBF" w:rsidP="00804868">
      <w:pPr>
        <w:spacing w:before="240" w:after="240" w:line="240" w:lineRule="auto"/>
        <w:jc w:val="left"/>
        <w:rPr>
          <w:rFonts w:ascii="Garamond" w:hAnsi="Garamond"/>
        </w:rPr>
      </w:pPr>
      <w:proofErr w:type="spellStart"/>
      <w:r w:rsidRPr="009B6D19">
        <w:rPr>
          <w:rFonts w:ascii="Garamond" w:hAnsi="Garamond"/>
        </w:rPr>
        <w:t>Siné</w:t>
      </w:r>
      <w:proofErr w:type="spellEnd"/>
      <w:r w:rsidRPr="009B6D19">
        <w:rPr>
          <w:rFonts w:ascii="Garamond" w:hAnsi="Garamond"/>
        </w:rPr>
        <w:t xml:space="preserve">, A. (2001). Responsabilité politique : de la fin du modèle wébérien aux nouvelles figures de légitimation de l'action publique. In: Politiques et management public, vol. 19, n° 2, 2001. pp. 45-62; </w:t>
      </w:r>
      <w:proofErr w:type="spellStart"/>
      <w:r w:rsidRPr="009B6D19">
        <w:rPr>
          <w:rFonts w:ascii="Garamond" w:hAnsi="Garamond"/>
        </w:rPr>
        <w:t>Doi</w:t>
      </w:r>
      <w:proofErr w:type="spellEnd"/>
      <w:r w:rsidRPr="009B6D19">
        <w:rPr>
          <w:rFonts w:ascii="Garamond" w:hAnsi="Garamond"/>
        </w:rPr>
        <w:t xml:space="preserve"> : </w:t>
      </w:r>
      <w:hyperlink r:id="rId63" w:history="1">
        <w:r w:rsidRPr="009B6D19">
          <w:rPr>
            <w:rFonts w:ascii="Garamond" w:hAnsi="Garamond"/>
          </w:rPr>
          <w:t>https://doi.org/10.3406/pomap.2001.2666</w:t>
        </w:r>
      </w:hyperlink>
    </w:p>
    <w:p w14:paraId="1AB9407F" w14:textId="77777777" w:rsidR="001E0BBF" w:rsidRDefault="001E0BBF" w:rsidP="00804868">
      <w:pPr>
        <w:spacing w:before="240" w:after="240" w:line="240" w:lineRule="auto"/>
        <w:rPr>
          <w:rFonts w:ascii="Garamond" w:hAnsi="Garamond"/>
          <w:lang w:val="en-CA"/>
        </w:rPr>
      </w:pPr>
      <w:r w:rsidRPr="009B6D19">
        <w:rPr>
          <w:rFonts w:ascii="Garamond" w:hAnsi="Garamond"/>
          <w:lang w:val="en-CA"/>
        </w:rPr>
        <w:t xml:space="preserve">Smoke, P. (2015). Accountability and service delivery in decentralising environments: Understanding context and strategically advancing reform, in A governance practitioner’s notebook: alternative ideas and approaches, </w:t>
      </w:r>
      <w:r w:rsidRPr="009B6D19">
        <w:rPr>
          <w:rFonts w:ascii="Garamond" w:hAnsi="Garamond"/>
          <w:i/>
          <w:lang w:val="en-CA"/>
        </w:rPr>
        <w:t>OECD</w:t>
      </w:r>
      <w:r w:rsidRPr="009B6D19">
        <w:rPr>
          <w:rFonts w:ascii="Garamond" w:hAnsi="Garamond"/>
          <w:lang w:val="en-CA"/>
        </w:rPr>
        <w:t xml:space="preserve">, p. </w:t>
      </w:r>
      <w:proofErr w:type="gramStart"/>
      <w:r w:rsidRPr="009B6D19">
        <w:rPr>
          <w:rFonts w:ascii="Garamond" w:hAnsi="Garamond"/>
          <w:lang w:val="en-CA"/>
        </w:rPr>
        <w:t>220-232;</w:t>
      </w:r>
      <w:proofErr w:type="gramEnd"/>
    </w:p>
    <w:p w14:paraId="04136D08" w14:textId="77777777" w:rsidR="00120345" w:rsidRDefault="00120345" w:rsidP="00120345">
      <w:pPr>
        <w:spacing w:after="0" w:line="240" w:lineRule="auto"/>
        <w:rPr>
          <w:rFonts w:ascii="Garamond" w:hAnsi="Garamond" w:cs="Times New Roman"/>
          <w:color w:val="000000"/>
        </w:rPr>
      </w:pPr>
      <w:proofErr w:type="spellStart"/>
      <w:r w:rsidRPr="00A45EB2">
        <w:rPr>
          <w:rFonts w:ascii="Garamond" w:hAnsi="Garamond" w:cs="Times New Roman"/>
          <w:color w:val="000000"/>
        </w:rPr>
        <w:t>Smyrl</w:t>
      </w:r>
      <w:proofErr w:type="spellEnd"/>
      <w:r>
        <w:rPr>
          <w:rFonts w:ascii="Garamond" w:hAnsi="Garamond" w:cs="Times New Roman"/>
          <w:color w:val="000000"/>
        </w:rPr>
        <w:t xml:space="preserve">, M. (2005). </w:t>
      </w:r>
      <w:r w:rsidRPr="00A45EB2">
        <w:rPr>
          <w:rFonts w:ascii="Garamond" w:hAnsi="Garamond" w:cs="Times New Roman"/>
          <w:color w:val="000000"/>
        </w:rPr>
        <w:t xml:space="preserve">Vers un retour du politique dans le néo-institutionnalisme. </w:t>
      </w:r>
      <w:r w:rsidRPr="00A45EB2">
        <w:rPr>
          <w:rFonts w:ascii="Garamond" w:hAnsi="Garamond" w:cs="Times New Roman"/>
          <w:i/>
          <w:color w:val="000000"/>
        </w:rPr>
        <w:t>Pôle Sud - Revue de science politique de l’Europe méridionale</w:t>
      </w:r>
      <w:r w:rsidRPr="00A45EB2">
        <w:rPr>
          <w:rFonts w:ascii="Garamond" w:hAnsi="Garamond" w:cs="Times New Roman"/>
          <w:color w:val="000000"/>
        </w:rPr>
        <w:t xml:space="preserve">, </w:t>
      </w:r>
      <w:r>
        <w:rPr>
          <w:rFonts w:ascii="Garamond" w:hAnsi="Garamond" w:cs="Times New Roman"/>
          <w:color w:val="000000"/>
        </w:rPr>
        <w:t>in</w:t>
      </w:r>
      <w:r w:rsidRPr="00A45EB2">
        <w:rPr>
          <w:rFonts w:ascii="Garamond" w:hAnsi="Garamond" w:cs="Times New Roman"/>
          <w:color w:val="000000"/>
        </w:rPr>
        <w:t xml:space="preserve"> La Turquie face à l’Europe, 23 (1), p.115-130.</w:t>
      </w:r>
    </w:p>
    <w:p w14:paraId="0A74A73B" w14:textId="77777777" w:rsidR="00120345" w:rsidRDefault="00120345" w:rsidP="00337030">
      <w:pPr>
        <w:spacing w:after="0" w:line="240" w:lineRule="auto"/>
        <w:rPr>
          <w:sz w:val="23"/>
          <w:szCs w:val="23"/>
        </w:rPr>
      </w:pPr>
      <w:r w:rsidRPr="00120345">
        <w:rPr>
          <w:rFonts w:ascii="Garamond" w:hAnsi="Garamond" w:cs="Times New Roman"/>
          <w:color w:val="000000"/>
        </w:rPr>
        <w:t>Stone. A. (1992). Le «néo-institutionnalisme». Défis conceptuels et méthodologiques. In: L'ordre parlementaire,</w:t>
      </w:r>
      <w:r>
        <w:rPr>
          <w:sz w:val="23"/>
          <w:szCs w:val="23"/>
        </w:rPr>
        <w:t xml:space="preserve"> </w:t>
      </w:r>
      <w:proofErr w:type="spellStart"/>
      <w:r w:rsidRPr="00120345">
        <w:rPr>
          <w:rFonts w:ascii="Garamond" w:hAnsi="Garamond" w:cs="Times New Roman"/>
          <w:i/>
          <w:color w:val="000000"/>
        </w:rPr>
        <w:t>Politix</w:t>
      </w:r>
      <w:proofErr w:type="spellEnd"/>
      <w:r w:rsidRPr="00120345">
        <w:rPr>
          <w:rFonts w:ascii="Garamond" w:hAnsi="Garamond" w:cs="Times New Roman"/>
          <w:i/>
          <w:color w:val="000000"/>
        </w:rPr>
        <w:t>,</w:t>
      </w:r>
      <w:r w:rsidRPr="009F542E">
        <w:rPr>
          <w:sz w:val="23"/>
          <w:szCs w:val="23"/>
        </w:rPr>
        <w:t xml:space="preserve"> </w:t>
      </w:r>
      <w:r w:rsidRPr="00120345">
        <w:rPr>
          <w:rFonts w:ascii="Garamond" w:hAnsi="Garamond" w:cs="Times New Roman"/>
          <w:color w:val="000000"/>
        </w:rPr>
        <w:t xml:space="preserve">5(20), pp. 156-168; </w:t>
      </w:r>
      <w:hyperlink r:id="rId64" w:history="1">
        <w:r w:rsidRPr="00120345">
          <w:rPr>
            <w:rFonts w:ascii="Garamond" w:hAnsi="Garamond" w:cs="Times New Roman"/>
            <w:color w:val="000000"/>
          </w:rPr>
          <w:t>https://doi.org/10.3406/polix.1992.1556</w:t>
        </w:r>
      </w:hyperlink>
    </w:p>
    <w:p w14:paraId="3F1E872C" w14:textId="384030BD" w:rsidR="00C30798" w:rsidRDefault="00337030" w:rsidP="00337030">
      <w:pPr>
        <w:spacing w:after="0" w:line="240" w:lineRule="auto"/>
        <w:rPr>
          <w:rFonts w:ascii="Garamond" w:hAnsi="Garamond" w:cs="Times New Roman"/>
          <w:color w:val="000000"/>
        </w:rPr>
      </w:pPr>
      <w:r w:rsidRPr="00584343">
        <w:rPr>
          <w:rFonts w:ascii="Garamond" w:hAnsi="Garamond" w:cs="Times New Roman"/>
          <w:color w:val="000000"/>
        </w:rPr>
        <w:t>Tellier, G. (2015)</w:t>
      </w:r>
      <w:r>
        <w:rPr>
          <w:rFonts w:ascii="Garamond" w:hAnsi="Garamond" w:cs="Times New Roman"/>
          <w:color w:val="000000"/>
        </w:rPr>
        <w:t xml:space="preserve">. </w:t>
      </w:r>
      <w:proofErr w:type="spellStart"/>
      <w:r w:rsidRPr="00584343">
        <w:rPr>
          <w:rFonts w:ascii="Garamond" w:hAnsi="Garamond" w:cs="Times New Roman"/>
          <w:color w:val="000000"/>
        </w:rPr>
        <w:t>Improving</w:t>
      </w:r>
      <w:proofErr w:type="spellEnd"/>
      <w:r w:rsidRPr="00584343">
        <w:rPr>
          <w:rFonts w:ascii="Garamond" w:hAnsi="Garamond" w:cs="Times New Roman"/>
          <w:color w:val="000000"/>
        </w:rPr>
        <w:t xml:space="preserve"> the Relevance of </w:t>
      </w:r>
      <w:proofErr w:type="spellStart"/>
      <w:r w:rsidRPr="00584343">
        <w:rPr>
          <w:rFonts w:ascii="Garamond" w:hAnsi="Garamond" w:cs="Times New Roman"/>
          <w:color w:val="000000"/>
        </w:rPr>
        <w:t>Parliamentary</w:t>
      </w:r>
      <w:proofErr w:type="spellEnd"/>
      <w:r w:rsidRPr="00584343">
        <w:rPr>
          <w:rFonts w:ascii="Garamond" w:hAnsi="Garamond" w:cs="Times New Roman"/>
          <w:color w:val="000000"/>
        </w:rPr>
        <w:t xml:space="preserve"> Institutions: An </w:t>
      </w:r>
      <w:proofErr w:type="spellStart"/>
      <w:r w:rsidRPr="00584343">
        <w:rPr>
          <w:rFonts w:ascii="Garamond" w:hAnsi="Garamond" w:cs="Times New Roman"/>
          <w:color w:val="000000"/>
        </w:rPr>
        <w:t>Examination</w:t>
      </w:r>
      <w:proofErr w:type="spellEnd"/>
      <w:r w:rsidRPr="00584343">
        <w:rPr>
          <w:rFonts w:ascii="Garamond" w:hAnsi="Garamond" w:cs="Times New Roman"/>
          <w:color w:val="000000"/>
        </w:rPr>
        <w:t xml:space="preserve"> of </w:t>
      </w:r>
      <w:proofErr w:type="spellStart"/>
      <w:r w:rsidRPr="00584343">
        <w:rPr>
          <w:rFonts w:ascii="Garamond" w:hAnsi="Garamond" w:cs="Times New Roman"/>
          <w:color w:val="000000"/>
        </w:rPr>
        <w:t>Legislative</w:t>
      </w:r>
      <w:proofErr w:type="spellEnd"/>
      <w:r w:rsidRPr="00584343">
        <w:rPr>
          <w:rFonts w:ascii="Garamond" w:hAnsi="Garamond" w:cs="Times New Roman"/>
          <w:color w:val="000000"/>
        </w:rPr>
        <w:t xml:space="preserve"> Pre-budget Consultations in British Columbia, </w:t>
      </w:r>
      <w:r w:rsidRPr="00584343">
        <w:rPr>
          <w:rFonts w:ascii="Garamond" w:hAnsi="Garamond" w:cs="Times New Roman"/>
          <w:i/>
          <w:color w:val="000000"/>
        </w:rPr>
        <w:t xml:space="preserve">The Journal of </w:t>
      </w:r>
      <w:proofErr w:type="spellStart"/>
      <w:r w:rsidRPr="00584343">
        <w:rPr>
          <w:rFonts w:ascii="Garamond" w:hAnsi="Garamond" w:cs="Times New Roman"/>
          <w:i/>
          <w:color w:val="000000"/>
        </w:rPr>
        <w:t>Legislative</w:t>
      </w:r>
      <w:proofErr w:type="spellEnd"/>
      <w:r w:rsidRPr="00584343">
        <w:rPr>
          <w:rFonts w:ascii="Garamond" w:hAnsi="Garamond" w:cs="Times New Roman"/>
          <w:i/>
          <w:color w:val="000000"/>
        </w:rPr>
        <w:t xml:space="preserve"> Studies</w:t>
      </w:r>
      <w:r w:rsidRPr="00584343">
        <w:rPr>
          <w:rFonts w:ascii="Garamond" w:hAnsi="Garamond" w:cs="Times New Roman"/>
          <w:color w:val="000000"/>
        </w:rPr>
        <w:t xml:space="preserve">, 21(2), p. 192–212, </w:t>
      </w:r>
      <w:hyperlink r:id="rId65" w:history="1">
        <w:r w:rsidR="00C30798" w:rsidRPr="00C167B0">
          <w:rPr>
            <w:rStyle w:val="Hyperlink"/>
            <w:rFonts w:ascii="Garamond" w:hAnsi="Garamond" w:cs="Times New Roman"/>
          </w:rPr>
          <w:t>http://dx.doi.org/10.1080/13572334.2014.953841</w:t>
        </w:r>
      </w:hyperlink>
    </w:p>
    <w:p w14:paraId="1953DE0B" w14:textId="0D3E3D43" w:rsidR="00C30798" w:rsidRPr="00584343" w:rsidRDefault="00C30798" w:rsidP="00337030">
      <w:pPr>
        <w:spacing w:after="0" w:line="240" w:lineRule="auto"/>
        <w:rPr>
          <w:rFonts w:ascii="Garamond" w:hAnsi="Garamond" w:cs="Times New Roman"/>
          <w:color w:val="000000"/>
        </w:rPr>
      </w:pPr>
      <w:r w:rsidRPr="00936A49">
        <w:rPr>
          <w:rFonts w:ascii="Garamond" w:hAnsi="Garamond"/>
          <w:color w:val="000000"/>
        </w:rPr>
        <w:lastRenderedPageBreak/>
        <w:t xml:space="preserve">Tellier, G. (2009). </w:t>
      </w:r>
      <w:r w:rsidRPr="00936A49">
        <w:rPr>
          <w:rFonts w:ascii="Garamond" w:hAnsi="Garamond" w:cs="Times New Roman"/>
          <w:color w:val="000000"/>
        </w:rPr>
        <w:t>Les déterminants des recettes fiscales des gouvernements provinciaux canadiens : une étude empirique</w:t>
      </w:r>
      <w:r w:rsidRPr="00936A49">
        <w:rPr>
          <w:rFonts w:ascii="Garamond" w:hAnsi="Garamond"/>
          <w:color w:val="000000"/>
        </w:rPr>
        <w:t xml:space="preserve">, </w:t>
      </w:r>
      <w:r w:rsidRPr="00936A49">
        <w:rPr>
          <w:rFonts w:ascii="Garamond" w:hAnsi="Garamond"/>
          <w:i/>
          <w:color w:val="000000"/>
        </w:rPr>
        <w:t>Canadian Public Administration</w:t>
      </w:r>
      <w:r w:rsidRPr="00936A49">
        <w:rPr>
          <w:rFonts w:ascii="Garamond" w:hAnsi="Garamond"/>
          <w:color w:val="000000"/>
        </w:rPr>
        <w:t xml:space="preserve">, </w:t>
      </w:r>
      <w:hyperlink r:id="rId66" w:history="1">
        <w:r w:rsidRPr="00C167B0">
          <w:rPr>
            <w:rStyle w:val="Hyperlink"/>
            <w:rFonts w:ascii="Garamond" w:hAnsi="Garamond"/>
          </w:rPr>
          <w:t>52(4</w:t>
        </w:r>
      </w:hyperlink>
      <w:r>
        <w:rPr>
          <w:rFonts w:ascii="Garamond" w:hAnsi="Garamond"/>
          <w:color w:val="000000"/>
        </w:rPr>
        <w:t>)</w:t>
      </w:r>
      <w:r w:rsidRPr="00936A49">
        <w:rPr>
          <w:rFonts w:ascii="Garamond" w:hAnsi="Garamond" w:cs="Times New Roman"/>
          <w:color w:val="000000"/>
        </w:rPr>
        <w:t xml:space="preserve">, p. 591-612, </w:t>
      </w:r>
      <w:hyperlink r:id="rId67" w:history="1">
        <w:r w:rsidRPr="00936A49">
          <w:rPr>
            <w:rFonts w:ascii="Garamond" w:hAnsi="Garamond" w:cs="Times New Roman"/>
            <w:color w:val="000000"/>
          </w:rPr>
          <w:t>https://doi.org/10.1111/j.1754-7121.2009.00102.x</w:t>
        </w:r>
      </w:hyperlink>
    </w:p>
    <w:p w14:paraId="4FEBFC49" w14:textId="77777777" w:rsidR="001E0BBF" w:rsidRDefault="001E0BBF" w:rsidP="00804868">
      <w:pPr>
        <w:spacing w:before="240" w:after="240" w:line="240" w:lineRule="auto"/>
        <w:rPr>
          <w:rFonts w:ascii="Garamond" w:hAnsi="Garamond"/>
        </w:rPr>
      </w:pPr>
      <w:r w:rsidRPr="009B6D19">
        <w:rPr>
          <w:rFonts w:ascii="Garamond" w:hAnsi="Garamond"/>
        </w:rPr>
        <w:t xml:space="preserve">Tellier, G. (2020). Réformes démocratiques et finances publiques : enjeux et défis actuels. </w:t>
      </w:r>
      <w:r w:rsidRPr="009B6D19">
        <w:rPr>
          <w:rFonts w:ascii="Garamond" w:hAnsi="Garamond"/>
          <w:i/>
        </w:rPr>
        <w:t>Politique et Sociétés</w:t>
      </w:r>
      <w:r w:rsidRPr="009B6D19">
        <w:rPr>
          <w:rFonts w:ascii="Garamond" w:hAnsi="Garamond"/>
        </w:rPr>
        <w:t xml:space="preserve">, 39(1), 3–15. </w:t>
      </w:r>
      <w:hyperlink r:id="rId68" w:history="1">
        <w:r w:rsidRPr="009B6D19">
          <w:rPr>
            <w:rFonts w:ascii="Garamond" w:hAnsi="Garamond"/>
          </w:rPr>
          <w:t>https://doi.org/10.7202/1068365ar</w:t>
        </w:r>
      </w:hyperlink>
    </w:p>
    <w:p w14:paraId="2EEFFEFA" w14:textId="57FE852B" w:rsidR="007634C4" w:rsidRDefault="00C2300E" w:rsidP="007634C4">
      <w:pPr>
        <w:spacing w:before="240" w:after="240" w:line="240" w:lineRule="auto"/>
        <w:rPr>
          <w:rFonts w:ascii="Garamond" w:hAnsi="Garamond"/>
          <w:lang w:val="en-CA"/>
        </w:rPr>
      </w:pPr>
      <w:proofErr w:type="spellStart"/>
      <w:r>
        <w:rPr>
          <w:rFonts w:ascii="Garamond" w:hAnsi="Garamond"/>
          <w:lang w:val="en-CA"/>
        </w:rPr>
        <w:t>Thelen</w:t>
      </w:r>
      <w:proofErr w:type="spellEnd"/>
      <w:r>
        <w:rPr>
          <w:rFonts w:ascii="Garamond" w:hAnsi="Garamond"/>
          <w:lang w:val="en-CA"/>
        </w:rPr>
        <w:t>,</w:t>
      </w:r>
      <w:r w:rsidR="001E0BBF" w:rsidRPr="009B6D19">
        <w:rPr>
          <w:rFonts w:ascii="Garamond" w:hAnsi="Garamond"/>
          <w:lang w:val="en-CA"/>
        </w:rPr>
        <w:t xml:space="preserve"> K. (2000). Timing and Temporality in the Analysis of Institutional Evolution and Change, </w:t>
      </w:r>
      <w:r w:rsidR="001E0BBF" w:rsidRPr="009B6D19">
        <w:rPr>
          <w:rFonts w:ascii="Garamond" w:hAnsi="Garamond"/>
          <w:i/>
          <w:lang w:val="en-CA"/>
        </w:rPr>
        <w:t>Studies in American Political Development</w:t>
      </w:r>
      <w:r w:rsidR="001E0BBF" w:rsidRPr="009B6D19">
        <w:rPr>
          <w:rFonts w:ascii="Garamond" w:hAnsi="Garamond"/>
          <w:lang w:val="en-CA"/>
        </w:rPr>
        <w:t>, 14 (</w:t>
      </w:r>
      <w:proofErr w:type="gramStart"/>
      <w:r w:rsidR="001E0BBF" w:rsidRPr="009B6D19">
        <w:rPr>
          <w:rFonts w:ascii="Garamond" w:hAnsi="Garamond"/>
          <w:lang w:val="en-CA"/>
        </w:rPr>
        <w:t>Spring )</w:t>
      </w:r>
      <w:proofErr w:type="gramEnd"/>
      <w:r w:rsidR="001E0BBF" w:rsidRPr="009B6D19">
        <w:rPr>
          <w:rFonts w:ascii="Garamond" w:hAnsi="Garamond"/>
          <w:lang w:val="en-CA"/>
        </w:rPr>
        <w:t>, 101–108.</w:t>
      </w:r>
    </w:p>
    <w:p w14:paraId="4AD8B285" w14:textId="77777777" w:rsidR="007634C4" w:rsidRDefault="001E0BBF" w:rsidP="007634C4">
      <w:pPr>
        <w:spacing w:before="240" w:after="240" w:line="240" w:lineRule="auto"/>
        <w:rPr>
          <w:rFonts w:ascii="Garamond" w:hAnsi="Garamond"/>
          <w:lang w:val="en-CA"/>
        </w:rPr>
      </w:pPr>
      <w:proofErr w:type="spellStart"/>
      <w:r w:rsidRPr="001E0BBF">
        <w:rPr>
          <w:rFonts w:ascii="Garamond" w:hAnsi="Garamond"/>
          <w:lang w:val="en-CA"/>
        </w:rPr>
        <w:t>Thelen</w:t>
      </w:r>
      <w:proofErr w:type="spellEnd"/>
      <w:r w:rsidRPr="001E0BBF">
        <w:rPr>
          <w:rFonts w:ascii="Garamond" w:hAnsi="Garamond"/>
          <w:lang w:val="en-CA"/>
        </w:rPr>
        <w:t xml:space="preserve">, K. &amp; Conran, J. (2016). 3 Institutional Change. In Orfeo </w:t>
      </w:r>
      <w:proofErr w:type="spellStart"/>
      <w:r w:rsidRPr="001E0BBF">
        <w:rPr>
          <w:rFonts w:ascii="Garamond" w:hAnsi="Garamond"/>
          <w:lang w:val="en-CA"/>
        </w:rPr>
        <w:t>Fioretos</w:t>
      </w:r>
      <w:proofErr w:type="spellEnd"/>
      <w:r w:rsidRPr="001E0BBF">
        <w:rPr>
          <w:rFonts w:ascii="Garamond" w:hAnsi="Garamond"/>
          <w:lang w:val="en-CA"/>
        </w:rPr>
        <w:t xml:space="preserve"> (ed.) et al., The Oxford Handbook of Historical Institutionalism, 51-70, </w:t>
      </w:r>
      <w:r w:rsidR="007634C4">
        <w:rPr>
          <w:rFonts w:ascii="Garamond" w:hAnsi="Garamond"/>
          <w:lang w:val="en-CA"/>
        </w:rPr>
        <w:t>D</w:t>
      </w:r>
      <w:r w:rsidRPr="001E0BBF">
        <w:rPr>
          <w:rFonts w:ascii="Garamond" w:hAnsi="Garamond"/>
          <w:lang w:val="en-CA"/>
        </w:rPr>
        <w:t>oi.org/10.1093/</w:t>
      </w:r>
      <w:proofErr w:type="spellStart"/>
      <w:r w:rsidRPr="001E0BBF">
        <w:rPr>
          <w:rFonts w:ascii="Garamond" w:hAnsi="Garamond"/>
          <w:lang w:val="en-CA"/>
        </w:rPr>
        <w:t>oxfordhb</w:t>
      </w:r>
      <w:proofErr w:type="spellEnd"/>
      <w:r w:rsidRPr="001E0BBF">
        <w:rPr>
          <w:rFonts w:ascii="Garamond" w:hAnsi="Garamond"/>
          <w:lang w:val="en-CA"/>
        </w:rPr>
        <w:t>/9780199662814.013.3</w:t>
      </w:r>
    </w:p>
    <w:p w14:paraId="1E719F7E" w14:textId="77777777" w:rsidR="001E0BBF" w:rsidRPr="0086008A" w:rsidRDefault="001E0BBF" w:rsidP="00804868">
      <w:pPr>
        <w:spacing w:before="240" w:after="240" w:line="240" w:lineRule="auto"/>
        <w:rPr>
          <w:rFonts w:ascii="Garamond" w:hAnsi="Garamond"/>
          <w:lang w:val="en-CA"/>
        </w:rPr>
      </w:pPr>
      <w:proofErr w:type="spellStart"/>
      <w:r w:rsidRPr="009B6D19">
        <w:rPr>
          <w:rFonts w:ascii="Garamond" w:hAnsi="Garamond"/>
          <w:lang w:val="en-CA"/>
        </w:rPr>
        <w:t>Thelen</w:t>
      </w:r>
      <w:proofErr w:type="spellEnd"/>
      <w:r w:rsidRPr="009B6D19">
        <w:rPr>
          <w:rFonts w:ascii="Garamond" w:hAnsi="Garamond"/>
          <w:lang w:val="en-CA"/>
        </w:rPr>
        <w:t xml:space="preserve">, K. (1999). Historical institutionalism in comparative politics, </w:t>
      </w:r>
      <w:r w:rsidRPr="009B6D19">
        <w:rPr>
          <w:rFonts w:ascii="Garamond" w:hAnsi="Garamond"/>
          <w:i/>
          <w:lang w:val="en-CA"/>
        </w:rPr>
        <w:t xml:space="preserve">Annu. </w:t>
      </w:r>
      <w:r w:rsidRPr="0086008A">
        <w:rPr>
          <w:rFonts w:ascii="Garamond" w:hAnsi="Garamond"/>
          <w:i/>
          <w:lang w:val="en-CA"/>
        </w:rPr>
        <w:t>Rev. Polit. Sci</w:t>
      </w:r>
      <w:r w:rsidRPr="0086008A">
        <w:rPr>
          <w:rFonts w:ascii="Garamond" w:hAnsi="Garamond"/>
          <w:lang w:val="en-CA"/>
        </w:rPr>
        <w:t>, 2:369–</w:t>
      </w:r>
      <w:proofErr w:type="gramStart"/>
      <w:r w:rsidRPr="0086008A">
        <w:rPr>
          <w:rFonts w:ascii="Garamond" w:hAnsi="Garamond"/>
          <w:lang w:val="en-CA"/>
        </w:rPr>
        <w:t>404 ;</w:t>
      </w:r>
      <w:proofErr w:type="gramEnd"/>
    </w:p>
    <w:p w14:paraId="14EC6B62" w14:textId="77777777" w:rsidR="001E0BBF" w:rsidRDefault="001E0BBF" w:rsidP="005E392B">
      <w:pPr>
        <w:spacing w:before="240" w:after="240" w:line="240" w:lineRule="auto"/>
        <w:rPr>
          <w:rStyle w:val="Hyperlink"/>
          <w:rFonts w:ascii="Garamond" w:hAnsi="Garamond" w:cs="Arial"/>
        </w:rPr>
      </w:pPr>
      <w:proofErr w:type="spellStart"/>
      <w:r w:rsidRPr="009B6D19">
        <w:rPr>
          <w:rFonts w:ascii="Garamond" w:hAnsi="Garamond"/>
          <w:lang w:val="en-CA"/>
        </w:rPr>
        <w:t>Thoenig</w:t>
      </w:r>
      <w:proofErr w:type="spellEnd"/>
      <w:r w:rsidRPr="009B6D19">
        <w:rPr>
          <w:rFonts w:ascii="Garamond" w:hAnsi="Garamond"/>
          <w:lang w:val="en-CA"/>
        </w:rPr>
        <w:t xml:space="preserve">, J-C &amp; Dupuy, F. (1983). </w:t>
      </w:r>
      <w:r w:rsidRPr="009B6D19">
        <w:rPr>
          <w:rFonts w:ascii="Garamond" w:hAnsi="Garamond"/>
        </w:rPr>
        <w:t xml:space="preserve">La loi du 2 mars 1982 sur la décentralisation. De l'analyse des textes à l'observation des premiers pas, </w:t>
      </w:r>
      <w:r w:rsidRPr="009B6D19">
        <w:rPr>
          <w:rFonts w:ascii="Garamond" w:hAnsi="Garamond"/>
          <w:i/>
        </w:rPr>
        <w:t>Revue française de science politique</w:t>
      </w:r>
      <w:r w:rsidRPr="009B6D19">
        <w:rPr>
          <w:rFonts w:ascii="Garamond" w:hAnsi="Garamond"/>
        </w:rPr>
        <w:t xml:space="preserve">, 6(33), p. 962-986; </w:t>
      </w:r>
      <w:proofErr w:type="spellStart"/>
      <w:r w:rsidRPr="009B6D19">
        <w:rPr>
          <w:rFonts w:ascii="Garamond" w:hAnsi="Garamond"/>
        </w:rPr>
        <w:t>Doi</w:t>
      </w:r>
      <w:proofErr w:type="spellEnd"/>
      <w:r w:rsidRPr="009B6D19">
        <w:rPr>
          <w:rFonts w:ascii="Garamond" w:hAnsi="Garamond" w:cs="Arial"/>
        </w:rPr>
        <w:t xml:space="preserve"> : </w:t>
      </w:r>
      <w:hyperlink r:id="rId69" w:history="1">
        <w:r w:rsidRPr="009B6D19">
          <w:rPr>
            <w:rStyle w:val="Hyperlink"/>
            <w:rFonts w:ascii="Garamond" w:hAnsi="Garamond" w:cs="Arial"/>
          </w:rPr>
          <w:t>https://doi.org/10.3406/rfsp.1983.394101</w:t>
        </w:r>
      </w:hyperlink>
    </w:p>
    <w:p w14:paraId="4CE055DC" w14:textId="77777777" w:rsidR="001E0BBF" w:rsidRPr="009B6D19" w:rsidRDefault="001E0BBF" w:rsidP="00804868">
      <w:pPr>
        <w:spacing w:before="240" w:after="240" w:line="240" w:lineRule="auto"/>
        <w:rPr>
          <w:rFonts w:ascii="Garamond" w:hAnsi="Garamond"/>
          <w:lang w:val="en-CA"/>
        </w:rPr>
      </w:pPr>
      <w:proofErr w:type="spellStart"/>
      <w:r w:rsidRPr="009B6D19">
        <w:rPr>
          <w:rFonts w:ascii="Garamond" w:hAnsi="Garamond"/>
          <w:lang w:val="en-CA"/>
        </w:rPr>
        <w:t>Thoenig</w:t>
      </w:r>
      <w:proofErr w:type="spellEnd"/>
      <w:r w:rsidRPr="009B6D19">
        <w:rPr>
          <w:rFonts w:ascii="Garamond" w:hAnsi="Garamond"/>
          <w:lang w:val="en-CA"/>
        </w:rPr>
        <w:t>, J-C. (2011). Institutional Theories and Public Institutions: New Agendas and Appropriateness, in the Handbook of public administration; p. 1-16</w:t>
      </w:r>
    </w:p>
    <w:p w14:paraId="554AA8CB" w14:textId="77777777" w:rsidR="001E0BBF" w:rsidRPr="005E392B" w:rsidRDefault="001E0BBF" w:rsidP="005E392B">
      <w:pPr>
        <w:spacing w:before="240" w:after="240" w:line="240" w:lineRule="auto"/>
        <w:rPr>
          <w:rFonts w:ascii="Garamond" w:hAnsi="Garamond" w:cs="Arial"/>
          <w:color w:val="0000FF"/>
          <w:u w:val="single"/>
        </w:rPr>
      </w:pPr>
      <w:proofErr w:type="spellStart"/>
      <w:r w:rsidRPr="005E392B">
        <w:rPr>
          <w:rFonts w:ascii="Garamond" w:hAnsi="Garamond"/>
        </w:rPr>
        <w:t>Trefon</w:t>
      </w:r>
      <w:proofErr w:type="spellEnd"/>
      <w:r w:rsidRPr="005E392B">
        <w:rPr>
          <w:rFonts w:ascii="Garamond" w:hAnsi="Garamond"/>
        </w:rPr>
        <w:t xml:space="preserve">, T. (2010). Les obstacles administratifs à la réforme en République Démocratique du Congo, </w:t>
      </w:r>
      <w:r w:rsidRPr="005E392B">
        <w:rPr>
          <w:rFonts w:ascii="Garamond" w:hAnsi="Garamond"/>
          <w:i/>
        </w:rPr>
        <w:t>Revue Internationale des Sciences Administratives</w:t>
      </w:r>
      <w:r w:rsidRPr="005E392B">
        <w:rPr>
          <w:rFonts w:ascii="Garamond" w:hAnsi="Garamond"/>
        </w:rPr>
        <w:t> ,4 (76), p. 735-755,  DOI10.3917/risa.764.0735</w:t>
      </w:r>
    </w:p>
    <w:p w14:paraId="2C3A65B7" w14:textId="77777777" w:rsidR="001E0BBF" w:rsidRDefault="002C327A" w:rsidP="00804868">
      <w:pPr>
        <w:spacing w:before="240" w:after="240" w:line="240" w:lineRule="auto"/>
        <w:rPr>
          <w:rFonts w:ascii="Garamond" w:hAnsi="Garamond"/>
        </w:rPr>
      </w:pPr>
      <w:hyperlink r:id="rId70" w:history="1">
        <w:proofErr w:type="spellStart"/>
        <w:r w:rsidR="001E0BBF" w:rsidRPr="009B6D19">
          <w:rPr>
            <w:rFonts w:ascii="Garamond" w:hAnsi="Garamond"/>
            <w:lang w:val="en-CA"/>
          </w:rPr>
          <w:t>Tshibuabua-Kapy’A</w:t>
        </w:r>
        <w:proofErr w:type="spellEnd"/>
        <w:r w:rsidR="001E0BBF" w:rsidRPr="009B6D19">
          <w:rPr>
            <w:rFonts w:ascii="Garamond" w:hAnsi="Garamond"/>
            <w:lang w:val="en-CA"/>
          </w:rPr>
          <w:t>, B-J. K</w:t>
        </w:r>
      </w:hyperlink>
      <w:r w:rsidR="001E0BBF" w:rsidRPr="009B6D19">
        <w:rPr>
          <w:rFonts w:ascii="Garamond" w:hAnsi="Garamond"/>
          <w:lang w:val="en-CA"/>
        </w:rPr>
        <w:t xml:space="preserve">. </w:t>
      </w:r>
      <w:r w:rsidR="001E0BBF" w:rsidRPr="00090B69">
        <w:rPr>
          <w:rFonts w:ascii="Garamond" w:hAnsi="Garamond"/>
          <w:lang w:val="fr-CA"/>
        </w:rPr>
        <w:t xml:space="preserve">(2006). </w:t>
      </w:r>
      <w:r w:rsidR="001E0BBF" w:rsidRPr="009B6D19">
        <w:rPr>
          <w:rFonts w:ascii="Garamond" w:hAnsi="Garamond"/>
        </w:rPr>
        <w:t>Le fédéralisme</w:t>
      </w:r>
      <w:r w:rsidR="001E0BBF">
        <w:rPr>
          <w:rFonts w:ascii="Garamond" w:hAnsi="Garamond"/>
        </w:rPr>
        <w:t xml:space="preserve"> </w:t>
      </w:r>
      <w:r w:rsidR="001E0BBF" w:rsidRPr="009B6D19">
        <w:rPr>
          <w:rFonts w:ascii="Garamond" w:hAnsi="Garamond"/>
        </w:rPr>
        <w:t>et la gouvernance locale en</w:t>
      </w:r>
      <w:r w:rsidR="001E0BBF">
        <w:rPr>
          <w:rFonts w:ascii="Garamond" w:hAnsi="Garamond"/>
        </w:rPr>
        <w:t xml:space="preserve"> </w:t>
      </w:r>
      <w:r w:rsidR="001E0BBF" w:rsidRPr="009B6D19">
        <w:rPr>
          <w:rFonts w:ascii="Garamond" w:hAnsi="Garamond"/>
        </w:rPr>
        <w:t>République Démocratique du Congo, </w:t>
      </w:r>
      <w:hyperlink r:id="rId71" w:history="1">
        <w:r w:rsidR="001E0BBF" w:rsidRPr="009B6D19">
          <w:rPr>
            <w:rFonts w:ascii="Garamond" w:hAnsi="Garamond"/>
            <w:i/>
          </w:rPr>
          <w:t>Mondes en développement</w:t>
        </w:r>
      </w:hyperlink>
      <w:r w:rsidR="001E0BBF" w:rsidRPr="009B6D19">
        <w:rPr>
          <w:rFonts w:ascii="Garamond" w:hAnsi="Garamond"/>
        </w:rPr>
        <w:t>, </w:t>
      </w:r>
      <w:hyperlink r:id="rId72" w:history="1">
        <w:r w:rsidR="001E0BBF" w:rsidRPr="009B6D19">
          <w:rPr>
            <w:rFonts w:ascii="Garamond" w:hAnsi="Garamond"/>
          </w:rPr>
          <w:t>1 (133)</w:t>
        </w:r>
      </w:hyperlink>
      <w:r w:rsidR="001E0BBF" w:rsidRPr="009B6D19">
        <w:rPr>
          <w:rFonts w:ascii="Garamond" w:hAnsi="Garamond"/>
        </w:rPr>
        <w:t>, p.45-61</w:t>
      </w:r>
    </w:p>
    <w:p w14:paraId="575CDB85" w14:textId="77777777" w:rsidR="001E0BBF" w:rsidRPr="009B6D19" w:rsidRDefault="001E0BBF" w:rsidP="00804868">
      <w:pPr>
        <w:spacing w:before="240" w:after="240" w:line="240" w:lineRule="auto"/>
        <w:rPr>
          <w:rFonts w:ascii="Garamond" w:hAnsi="Garamond"/>
        </w:rPr>
      </w:pPr>
      <w:proofErr w:type="spellStart"/>
      <w:r w:rsidRPr="0013325E">
        <w:rPr>
          <w:rFonts w:ascii="Garamond" w:hAnsi="Garamond"/>
        </w:rPr>
        <w:t>Tshibwabwa</w:t>
      </w:r>
      <w:proofErr w:type="spellEnd"/>
      <w:r w:rsidRPr="0013325E">
        <w:rPr>
          <w:rFonts w:ascii="Garamond" w:hAnsi="Garamond"/>
        </w:rPr>
        <w:t xml:space="preserve"> </w:t>
      </w:r>
      <w:proofErr w:type="spellStart"/>
      <w:r w:rsidRPr="0013325E">
        <w:rPr>
          <w:rFonts w:ascii="Garamond" w:hAnsi="Garamond"/>
        </w:rPr>
        <w:t>Kuditshini</w:t>
      </w:r>
      <w:proofErr w:type="spellEnd"/>
      <w:r w:rsidRPr="0013325E">
        <w:rPr>
          <w:rFonts w:ascii="Garamond" w:hAnsi="Garamond"/>
        </w:rPr>
        <w:t>, J. (2008). Gouvernance globale et administrations publiques locales congolaises : Le rôle du FMI, de la Banque Mondiale, des multinationales et des élites politiques. </w:t>
      </w:r>
      <w:r w:rsidRPr="0013325E">
        <w:rPr>
          <w:rFonts w:ascii="Garamond" w:hAnsi="Garamond"/>
          <w:i/>
        </w:rPr>
        <w:t>Revue Internationale des Sciences Administratives</w:t>
      </w:r>
      <w:r w:rsidRPr="0013325E">
        <w:rPr>
          <w:rFonts w:ascii="Garamond" w:hAnsi="Garamond"/>
        </w:rPr>
        <w:t>, 74, 213-234. </w:t>
      </w:r>
      <w:hyperlink r:id="rId73" w:history="1">
        <w:r w:rsidRPr="0013325E">
          <w:rPr>
            <w:rFonts w:ascii="Garamond" w:hAnsi="Garamond"/>
          </w:rPr>
          <w:t>https://doi.org/10.3917/risa.742.0213</w:t>
        </w:r>
      </w:hyperlink>
    </w:p>
    <w:p w14:paraId="205E6671" w14:textId="77777777" w:rsidR="001E0BBF" w:rsidRPr="009B6D19" w:rsidRDefault="001E0BBF" w:rsidP="00804868">
      <w:pPr>
        <w:pStyle w:val="Formatbibliographie"/>
        <w:rPr>
          <w:rFonts w:ascii="Garamond" w:hAnsi="Garamond"/>
        </w:rPr>
      </w:pPr>
      <w:r w:rsidRPr="009B6D19">
        <w:rPr>
          <w:rFonts w:ascii="Garamond" w:hAnsi="Garamond"/>
        </w:rPr>
        <w:t xml:space="preserve">World Bank (2008). Democratic Republic of Congo: Public Expenditure Review (PER), </w:t>
      </w:r>
      <w:r w:rsidRPr="009B6D19">
        <w:rPr>
          <w:rFonts w:ascii="Garamond" w:hAnsi="Garamond"/>
          <w:i/>
        </w:rPr>
        <w:t>Poverty Reduction and Economic Management 3</w:t>
      </w:r>
      <w:r w:rsidRPr="009B6D19">
        <w:rPr>
          <w:rFonts w:ascii="Garamond" w:hAnsi="Garamond"/>
        </w:rPr>
        <w:t>, 42(167-ZR), p. 1-238</w:t>
      </w:r>
    </w:p>
    <w:p w14:paraId="608CD0D2" w14:textId="77777777" w:rsidR="001E0BBF" w:rsidRPr="009B6D19" w:rsidRDefault="001E0BBF" w:rsidP="00804868">
      <w:pPr>
        <w:spacing w:before="240" w:after="240" w:line="240" w:lineRule="auto"/>
        <w:rPr>
          <w:rFonts w:ascii="Garamond" w:hAnsi="Garamond"/>
          <w:lang w:val="en-CA"/>
        </w:rPr>
      </w:pPr>
      <w:r w:rsidRPr="009B6D19">
        <w:rPr>
          <w:rFonts w:ascii="Garamond" w:hAnsi="Garamond"/>
          <w:lang w:val="en-CA"/>
        </w:rPr>
        <w:t>World Bank (2018). Democratic Republic of Congo Systematic Country Diagnostic. Policy Priorities for Poverty Reduction and Shared Prosperity in a Post-Conflict Country and Fragile State, Report No. 112733-ZR, p. 1-166</w:t>
      </w:r>
    </w:p>
    <w:p w14:paraId="1533E4FA" w14:textId="77777777" w:rsidR="001E0BBF" w:rsidRPr="009B6D19" w:rsidRDefault="001E0BBF" w:rsidP="00804868">
      <w:pPr>
        <w:spacing w:before="240" w:after="240" w:line="240" w:lineRule="auto"/>
        <w:rPr>
          <w:rFonts w:ascii="Garamond" w:hAnsi="Garamond"/>
        </w:rPr>
      </w:pPr>
      <w:proofErr w:type="spellStart"/>
      <w:r w:rsidRPr="009B6D19">
        <w:rPr>
          <w:rFonts w:ascii="Garamond" w:hAnsi="Garamond"/>
        </w:rPr>
        <w:t>Yatta</w:t>
      </w:r>
      <w:proofErr w:type="spellEnd"/>
      <w:r w:rsidRPr="009B6D19">
        <w:rPr>
          <w:rFonts w:ascii="Garamond" w:hAnsi="Garamond"/>
        </w:rPr>
        <w:t xml:space="preserve">, F.P, 2009 Subvention de l’Etat aux Collectivités locales in « La décentralisation fiscale en Afrique - Enjeux et perspectives, </w:t>
      </w:r>
      <w:r w:rsidRPr="009B6D19">
        <w:rPr>
          <w:rFonts w:ascii="Garamond" w:hAnsi="Garamond"/>
          <w:i/>
        </w:rPr>
        <w:t>Edition Karthala</w:t>
      </w:r>
      <w:r w:rsidRPr="009B6D19">
        <w:rPr>
          <w:rFonts w:ascii="Garamond" w:hAnsi="Garamond"/>
        </w:rPr>
        <w:t>, 2009 P.147 ;</w:t>
      </w:r>
    </w:p>
    <w:p w14:paraId="02E418C0" w14:textId="77777777" w:rsidR="001E0BBF" w:rsidRDefault="001E0BBF" w:rsidP="001E0BBF">
      <w:pPr>
        <w:spacing w:before="240" w:after="240" w:line="240" w:lineRule="auto"/>
        <w:rPr>
          <w:rFonts w:ascii="Garamond" w:hAnsi="Garamond"/>
          <w:lang w:val="en-CA"/>
        </w:rPr>
      </w:pPr>
      <w:proofErr w:type="spellStart"/>
      <w:r w:rsidRPr="009B6D19">
        <w:rPr>
          <w:rFonts w:ascii="Garamond" w:hAnsi="Garamond"/>
          <w:lang w:val="en-CA"/>
        </w:rPr>
        <w:t>Zongwe</w:t>
      </w:r>
      <w:proofErr w:type="spellEnd"/>
      <w:r w:rsidRPr="009B6D19">
        <w:rPr>
          <w:rFonts w:ascii="Garamond" w:hAnsi="Garamond"/>
          <w:lang w:val="en-CA"/>
        </w:rPr>
        <w:t xml:space="preserve">. D.P. (2019). Democratic Republic of the Congo, </w:t>
      </w:r>
      <w:r w:rsidRPr="009B6D19">
        <w:rPr>
          <w:rFonts w:ascii="Garamond" w:hAnsi="Garamond"/>
          <w:i/>
          <w:lang w:val="en-CA"/>
        </w:rPr>
        <w:t>Autonomy Arrangements in the World</w:t>
      </w:r>
      <w:r w:rsidRPr="009B6D19">
        <w:rPr>
          <w:rFonts w:ascii="Garamond" w:hAnsi="Garamond"/>
          <w:lang w:val="en-CA"/>
        </w:rPr>
        <w:t>, p. 1-33</w:t>
      </w:r>
    </w:p>
    <w:sectPr w:rsidR="001E0BBF" w:rsidSect="00FD5ABB">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71F650" w14:textId="77777777" w:rsidR="00FF452C" w:rsidRDefault="00FF452C" w:rsidP="00804868">
      <w:pPr>
        <w:spacing w:before="0" w:after="0" w:line="240" w:lineRule="auto"/>
      </w:pPr>
      <w:r>
        <w:separator/>
      </w:r>
    </w:p>
  </w:endnote>
  <w:endnote w:type="continuationSeparator" w:id="0">
    <w:p w14:paraId="2272E3AF" w14:textId="77777777" w:rsidR="00FF452C" w:rsidRDefault="00FF452C" w:rsidP="0080486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de">
    <w:altName w:val="Code"/>
    <w:panose1 w:val="00000000000000000000"/>
    <w:charset w:val="00"/>
    <w:family w:val="swiss"/>
    <w:notTrueType/>
    <w:pitch w:val="default"/>
    <w:sig w:usb0="00000003" w:usb1="00000000" w:usb2="00000000" w:usb3="00000000" w:csb0="00000001" w:csb1="00000000"/>
  </w:font>
  <w:font w:name="Alto Pro Bd">
    <w:altName w:val="Alto Pro Bd"/>
    <w:panose1 w:val="00000000000000000000"/>
    <w:charset w:val="00"/>
    <w:family w:val="swiss"/>
    <w:notTrueType/>
    <w:pitch w:val="default"/>
    <w:sig w:usb0="00000003" w:usb1="00000000" w:usb2="00000000" w:usb3="00000000" w:csb0="00000001" w:csb1="00000000"/>
  </w:font>
  <w:font w:name="SourceSansPro-Regular">
    <w:altName w:val="Calibri"/>
    <w:panose1 w:val="00000000000000000000"/>
    <w:charset w:val="00"/>
    <w:family w:val="auto"/>
    <w:notTrueType/>
    <w:pitch w:val="default"/>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imesNewRomanPS-Bold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9414071"/>
      <w:docPartObj>
        <w:docPartGallery w:val="Page Numbers (Bottom of Page)"/>
        <w:docPartUnique/>
      </w:docPartObj>
    </w:sdtPr>
    <w:sdtEndPr/>
    <w:sdtContent>
      <w:p w14:paraId="66EB7FEA" w14:textId="77777777" w:rsidR="00704453" w:rsidRDefault="00704453">
        <w:pPr>
          <w:pStyle w:val="Footer"/>
          <w:jc w:val="right"/>
        </w:pPr>
        <w:r>
          <w:fldChar w:fldCharType="begin"/>
        </w:r>
        <w:r>
          <w:instrText>PAGE   \* MERGEFORMAT</w:instrText>
        </w:r>
        <w:r>
          <w:fldChar w:fldCharType="separate"/>
        </w:r>
        <w:r w:rsidR="00A63112">
          <w:rPr>
            <w:noProof/>
          </w:rPr>
          <w:t>1</w:t>
        </w:r>
        <w:r>
          <w:fldChar w:fldCharType="end"/>
        </w:r>
      </w:p>
    </w:sdtContent>
  </w:sdt>
  <w:p w14:paraId="73973362" w14:textId="77777777" w:rsidR="00704453" w:rsidRDefault="00704453" w:rsidP="00FD5A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FECFF4" w14:textId="77777777" w:rsidR="00FF452C" w:rsidRDefault="00FF452C" w:rsidP="00804868">
      <w:pPr>
        <w:spacing w:before="0" w:after="0" w:line="240" w:lineRule="auto"/>
      </w:pPr>
      <w:r>
        <w:separator/>
      </w:r>
    </w:p>
  </w:footnote>
  <w:footnote w:type="continuationSeparator" w:id="0">
    <w:p w14:paraId="7B15B455" w14:textId="77777777" w:rsidR="00FF452C" w:rsidRDefault="00FF452C" w:rsidP="00804868">
      <w:pPr>
        <w:spacing w:before="0" w:after="0" w:line="240" w:lineRule="auto"/>
      </w:pPr>
      <w:r>
        <w:continuationSeparator/>
      </w:r>
    </w:p>
  </w:footnote>
  <w:footnote w:id="1">
    <w:p w14:paraId="2528DE4C" w14:textId="77777777" w:rsidR="00704453" w:rsidRDefault="00704453" w:rsidP="00804868">
      <w:pPr>
        <w:pStyle w:val="FootnoteText"/>
      </w:pPr>
      <w:r>
        <w:rPr>
          <w:rStyle w:val="FootnoteReference"/>
        </w:rPr>
        <w:footnoteRef/>
      </w:r>
      <w:r>
        <w:t xml:space="preserve"> La Loi de finances de l’exercice 2006</w:t>
      </w:r>
    </w:p>
  </w:footnote>
  <w:footnote w:id="2">
    <w:p w14:paraId="2BE4D1C4" w14:textId="77777777" w:rsidR="00704453" w:rsidRDefault="00704453" w:rsidP="00804868">
      <w:pPr>
        <w:pStyle w:val="FootnoteText"/>
      </w:pPr>
      <w:r>
        <w:rPr>
          <w:rStyle w:val="FootnoteReference"/>
        </w:rPr>
        <w:footnoteRef/>
      </w:r>
      <w:r>
        <w:t xml:space="preserve"> La Constitution de 2006 consacre la retenue à la source qui a été convertie en rétrocession par les acteurs dominants. L’une ou l’autre demeurent de véritables gouts d’étranglement au regard de la non informatisation de la chaine de la recette et du coulage  multiforme des recettes.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00C6"/>
    <w:multiLevelType w:val="hybridMultilevel"/>
    <w:tmpl w:val="8E7E1068"/>
    <w:lvl w:ilvl="0" w:tplc="E77C356E">
      <w:start w:val="1"/>
      <w:numFmt w:val="lowerLetter"/>
      <w:lvlText w:val="%1)"/>
      <w:lvlJc w:val="left"/>
      <w:pPr>
        <w:ind w:left="720" w:hanging="360"/>
      </w:pPr>
      <w:rPr>
        <w:rFonts w:hint="default"/>
        <w:i/>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584401E"/>
    <w:multiLevelType w:val="multilevel"/>
    <w:tmpl w:val="24DA2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A849B2"/>
    <w:multiLevelType w:val="hybridMultilevel"/>
    <w:tmpl w:val="F130441E"/>
    <w:lvl w:ilvl="0" w:tplc="F1AE3BCC">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E0E6339"/>
    <w:multiLevelType w:val="hybridMultilevel"/>
    <w:tmpl w:val="9648D91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C1578E8"/>
    <w:multiLevelType w:val="hybridMultilevel"/>
    <w:tmpl w:val="F24259E0"/>
    <w:lvl w:ilvl="0" w:tplc="F1AE3BCC">
      <w:start w:val="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C366B72"/>
    <w:multiLevelType w:val="hybridMultilevel"/>
    <w:tmpl w:val="270079AC"/>
    <w:lvl w:ilvl="0" w:tplc="040C000F">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1DC707D9"/>
    <w:multiLevelType w:val="multilevel"/>
    <w:tmpl w:val="92A40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2F6ACE"/>
    <w:multiLevelType w:val="multilevel"/>
    <w:tmpl w:val="CD06EA2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33FC12A8"/>
    <w:multiLevelType w:val="multilevel"/>
    <w:tmpl w:val="897E4356"/>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387E6AD7"/>
    <w:multiLevelType w:val="hybridMultilevel"/>
    <w:tmpl w:val="43B6155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3C8759BD"/>
    <w:multiLevelType w:val="multilevel"/>
    <w:tmpl w:val="2AF0C4D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FCE12CC"/>
    <w:multiLevelType w:val="hybridMultilevel"/>
    <w:tmpl w:val="BDB42E1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FFF626B"/>
    <w:multiLevelType w:val="hybridMultilevel"/>
    <w:tmpl w:val="BA88953A"/>
    <w:lvl w:ilvl="0" w:tplc="F1AE3BCC">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25F0155"/>
    <w:multiLevelType w:val="hybridMultilevel"/>
    <w:tmpl w:val="8E7E1068"/>
    <w:lvl w:ilvl="0" w:tplc="E77C356E">
      <w:start w:val="1"/>
      <w:numFmt w:val="lowerLetter"/>
      <w:lvlText w:val="%1)"/>
      <w:lvlJc w:val="left"/>
      <w:pPr>
        <w:ind w:left="720" w:hanging="360"/>
      </w:pPr>
      <w:rPr>
        <w:rFonts w:hint="default"/>
        <w:i/>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441F2608"/>
    <w:multiLevelType w:val="hybridMultilevel"/>
    <w:tmpl w:val="EF9AA394"/>
    <w:lvl w:ilvl="0" w:tplc="29CA8FF4">
      <w:start w:val="1"/>
      <w:numFmt w:val="decimal"/>
      <w:lvlText w:val="%1."/>
      <w:lvlJc w:val="left"/>
      <w:pPr>
        <w:ind w:left="720" w:hanging="360"/>
      </w:pPr>
      <w:rPr>
        <w:rFonts w:hint="default"/>
        <w:b/>
        <w:color w:val="C0B63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470839AD"/>
    <w:multiLevelType w:val="hybridMultilevel"/>
    <w:tmpl w:val="32E6F8B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87E51B7"/>
    <w:multiLevelType w:val="hybridMultilevel"/>
    <w:tmpl w:val="33BC216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8911AD2"/>
    <w:multiLevelType w:val="hybridMultilevel"/>
    <w:tmpl w:val="5CCEBE7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9CE399C"/>
    <w:multiLevelType w:val="hybridMultilevel"/>
    <w:tmpl w:val="DA1E6A9A"/>
    <w:lvl w:ilvl="0" w:tplc="29FAB706">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4E0971FE"/>
    <w:multiLevelType w:val="multilevel"/>
    <w:tmpl w:val="BDF87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C44B52"/>
    <w:multiLevelType w:val="multilevel"/>
    <w:tmpl w:val="B920B2E0"/>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b/>
      </w:rPr>
    </w:lvl>
    <w:lvl w:ilvl="2">
      <w:start w:val="1"/>
      <w:numFmt w:val="decimal"/>
      <w:pStyle w:val="Heading3"/>
      <w:isLgl/>
      <w:lvlText w:val="%1.%2.%3."/>
      <w:lvlJc w:val="left"/>
      <w:pPr>
        <w:ind w:left="1080" w:hanging="720"/>
      </w:pPr>
      <w:rPr>
        <w:rFonts w:hint="default"/>
        <w:b/>
        <w:i w:val="0"/>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0673B87"/>
    <w:multiLevelType w:val="hybridMultilevel"/>
    <w:tmpl w:val="BC1AA2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41A3A12"/>
    <w:multiLevelType w:val="multilevel"/>
    <w:tmpl w:val="A24A86B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6361B13"/>
    <w:multiLevelType w:val="hybridMultilevel"/>
    <w:tmpl w:val="33BC216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5B7864EE"/>
    <w:multiLevelType w:val="multilevel"/>
    <w:tmpl w:val="2AF0C4D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D891186"/>
    <w:multiLevelType w:val="multilevel"/>
    <w:tmpl w:val="003EB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6E7475"/>
    <w:multiLevelType w:val="multilevel"/>
    <w:tmpl w:val="0B344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3127433"/>
    <w:multiLevelType w:val="multilevel"/>
    <w:tmpl w:val="4B2A1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DAF1CAC"/>
    <w:multiLevelType w:val="multilevel"/>
    <w:tmpl w:val="F2705ED6"/>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i w:val="0"/>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AA56BA5"/>
    <w:multiLevelType w:val="multilevel"/>
    <w:tmpl w:val="DFEE471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B681985"/>
    <w:multiLevelType w:val="hybridMultilevel"/>
    <w:tmpl w:val="3578B0D4"/>
    <w:lvl w:ilvl="0" w:tplc="F1AE3BCC">
      <w:start w:val="6"/>
      <w:numFmt w:val="bullet"/>
      <w:lvlText w:val="-"/>
      <w:lvlJc w:val="left"/>
      <w:pPr>
        <w:ind w:left="1495" w:hanging="360"/>
      </w:pPr>
      <w:rPr>
        <w:rFonts w:ascii="Calibri" w:eastAsiaTheme="minorHAnsi" w:hAnsi="Calibri" w:cs="Calibri" w:hint="default"/>
      </w:rPr>
    </w:lvl>
    <w:lvl w:ilvl="1" w:tplc="040C0003" w:tentative="1">
      <w:start w:val="1"/>
      <w:numFmt w:val="bullet"/>
      <w:lvlText w:val="o"/>
      <w:lvlJc w:val="left"/>
      <w:pPr>
        <w:ind w:left="2215" w:hanging="360"/>
      </w:pPr>
      <w:rPr>
        <w:rFonts w:ascii="Courier New" w:hAnsi="Courier New" w:cs="Courier New" w:hint="default"/>
      </w:rPr>
    </w:lvl>
    <w:lvl w:ilvl="2" w:tplc="040C0005" w:tentative="1">
      <w:start w:val="1"/>
      <w:numFmt w:val="bullet"/>
      <w:lvlText w:val=""/>
      <w:lvlJc w:val="left"/>
      <w:pPr>
        <w:ind w:left="2935" w:hanging="360"/>
      </w:pPr>
      <w:rPr>
        <w:rFonts w:ascii="Wingdings" w:hAnsi="Wingdings" w:hint="default"/>
      </w:rPr>
    </w:lvl>
    <w:lvl w:ilvl="3" w:tplc="040C0001" w:tentative="1">
      <w:start w:val="1"/>
      <w:numFmt w:val="bullet"/>
      <w:lvlText w:val=""/>
      <w:lvlJc w:val="left"/>
      <w:pPr>
        <w:ind w:left="3655" w:hanging="360"/>
      </w:pPr>
      <w:rPr>
        <w:rFonts w:ascii="Symbol" w:hAnsi="Symbol" w:hint="default"/>
      </w:rPr>
    </w:lvl>
    <w:lvl w:ilvl="4" w:tplc="040C0003" w:tentative="1">
      <w:start w:val="1"/>
      <w:numFmt w:val="bullet"/>
      <w:lvlText w:val="o"/>
      <w:lvlJc w:val="left"/>
      <w:pPr>
        <w:ind w:left="4375" w:hanging="360"/>
      </w:pPr>
      <w:rPr>
        <w:rFonts w:ascii="Courier New" w:hAnsi="Courier New" w:cs="Courier New" w:hint="default"/>
      </w:rPr>
    </w:lvl>
    <w:lvl w:ilvl="5" w:tplc="040C0005" w:tentative="1">
      <w:start w:val="1"/>
      <w:numFmt w:val="bullet"/>
      <w:lvlText w:val=""/>
      <w:lvlJc w:val="left"/>
      <w:pPr>
        <w:ind w:left="5095" w:hanging="360"/>
      </w:pPr>
      <w:rPr>
        <w:rFonts w:ascii="Wingdings" w:hAnsi="Wingdings" w:hint="default"/>
      </w:rPr>
    </w:lvl>
    <w:lvl w:ilvl="6" w:tplc="040C0001" w:tentative="1">
      <w:start w:val="1"/>
      <w:numFmt w:val="bullet"/>
      <w:lvlText w:val=""/>
      <w:lvlJc w:val="left"/>
      <w:pPr>
        <w:ind w:left="5815" w:hanging="360"/>
      </w:pPr>
      <w:rPr>
        <w:rFonts w:ascii="Symbol" w:hAnsi="Symbol" w:hint="default"/>
      </w:rPr>
    </w:lvl>
    <w:lvl w:ilvl="7" w:tplc="040C0003" w:tentative="1">
      <w:start w:val="1"/>
      <w:numFmt w:val="bullet"/>
      <w:lvlText w:val="o"/>
      <w:lvlJc w:val="left"/>
      <w:pPr>
        <w:ind w:left="6535" w:hanging="360"/>
      </w:pPr>
      <w:rPr>
        <w:rFonts w:ascii="Courier New" w:hAnsi="Courier New" w:cs="Courier New" w:hint="default"/>
      </w:rPr>
    </w:lvl>
    <w:lvl w:ilvl="8" w:tplc="040C0005" w:tentative="1">
      <w:start w:val="1"/>
      <w:numFmt w:val="bullet"/>
      <w:lvlText w:val=""/>
      <w:lvlJc w:val="left"/>
      <w:pPr>
        <w:ind w:left="7255" w:hanging="360"/>
      </w:pPr>
      <w:rPr>
        <w:rFonts w:ascii="Wingdings" w:hAnsi="Wingdings" w:hint="default"/>
      </w:rPr>
    </w:lvl>
  </w:abstractNum>
  <w:abstractNum w:abstractNumId="31" w15:restartNumberingAfterBreak="0">
    <w:nsid w:val="7EA271A1"/>
    <w:multiLevelType w:val="hybridMultilevel"/>
    <w:tmpl w:val="EFCE5F3A"/>
    <w:lvl w:ilvl="0" w:tplc="EE3E3EF6">
      <w:start w:val="2"/>
      <w:numFmt w:val="bullet"/>
      <w:lvlText w:val="-"/>
      <w:lvlJc w:val="left"/>
      <w:pPr>
        <w:ind w:left="390" w:hanging="360"/>
      </w:pPr>
      <w:rPr>
        <w:rFonts w:ascii="Calibri" w:eastAsiaTheme="minorHAnsi" w:hAnsi="Calibri" w:cs="Calibri" w:hint="default"/>
      </w:rPr>
    </w:lvl>
    <w:lvl w:ilvl="1" w:tplc="040C0003" w:tentative="1">
      <w:start w:val="1"/>
      <w:numFmt w:val="bullet"/>
      <w:lvlText w:val="o"/>
      <w:lvlJc w:val="left"/>
      <w:pPr>
        <w:ind w:left="1110" w:hanging="360"/>
      </w:pPr>
      <w:rPr>
        <w:rFonts w:ascii="Courier New" w:hAnsi="Courier New" w:cs="Courier New" w:hint="default"/>
      </w:rPr>
    </w:lvl>
    <w:lvl w:ilvl="2" w:tplc="040C0005" w:tentative="1">
      <w:start w:val="1"/>
      <w:numFmt w:val="bullet"/>
      <w:lvlText w:val=""/>
      <w:lvlJc w:val="left"/>
      <w:pPr>
        <w:ind w:left="1830" w:hanging="360"/>
      </w:pPr>
      <w:rPr>
        <w:rFonts w:ascii="Wingdings" w:hAnsi="Wingdings" w:hint="default"/>
      </w:rPr>
    </w:lvl>
    <w:lvl w:ilvl="3" w:tplc="040C0001" w:tentative="1">
      <w:start w:val="1"/>
      <w:numFmt w:val="bullet"/>
      <w:lvlText w:val=""/>
      <w:lvlJc w:val="left"/>
      <w:pPr>
        <w:ind w:left="2550" w:hanging="360"/>
      </w:pPr>
      <w:rPr>
        <w:rFonts w:ascii="Symbol" w:hAnsi="Symbol" w:hint="default"/>
      </w:rPr>
    </w:lvl>
    <w:lvl w:ilvl="4" w:tplc="040C0003" w:tentative="1">
      <w:start w:val="1"/>
      <w:numFmt w:val="bullet"/>
      <w:lvlText w:val="o"/>
      <w:lvlJc w:val="left"/>
      <w:pPr>
        <w:ind w:left="3270" w:hanging="360"/>
      </w:pPr>
      <w:rPr>
        <w:rFonts w:ascii="Courier New" w:hAnsi="Courier New" w:cs="Courier New" w:hint="default"/>
      </w:rPr>
    </w:lvl>
    <w:lvl w:ilvl="5" w:tplc="040C0005" w:tentative="1">
      <w:start w:val="1"/>
      <w:numFmt w:val="bullet"/>
      <w:lvlText w:val=""/>
      <w:lvlJc w:val="left"/>
      <w:pPr>
        <w:ind w:left="3990" w:hanging="360"/>
      </w:pPr>
      <w:rPr>
        <w:rFonts w:ascii="Wingdings" w:hAnsi="Wingdings" w:hint="default"/>
      </w:rPr>
    </w:lvl>
    <w:lvl w:ilvl="6" w:tplc="040C0001" w:tentative="1">
      <w:start w:val="1"/>
      <w:numFmt w:val="bullet"/>
      <w:lvlText w:val=""/>
      <w:lvlJc w:val="left"/>
      <w:pPr>
        <w:ind w:left="4710" w:hanging="360"/>
      </w:pPr>
      <w:rPr>
        <w:rFonts w:ascii="Symbol" w:hAnsi="Symbol" w:hint="default"/>
      </w:rPr>
    </w:lvl>
    <w:lvl w:ilvl="7" w:tplc="040C0003" w:tentative="1">
      <w:start w:val="1"/>
      <w:numFmt w:val="bullet"/>
      <w:lvlText w:val="o"/>
      <w:lvlJc w:val="left"/>
      <w:pPr>
        <w:ind w:left="5430" w:hanging="360"/>
      </w:pPr>
      <w:rPr>
        <w:rFonts w:ascii="Courier New" w:hAnsi="Courier New" w:cs="Courier New" w:hint="default"/>
      </w:rPr>
    </w:lvl>
    <w:lvl w:ilvl="8" w:tplc="040C0005" w:tentative="1">
      <w:start w:val="1"/>
      <w:numFmt w:val="bullet"/>
      <w:lvlText w:val=""/>
      <w:lvlJc w:val="left"/>
      <w:pPr>
        <w:ind w:left="6150" w:hanging="360"/>
      </w:pPr>
      <w:rPr>
        <w:rFonts w:ascii="Wingdings" w:hAnsi="Wingdings" w:hint="default"/>
      </w:rPr>
    </w:lvl>
  </w:abstractNum>
  <w:abstractNum w:abstractNumId="32" w15:restartNumberingAfterBreak="0">
    <w:nsid w:val="7FBD49CD"/>
    <w:multiLevelType w:val="hybridMultilevel"/>
    <w:tmpl w:val="178CCFE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16cid:durableId="1004163546">
    <w:abstractNumId w:val="22"/>
  </w:num>
  <w:num w:numId="2" w16cid:durableId="618026002">
    <w:abstractNumId w:val="27"/>
  </w:num>
  <w:num w:numId="3" w16cid:durableId="1736852904">
    <w:abstractNumId w:val="32"/>
  </w:num>
  <w:num w:numId="4" w16cid:durableId="1337540338">
    <w:abstractNumId w:val="10"/>
  </w:num>
  <w:num w:numId="5" w16cid:durableId="1887570059">
    <w:abstractNumId w:val="3"/>
  </w:num>
  <w:num w:numId="6" w16cid:durableId="18431850">
    <w:abstractNumId w:val="18"/>
  </w:num>
  <w:num w:numId="7" w16cid:durableId="1266379894">
    <w:abstractNumId w:val="24"/>
  </w:num>
  <w:num w:numId="8" w16cid:durableId="1294025138">
    <w:abstractNumId w:val="5"/>
  </w:num>
  <w:num w:numId="9" w16cid:durableId="1889872072">
    <w:abstractNumId w:val="11"/>
  </w:num>
  <w:num w:numId="10" w16cid:durableId="981468469">
    <w:abstractNumId w:val="0"/>
  </w:num>
  <w:num w:numId="11" w16cid:durableId="1670400174">
    <w:abstractNumId w:val="1"/>
  </w:num>
  <w:num w:numId="12" w16cid:durableId="2053727833">
    <w:abstractNumId w:val="17"/>
  </w:num>
  <w:num w:numId="13" w16cid:durableId="1413316356">
    <w:abstractNumId w:val="21"/>
  </w:num>
  <w:num w:numId="14" w16cid:durableId="276374930">
    <w:abstractNumId w:val="20"/>
  </w:num>
  <w:num w:numId="15" w16cid:durableId="1833443534">
    <w:abstractNumId w:val="23"/>
  </w:num>
  <w:num w:numId="16" w16cid:durableId="676227752">
    <w:abstractNumId w:val="9"/>
  </w:num>
  <w:num w:numId="17" w16cid:durableId="1031688851">
    <w:abstractNumId w:val="13"/>
  </w:num>
  <w:num w:numId="18" w16cid:durableId="170877027">
    <w:abstractNumId w:val="8"/>
  </w:num>
  <w:num w:numId="19" w16cid:durableId="565839268">
    <w:abstractNumId w:val="2"/>
  </w:num>
  <w:num w:numId="20" w16cid:durableId="1110969753">
    <w:abstractNumId w:val="12"/>
  </w:num>
  <w:num w:numId="21" w16cid:durableId="1091852195">
    <w:abstractNumId w:val="31"/>
  </w:num>
  <w:num w:numId="22" w16cid:durableId="847326363">
    <w:abstractNumId w:val="4"/>
  </w:num>
  <w:num w:numId="23" w16cid:durableId="1319269608">
    <w:abstractNumId w:val="30"/>
  </w:num>
  <w:num w:numId="24" w16cid:durableId="1265307096">
    <w:abstractNumId w:val="29"/>
  </w:num>
  <w:num w:numId="25" w16cid:durableId="1968390759">
    <w:abstractNumId w:val="16"/>
  </w:num>
  <w:num w:numId="26" w16cid:durableId="101652985">
    <w:abstractNumId w:val="28"/>
  </w:num>
  <w:num w:numId="27" w16cid:durableId="2131243984">
    <w:abstractNumId w:val="6"/>
  </w:num>
  <w:num w:numId="28" w16cid:durableId="1317565617">
    <w:abstractNumId w:val="15"/>
  </w:num>
  <w:num w:numId="29" w16cid:durableId="1475485782">
    <w:abstractNumId w:val="25"/>
  </w:num>
  <w:num w:numId="30" w16cid:durableId="1324699405">
    <w:abstractNumId w:val="7"/>
  </w:num>
  <w:num w:numId="31" w16cid:durableId="1816288582">
    <w:abstractNumId w:val="19"/>
  </w:num>
  <w:num w:numId="32" w16cid:durableId="1056129754">
    <w:abstractNumId w:val="26"/>
  </w:num>
  <w:num w:numId="33" w16cid:durableId="140811140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rYwMTQ1MwASpgbGJko6SsGpxcWZ+XkgBYa1ANLWcSssAAAA"/>
  </w:docVars>
  <w:rsids>
    <w:rsidRoot w:val="00804868"/>
    <w:rsid w:val="00002D2C"/>
    <w:rsid w:val="000108D6"/>
    <w:rsid w:val="00013A53"/>
    <w:rsid w:val="00032758"/>
    <w:rsid w:val="0005330A"/>
    <w:rsid w:val="00057638"/>
    <w:rsid w:val="00066942"/>
    <w:rsid w:val="00073C43"/>
    <w:rsid w:val="000A094B"/>
    <w:rsid w:val="000C66F1"/>
    <w:rsid w:val="000C7B97"/>
    <w:rsid w:val="000D39F3"/>
    <w:rsid w:val="000D49EE"/>
    <w:rsid w:val="000F16E3"/>
    <w:rsid w:val="000F2C21"/>
    <w:rsid w:val="000F6FD3"/>
    <w:rsid w:val="0010103D"/>
    <w:rsid w:val="00106E7F"/>
    <w:rsid w:val="001078F4"/>
    <w:rsid w:val="001116BA"/>
    <w:rsid w:val="00120345"/>
    <w:rsid w:val="00123209"/>
    <w:rsid w:val="0013325E"/>
    <w:rsid w:val="00144035"/>
    <w:rsid w:val="001460A9"/>
    <w:rsid w:val="00153F7E"/>
    <w:rsid w:val="00164B66"/>
    <w:rsid w:val="001655D6"/>
    <w:rsid w:val="00176B0A"/>
    <w:rsid w:val="00176CA1"/>
    <w:rsid w:val="001956FB"/>
    <w:rsid w:val="001971BC"/>
    <w:rsid w:val="001972C0"/>
    <w:rsid w:val="001A3848"/>
    <w:rsid w:val="001B4C44"/>
    <w:rsid w:val="001B5B83"/>
    <w:rsid w:val="001C27B5"/>
    <w:rsid w:val="001C4F93"/>
    <w:rsid w:val="001D7A71"/>
    <w:rsid w:val="001E0BBF"/>
    <w:rsid w:val="001E10B0"/>
    <w:rsid w:val="001F0F4C"/>
    <w:rsid w:val="001F38EF"/>
    <w:rsid w:val="00207AAD"/>
    <w:rsid w:val="00207D1F"/>
    <w:rsid w:val="00214813"/>
    <w:rsid w:val="00215061"/>
    <w:rsid w:val="00221954"/>
    <w:rsid w:val="00227826"/>
    <w:rsid w:val="00236823"/>
    <w:rsid w:val="00237A86"/>
    <w:rsid w:val="00240119"/>
    <w:rsid w:val="00241D30"/>
    <w:rsid w:val="002455B1"/>
    <w:rsid w:val="0027020F"/>
    <w:rsid w:val="0027176A"/>
    <w:rsid w:val="00271AB2"/>
    <w:rsid w:val="00277B74"/>
    <w:rsid w:val="00291F8D"/>
    <w:rsid w:val="00293950"/>
    <w:rsid w:val="002A058A"/>
    <w:rsid w:val="002A218E"/>
    <w:rsid w:val="002A4C1F"/>
    <w:rsid w:val="002A5D0F"/>
    <w:rsid w:val="002C3005"/>
    <w:rsid w:val="002C327A"/>
    <w:rsid w:val="002C51E3"/>
    <w:rsid w:val="002D09B0"/>
    <w:rsid w:val="002D3041"/>
    <w:rsid w:val="002D5867"/>
    <w:rsid w:val="002D608F"/>
    <w:rsid w:val="002D7C08"/>
    <w:rsid w:val="002E6CBC"/>
    <w:rsid w:val="0030038F"/>
    <w:rsid w:val="00301B8C"/>
    <w:rsid w:val="0030337C"/>
    <w:rsid w:val="00311DCE"/>
    <w:rsid w:val="00312C49"/>
    <w:rsid w:val="00313A02"/>
    <w:rsid w:val="003142E7"/>
    <w:rsid w:val="003164AA"/>
    <w:rsid w:val="003209C0"/>
    <w:rsid w:val="00320D53"/>
    <w:rsid w:val="00323E99"/>
    <w:rsid w:val="003328EC"/>
    <w:rsid w:val="00335049"/>
    <w:rsid w:val="003359ED"/>
    <w:rsid w:val="003363E4"/>
    <w:rsid w:val="00337030"/>
    <w:rsid w:val="003452CA"/>
    <w:rsid w:val="00353DEA"/>
    <w:rsid w:val="0036140E"/>
    <w:rsid w:val="00363264"/>
    <w:rsid w:val="00370356"/>
    <w:rsid w:val="003747D6"/>
    <w:rsid w:val="00390AB7"/>
    <w:rsid w:val="00393317"/>
    <w:rsid w:val="00394CAA"/>
    <w:rsid w:val="003A05B1"/>
    <w:rsid w:val="003A554D"/>
    <w:rsid w:val="003A7E9A"/>
    <w:rsid w:val="003B22EB"/>
    <w:rsid w:val="003B3F70"/>
    <w:rsid w:val="003B5346"/>
    <w:rsid w:val="003C0DBB"/>
    <w:rsid w:val="003C28DE"/>
    <w:rsid w:val="003C4BD4"/>
    <w:rsid w:val="003E1DC2"/>
    <w:rsid w:val="003E2FEC"/>
    <w:rsid w:val="003E3541"/>
    <w:rsid w:val="003E35B5"/>
    <w:rsid w:val="003E748F"/>
    <w:rsid w:val="003F42EF"/>
    <w:rsid w:val="00404646"/>
    <w:rsid w:val="00411077"/>
    <w:rsid w:val="00411CB0"/>
    <w:rsid w:val="004168D4"/>
    <w:rsid w:val="004178BA"/>
    <w:rsid w:val="00461926"/>
    <w:rsid w:val="00470043"/>
    <w:rsid w:val="00477FB2"/>
    <w:rsid w:val="00487688"/>
    <w:rsid w:val="0049480E"/>
    <w:rsid w:val="004948A8"/>
    <w:rsid w:val="004A033C"/>
    <w:rsid w:val="004A22F0"/>
    <w:rsid w:val="004B0E16"/>
    <w:rsid w:val="004B4F32"/>
    <w:rsid w:val="004C4595"/>
    <w:rsid w:val="004D3455"/>
    <w:rsid w:val="004E739A"/>
    <w:rsid w:val="004F1832"/>
    <w:rsid w:val="00500F76"/>
    <w:rsid w:val="00502022"/>
    <w:rsid w:val="005051C9"/>
    <w:rsid w:val="00507A2F"/>
    <w:rsid w:val="005100FA"/>
    <w:rsid w:val="00511B52"/>
    <w:rsid w:val="00514830"/>
    <w:rsid w:val="00525286"/>
    <w:rsid w:val="005314BA"/>
    <w:rsid w:val="005343EB"/>
    <w:rsid w:val="0056348F"/>
    <w:rsid w:val="00563919"/>
    <w:rsid w:val="005674AB"/>
    <w:rsid w:val="005744B5"/>
    <w:rsid w:val="00593754"/>
    <w:rsid w:val="005A52BC"/>
    <w:rsid w:val="005B3398"/>
    <w:rsid w:val="005B63E2"/>
    <w:rsid w:val="005C3A1F"/>
    <w:rsid w:val="005D51F0"/>
    <w:rsid w:val="005D5A45"/>
    <w:rsid w:val="005D6740"/>
    <w:rsid w:val="005E24F1"/>
    <w:rsid w:val="005E392B"/>
    <w:rsid w:val="005E574F"/>
    <w:rsid w:val="005E7BB9"/>
    <w:rsid w:val="006028C9"/>
    <w:rsid w:val="006060EB"/>
    <w:rsid w:val="0061003A"/>
    <w:rsid w:val="00620A40"/>
    <w:rsid w:val="00622091"/>
    <w:rsid w:val="006302D3"/>
    <w:rsid w:val="00630C5B"/>
    <w:rsid w:val="00653D77"/>
    <w:rsid w:val="00677F61"/>
    <w:rsid w:val="00681FCB"/>
    <w:rsid w:val="006909F0"/>
    <w:rsid w:val="006B1195"/>
    <w:rsid w:val="006B580F"/>
    <w:rsid w:val="006B6F82"/>
    <w:rsid w:val="006D37EC"/>
    <w:rsid w:val="006D5C0F"/>
    <w:rsid w:val="006D69EA"/>
    <w:rsid w:val="006E0A9E"/>
    <w:rsid w:val="006E536A"/>
    <w:rsid w:val="006E5EAB"/>
    <w:rsid w:val="006F3AB9"/>
    <w:rsid w:val="00704453"/>
    <w:rsid w:val="00723FE2"/>
    <w:rsid w:val="0073520A"/>
    <w:rsid w:val="00736E22"/>
    <w:rsid w:val="00743B96"/>
    <w:rsid w:val="0074605A"/>
    <w:rsid w:val="007470BE"/>
    <w:rsid w:val="0075564C"/>
    <w:rsid w:val="00757417"/>
    <w:rsid w:val="007634C4"/>
    <w:rsid w:val="00767D3F"/>
    <w:rsid w:val="00772124"/>
    <w:rsid w:val="00784D28"/>
    <w:rsid w:val="007868C8"/>
    <w:rsid w:val="0079059C"/>
    <w:rsid w:val="00791D09"/>
    <w:rsid w:val="00792E1A"/>
    <w:rsid w:val="007A0628"/>
    <w:rsid w:val="007A3592"/>
    <w:rsid w:val="007B5E03"/>
    <w:rsid w:val="007B74B4"/>
    <w:rsid w:val="007B796D"/>
    <w:rsid w:val="007C40B6"/>
    <w:rsid w:val="007C60DB"/>
    <w:rsid w:val="007E0C6B"/>
    <w:rsid w:val="007E323D"/>
    <w:rsid w:val="007E5107"/>
    <w:rsid w:val="007E5BD6"/>
    <w:rsid w:val="00804868"/>
    <w:rsid w:val="00810961"/>
    <w:rsid w:val="00817D7B"/>
    <w:rsid w:val="00824C10"/>
    <w:rsid w:val="00837240"/>
    <w:rsid w:val="00837E75"/>
    <w:rsid w:val="0084042B"/>
    <w:rsid w:val="00845A5D"/>
    <w:rsid w:val="00846A7C"/>
    <w:rsid w:val="00857E5E"/>
    <w:rsid w:val="00860E9C"/>
    <w:rsid w:val="008611DE"/>
    <w:rsid w:val="00866F85"/>
    <w:rsid w:val="00870783"/>
    <w:rsid w:val="00871CA0"/>
    <w:rsid w:val="00874040"/>
    <w:rsid w:val="00892D08"/>
    <w:rsid w:val="008A11B5"/>
    <w:rsid w:val="008A166E"/>
    <w:rsid w:val="008B7418"/>
    <w:rsid w:val="008D260A"/>
    <w:rsid w:val="008E151F"/>
    <w:rsid w:val="008F1882"/>
    <w:rsid w:val="008F5F10"/>
    <w:rsid w:val="00902CD8"/>
    <w:rsid w:val="009251B9"/>
    <w:rsid w:val="009277E2"/>
    <w:rsid w:val="00930C2F"/>
    <w:rsid w:val="00934A16"/>
    <w:rsid w:val="00936197"/>
    <w:rsid w:val="0095057D"/>
    <w:rsid w:val="00953AE3"/>
    <w:rsid w:val="00953C15"/>
    <w:rsid w:val="0095613D"/>
    <w:rsid w:val="00961505"/>
    <w:rsid w:val="00965DBA"/>
    <w:rsid w:val="00971EC1"/>
    <w:rsid w:val="00975B88"/>
    <w:rsid w:val="009810B9"/>
    <w:rsid w:val="009818A5"/>
    <w:rsid w:val="00985C8D"/>
    <w:rsid w:val="00990F5D"/>
    <w:rsid w:val="0099360D"/>
    <w:rsid w:val="009939B0"/>
    <w:rsid w:val="009979CA"/>
    <w:rsid w:val="009A072A"/>
    <w:rsid w:val="009A2169"/>
    <w:rsid w:val="009A6C84"/>
    <w:rsid w:val="009B0C9E"/>
    <w:rsid w:val="009C07C4"/>
    <w:rsid w:val="009C3793"/>
    <w:rsid w:val="009C4281"/>
    <w:rsid w:val="009C5F79"/>
    <w:rsid w:val="009D1A03"/>
    <w:rsid w:val="009D45B9"/>
    <w:rsid w:val="009D4DAB"/>
    <w:rsid w:val="009E0811"/>
    <w:rsid w:val="009F322D"/>
    <w:rsid w:val="00A05D87"/>
    <w:rsid w:val="00A15127"/>
    <w:rsid w:val="00A2020F"/>
    <w:rsid w:val="00A21923"/>
    <w:rsid w:val="00A24C73"/>
    <w:rsid w:val="00A26ACF"/>
    <w:rsid w:val="00A34C4D"/>
    <w:rsid w:val="00A426A3"/>
    <w:rsid w:val="00A527EF"/>
    <w:rsid w:val="00A60011"/>
    <w:rsid w:val="00A63112"/>
    <w:rsid w:val="00A73C77"/>
    <w:rsid w:val="00A75DA8"/>
    <w:rsid w:val="00A87B80"/>
    <w:rsid w:val="00A9462D"/>
    <w:rsid w:val="00A975FF"/>
    <w:rsid w:val="00A97966"/>
    <w:rsid w:val="00A97E3B"/>
    <w:rsid w:val="00AA04E9"/>
    <w:rsid w:val="00AA5805"/>
    <w:rsid w:val="00AB252E"/>
    <w:rsid w:val="00AB77C6"/>
    <w:rsid w:val="00AE6B32"/>
    <w:rsid w:val="00AF08EF"/>
    <w:rsid w:val="00AF2593"/>
    <w:rsid w:val="00AF7B24"/>
    <w:rsid w:val="00B23D62"/>
    <w:rsid w:val="00B40ABD"/>
    <w:rsid w:val="00B40D2D"/>
    <w:rsid w:val="00B51F52"/>
    <w:rsid w:val="00B545BF"/>
    <w:rsid w:val="00B60AA6"/>
    <w:rsid w:val="00B72A65"/>
    <w:rsid w:val="00B818B0"/>
    <w:rsid w:val="00B83E1F"/>
    <w:rsid w:val="00B8710D"/>
    <w:rsid w:val="00B950BE"/>
    <w:rsid w:val="00BA38E0"/>
    <w:rsid w:val="00BB3B0A"/>
    <w:rsid w:val="00BE572D"/>
    <w:rsid w:val="00BE7A2E"/>
    <w:rsid w:val="00BF39A3"/>
    <w:rsid w:val="00C0337F"/>
    <w:rsid w:val="00C0542D"/>
    <w:rsid w:val="00C1089D"/>
    <w:rsid w:val="00C13188"/>
    <w:rsid w:val="00C2300E"/>
    <w:rsid w:val="00C2308E"/>
    <w:rsid w:val="00C26BA7"/>
    <w:rsid w:val="00C30798"/>
    <w:rsid w:val="00C37E31"/>
    <w:rsid w:val="00C4023C"/>
    <w:rsid w:val="00C6018B"/>
    <w:rsid w:val="00C6401D"/>
    <w:rsid w:val="00C75FD2"/>
    <w:rsid w:val="00C800DD"/>
    <w:rsid w:val="00C81F60"/>
    <w:rsid w:val="00C84C9C"/>
    <w:rsid w:val="00CA4C5D"/>
    <w:rsid w:val="00CA7DA6"/>
    <w:rsid w:val="00CB0E3F"/>
    <w:rsid w:val="00CB449D"/>
    <w:rsid w:val="00CB62ED"/>
    <w:rsid w:val="00CB7747"/>
    <w:rsid w:val="00CD0100"/>
    <w:rsid w:val="00CD1775"/>
    <w:rsid w:val="00CD52C1"/>
    <w:rsid w:val="00CD6557"/>
    <w:rsid w:val="00CE0D54"/>
    <w:rsid w:val="00CE471C"/>
    <w:rsid w:val="00CE5DED"/>
    <w:rsid w:val="00CF1E60"/>
    <w:rsid w:val="00D016F4"/>
    <w:rsid w:val="00D1485A"/>
    <w:rsid w:val="00D16F15"/>
    <w:rsid w:val="00D26F42"/>
    <w:rsid w:val="00D30733"/>
    <w:rsid w:val="00D32788"/>
    <w:rsid w:val="00D339A9"/>
    <w:rsid w:val="00D33A78"/>
    <w:rsid w:val="00D3532D"/>
    <w:rsid w:val="00D373D8"/>
    <w:rsid w:val="00D4256A"/>
    <w:rsid w:val="00D534BA"/>
    <w:rsid w:val="00D6530A"/>
    <w:rsid w:val="00D70030"/>
    <w:rsid w:val="00D72A12"/>
    <w:rsid w:val="00D74E9A"/>
    <w:rsid w:val="00D839DC"/>
    <w:rsid w:val="00D83D0C"/>
    <w:rsid w:val="00D86292"/>
    <w:rsid w:val="00DA1DDE"/>
    <w:rsid w:val="00DB53D2"/>
    <w:rsid w:val="00DC53B3"/>
    <w:rsid w:val="00DC6BEA"/>
    <w:rsid w:val="00DD1922"/>
    <w:rsid w:val="00DE0687"/>
    <w:rsid w:val="00DE7299"/>
    <w:rsid w:val="00DF4BC1"/>
    <w:rsid w:val="00DF6D90"/>
    <w:rsid w:val="00E0326F"/>
    <w:rsid w:val="00E07BB9"/>
    <w:rsid w:val="00E109E2"/>
    <w:rsid w:val="00E1124B"/>
    <w:rsid w:val="00E124B5"/>
    <w:rsid w:val="00E17548"/>
    <w:rsid w:val="00E21E1A"/>
    <w:rsid w:val="00E447E5"/>
    <w:rsid w:val="00E50D8E"/>
    <w:rsid w:val="00E569E1"/>
    <w:rsid w:val="00E66462"/>
    <w:rsid w:val="00E70B55"/>
    <w:rsid w:val="00E73462"/>
    <w:rsid w:val="00E829A5"/>
    <w:rsid w:val="00E876C9"/>
    <w:rsid w:val="00E90832"/>
    <w:rsid w:val="00E958C3"/>
    <w:rsid w:val="00E95B5B"/>
    <w:rsid w:val="00EA3752"/>
    <w:rsid w:val="00EA4EF9"/>
    <w:rsid w:val="00EB4A21"/>
    <w:rsid w:val="00EC24E5"/>
    <w:rsid w:val="00EC2DB3"/>
    <w:rsid w:val="00EE29A3"/>
    <w:rsid w:val="00F01EF3"/>
    <w:rsid w:val="00F027B3"/>
    <w:rsid w:val="00F20593"/>
    <w:rsid w:val="00F2774A"/>
    <w:rsid w:val="00F3333D"/>
    <w:rsid w:val="00F34C30"/>
    <w:rsid w:val="00F37A07"/>
    <w:rsid w:val="00F4742A"/>
    <w:rsid w:val="00F509E2"/>
    <w:rsid w:val="00F5686D"/>
    <w:rsid w:val="00F723A9"/>
    <w:rsid w:val="00F9135A"/>
    <w:rsid w:val="00F94334"/>
    <w:rsid w:val="00FB6AF1"/>
    <w:rsid w:val="00FC3A25"/>
    <w:rsid w:val="00FC5099"/>
    <w:rsid w:val="00FD10BD"/>
    <w:rsid w:val="00FD2933"/>
    <w:rsid w:val="00FD5261"/>
    <w:rsid w:val="00FD5ABB"/>
    <w:rsid w:val="00FD640F"/>
    <w:rsid w:val="00FE4A7B"/>
    <w:rsid w:val="00FF452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694FE"/>
  <w15:docId w15:val="{B6994DCF-8D86-465D-B5A8-9F449DBDA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4868"/>
    <w:pPr>
      <w:autoSpaceDE w:val="0"/>
      <w:autoSpaceDN w:val="0"/>
      <w:adjustRightInd w:val="0"/>
      <w:spacing w:before="120" w:after="120" w:line="360" w:lineRule="auto"/>
      <w:jc w:val="both"/>
    </w:pPr>
    <w:rPr>
      <w:rFonts w:cstheme="minorHAnsi"/>
      <w:sz w:val="24"/>
      <w:szCs w:val="24"/>
    </w:rPr>
  </w:style>
  <w:style w:type="paragraph" w:styleId="Heading1">
    <w:name w:val="heading 1"/>
    <w:basedOn w:val="Normal"/>
    <w:next w:val="Normal"/>
    <w:link w:val="Heading1Char"/>
    <w:uiPriority w:val="9"/>
    <w:qFormat/>
    <w:rsid w:val="00804868"/>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804868"/>
    <w:pPr>
      <w:keepNext/>
      <w:keepLines/>
      <w:outlineLvl w:val="1"/>
    </w:pPr>
    <w:rPr>
      <w:rFonts w:eastAsiaTheme="majorEastAsia" w:cstheme="majorBidi"/>
      <w:b/>
      <w:bCs/>
      <w:szCs w:val="26"/>
    </w:rPr>
  </w:style>
  <w:style w:type="paragraph" w:styleId="Heading3">
    <w:name w:val="heading 3"/>
    <w:basedOn w:val="Normal"/>
    <w:link w:val="Heading3Char"/>
    <w:autoRedefine/>
    <w:uiPriority w:val="9"/>
    <w:unhideWhenUsed/>
    <w:qFormat/>
    <w:rsid w:val="00804868"/>
    <w:pPr>
      <w:numPr>
        <w:ilvl w:val="2"/>
        <w:numId w:val="14"/>
      </w:numPr>
      <w:spacing w:before="100" w:beforeAutospacing="1" w:after="0" w:afterAutospacing="1" w:line="240" w:lineRule="auto"/>
      <w:outlineLvl w:val="2"/>
    </w:pPr>
    <w:rPr>
      <w:rFonts w:ascii="Garamond" w:eastAsia="Times New Roman" w:hAnsi="Garamond"/>
      <w:b/>
      <w:bCs/>
      <w:i/>
      <w:lang w:eastAsia="fr-FR"/>
    </w:rPr>
  </w:style>
  <w:style w:type="paragraph" w:styleId="Heading6">
    <w:name w:val="heading 6"/>
    <w:basedOn w:val="Normal"/>
    <w:next w:val="Normal"/>
    <w:link w:val="Heading6Char"/>
    <w:uiPriority w:val="9"/>
    <w:semiHidden/>
    <w:unhideWhenUsed/>
    <w:qFormat/>
    <w:rsid w:val="00804868"/>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4868"/>
    <w:rPr>
      <w:rFonts w:eastAsiaTheme="majorEastAsia" w:cstheme="majorBidi"/>
      <w:b/>
      <w:bCs/>
      <w:sz w:val="24"/>
      <w:szCs w:val="28"/>
    </w:rPr>
  </w:style>
  <w:style w:type="character" w:customStyle="1" w:styleId="Heading2Char">
    <w:name w:val="Heading 2 Char"/>
    <w:basedOn w:val="DefaultParagraphFont"/>
    <w:link w:val="Heading2"/>
    <w:uiPriority w:val="9"/>
    <w:rsid w:val="00804868"/>
    <w:rPr>
      <w:rFonts w:eastAsiaTheme="majorEastAsia" w:cstheme="majorBidi"/>
      <w:b/>
      <w:bCs/>
      <w:sz w:val="24"/>
      <w:szCs w:val="26"/>
    </w:rPr>
  </w:style>
  <w:style w:type="character" w:customStyle="1" w:styleId="Heading3Char">
    <w:name w:val="Heading 3 Char"/>
    <w:basedOn w:val="DefaultParagraphFont"/>
    <w:link w:val="Heading3"/>
    <w:uiPriority w:val="9"/>
    <w:rsid w:val="00804868"/>
    <w:rPr>
      <w:rFonts w:ascii="Garamond" w:eastAsia="Times New Roman" w:hAnsi="Garamond" w:cstheme="minorHAnsi"/>
      <w:b/>
      <w:bCs/>
      <w:i/>
      <w:sz w:val="24"/>
      <w:szCs w:val="24"/>
      <w:lang w:eastAsia="fr-FR"/>
    </w:rPr>
  </w:style>
  <w:style w:type="character" w:customStyle="1" w:styleId="Heading6Char">
    <w:name w:val="Heading 6 Char"/>
    <w:basedOn w:val="DefaultParagraphFont"/>
    <w:link w:val="Heading6"/>
    <w:uiPriority w:val="9"/>
    <w:semiHidden/>
    <w:rsid w:val="00804868"/>
    <w:rPr>
      <w:rFonts w:asciiTheme="majorHAnsi" w:eastAsiaTheme="majorEastAsia" w:hAnsiTheme="majorHAnsi" w:cstheme="majorBidi"/>
      <w:i/>
      <w:iCs/>
      <w:color w:val="243F60" w:themeColor="accent1" w:themeShade="7F"/>
      <w:sz w:val="24"/>
      <w:szCs w:val="24"/>
    </w:rPr>
  </w:style>
  <w:style w:type="paragraph" w:styleId="ListParagraph">
    <w:name w:val="List Paragraph"/>
    <w:basedOn w:val="Normal"/>
    <w:uiPriority w:val="34"/>
    <w:qFormat/>
    <w:rsid w:val="00804868"/>
    <w:pPr>
      <w:ind w:left="720"/>
      <w:contextualSpacing/>
    </w:pPr>
  </w:style>
  <w:style w:type="paragraph" w:styleId="FootnoteText">
    <w:name w:val="footnote text"/>
    <w:basedOn w:val="Normal"/>
    <w:link w:val="FootnoteTextChar"/>
    <w:uiPriority w:val="99"/>
    <w:semiHidden/>
    <w:unhideWhenUsed/>
    <w:rsid w:val="0080486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4868"/>
    <w:rPr>
      <w:rFonts w:cstheme="minorHAnsi"/>
      <w:sz w:val="20"/>
      <w:szCs w:val="20"/>
    </w:rPr>
  </w:style>
  <w:style w:type="character" w:styleId="FootnoteReference">
    <w:name w:val="footnote reference"/>
    <w:basedOn w:val="DefaultParagraphFont"/>
    <w:uiPriority w:val="99"/>
    <w:semiHidden/>
    <w:unhideWhenUsed/>
    <w:rsid w:val="00804868"/>
    <w:rPr>
      <w:vertAlign w:val="superscript"/>
    </w:rPr>
  </w:style>
  <w:style w:type="character" w:customStyle="1" w:styleId="A1">
    <w:name w:val="A1"/>
    <w:uiPriority w:val="99"/>
    <w:rsid w:val="00804868"/>
    <w:rPr>
      <w:i/>
      <w:iCs/>
      <w:color w:val="211D1E"/>
      <w:sz w:val="22"/>
      <w:szCs w:val="22"/>
    </w:rPr>
  </w:style>
  <w:style w:type="paragraph" w:styleId="NormalWeb">
    <w:name w:val="Normal (Web)"/>
    <w:basedOn w:val="Normal"/>
    <w:uiPriority w:val="99"/>
    <w:unhideWhenUsed/>
    <w:rsid w:val="00804868"/>
    <w:pPr>
      <w:spacing w:before="100" w:beforeAutospacing="1" w:after="100" w:afterAutospacing="1" w:line="240" w:lineRule="auto"/>
    </w:pPr>
    <w:rPr>
      <w:rFonts w:ascii="Times New Roman" w:eastAsia="Times New Roman" w:hAnsi="Times New Roman" w:cs="Times New Roman"/>
      <w:lang w:eastAsia="fr-FR"/>
    </w:rPr>
  </w:style>
  <w:style w:type="character" w:customStyle="1" w:styleId="markedcontent">
    <w:name w:val="markedcontent"/>
    <w:basedOn w:val="DefaultParagraphFont"/>
    <w:rsid w:val="00804868"/>
  </w:style>
  <w:style w:type="character" w:customStyle="1" w:styleId="titre-revue">
    <w:name w:val="titre-revue"/>
    <w:basedOn w:val="DefaultParagraphFont"/>
    <w:rsid w:val="00804868"/>
  </w:style>
  <w:style w:type="paragraph" w:styleId="Footer">
    <w:name w:val="footer"/>
    <w:basedOn w:val="Normal"/>
    <w:link w:val="FooterChar"/>
    <w:uiPriority w:val="99"/>
    <w:unhideWhenUsed/>
    <w:rsid w:val="00804868"/>
    <w:pPr>
      <w:tabs>
        <w:tab w:val="center" w:pos="4536"/>
        <w:tab w:val="right" w:pos="9072"/>
      </w:tabs>
      <w:spacing w:after="0" w:line="240" w:lineRule="auto"/>
    </w:pPr>
  </w:style>
  <w:style w:type="character" w:customStyle="1" w:styleId="FooterChar">
    <w:name w:val="Footer Char"/>
    <w:basedOn w:val="DefaultParagraphFont"/>
    <w:link w:val="Footer"/>
    <w:uiPriority w:val="99"/>
    <w:rsid w:val="00804868"/>
    <w:rPr>
      <w:rFonts w:cstheme="minorHAnsi"/>
      <w:sz w:val="24"/>
      <w:szCs w:val="24"/>
    </w:rPr>
  </w:style>
  <w:style w:type="character" w:styleId="CommentReference">
    <w:name w:val="annotation reference"/>
    <w:basedOn w:val="DefaultParagraphFont"/>
    <w:uiPriority w:val="99"/>
    <w:semiHidden/>
    <w:unhideWhenUsed/>
    <w:rsid w:val="00804868"/>
    <w:rPr>
      <w:sz w:val="16"/>
      <w:szCs w:val="16"/>
    </w:rPr>
  </w:style>
  <w:style w:type="paragraph" w:styleId="CommentText">
    <w:name w:val="annotation text"/>
    <w:basedOn w:val="Normal"/>
    <w:link w:val="CommentTextChar"/>
    <w:uiPriority w:val="99"/>
    <w:unhideWhenUsed/>
    <w:rsid w:val="00804868"/>
    <w:pPr>
      <w:spacing w:line="240" w:lineRule="auto"/>
    </w:pPr>
    <w:rPr>
      <w:sz w:val="20"/>
      <w:szCs w:val="20"/>
    </w:rPr>
  </w:style>
  <w:style w:type="character" w:customStyle="1" w:styleId="CommentTextChar">
    <w:name w:val="Comment Text Char"/>
    <w:basedOn w:val="DefaultParagraphFont"/>
    <w:link w:val="CommentText"/>
    <w:uiPriority w:val="99"/>
    <w:rsid w:val="00804868"/>
    <w:rPr>
      <w:rFonts w:cstheme="minorHAnsi"/>
      <w:sz w:val="20"/>
      <w:szCs w:val="20"/>
    </w:rPr>
  </w:style>
  <w:style w:type="paragraph" w:styleId="BalloonText">
    <w:name w:val="Balloon Text"/>
    <w:basedOn w:val="Normal"/>
    <w:link w:val="BalloonTextChar"/>
    <w:uiPriority w:val="99"/>
    <w:semiHidden/>
    <w:unhideWhenUsed/>
    <w:rsid w:val="008048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4868"/>
    <w:rPr>
      <w:rFonts w:ascii="Tahoma" w:hAnsi="Tahoma" w:cs="Tahoma"/>
      <w:sz w:val="16"/>
      <w:szCs w:val="16"/>
    </w:rPr>
  </w:style>
  <w:style w:type="paragraph" w:customStyle="1" w:styleId="Default">
    <w:name w:val="Default"/>
    <w:rsid w:val="00804868"/>
    <w:pPr>
      <w:autoSpaceDE w:val="0"/>
      <w:autoSpaceDN w:val="0"/>
      <w:adjustRightInd w:val="0"/>
      <w:spacing w:after="0" w:line="240" w:lineRule="auto"/>
    </w:pPr>
    <w:rPr>
      <w:rFonts w:ascii="Code" w:hAnsi="Code" w:cs="Code"/>
      <w:color w:val="000000"/>
      <w:sz w:val="24"/>
      <w:szCs w:val="24"/>
    </w:rPr>
  </w:style>
  <w:style w:type="paragraph" w:styleId="CommentSubject">
    <w:name w:val="annotation subject"/>
    <w:basedOn w:val="CommentText"/>
    <w:next w:val="CommentText"/>
    <w:link w:val="CommentSubjectChar"/>
    <w:uiPriority w:val="99"/>
    <w:semiHidden/>
    <w:unhideWhenUsed/>
    <w:rsid w:val="00804868"/>
    <w:rPr>
      <w:b/>
      <w:bCs/>
    </w:rPr>
  </w:style>
  <w:style w:type="character" w:customStyle="1" w:styleId="CommentSubjectChar">
    <w:name w:val="Comment Subject Char"/>
    <w:basedOn w:val="CommentTextChar"/>
    <w:link w:val="CommentSubject"/>
    <w:uiPriority w:val="99"/>
    <w:semiHidden/>
    <w:rsid w:val="00804868"/>
    <w:rPr>
      <w:rFonts w:cstheme="minorHAnsi"/>
      <w:b/>
      <w:bCs/>
      <w:sz w:val="20"/>
      <w:szCs w:val="20"/>
    </w:rPr>
  </w:style>
  <w:style w:type="character" w:styleId="Hyperlink">
    <w:name w:val="Hyperlink"/>
    <w:basedOn w:val="DefaultParagraphFont"/>
    <w:uiPriority w:val="99"/>
    <w:unhideWhenUsed/>
    <w:rsid w:val="00804868"/>
    <w:rPr>
      <w:color w:val="0000FF"/>
      <w:u w:val="single"/>
    </w:rPr>
  </w:style>
  <w:style w:type="character" w:customStyle="1" w:styleId="indicateur-langue">
    <w:name w:val="indicateur-langue"/>
    <w:basedOn w:val="DefaultParagraphFont"/>
    <w:rsid w:val="00804868"/>
  </w:style>
  <w:style w:type="paragraph" w:styleId="Header">
    <w:name w:val="header"/>
    <w:basedOn w:val="Normal"/>
    <w:link w:val="HeaderChar"/>
    <w:uiPriority w:val="99"/>
    <w:unhideWhenUsed/>
    <w:rsid w:val="00804868"/>
    <w:pPr>
      <w:tabs>
        <w:tab w:val="center" w:pos="4536"/>
        <w:tab w:val="right" w:pos="9072"/>
      </w:tabs>
      <w:spacing w:after="0" w:line="240" w:lineRule="auto"/>
    </w:pPr>
  </w:style>
  <w:style w:type="character" w:customStyle="1" w:styleId="HeaderChar">
    <w:name w:val="Header Char"/>
    <w:basedOn w:val="DefaultParagraphFont"/>
    <w:link w:val="Header"/>
    <w:uiPriority w:val="99"/>
    <w:rsid w:val="00804868"/>
    <w:rPr>
      <w:rFonts w:cstheme="minorHAnsi"/>
      <w:sz w:val="24"/>
      <w:szCs w:val="24"/>
    </w:rPr>
  </w:style>
  <w:style w:type="character" w:styleId="Emphasis">
    <w:name w:val="Emphasis"/>
    <w:basedOn w:val="DefaultParagraphFont"/>
    <w:uiPriority w:val="20"/>
    <w:qFormat/>
    <w:rsid w:val="00804868"/>
    <w:rPr>
      <w:i/>
      <w:iCs/>
    </w:rPr>
  </w:style>
  <w:style w:type="character" w:customStyle="1" w:styleId="auteur">
    <w:name w:val="auteur"/>
    <w:basedOn w:val="DefaultParagraphFont"/>
    <w:rsid w:val="00804868"/>
  </w:style>
  <w:style w:type="character" w:customStyle="1" w:styleId="attribut">
    <w:name w:val="attribut"/>
    <w:basedOn w:val="DefaultParagraphFont"/>
    <w:rsid w:val="00804868"/>
  </w:style>
  <w:style w:type="character" w:customStyle="1" w:styleId="in-revue">
    <w:name w:val="in-revue"/>
    <w:basedOn w:val="DefaultParagraphFont"/>
    <w:rsid w:val="00804868"/>
  </w:style>
  <w:style w:type="paragraph" w:styleId="TOCHeading">
    <w:name w:val="TOC Heading"/>
    <w:basedOn w:val="Heading1"/>
    <w:next w:val="Normal"/>
    <w:uiPriority w:val="39"/>
    <w:unhideWhenUsed/>
    <w:qFormat/>
    <w:rsid w:val="00804868"/>
    <w:pPr>
      <w:spacing w:after="0"/>
      <w:outlineLvl w:val="9"/>
    </w:pPr>
    <w:rPr>
      <w:color w:val="365F91" w:themeColor="accent1" w:themeShade="BF"/>
      <w:sz w:val="28"/>
      <w:lang w:eastAsia="fr-FR"/>
    </w:rPr>
  </w:style>
  <w:style w:type="paragraph" w:styleId="TOC1">
    <w:name w:val="toc 1"/>
    <w:basedOn w:val="Normal"/>
    <w:next w:val="Normal"/>
    <w:autoRedefine/>
    <w:uiPriority w:val="39"/>
    <w:unhideWhenUsed/>
    <w:rsid w:val="00804868"/>
    <w:pPr>
      <w:spacing w:after="100"/>
    </w:pPr>
  </w:style>
  <w:style w:type="paragraph" w:styleId="TOC2">
    <w:name w:val="toc 2"/>
    <w:basedOn w:val="Normal"/>
    <w:next w:val="Normal"/>
    <w:autoRedefine/>
    <w:uiPriority w:val="39"/>
    <w:unhideWhenUsed/>
    <w:rsid w:val="00804868"/>
    <w:pPr>
      <w:tabs>
        <w:tab w:val="left" w:pos="880"/>
        <w:tab w:val="right" w:leader="dot" w:pos="9214"/>
      </w:tabs>
      <w:spacing w:line="240" w:lineRule="auto"/>
      <w:ind w:left="220"/>
    </w:pPr>
  </w:style>
  <w:style w:type="paragraph" w:styleId="TOC3">
    <w:name w:val="toc 3"/>
    <w:basedOn w:val="Normal"/>
    <w:next w:val="Normal"/>
    <w:autoRedefine/>
    <w:uiPriority w:val="39"/>
    <w:unhideWhenUsed/>
    <w:rsid w:val="00804868"/>
    <w:pPr>
      <w:tabs>
        <w:tab w:val="left" w:pos="851"/>
        <w:tab w:val="right" w:leader="dot" w:pos="9062"/>
      </w:tabs>
      <w:spacing w:after="100" w:line="240" w:lineRule="auto"/>
      <w:ind w:left="284"/>
    </w:pPr>
  </w:style>
  <w:style w:type="character" w:customStyle="1" w:styleId="addmd">
    <w:name w:val="addmd"/>
    <w:basedOn w:val="DefaultParagraphFont"/>
    <w:rsid w:val="00804868"/>
  </w:style>
  <w:style w:type="paragraph" w:styleId="Caption">
    <w:name w:val="caption"/>
    <w:basedOn w:val="Normal"/>
    <w:next w:val="Normal"/>
    <w:uiPriority w:val="35"/>
    <w:unhideWhenUsed/>
    <w:qFormat/>
    <w:rsid w:val="00804868"/>
    <w:pPr>
      <w:spacing w:line="240" w:lineRule="auto"/>
    </w:pPr>
    <w:rPr>
      <w:b/>
      <w:bCs/>
      <w:color w:val="4F81BD" w:themeColor="accent1"/>
      <w:sz w:val="18"/>
      <w:szCs w:val="18"/>
    </w:rPr>
  </w:style>
  <w:style w:type="paragraph" w:styleId="HTMLPreformatted">
    <w:name w:val="HTML Preformatted"/>
    <w:basedOn w:val="Normal"/>
    <w:link w:val="HTMLPreformattedChar"/>
    <w:uiPriority w:val="99"/>
    <w:semiHidden/>
    <w:unhideWhenUsed/>
    <w:rsid w:val="008048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HTMLPreformattedChar">
    <w:name w:val="HTML Preformatted Char"/>
    <w:basedOn w:val="DefaultParagraphFont"/>
    <w:link w:val="HTMLPreformatted"/>
    <w:uiPriority w:val="99"/>
    <w:semiHidden/>
    <w:rsid w:val="00804868"/>
    <w:rPr>
      <w:rFonts w:ascii="Courier New" w:eastAsia="Times New Roman" w:hAnsi="Courier New" w:cs="Courier New"/>
      <w:sz w:val="20"/>
      <w:szCs w:val="20"/>
      <w:lang w:eastAsia="fr-FR"/>
    </w:rPr>
  </w:style>
  <w:style w:type="character" w:customStyle="1" w:styleId="y2iqfc">
    <w:name w:val="y2iqfc"/>
    <w:basedOn w:val="DefaultParagraphFont"/>
    <w:rsid w:val="00804868"/>
  </w:style>
  <w:style w:type="character" w:customStyle="1" w:styleId="no">
    <w:name w:val="no"/>
    <w:basedOn w:val="DefaultParagraphFont"/>
    <w:rsid w:val="00804868"/>
  </w:style>
  <w:style w:type="paragraph" w:customStyle="1" w:styleId="Pa9">
    <w:name w:val="Pa9"/>
    <w:basedOn w:val="Default"/>
    <w:next w:val="Default"/>
    <w:uiPriority w:val="99"/>
    <w:rsid w:val="00804868"/>
    <w:pPr>
      <w:spacing w:line="281" w:lineRule="atLeast"/>
    </w:pPr>
    <w:rPr>
      <w:rFonts w:ascii="Alto Pro Bd" w:hAnsi="Alto Pro Bd" w:cstheme="minorBidi"/>
      <w:color w:val="auto"/>
    </w:rPr>
  </w:style>
  <w:style w:type="character" w:customStyle="1" w:styleId="Titre1">
    <w:name w:val="Titre1"/>
    <w:basedOn w:val="DefaultParagraphFont"/>
    <w:rsid w:val="00804868"/>
  </w:style>
  <w:style w:type="paragraph" w:styleId="Revision">
    <w:name w:val="Revision"/>
    <w:hidden/>
    <w:uiPriority w:val="99"/>
    <w:semiHidden/>
    <w:rsid w:val="00804868"/>
    <w:pPr>
      <w:spacing w:after="0" w:line="240" w:lineRule="auto"/>
    </w:pPr>
  </w:style>
  <w:style w:type="character" w:customStyle="1" w:styleId="Mentionnonrsolue1">
    <w:name w:val="Mention non résolue1"/>
    <w:basedOn w:val="DefaultParagraphFont"/>
    <w:uiPriority w:val="99"/>
    <w:semiHidden/>
    <w:unhideWhenUsed/>
    <w:rsid w:val="00804868"/>
    <w:rPr>
      <w:color w:val="605E5C"/>
      <w:shd w:val="clear" w:color="auto" w:fill="E1DFDD"/>
    </w:rPr>
  </w:style>
  <w:style w:type="paragraph" w:customStyle="1" w:styleId="Pagetitre">
    <w:name w:val="Page titre"/>
    <w:basedOn w:val="Normal"/>
    <w:link w:val="PagetitreCar"/>
    <w:qFormat/>
    <w:rsid w:val="00804868"/>
  </w:style>
  <w:style w:type="paragraph" w:customStyle="1" w:styleId="Formatbibliographie">
    <w:name w:val="Format bibliographie"/>
    <w:basedOn w:val="Normal"/>
    <w:link w:val="FormatbibliographieCar"/>
    <w:qFormat/>
    <w:rsid w:val="00804868"/>
    <w:pPr>
      <w:spacing w:before="240" w:after="240" w:line="240" w:lineRule="auto"/>
      <w:jc w:val="left"/>
    </w:pPr>
    <w:rPr>
      <w:lang w:val="en-CA"/>
    </w:rPr>
  </w:style>
  <w:style w:type="character" w:customStyle="1" w:styleId="PagetitreCar">
    <w:name w:val="Page titre Car"/>
    <w:basedOn w:val="DefaultParagraphFont"/>
    <w:link w:val="Pagetitre"/>
    <w:rsid w:val="00804868"/>
    <w:rPr>
      <w:rFonts w:cstheme="minorHAnsi"/>
      <w:sz w:val="24"/>
      <w:szCs w:val="24"/>
    </w:rPr>
  </w:style>
  <w:style w:type="character" w:customStyle="1" w:styleId="FormatbibliographieCar">
    <w:name w:val="Format bibliographie Car"/>
    <w:basedOn w:val="DefaultParagraphFont"/>
    <w:link w:val="Formatbibliographie"/>
    <w:rsid w:val="00804868"/>
    <w:rPr>
      <w:rFonts w:cstheme="minorHAnsi"/>
      <w:sz w:val="24"/>
      <w:szCs w:val="24"/>
      <w:lang w:val="en-CA"/>
    </w:rPr>
  </w:style>
  <w:style w:type="character" w:customStyle="1" w:styleId="uppercase">
    <w:name w:val="uppercase"/>
    <w:basedOn w:val="DefaultParagraphFont"/>
    <w:rsid w:val="00804868"/>
  </w:style>
  <w:style w:type="character" w:customStyle="1" w:styleId="familyname">
    <w:name w:val="familyname"/>
    <w:basedOn w:val="DefaultParagraphFont"/>
    <w:rsid w:val="00971E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4995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airn.info/dictionnaire-d-administration-publique--9782706121371.htm" TargetMode="External"/><Relationship Id="rId21" Type="http://schemas.openxmlformats.org/officeDocument/2006/relationships/hyperlink" Target="https://www.cairn.info/revue-l-homme-et-la-societe.htm" TargetMode="External"/><Relationship Id="rId42" Type="http://schemas.openxmlformats.org/officeDocument/2006/relationships/hyperlink" Target="https://doi.org/10.1093/oxfordhb/9780199662814.013.1" TargetMode="External"/><Relationship Id="rId47" Type="http://schemas.openxmlformats.org/officeDocument/2006/relationships/hyperlink" Target="https://www.cairn.info/publications-de-Orla-O%E2%80%99Donnell--72763.htm" TargetMode="External"/><Relationship Id="rId63" Type="http://schemas.openxmlformats.org/officeDocument/2006/relationships/hyperlink" Target="https://doi.org/10.3406/pomap.2001.2666" TargetMode="External"/><Relationship Id="rId68" Type="http://schemas.openxmlformats.org/officeDocument/2006/relationships/hyperlink" Target="https://doi.org/10.7202/1068365ar" TargetMode="External"/><Relationship Id="rId2" Type="http://schemas.openxmlformats.org/officeDocument/2006/relationships/numbering" Target="numbering.xml"/><Relationship Id="rId16" Type="http://schemas.openxmlformats.org/officeDocument/2006/relationships/hyperlink" Target="https://www.cairn.info/publications-de-Pierre-Jean-Barlatier--18186.htm" TargetMode="External"/><Relationship Id="rId29" Type="http://schemas.openxmlformats.org/officeDocument/2006/relationships/hyperlink" Target="https://doi.org/10.4000/etudes-benthamiennes.242" TargetMode="External"/><Relationship Id="rId11" Type="http://schemas.openxmlformats.org/officeDocument/2006/relationships/image" Target="media/image1.png"/><Relationship Id="rId24" Type="http://schemas.openxmlformats.org/officeDocument/2006/relationships/hyperlink" Target="https://doi.org/10.4000/espacepolitique.1296" TargetMode="External"/><Relationship Id="rId32" Type="http://schemas.openxmlformats.org/officeDocument/2006/relationships/hyperlink" Target="https://www.cairn.info/dictionnaire-des-politiques-publiques--9782724615500.htm" TargetMode="External"/><Relationship Id="rId37" Type="http://schemas.openxmlformats.org/officeDocument/2006/relationships/hyperlink" Target="https://doi.org/10.3917/rfap.147.0589" TargetMode="External"/><Relationship Id="rId40" Type="http://schemas.openxmlformats.org/officeDocument/2006/relationships/hyperlink" Target="https://www.cairn.info/revue-politique-africaine-2012-1.htm" TargetMode="External"/><Relationship Id="rId45" Type="http://schemas.openxmlformats.org/officeDocument/2006/relationships/hyperlink" Target="https://www.cairn.info/revue-francaise-d-administration-publique.htm" TargetMode="External"/><Relationship Id="rId53" Type="http://schemas.openxmlformats.org/officeDocument/2006/relationships/hyperlink" Target="https://www.jstor.org/stable/40770716" TargetMode="External"/><Relationship Id="rId58" Type="http://schemas.openxmlformats.org/officeDocument/2006/relationships/hyperlink" Target="https://www.cairn.info/revue-negociations-2017-1.htm" TargetMode="External"/><Relationship Id="rId66" Type="http://schemas.openxmlformats.org/officeDocument/2006/relationships/hyperlink" Target="file:///C:\Users\cellphone\Desktop\DOSSIER%20SAM\52(4" TargetMode="Externa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doi.org/10.3917/scpo.bouss.2010.01.0411" TargetMode="External"/><Relationship Id="rId19" Type="http://schemas.openxmlformats.org/officeDocument/2006/relationships/hyperlink" Target="https://doi.org/10.7202/000495ar" TargetMode="External"/><Relationship Id="rId14" Type="http://schemas.openxmlformats.org/officeDocument/2006/relationships/hyperlink" Target="https://www.cairn.info/publications-de-Philippe-Zarlowski--17777.htm" TargetMode="External"/><Relationship Id="rId22" Type="http://schemas.openxmlformats.org/officeDocument/2006/relationships/hyperlink" Target="https://www.cairn.info/revue-l-homme-et-la-societe-2008-4.htm" TargetMode="External"/><Relationship Id="rId27" Type="http://schemas.openxmlformats.org/officeDocument/2006/relationships/hyperlink" Target="https://econpapers.repec.org/bookchap/elgeechap/14175_5f9.htm" TargetMode="External"/><Relationship Id="rId30" Type="http://schemas.openxmlformats.org/officeDocument/2006/relationships/hyperlink" Target="https://doi.org/10.3406/socco.1993.1124" TargetMode="External"/><Relationship Id="rId35" Type="http://schemas.openxmlformats.org/officeDocument/2006/relationships/hyperlink" Target="https://doi.org/10.3917/rtm.181.0007" TargetMode="External"/><Relationship Id="rId43" Type="http://schemas.openxmlformats.org/officeDocument/2006/relationships/hyperlink" Target="https://doi.org/10.7202/000500ar" TargetMode="External"/><Relationship Id="rId48" Type="http://schemas.openxmlformats.org/officeDocument/2006/relationships/hyperlink" Target="https://www.cairn.info/revue-internationale-des-sciences-administratives.htm" TargetMode="External"/><Relationship Id="rId56" Type="http://schemas.openxmlformats.org/officeDocument/2006/relationships/hyperlink" Target="https://www.cairn.info/publications-de-St%C3%A9phanie-Novak--10020.htm" TargetMode="External"/><Relationship Id="rId64" Type="http://schemas.openxmlformats.org/officeDocument/2006/relationships/hyperlink" Target="https://doi.org/10.3406/polix.1992.1556" TargetMode="External"/><Relationship Id="rId69" Type="http://schemas.openxmlformats.org/officeDocument/2006/relationships/hyperlink" Target="https://doi.org/10.3406/rfsp.1983.394101" TargetMode="External"/><Relationship Id="rId8" Type="http://schemas.openxmlformats.org/officeDocument/2006/relationships/footer" Target="footer1.xml"/><Relationship Id="rId51" Type="http://schemas.openxmlformats.org/officeDocument/2006/relationships/hyperlink" Target="https://dx.doi.org/10.1787/881825436538" TargetMode="External"/><Relationship Id="rId72" Type="http://schemas.openxmlformats.org/officeDocument/2006/relationships/hyperlink" Target="https://www.cairn.info/revue-mondes-en-developpement-2006-1.htm" TargetMode="External"/><Relationship Id="rId3" Type="http://schemas.openxmlformats.org/officeDocument/2006/relationships/styles" Target="styles.xml"/><Relationship Id="rId12" Type="http://schemas.openxmlformats.org/officeDocument/2006/relationships/hyperlink" Target="https://www.cairn.info/publications-de-Orla-O%E2%80%99Donnell--72763.htm" TargetMode="External"/><Relationship Id="rId17" Type="http://schemas.openxmlformats.org/officeDocument/2006/relationships/hyperlink" Target="https://www.cairn.info/les-methodes-de-recherche-du-dba--9782376871798.htm" TargetMode="External"/><Relationship Id="rId25" Type="http://schemas.openxmlformats.org/officeDocument/2006/relationships/hyperlink" Target="https://www.cairn.info/dictionnaire-d-administration-publique--9782706121371.htm" TargetMode="External"/><Relationship Id="rId33" Type="http://schemas.openxmlformats.org/officeDocument/2006/relationships/hyperlink" Target="https://doi.org/10.3406/polix.1997.1703" TargetMode="External"/><Relationship Id="rId38" Type="http://schemas.openxmlformats.org/officeDocument/2006/relationships/hyperlink" Target="https://www.cairn.info/publications-de-Pierre-Englebert--6039.htm" TargetMode="External"/><Relationship Id="rId46" Type="http://schemas.openxmlformats.org/officeDocument/2006/relationships/hyperlink" Target="https://www.cairn.info/publications-de-Peter%20C.-Humphreys--72762.htm" TargetMode="External"/><Relationship Id="rId59" Type="http://schemas.openxmlformats.org/officeDocument/2006/relationships/hyperlink" Target="https://doi.org/10.1787/551847c0-fr" TargetMode="External"/><Relationship Id="rId67" Type="http://schemas.openxmlformats.org/officeDocument/2006/relationships/hyperlink" Target="https://doi.org/10.1111/j.1754-7121.2009.00102.x" TargetMode="External"/><Relationship Id="rId20" Type="http://schemas.openxmlformats.org/officeDocument/2006/relationships/hyperlink" Target="https://www.cairn.info/publications-de-Bernard-Billaudot--15605.htm" TargetMode="External"/><Relationship Id="rId41" Type="http://schemas.openxmlformats.org/officeDocument/2006/relationships/hyperlink" Target="https://www.jstor.org/stable/24363476" TargetMode="External"/><Relationship Id="rId54" Type="http://schemas.openxmlformats.org/officeDocument/2006/relationships/hyperlink" Target="http://www.jstor.org/stable/3108585" TargetMode="External"/><Relationship Id="rId62" Type="http://schemas.openxmlformats.org/officeDocument/2006/relationships/hyperlink" Target="https://doi.org/10.7202/1027943ar" TargetMode="External"/><Relationship Id="rId70" Type="http://schemas.openxmlformats.org/officeDocument/2006/relationships/hyperlink" Target="https://www.cairn.info/publications-de-Beno%C3%AEt-Janvier-Tshibuabua-Kapy%E2%80%99A%20Kalubi--8668.htm"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353/toc.2011.0023" TargetMode="External"/><Relationship Id="rId23" Type="http://schemas.openxmlformats.org/officeDocument/2006/relationships/hyperlink" Target="https://doi.org/10.4000/ethiquepublique.1384" TargetMode="External"/><Relationship Id="rId28" Type="http://schemas.openxmlformats.org/officeDocument/2006/relationships/hyperlink" Target="https://doi.org/10.4337/9781781000878.00014" TargetMode="External"/><Relationship Id="rId36" Type="http://schemas.openxmlformats.org/officeDocument/2006/relationships/hyperlink" Target="https://www.cairn.info/revue-francaise-de-science-politique.htm" TargetMode="External"/><Relationship Id="rId49" Type="http://schemas.openxmlformats.org/officeDocument/2006/relationships/hyperlink" Target="https://www.cairn.info/revue-internationale-des-sciences-administratives-2007-1.htm" TargetMode="External"/><Relationship Id="rId57" Type="http://schemas.openxmlformats.org/officeDocument/2006/relationships/hyperlink" Target="https://www.cairn.info/revue-negociations.htm" TargetMode="External"/><Relationship Id="rId10" Type="http://schemas.openxmlformats.org/officeDocument/2006/relationships/hyperlink" Target="https://www.cairn.info/publications-de-Thierry-Delpeuch--38928.htm" TargetMode="External"/><Relationship Id="rId31" Type="http://schemas.openxmlformats.org/officeDocument/2006/relationships/hyperlink" Target="https://www.cairn.info/publications-de-Thierry-Delpeuch--38928.htm" TargetMode="External"/><Relationship Id="rId44" Type="http://schemas.openxmlformats.org/officeDocument/2006/relationships/hyperlink" Target="http://journals.openedition.org/eastafrica/387" TargetMode="External"/><Relationship Id="rId52" Type="http://schemas.openxmlformats.org/officeDocument/2006/relationships/hyperlink" Target="https://doi.org/10.7202/000494ar" TargetMode="External"/><Relationship Id="rId60" Type="http://schemas.openxmlformats.org/officeDocument/2006/relationships/hyperlink" Target="https://www.persee.fr/collection/rfsp" TargetMode="External"/><Relationship Id="rId65" Type="http://schemas.openxmlformats.org/officeDocument/2006/relationships/hyperlink" Target="http://dx.doi.org/10.1080/13572334.2014.953841" TargetMode="External"/><Relationship Id="rId73" Type="http://schemas.openxmlformats.org/officeDocument/2006/relationships/hyperlink" Target="https://doi.org/10.3917/risa.742.0213" TargetMode="External"/><Relationship Id="rId4" Type="http://schemas.openxmlformats.org/officeDocument/2006/relationships/settings" Target="settings.xml"/><Relationship Id="rId9" Type="http://schemas.openxmlformats.org/officeDocument/2006/relationships/hyperlink" Target="https://www.cairn.info/publications-de-Bernard-Billaudot--15605.htm" TargetMode="External"/><Relationship Id="rId13" Type="http://schemas.openxmlformats.org/officeDocument/2006/relationships/hyperlink" Target="https://www.cairn.info/publications-de-Bernard-Pras--16879.htm" TargetMode="External"/><Relationship Id="rId18" Type="http://schemas.openxmlformats.org/officeDocument/2006/relationships/hyperlink" Target="https://doi.org/10.7202/1083028ar" TargetMode="External"/><Relationship Id="rId39" Type="http://schemas.openxmlformats.org/officeDocument/2006/relationships/hyperlink" Target="https://www.cairn.info/revue-politique-africaine.htm" TargetMode="External"/><Relationship Id="rId34" Type="http://schemas.openxmlformats.org/officeDocument/2006/relationships/hyperlink" Target="http://www.dictionnaire.enap.ca" TargetMode="External"/><Relationship Id="rId50" Type="http://schemas.openxmlformats.org/officeDocument/2006/relationships/hyperlink" Target="https://www.cairn.info/revue-afrique-contemporaine1.htm" TargetMode="External"/><Relationship Id="rId55" Type="http://schemas.openxmlformats.org/officeDocument/2006/relationships/hyperlink" Target="https://doi.org/10.3917/rfsp.686.1061" TargetMode="External"/><Relationship Id="rId7" Type="http://schemas.openxmlformats.org/officeDocument/2006/relationships/endnotes" Target="endnotes.xml"/><Relationship Id="rId71" Type="http://schemas.openxmlformats.org/officeDocument/2006/relationships/hyperlink" Target="https://www.cairn.info/revue-mondes-en-developpement.h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0A38C081-B4C4-4F3F-8305-03BE57B9F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71</Pages>
  <Words>30385</Words>
  <Characters>173196</Characters>
  <Application>Microsoft Office Word</Application>
  <DocSecurity>4</DocSecurity>
  <Lines>1443</Lines>
  <Paragraphs>406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203175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cellphone</dc:creator>
  <cp:lastModifiedBy>May Hamouie</cp:lastModifiedBy>
  <cp:revision>2</cp:revision>
  <cp:lastPrinted>2023-08-27T12:23:00Z</cp:lastPrinted>
  <dcterms:created xsi:type="dcterms:W3CDTF">2023-08-28T14:10:00Z</dcterms:created>
  <dcterms:modified xsi:type="dcterms:W3CDTF">2023-08-28T14:10:00Z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fd19ec817d58444377bad95d52f29579bc1f19b55ec896bdcb75958d76f83bfe</vt:lpwstr>
  </property>
</Properties>
</file>