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1135D5A" w14:textId="77777777" w:rsidR="00A5639A" w:rsidRDefault="00A5639A" w:rsidP="002216EC">
      <w:pPr>
        <w:spacing w:line="360" w:lineRule="auto"/>
        <w:rPr>
          <w:rFonts w:ascii="Times New Roman" w:hAnsi="Times New Roman" w:cs="Times New Roman"/>
          <w:b/>
          <w:sz w:val="24"/>
        </w:rPr>
      </w:pPr>
      <w:r w:rsidRPr="009468B7">
        <w:rPr>
          <w:rFonts w:ascii="Times New Roman" w:hAnsi="Times New Roman" w:cs="Times New Roman"/>
          <w:b/>
          <w:sz w:val="24"/>
        </w:rPr>
        <w:t>Fatigue de compassion, fatigue de</w:t>
      </w:r>
      <w:r w:rsidR="007D3FD2">
        <w:rPr>
          <w:rFonts w:ascii="Times New Roman" w:hAnsi="Times New Roman" w:cs="Times New Roman"/>
          <w:b/>
          <w:sz w:val="24"/>
        </w:rPr>
        <w:t xml:space="preserve"> diversité : l’œuf ou la poule?</w:t>
      </w:r>
    </w:p>
    <w:p w14:paraId="7EF10455" w14:textId="77777777" w:rsidR="00E050C7" w:rsidRDefault="00E050C7" w:rsidP="002216EC">
      <w:pPr>
        <w:spacing w:line="360" w:lineRule="auto"/>
        <w:jc w:val="both"/>
        <w:rPr>
          <w:rFonts w:ascii="Times New Roman" w:hAnsi="Times New Roman" w:cs="Times New Roman"/>
          <w:sz w:val="24"/>
        </w:rPr>
      </w:pPr>
    </w:p>
    <w:p w14:paraId="7F402B62" w14:textId="77777777" w:rsidR="00FD49F6" w:rsidRPr="002A5B85" w:rsidRDefault="00FD49F6" w:rsidP="002216EC">
      <w:pPr>
        <w:spacing w:line="360" w:lineRule="auto"/>
        <w:jc w:val="both"/>
        <w:rPr>
          <w:rFonts w:ascii="Times New Roman" w:hAnsi="Times New Roman" w:cs="Times New Roman"/>
          <w:sz w:val="24"/>
        </w:rPr>
      </w:pPr>
      <w:r w:rsidRPr="002A5B85">
        <w:rPr>
          <w:rFonts w:ascii="Times New Roman" w:hAnsi="Times New Roman" w:cs="Times New Roman"/>
          <w:sz w:val="24"/>
        </w:rPr>
        <w:t>Résumé</w:t>
      </w:r>
    </w:p>
    <w:p w14:paraId="5BCD4E34" w14:textId="77777777" w:rsidR="00FD49F6" w:rsidRDefault="00FD49F6" w:rsidP="002216EC">
      <w:pPr>
        <w:spacing w:line="360" w:lineRule="auto"/>
        <w:jc w:val="both"/>
        <w:rPr>
          <w:rFonts w:ascii="Times New Roman" w:hAnsi="Times New Roman" w:cs="Times New Roman"/>
          <w:sz w:val="24"/>
        </w:rPr>
      </w:pPr>
      <w:r w:rsidRPr="002A5B85">
        <w:rPr>
          <w:rFonts w:ascii="Times New Roman" w:hAnsi="Times New Roman" w:cs="Times New Roman"/>
          <w:sz w:val="24"/>
        </w:rPr>
        <w:t xml:space="preserve">L’intervention en contextes interculturels requiert un certain nombre de compétences relatives à la compréhension de la situation personnelle du client et de son parcours de vie, et sur la capacité à définir un plan d’intervention adapté à cette situation. Si l’intervention en contexte interculturel demande au préalable beaucoup d’écoute et d’empathie, certains contextes organisationnels peuvent en revanche favoriser l’apparition de sentiments hostiles à la diversité culturelle. En se basant sur une étude qualitative réalisée au Québec (Canada) dans la grande région de Montréal, cet article vise à faire ressortir les enjeux systémiques qui sont impliqués dans la compréhension des </w:t>
      </w:r>
      <w:r>
        <w:rPr>
          <w:rFonts w:ascii="Times New Roman" w:hAnsi="Times New Roman" w:cs="Times New Roman"/>
          <w:sz w:val="24"/>
        </w:rPr>
        <w:t>parcours</w:t>
      </w:r>
      <w:r w:rsidRPr="002A5B85">
        <w:rPr>
          <w:rFonts w:ascii="Times New Roman" w:hAnsi="Times New Roman" w:cs="Times New Roman"/>
          <w:sz w:val="24"/>
        </w:rPr>
        <w:t xml:space="preserve"> de réadaptation et de retour au travail de travailleurs canadiens issus de l’immigration et qui reçoivent des indemnités après avoir subi une lésion professionnelle. Cette é</w:t>
      </w:r>
      <w:r>
        <w:rPr>
          <w:rFonts w:ascii="Times New Roman" w:hAnsi="Times New Roman" w:cs="Times New Roman"/>
          <w:sz w:val="24"/>
        </w:rPr>
        <w:t>tude a recueilli le témoignage de</w:t>
      </w:r>
      <w:r w:rsidRPr="002A5B85">
        <w:rPr>
          <w:rFonts w:ascii="Times New Roman" w:hAnsi="Times New Roman" w:cs="Times New Roman"/>
          <w:sz w:val="24"/>
        </w:rPr>
        <w:t xml:space="preserve"> quarante personnes : travailleurs</w:t>
      </w:r>
      <w:r>
        <w:rPr>
          <w:rFonts w:ascii="Times New Roman" w:hAnsi="Times New Roman" w:cs="Times New Roman"/>
          <w:sz w:val="24"/>
        </w:rPr>
        <w:t xml:space="preserve"> immigrants</w:t>
      </w:r>
      <w:r w:rsidRPr="002A5B85">
        <w:rPr>
          <w:rFonts w:ascii="Times New Roman" w:hAnsi="Times New Roman" w:cs="Times New Roman"/>
          <w:sz w:val="24"/>
        </w:rPr>
        <w:t xml:space="preserve"> (n=9), employeurs (n=2), intervenants </w:t>
      </w:r>
      <w:r>
        <w:rPr>
          <w:rFonts w:ascii="Times New Roman" w:hAnsi="Times New Roman" w:cs="Times New Roman"/>
          <w:sz w:val="24"/>
        </w:rPr>
        <w:t>en réadaptation</w:t>
      </w:r>
      <w:r w:rsidRPr="002A5B85">
        <w:rPr>
          <w:rFonts w:ascii="Times New Roman" w:hAnsi="Times New Roman" w:cs="Times New Roman"/>
          <w:sz w:val="24"/>
        </w:rPr>
        <w:t xml:space="preserve"> (n=29). Cet article propose une hypothèse pour mieux comprendre le phénomène de la genèse et du renforcement des préjugés ethnoculturels dans le milieu de la santé </w:t>
      </w:r>
      <w:r>
        <w:rPr>
          <w:rFonts w:ascii="Times New Roman" w:hAnsi="Times New Roman" w:cs="Times New Roman"/>
          <w:sz w:val="24"/>
        </w:rPr>
        <w:t xml:space="preserve">et </w:t>
      </w:r>
      <w:r w:rsidRPr="002A5B85">
        <w:rPr>
          <w:rFonts w:ascii="Times New Roman" w:hAnsi="Times New Roman" w:cs="Times New Roman"/>
          <w:sz w:val="24"/>
        </w:rPr>
        <w:t xml:space="preserve">qui pourrait expliquer le possible lien logique </w:t>
      </w:r>
      <w:r>
        <w:rPr>
          <w:rFonts w:ascii="Times New Roman" w:hAnsi="Times New Roman" w:cs="Times New Roman"/>
          <w:sz w:val="24"/>
        </w:rPr>
        <w:t xml:space="preserve">qui marque </w:t>
      </w:r>
      <w:r w:rsidRPr="002A5B85">
        <w:rPr>
          <w:rFonts w:ascii="Times New Roman" w:hAnsi="Times New Roman" w:cs="Times New Roman"/>
          <w:sz w:val="24"/>
        </w:rPr>
        <w:t xml:space="preserve">l’apparition d’une fatigue de compassion ou d’une fatigue de </w:t>
      </w:r>
      <w:r>
        <w:rPr>
          <w:rFonts w:ascii="Times New Roman" w:hAnsi="Times New Roman" w:cs="Times New Roman"/>
          <w:sz w:val="24"/>
        </w:rPr>
        <w:t>diversité chez les intervenants</w:t>
      </w:r>
      <w:r w:rsidRPr="002A5B85">
        <w:rPr>
          <w:rFonts w:ascii="Times New Roman" w:hAnsi="Times New Roman" w:cs="Times New Roman"/>
          <w:sz w:val="24"/>
        </w:rPr>
        <w:t>. Les auteurs de cet article soutiennent que ce lien logique,</w:t>
      </w:r>
      <w:r>
        <w:rPr>
          <w:rFonts w:ascii="Times New Roman" w:hAnsi="Times New Roman" w:cs="Times New Roman"/>
          <w:sz w:val="24"/>
        </w:rPr>
        <w:t xml:space="preserve"> tel le paradoxe de l’œuf et de</w:t>
      </w:r>
      <w:r w:rsidRPr="002A5B85">
        <w:rPr>
          <w:rFonts w:ascii="Times New Roman" w:hAnsi="Times New Roman" w:cs="Times New Roman"/>
          <w:sz w:val="24"/>
        </w:rPr>
        <w:t xml:space="preserve"> la poule, ne peut se comprendre qu’à l’orée d’une compréhension élargie et systémique du contexte d’intervention et des pratiques managériales qui régissent le cadre de la pratique professionnelle et du développement des compétences.</w:t>
      </w:r>
    </w:p>
    <w:p w14:paraId="6E3E079D" w14:textId="77777777" w:rsidR="007D3FD2" w:rsidRPr="009468B7" w:rsidRDefault="00FD49F6" w:rsidP="002216EC">
      <w:pPr>
        <w:spacing w:line="360" w:lineRule="auto"/>
        <w:rPr>
          <w:rFonts w:ascii="Times New Roman" w:hAnsi="Times New Roman" w:cs="Times New Roman"/>
          <w:b/>
          <w:sz w:val="24"/>
        </w:rPr>
      </w:pPr>
      <w:r>
        <w:rPr>
          <w:rFonts w:ascii="Times New Roman" w:hAnsi="Times New Roman" w:cs="Times New Roman"/>
          <w:sz w:val="24"/>
        </w:rPr>
        <w:t>Mots clés : inclusion; travailleurs immigrants; compétence interculturelle; réadaptation au travail; approche systémique</w:t>
      </w:r>
    </w:p>
    <w:p w14:paraId="5CB7135C" w14:textId="77777777" w:rsidR="00A5639A" w:rsidRDefault="00A5639A" w:rsidP="002216EC">
      <w:pPr>
        <w:spacing w:line="360" w:lineRule="auto"/>
        <w:jc w:val="both"/>
        <w:rPr>
          <w:rFonts w:ascii="Times New Roman" w:hAnsi="Times New Roman" w:cs="Times New Roman"/>
          <w:sz w:val="24"/>
        </w:rPr>
      </w:pPr>
    </w:p>
    <w:p w14:paraId="766E9E0A" w14:textId="77777777" w:rsidR="00FD49F6" w:rsidRPr="00033922" w:rsidRDefault="00FD49F6" w:rsidP="002216EC">
      <w:pPr>
        <w:spacing w:line="360" w:lineRule="auto"/>
        <w:jc w:val="both"/>
        <w:rPr>
          <w:rFonts w:ascii="Times New Roman" w:hAnsi="Times New Roman" w:cs="Times New Roman"/>
          <w:b/>
          <w:sz w:val="24"/>
          <w:lang w:val="pt-BR"/>
        </w:rPr>
      </w:pPr>
      <w:r w:rsidRPr="00033922">
        <w:rPr>
          <w:rFonts w:ascii="Times New Roman" w:hAnsi="Times New Roman" w:cs="Times New Roman"/>
          <w:b/>
          <w:sz w:val="24"/>
          <w:lang w:val="pt-BR"/>
        </w:rPr>
        <w:t>Fadiga da compaixão, fadiga da diversidade: o ovo ou a galinha? Quais são as condições para inclusão num contexto de intervenção intercultural?</w:t>
      </w:r>
    </w:p>
    <w:p w14:paraId="0CB1DBE0" w14:textId="77777777" w:rsidR="00FD49F6" w:rsidRDefault="00FD49F6" w:rsidP="002216EC">
      <w:pPr>
        <w:spacing w:line="360" w:lineRule="auto"/>
        <w:jc w:val="both"/>
        <w:rPr>
          <w:rFonts w:ascii="Times New Roman" w:hAnsi="Times New Roman" w:cs="Times New Roman"/>
          <w:sz w:val="24"/>
          <w:lang w:val="pt-BR"/>
        </w:rPr>
      </w:pPr>
    </w:p>
    <w:p w14:paraId="1E4CC5C4" w14:textId="77777777" w:rsidR="00FD49F6" w:rsidRPr="00D53D7F" w:rsidRDefault="00FD49F6" w:rsidP="002216EC">
      <w:pPr>
        <w:spacing w:line="360" w:lineRule="auto"/>
        <w:jc w:val="both"/>
        <w:rPr>
          <w:rFonts w:ascii="Times New Roman" w:hAnsi="Times New Roman" w:cs="Times New Roman"/>
          <w:sz w:val="24"/>
          <w:lang w:val="pt-BR"/>
        </w:rPr>
      </w:pPr>
      <w:r>
        <w:rPr>
          <w:rFonts w:ascii="Times New Roman" w:hAnsi="Times New Roman" w:cs="Times New Roman"/>
          <w:sz w:val="24"/>
          <w:lang w:val="pt-BR"/>
        </w:rPr>
        <w:lastRenderedPageBreak/>
        <w:t>R</w:t>
      </w:r>
      <w:r w:rsidRPr="00D53D7F">
        <w:rPr>
          <w:rFonts w:ascii="Times New Roman" w:hAnsi="Times New Roman" w:cs="Times New Roman"/>
          <w:sz w:val="24"/>
          <w:lang w:val="pt-BR"/>
        </w:rPr>
        <w:t>esumo</w:t>
      </w:r>
    </w:p>
    <w:p w14:paraId="024BBC2F" w14:textId="77777777" w:rsidR="00FD49F6" w:rsidRDefault="00FD49F6" w:rsidP="002216EC">
      <w:pPr>
        <w:spacing w:line="360" w:lineRule="auto"/>
        <w:jc w:val="both"/>
        <w:rPr>
          <w:rFonts w:ascii="Times New Roman" w:hAnsi="Times New Roman" w:cs="Times New Roman"/>
          <w:sz w:val="24"/>
          <w:lang w:val="pt-BR"/>
        </w:rPr>
      </w:pPr>
      <w:r w:rsidRPr="00D53D7F">
        <w:rPr>
          <w:rFonts w:ascii="Times New Roman" w:hAnsi="Times New Roman" w:cs="Times New Roman"/>
          <w:sz w:val="24"/>
          <w:lang w:val="pt-BR"/>
        </w:rPr>
        <w:t>A</w:t>
      </w:r>
      <w:r>
        <w:rPr>
          <w:rFonts w:ascii="Times New Roman" w:hAnsi="Times New Roman" w:cs="Times New Roman"/>
          <w:sz w:val="24"/>
          <w:lang w:val="pt-BR"/>
        </w:rPr>
        <w:t>s</w:t>
      </w:r>
      <w:r w:rsidRPr="00D53D7F">
        <w:rPr>
          <w:rFonts w:ascii="Times New Roman" w:hAnsi="Times New Roman" w:cs="Times New Roman"/>
          <w:sz w:val="24"/>
          <w:lang w:val="pt-BR"/>
        </w:rPr>
        <w:t xml:space="preserve"> intervenç</w:t>
      </w:r>
      <w:r>
        <w:rPr>
          <w:rFonts w:ascii="Times New Roman" w:hAnsi="Times New Roman" w:cs="Times New Roman"/>
          <w:sz w:val="24"/>
          <w:lang w:val="pt-BR"/>
        </w:rPr>
        <w:t>ões</w:t>
      </w:r>
      <w:r w:rsidRPr="00D53D7F">
        <w:rPr>
          <w:rFonts w:ascii="Times New Roman" w:hAnsi="Times New Roman" w:cs="Times New Roman"/>
          <w:sz w:val="24"/>
          <w:lang w:val="pt-BR"/>
        </w:rPr>
        <w:t xml:space="preserve"> em contextos interculturais requer</w:t>
      </w:r>
      <w:r>
        <w:rPr>
          <w:rFonts w:ascii="Times New Roman" w:hAnsi="Times New Roman" w:cs="Times New Roman"/>
          <w:sz w:val="24"/>
          <w:lang w:val="pt-BR"/>
        </w:rPr>
        <w:t>em</w:t>
      </w:r>
      <w:r w:rsidRPr="00D53D7F">
        <w:rPr>
          <w:rFonts w:ascii="Times New Roman" w:hAnsi="Times New Roman" w:cs="Times New Roman"/>
          <w:sz w:val="24"/>
          <w:lang w:val="pt-BR"/>
        </w:rPr>
        <w:t xml:space="preserve"> uma série de habilidades relacionadas à compreensão da situação pessoal e do curso d</w:t>
      </w:r>
      <w:r>
        <w:rPr>
          <w:rFonts w:ascii="Times New Roman" w:hAnsi="Times New Roman" w:cs="Times New Roman"/>
          <w:sz w:val="24"/>
          <w:lang w:val="pt-BR"/>
        </w:rPr>
        <w:t>e</w:t>
      </w:r>
      <w:r w:rsidRPr="00D53D7F">
        <w:rPr>
          <w:rFonts w:ascii="Times New Roman" w:hAnsi="Times New Roman" w:cs="Times New Roman"/>
          <w:sz w:val="24"/>
          <w:lang w:val="pt-BR"/>
        </w:rPr>
        <w:t xml:space="preserve"> vida do cliente, e a capacidade de definir um plano de intervenção adaptado </w:t>
      </w:r>
      <w:r>
        <w:rPr>
          <w:rFonts w:ascii="Times New Roman" w:hAnsi="Times New Roman" w:cs="Times New Roman"/>
          <w:sz w:val="24"/>
          <w:lang w:val="pt-BR"/>
        </w:rPr>
        <w:t xml:space="preserve">à </w:t>
      </w:r>
      <w:r w:rsidRPr="00D53D7F">
        <w:rPr>
          <w:rFonts w:ascii="Times New Roman" w:hAnsi="Times New Roman" w:cs="Times New Roman"/>
          <w:sz w:val="24"/>
          <w:lang w:val="pt-BR"/>
        </w:rPr>
        <w:t>situação</w:t>
      </w:r>
      <w:r>
        <w:rPr>
          <w:rFonts w:ascii="Times New Roman" w:hAnsi="Times New Roman" w:cs="Times New Roman"/>
          <w:sz w:val="24"/>
          <w:lang w:val="pt-BR"/>
        </w:rPr>
        <w:t xml:space="preserve"> desse</w:t>
      </w:r>
      <w:r w:rsidRPr="00D53D7F">
        <w:rPr>
          <w:rFonts w:ascii="Times New Roman" w:hAnsi="Times New Roman" w:cs="Times New Roman"/>
          <w:sz w:val="24"/>
          <w:lang w:val="pt-BR"/>
        </w:rPr>
        <w:t xml:space="preserve">. No entanto, a literatura sobre este assunto deixa claro que este tipo de intervenção requer um sistema operacional complexo que seja flexível o suficiente para permitir que as partes interessadas ajustem seu plano de </w:t>
      </w:r>
      <w:r>
        <w:rPr>
          <w:rFonts w:ascii="Times New Roman" w:hAnsi="Times New Roman" w:cs="Times New Roman"/>
          <w:sz w:val="24"/>
          <w:lang w:val="pt-BR"/>
        </w:rPr>
        <w:t xml:space="preserve">intervenção </w:t>
      </w:r>
      <w:r w:rsidRPr="00D53D7F">
        <w:rPr>
          <w:rFonts w:ascii="Times New Roman" w:hAnsi="Times New Roman" w:cs="Times New Roman"/>
          <w:sz w:val="24"/>
          <w:lang w:val="pt-BR"/>
        </w:rPr>
        <w:t xml:space="preserve">e forneçam o tempo e os recursos necessários. </w:t>
      </w:r>
      <w:r>
        <w:rPr>
          <w:rFonts w:ascii="Times New Roman" w:hAnsi="Times New Roman" w:cs="Times New Roman"/>
          <w:sz w:val="24"/>
          <w:lang w:val="pt-BR"/>
        </w:rPr>
        <w:t>Se por um lado,</w:t>
      </w:r>
      <w:r w:rsidRPr="00D53D7F">
        <w:rPr>
          <w:rFonts w:ascii="Times New Roman" w:hAnsi="Times New Roman" w:cs="Times New Roman"/>
          <w:sz w:val="24"/>
          <w:lang w:val="pt-BR"/>
        </w:rPr>
        <w:t xml:space="preserve"> a intervenção em um contexto intercultural exij</w:t>
      </w:r>
      <w:r>
        <w:rPr>
          <w:rFonts w:ascii="Times New Roman" w:hAnsi="Times New Roman" w:cs="Times New Roman"/>
          <w:sz w:val="24"/>
          <w:lang w:val="pt-BR"/>
        </w:rPr>
        <w:t>e</w:t>
      </w:r>
      <w:r w:rsidRPr="00D53D7F">
        <w:rPr>
          <w:rFonts w:ascii="Times New Roman" w:hAnsi="Times New Roman" w:cs="Times New Roman"/>
          <w:sz w:val="24"/>
          <w:lang w:val="pt-BR"/>
        </w:rPr>
        <w:t xml:space="preserve"> muita escuta e empatia, </w:t>
      </w:r>
      <w:r>
        <w:rPr>
          <w:rFonts w:ascii="Times New Roman" w:hAnsi="Times New Roman" w:cs="Times New Roman"/>
          <w:sz w:val="24"/>
          <w:lang w:val="pt-BR"/>
        </w:rPr>
        <w:t>por outro,</w:t>
      </w:r>
      <w:r w:rsidRPr="00D53D7F">
        <w:rPr>
          <w:rFonts w:ascii="Times New Roman" w:hAnsi="Times New Roman" w:cs="Times New Roman"/>
          <w:sz w:val="24"/>
          <w:lang w:val="pt-BR"/>
        </w:rPr>
        <w:t xml:space="preserve"> alguns contextos organizacionais podem favorecer o surgimento de sentimentos hostis à diversidade cultural</w:t>
      </w:r>
      <w:r>
        <w:rPr>
          <w:rFonts w:ascii="Times New Roman" w:hAnsi="Times New Roman" w:cs="Times New Roman"/>
          <w:sz w:val="24"/>
          <w:lang w:val="pt-BR"/>
        </w:rPr>
        <w:t>,</w:t>
      </w:r>
      <w:r w:rsidRPr="00D53D7F">
        <w:rPr>
          <w:rFonts w:ascii="Times New Roman" w:hAnsi="Times New Roman" w:cs="Times New Roman"/>
          <w:sz w:val="24"/>
          <w:lang w:val="pt-BR"/>
        </w:rPr>
        <w:t xml:space="preserve"> quando, por exemplo, </w:t>
      </w:r>
      <w:r>
        <w:rPr>
          <w:rFonts w:ascii="Times New Roman" w:hAnsi="Times New Roman" w:cs="Times New Roman"/>
          <w:sz w:val="24"/>
          <w:lang w:val="pt-BR"/>
        </w:rPr>
        <w:t xml:space="preserve">ela </w:t>
      </w:r>
      <w:r w:rsidRPr="00D53D7F">
        <w:rPr>
          <w:rFonts w:ascii="Times New Roman" w:hAnsi="Times New Roman" w:cs="Times New Roman"/>
          <w:sz w:val="24"/>
          <w:lang w:val="pt-BR"/>
        </w:rPr>
        <w:t>está associad</w:t>
      </w:r>
      <w:r>
        <w:rPr>
          <w:rFonts w:ascii="Times New Roman" w:hAnsi="Times New Roman" w:cs="Times New Roman"/>
          <w:sz w:val="24"/>
          <w:lang w:val="pt-BR"/>
        </w:rPr>
        <w:t>a</w:t>
      </w:r>
      <w:r w:rsidRPr="00D53D7F">
        <w:rPr>
          <w:rFonts w:ascii="Times New Roman" w:hAnsi="Times New Roman" w:cs="Times New Roman"/>
          <w:sz w:val="24"/>
          <w:lang w:val="pt-BR"/>
        </w:rPr>
        <w:t xml:space="preserve"> </w:t>
      </w:r>
      <w:r>
        <w:rPr>
          <w:rFonts w:ascii="Times New Roman" w:hAnsi="Times New Roman" w:cs="Times New Roman"/>
          <w:sz w:val="24"/>
          <w:lang w:val="pt-BR"/>
        </w:rPr>
        <w:t xml:space="preserve">à demandas </w:t>
      </w:r>
      <w:r w:rsidRPr="00D53D7F">
        <w:rPr>
          <w:rFonts w:ascii="Times New Roman" w:hAnsi="Times New Roman" w:cs="Times New Roman"/>
          <w:sz w:val="24"/>
          <w:lang w:val="pt-BR"/>
        </w:rPr>
        <w:t>mais complex</w:t>
      </w:r>
      <w:r>
        <w:rPr>
          <w:rFonts w:ascii="Times New Roman" w:hAnsi="Times New Roman" w:cs="Times New Roman"/>
          <w:sz w:val="24"/>
          <w:lang w:val="pt-BR"/>
        </w:rPr>
        <w:t>as,</w:t>
      </w:r>
      <w:r w:rsidRPr="00D53D7F">
        <w:rPr>
          <w:rFonts w:ascii="Times New Roman" w:hAnsi="Times New Roman" w:cs="Times New Roman"/>
          <w:sz w:val="24"/>
          <w:lang w:val="pt-BR"/>
        </w:rPr>
        <w:t xml:space="preserve"> resulta</w:t>
      </w:r>
      <w:r>
        <w:rPr>
          <w:rFonts w:ascii="Times New Roman" w:hAnsi="Times New Roman" w:cs="Times New Roman"/>
          <w:sz w:val="24"/>
          <w:lang w:val="pt-BR"/>
        </w:rPr>
        <w:t>ndo</w:t>
      </w:r>
      <w:r w:rsidRPr="00D53D7F">
        <w:rPr>
          <w:rFonts w:ascii="Times New Roman" w:hAnsi="Times New Roman" w:cs="Times New Roman"/>
          <w:sz w:val="24"/>
          <w:lang w:val="pt-BR"/>
        </w:rPr>
        <w:t xml:space="preserve"> em um aumento na carga de trabalho. Com base em um estudo qualitativo realizado na área metropolitana de Montreal,</w:t>
      </w:r>
      <w:r w:rsidRPr="00AF0AF3">
        <w:rPr>
          <w:rFonts w:ascii="Times New Roman" w:hAnsi="Times New Roman" w:cs="Times New Roman"/>
          <w:sz w:val="24"/>
          <w:lang w:val="pt-BR"/>
        </w:rPr>
        <w:t xml:space="preserve"> </w:t>
      </w:r>
      <w:r>
        <w:rPr>
          <w:rFonts w:ascii="Times New Roman" w:hAnsi="Times New Roman" w:cs="Times New Roman"/>
          <w:sz w:val="24"/>
          <w:lang w:val="pt-BR"/>
        </w:rPr>
        <w:t xml:space="preserve">no </w:t>
      </w:r>
      <w:r w:rsidRPr="00D53D7F">
        <w:rPr>
          <w:rFonts w:ascii="Times New Roman" w:hAnsi="Times New Roman" w:cs="Times New Roman"/>
          <w:sz w:val="24"/>
          <w:lang w:val="pt-BR"/>
        </w:rPr>
        <w:t>Qu</w:t>
      </w:r>
      <w:r>
        <w:rPr>
          <w:rFonts w:ascii="Times New Roman" w:hAnsi="Times New Roman" w:cs="Times New Roman"/>
          <w:sz w:val="24"/>
          <w:lang w:val="pt-BR"/>
        </w:rPr>
        <w:t>é</w:t>
      </w:r>
      <w:r w:rsidRPr="00D53D7F">
        <w:rPr>
          <w:rFonts w:ascii="Times New Roman" w:hAnsi="Times New Roman" w:cs="Times New Roman"/>
          <w:sz w:val="24"/>
          <w:lang w:val="pt-BR"/>
        </w:rPr>
        <w:t xml:space="preserve">bec (Canadá), este artigo tem como objetivo destacar as questões sistêmicas envolvidas na compreensão </w:t>
      </w:r>
      <w:r>
        <w:rPr>
          <w:rFonts w:ascii="Times New Roman" w:hAnsi="Times New Roman" w:cs="Times New Roman"/>
          <w:sz w:val="24"/>
          <w:lang w:val="pt-BR"/>
        </w:rPr>
        <w:t xml:space="preserve">do processo de </w:t>
      </w:r>
      <w:r w:rsidRPr="00D53D7F">
        <w:rPr>
          <w:rFonts w:ascii="Times New Roman" w:hAnsi="Times New Roman" w:cs="Times New Roman"/>
          <w:sz w:val="24"/>
          <w:lang w:val="pt-BR"/>
        </w:rPr>
        <w:t xml:space="preserve">reabilitação e </w:t>
      </w:r>
      <w:r>
        <w:rPr>
          <w:rFonts w:ascii="Times New Roman" w:hAnsi="Times New Roman" w:cs="Times New Roman"/>
          <w:sz w:val="24"/>
          <w:lang w:val="pt-BR"/>
        </w:rPr>
        <w:t xml:space="preserve">de </w:t>
      </w:r>
      <w:r w:rsidRPr="00D53D7F">
        <w:rPr>
          <w:rFonts w:ascii="Times New Roman" w:hAnsi="Times New Roman" w:cs="Times New Roman"/>
          <w:sz w:val="24"/>
          <w:lang w:val="pt-BR"/>
        </w:rPr>
        <w:t>retorno ao trabalho de canadenses</w:t>
      </w:r>
      <w:r>
        <w:rPr>
          <w:rFonts w:ascii="Times New Roman" w:hAnsi="Times New Roman" w:cs="Times New Roman"/>
          <w:sz w:val="24"/>
          <w:lang w:val="pt-BR"/>
        </w:rPr>
        <w:t xml:space="preserve"> oriundos de imigração,</w:t>
      </w:r>
      <w:r w:rsidRPr="00D53D7F">
        <w:rPr>
          <w:rFonts w:ascii="Times New Roman" w:hAnsi="Times New Roman" w:cs="Times New Roman"/>
          <w:sz w:val="24"/>
          <w:lang w:val="pt-BR"/>
        </w:rPr>
        <w:t xml:space="preserve"> que recebem indenização </w:t>
      </w:r>
      <w:r>
        <w:rPr>
          <w:rFonts w:ascii="Times New Roman" w:hAnsi="Times New Roman" w:cs="Times New Roman"/>
          <w:sz w:val="24"/>
          <w:lang w:val="pt-BR"/>
        </w:rPr>
        <w:t xml:space="preserve">por terem sofrido </w:t>
      </w:r>
      <w:r w:rsidRPr="00D53D7F">
        <w:rPr>
          <w:rFonts w:ascii="Times New Roman" w:hAnsi="Times New Roman" w:cs="Times New Roman"/>
          <w:sz w:val="24"/>
          <w:lang w:val="pt-BR"/>
        </w:rPr>
        <w:t xml:space="preserve">lesão </w:t>
      </w:r>
      <w:r>
        <w:rPr>
          <w:rFonts w:ascii="Times New Roman" w:hAnsi="Times New Roman" w:cs="Times New Roman"/>
          <w:sz w:val="24"/>
          <w:lang w:val="pt-BR"/>
        </w:rPr>
        <w:t>de</w:t>
      </w:r>
      <w:r w:rsidRPr="00D53D7F">
        <w:rPr>
          <w:rFonts w:ascii="Times New Roman" w:hAnsi="Times New Roman" w:cs="Times New Roman"/>
          <w:sz w:val="24"/>
          <w:lang w:val="pt-BR"/>
        </w:rPr>
        <w:t xml:space="preserve"> </w:t>
      </w:r>
      <w:r>
        <w:rPr>
          <w:rFonts w:ascii="Times New Roman" w:hAnsi="Times New Roman" w:cs="Times New Roman"/>
          <w:sz w:val="24"/>
          <w:lang w:val="pt-BR"/>
        </w:rPr>
        <w:t>trabalho</w:t>
      </w:r>
      <w:r w:rsidRPr="00D53D7F">
        <w:rPr>
          <w:rFonts w:ascii="Times New Roman" w:hAnsi="Times New Roman" w:cs="Times New Roman"/>
          <w:sz w:val="24"/>
          <w:lang w:val="pt-BR"/>
        </w:rPr>
        <w:t>. Este estudo reuniu quaren</w:t>
      </w:r>
      <w:r>
        <w:rPr>
          <w:rFonts w:ascii="Times New Roman" w:hAnsi="Times New Roman" w:cs="Times New Roman"/>
          <w:sz w:val="24"/>
          <w:lang w:val="pt-BR"/>
        </w:rPr>
        <w:t>ta indivíduos: trabalhadores (n=9), empregadores (n=</w:t>
      </w:r>
      <w:r w:rsidRPr="00D53D7F">
        <w:rPr>
          <w:rFonts w:ascii="Times New Roman" w:hAnsi="Times New Roman" w:cs="Times New Roman"/>
          <w:sz w:val="24"/>
          <w:lang w:val="pt-BR"/>
        </w:rPr>
        <w:t xml:space="preserve">2) e </w:t>
      </w:r>
      <w:r>
        <w:rPr>
          <w:rFonts w:ascii="Times New Roman" w:hAnsi="Times New Roman" w:cs="Times New Roman"/>
          <w:sz w:val="24"/>
          <w:lang w:val="pt-BR"/>
        </w:rPr>
        <w:t>profissionais da saude e serviço social</w:t>
      </w:r>
      <w:r w:rsidRPr="00D53D7F">
        <w:rPr>
          <w:rFonts w:ascii="Times New Roman" w:hAnsi="Times New Roman" w:cs="Times New Roman"/>
          <w:sz w:val="24"/>
          <w:lang w:val="pt-BR"/>
        </w:rPr>
        <w:t xml:space="preserve"> que </w:t>
      </w:r>
      <w:r>
        <w:rPr>
          <w:rFonts w:ascii="Times New Roman" w:hAnsi="Times New Roman" w:cs="Times New Roman"/>
          <w:sz w:val="24"/>
          <w:lang w:val="pt-BR"/>
        </w:rPr>
        <w:t>atuam</w:t>
      </w:r>
      <w:r w:rsidRPr="00D53D7F">
        <w:rPr>
          <w:rFonts w:ascii="Times New Roman" w:hAnsi="Times New Roman" w:cs="Times New Roman"/>
          <w:sz w:val="24"/>
          <w:lang w:val="pt-BR"/>
        </w:rPr>
        <w:t xml:space="preserve"> </w:t>
      </w:r>
      <w:r>
        <w:rPr>
          <w:rFonts w:ascii="Times New Roman" w:hAnsi="Times New Roman" w:cs="Times New Roman"/>
          <w:sz w:val="24"/>
          <w:lang w:val="pt-BR"/>
        </w:rPr>
        <w:t>n</w:t>
      </w:r>
      <w:r w:rsidRPr="00D53D7F">
        <w:rPr>
          <w:rFonts w:ascii="Times New Roman" w:hAnsi="Times New Roman" w:cs="Times New Roman"/>
          <w:sz w:val="24"/>
          <w:lang w:val="pt-BR"/>
        </w:rPr>
        <w:t xml:space="preserve">a reinserção </w:t>
      </w:r>
      <w:r>
        <w:rPr>
          <w:rFonts w:ascii="Times New Roman" w:hAnsi="Times New Roman" w:cs="Times New Roman"/>
          <w:sz w:val="24"/>
          <w:lang w:val="pt-BR"/>
        </w:rPr>
        <w:t>ao trabalho</w:t>
      </w:r>
      <w:r w:rsidRPr="00D53D7F">
        <w:rPr>
          <w:rFonts w:ascii="Times New Roman" w:hAnsi="Times New Roman" w:cs="Times New Roman"/>
          <w:sz w:val="24"/>
          <w:lang w:val="pt-BR"/>
        </w:rPr>
        <w:t xml:space="preserve"> desses trabalhadores</w:t>
      </w:r>
      <w:r>
        <w:rPr>
          <w:rFonts w:ascii="Times New Roman" w:hAnsi="Times New Roman" w:cs="Times New Roman"/>
          <w:sz w:val="24"/>
          <w:lang w:val="pt-BR"/>
        </w:rPr>
        <w:t xml:space="preserve"> (n=</w:t>
      </w:r>
      <w:r w:rsidRPr="00D53D7F">
        <w:rPr>
          <w:rFonts w:ascii="Times New Roman" w:hAnsi="Times New Roman" w:cs="Times New Roman"/>
          <w:sz w:val="24"/>
          <w:lang w:val="pt-BR"/>
        </w:rPr>
        <w:t>29). O artigo questiona o impacto de certas práticas de gestão</w:t>
      </w:r>
      <w:r>
        <w:rPr>
          <w:rFonts w:ascii="Times New Roman" w:hAnsi="Times New Roman" w:cs="Times New Roman"/>
          <w:sz w:val="24"/>
          <w:lang w:val="pt-BR"/>
        </w:rPr>
        <w:t>,</w:t>
      </w:r>
      <w:r w:rsidRPr="00D53D7F">
        <w:rPr>
          <w:rFonts w:ascii="Times New Roman" w:hAnsi="Times New Roman" w:cs="Times New Roman"/>
          <w:sz w:val="24"/>
          <w:lang w:val="pt-BR"/>
        </w:rPr>
        <w:t xml:space="preserve"> na capacidade dos </w:t>
      </w:r>
      <w:r>
        <w:rPr>
          <w:rFonts w:ascii="Times New Roman" w:hAnsi="Times New Roman" w:cs="Times New Roman"/>
          <w:sz w:val="24"/>
          <w:lang w:val="pt-BR"/>
        </w:rPr>
        <w:t>profissionais, d</w:t>
      </w:r>
      <w:r w:rsidRPr="00D53D7F">
        <w:rPr>
          <w:rFonts w:ascii="Times New Roman" w:hAnsi="Times New Roman" w:cs="Times New Roman"/>
          <w:sz w:val="24"/>
          <w:lang w:val="pt-BR"/>
        </w:rPr>
        <w:t>o campo da saúde e serviços sociais</w:t>
      </w:r>
      <w:r>
        <w:rPr>
          <w:rFonts w:ascii="Times New Roman" w:hAnsi="Times New Roman" w:cs="Times New Roman"/>
          <w:sz w:val="24"/>
          <w:lang w:val="pt-BR"/>
        </w:rPr>
        <w:t xml:space="preserve">, para recorrer à </w:t>
      </w:r>
      <w:r w:rsidRPr="00D53D7F">
        <w:rPr>
          <w:rFonts w:ascii="Times New Roman" w:hAnsi="Times New Roman" w:cs="Times New Roman"/>
          <w:sz w:val="24"/>
          <w:lang w:val="pt-BR"/>
        </w:rPr>
        <w:t xml:space="preserve">todos os meios necessários para apoiar </w:t>
      </w:r>
      <w:r>
        <w:rPr>
          <w:rFonts w:ascii="Times New Roman" w:hAnsi="Times New Roman" w:cs="Times New Roman"/>
          <w:sz w:val="24"/>
          <w:lang w:val="pt-BR"/>
        </w:rPr>
        <w:t xml:space="preserve">a </w:t>
      </w:r>
      <w:r w:rsidRPr="00D53D7F">
        <w:rPr>
          <w:rFonts w:ascii="Times New Roman" w:hAnsi="Times New Roman" w:cs="Times New Roman"/>
          <w:sz w:val="24"/>
          <w:lang w:val="pt-BR"/>
        </w:rPr>
        <w:t>rea</w:t>
      </w:r>
      <w:r>
        <w:rPr>
          <w:rFonts w:ascii="Times New Roman" w:hAnsi="Times New Roman" w:cs="Times New Roman"/>
          <w:sz w:val="24"/>
          <w:lang w:val="pt-BR"/>
        </w:rPr>
        <w:t>bilitação física e profissional de</w:t>
      </w:r>
      <w:r w:rsidRPr="00D53D7F">
        <w:rPr>
          <w:rFonts w:ascii="Times New Roman" w:hAnsi="Times New Roman" w:cs="Times New Roman"/>
          <w:sz w:val="24"/>
          <w:lang w:val="pt-BR"/>
        </w:rPr>
        <w:t xml:space="preserve">sses trabalhadores. Este artigo propõe uma hipótese para entender melhor o fenômeno da gênese e do reforço dos preconceitos etnoculturais no setor de saúde, o que poderia explicar o surgimento de uma fadiga </w:t>
      </w:r>
      <w:r>
        <w:rPr>
          <w:rFonts w:ascii="Times New Roman" w:hAnsi="Times New Roman" w:cs="Times New Roman"/>
          <w:sz w:val="24"/>
          <w:lang w:val="pt-BR"/>
        </w:rPr>
        <w:t xml:space="preserve">de </w:t>
      </w:r>
      <w:r w:rsidRPr="00D53D7F">
        <w:rPr>
          <w:rFonts w:ascii="Times New Roman" w:hAnsi="Times New Roman" w:cs="Times New Roman"/>
          <w:sz w:val="24"/>
          <w:lang w:val="pt-BR"/>
        </w:rPr>
        <w:t xml:space="preserve">compaixão ou uma fadiga </w:t>
      </w:r>
      <w:r>
        <w:rPr>
          <w:rFonts w:ascii="Times New Roman" w:hAnsi="Times New Roman" w:cs="Times New Roman"/>
          <w:sz w:val="24"/>
          <w:lang w:val="pt-BR"/>
        </w:rPr>
        <w:t xml:space="preserve">de </w:t>
      </w:r>
      <w:r w:rsidRPr="00D53D7F">
        <w:rPr>
          <w:rFonts w:ascii="Times New Roman" w:hAnsi="Times New Roman" w:cs="Times New Roman"/>
          <w:sz w:val="24"/>
          <w:lang w:val="pt-BR"/>
        </w:rPr>
        <w:t>divers</w:t>
      </w:r>
      <w:r>
        <w:rPr>
          <w:rFonts w:ascii="Times New Roman" w:hAnsi="Times New Roman" w:cs="Times New Roman"/>
          <w:sz w:val="24"/>
          <w:lang w:val="pt-BR"/>
        </w:rPr>
        <w:t>idade</w:t>
      </w:r>
      <w:r w:rsidRPr="00D53D7F">
        <w:rPr>
          <w:rFonts w:ascii="Times New Roman" w:hAnsi="Times New Roman" w:cs="Times New Roman"/>
          <w:sz w:val="24"/>
          <w:lang w:val="pt-BR"/>
        </w:rPr>
        <w:t xml:space="preserve"> entre as partes interessadas</w:t>
      </w:r>
      <w:r>
        <w:rPr>
          <w:rFonts w:ascii="Times New Roman" w:hAnsi="Times New Roman" w:cs="Times New Roman"/>
          <w:sz w:val="24"/>
          <w:lang w:val="pt-BR"/>
        </w:rPr>
        <w:t xml:space="preserve"> e a </w:t>
      </w:r>
      <w:r w:rsidRPr="00D53D7F">
        <w:rPr>
          <w:rFonts w:ascii="Times New Roman" w:hAnsi="Times New Roman" w:cs="Times New Roman"/>
          <w:sz w:val="24"/>
          <w:lang w:val="pt-BR"/>
        </w:rPr>
        <w:t xml:space="preserve">possível conexão lógica entre esses dois tipos de fadiga. Os autores deste artigo argumentam que esse elo lógico, o ovo ou a galinha, só pode ser entendido </w:t>
      </w:r>
      <w:r>
        <w:rPr>
          <w:rFonts w:ascii="Times New Roman" w:hAnsi="Times New Roman" w:cs="Times New Roman"/>
          <w:sz w:val="24"/>
          <w:lang w:val="pt-BR"/>
        </w:rPr>
        <w:t xml:space="preserve">à partir </w:t>
      </w:r>
      <w:r w:rsidRPr="00D53D7F">
        <w:rPr>
          <w:rFonts w:ascii="Times New Roman" w:hAnsi="Times New Roman" w:cs="Times New Roman"/>
          <w:sz w:val="24"/>
          <w:lang w:val="pt-BR"/>
        </w:rPr>
        <w:t xml:space="preserve">de uma compreensão mais ampla e sistêmica do contexto de intervenção e das práticas gerenciais que regem </w:t>
      </w:r>
      <w:r>
        <w:rPr>
          <w:rFonts w:ascii="Times New Roman" w:hAnsi="Times New Roman" w:cs="Times New Roman"/>
          <w:sz w:val="24"/>
          <w:lang w:val="pt-BR"/>
        </w:rPr>
        <w:t xml:space="preserve">a </w:t>
      </w:r>
      <w:r w:rsidRPr="00D53D7F">
        <w:rPr>
          <w:rFonts w:ascii="Times New Roman" w:hAnsi="Times New Roman" w:cs="Times New Roman"/>
          <w:sz w:val="24"/>
          <w:lang w:val="pt-BR"/>
        </w:rPr>
        <w:t>prática profissional e</w:t>
      </w:r>
      <w:r>
        <w:rPr>
          <w:rFonts w:ascii="Times New Roman" w:hAnsi="Times New Roman" w:cs="Times New Roman"/>
          <w:sz w:val="24"/>
          <w:lang w:val="pt-BR"/>
        </w:rPr>
        <w:t xml:space="preserve"> o</w:t>
      </w:r>
      <w:r w:rsidRPr="00D53D7F">
        <w:rPr>
          <w:rFonts w:ascii="Times New Roman" w:hAnsi="Times New Roman" w:cs="Times New Roman"/>
          <w:sz w:val="24"/>
          <w:lang w:val="pt-BR"/>
        </w:rPr>
        <w:t xml:space="preserve"> desenvolvimento de habilidades.</w:t>
      </w:r>
    </w:p>
    <w:p w14:paraId="2E7F1198" w14:textId="77777777" w:rsidR="00FD49F6" w:rsidRDefault="00FD49F6" w:rsidP="002216EC">
      <w:pPr>
        <w:spacing w:line="360" w:lineRule="auto"/>
        <w:jc w:val="both"/>
        <w:rPr>
          <w:rFonts w:ascii="Times New Roman" w:hAnsi="Times New Roman" w:cs="Times New Roman"/>
          <w:sz w:val="24"/>
          <w:lang w:val="pt-BR"/>
        </w:rPr>
      </w:pPr>
      <w:r w:rsidRPr="001F78E6">
        <w:rPr>
          <w:rFonts w:ascii="Times New Roman" w:hAnsi="Times New Roman" w:cs="Times New Roman"/>
          <w:sz w:val="24"/>
          <w:lang w:val="pt-BR"/>
        </w:rPr>
        <w:t>Palavras-chave: inclusão; trabalhadores imigrantes; competência intercultural; reabilitação no trabalho; abordagem sistêmica</w:t>
      </w:r>
    </w:p>
    <w:p w14:paraId="5BD2C8BD" w14:textId="77777777" w:rsidR="00FD49F6" w:rsidRDefault="00FD49F6" w:rsidP="002216EC">
      <w:pPr>
        <w:spacing w:line="360" w:lineRule="auto"/>
        <w:jc w:val="both"/>
        <w:rPr>
          <w:rFonts w:ascii="Times New Roman" w:hAnsi="Times New Roman" w:cs="Times New Roman"/>
          <w:sz w:val="24"/>
          <w:lang w:val="pt-BR"/>
        </w:rPr>
      </w:pPr>
    </w:p>
    <w:p w14:paraId="406BE74E" w14:textId="77777777" w:rsidR="00023546" w:rsidRPr="00415B11" w:rsidRDefault="00023546" w:rsidP="002216EC">
      <w:pPr>
        <w:spacing w:line="360" w:lineRule="auto"/>
        <w:jc w:val="both"/>
        <w:rPr>
          <w:rFonts w:ascii="Times New Roman" w:hAnsi="Times New Roman" w:cs="Times New Roman"/>
          <w:b/>
          <w:sz w:val="24"/>
          <w:lang w:val="en-GB"/>
        </w:rPr>
      </w:pPr>
      <w:r w:rsidRPr="00415B11">
        <w:rPr>
          <w:rFonts w:ascii="Times New Roman" w:hAnsi="Times New Roman" w:cs="Times New Roman"/>
          <w:b/>
          <w:sz w:val="24"/>
          <w:lang w:val="en-GB"/>
        </w:rPr>
        <w:t xml:space="preserve">Compassion fatigue, diversity fatigue: the </w:t>
      </w:r>
      <w:r>
        <w:rPr>
          <w:rFonts w:ascii="Times New Roman" w:hAnsi="Times New Roman" w:cs="Times New Roman"/>
          <w:b/>
          <w:sz w:val="24"/>
          <w:lang w:val="en-GB"/>
        </w:rPr>
        <w:t>chicken or the egg?</w:t>
      </w:r>
    </w:p>
    <w:p w14:paraId="069583B7" w14:textId="77777777" w:rsidR="00023546" w:rsidRPr="00415B11" w:rsidRDefault="00023546" w:rsidP="002216EC">
      <w:pPr>
        <w:spacing w:line="360" w:lineRule="auto"/>
        <w:rPr>
          <w:rFonts w:ascii="Times New Roman" w:hAnsi="Times New Roman" w:cs="Times New Roman"/>
          <w:sz w:val="24"/>
          <w:lang w:val="en-GB"/>
        </w:rPr>
      </w:pPr>
    </w:p>
    <w:p w14:paraId="30EAB7EE" w14:textId="77777777" w:rsidR="00023546" w:rsidRPr="00415B11" w:rsidRDefault="00023546" w:rsidP="002216EC">
      <w:pPr>
        <w:spacing w:line="360" w:lineRule="auto"/>
        <w:jc w:val="both"/>
        <w:rPr>
          <w:rFonts w:ascii="Times New Roman" w:hAnsi="Times New Roman" w:cs="Times New Roman"/>
          <w:b/>
          <w:sz w:val="24"/>
          <w:lang w:val="en-GB"/>
        </w:rPr>
      </w:pPr>
      <w:r w:rsidRPr="00415B11">
        <w:rPr>
          <w:rFonts w:ascii="Times New Roman" w:hAnsi="Times New Roman" w:cs="Times New Roman"/>
          <w:b/>
          <w:sz w:val="24"/>
          <w:lang w:val="en-GB"/>
        </w:rPr>
        <w:t>Abstract</w:t>
      </w:r>
    </w:p>
    <w:p w14:paraId="379F04FF" w14:textId="77777777" w:rsidR="00023546" w:rsidRDefault="00023546" w:rsidP="002216EC">
      <w:pPr>
        <w:spacing w:line="360" w:lineRule="auto"/>
        <w:jc w:val="both"/>
        <w:rPr>
          <w:rFonts w:ascii="Times New Roman" w:hAnsi="Times New Roman" w:cs="Times New Roman"/>
          <w:sz w:val="24"/>
          <w:lang w:val="en-GB"/>
        </w:rPr>
      </w:pPr>
      <w:r w:rsidRPr="00415B11">
        <w:rPr>
          <w:rFonts w:ascii="Times New Roman" w:hAnsi="Times New Roman" w:cs="Times New Roman"/>
          <w:sz w:val="24"/>
          <w:lang w:val="en-GB"/>
        </w:rPr>
        <w:t>Intervention in intercultural contexts requires a number of skills related to understanding the client's personal situation and life course, and the ability to define an intervention plan adapted to this situation. While intervention in intercultural context</w:t>
      </w:r>
      <w:r>
        <w:rPr>
          <w:rFonts w:ascii="Times New Roman" w:hAnsi="Times New Roman" w:cs="Times New Roman"/>
          <w:sz w:val="24"/>
          <w:lang w:val="en-GB"/>
        </w:rPr>
        <w:t>s</w:t>
      </w:r>
      <w:r w:rsidRPr="00415B11">
        <w:rPr>
          <w:rFonts w:ascii="Times New Roman" w:hAnsi="Times New Roman" w:cs="Times New Roman"/>
          <w:sz w:val="24"/>
          <w:lang w:val="en-GB"/>
        </w:rPr>
        <w:t xml:space="preserve"> require</w:t>
      </w:r>
      <w:r>
        <w:rPr>
          <w:rFonts w:ascii="Times New Roman" w:hAnsi="Times New Roman" w:cs="Times New Roman"/>
          <w:sz w:val="24"/>
          <w:lang w:val="en-GB"/>
        </w:rPr>
        <w:t>s</w:t>
      </w:r>
      <w:r w:rsidRPr="00415B11">
        <w:rPr>
          <w:rFonts w:ascii="Times New Roman" w:hAnsi="Times New Roman" w:cs="Times New Roman"/>
          <w:sz w:val="24"/>
          <w:lang w:val="en-GB"/>
        </w:rPr>
        <w:t xml:space="preserve"> </w:t>
      </w:r>
      <w:r>
        <w:rPr>
          <w:rFonts w:ascii="Times New Roman" w:hAnsi="Times New Roman" w:cs="Times New Roman"/>
          <w:sz w:val="24"/>
          <w:lang w:val="en-GB"/>
        </w:rPr>
        <w:t>much</w:t>
      </w:r>
      <w:r w:rsidRPr="00415B11">
        <w:rPr>
          <w:rFonts w:ascii="Times New Roman" w:hAnsi="Times New Roman" w:cs="Times New Roman"/>
          <w:sz w:val="24"/>
          <w:lang w:val="en-GB"/>
        </w:rPr>
        <w:t xml:space="preserve"> listening and empathy, some organizational contexts can</w:t>
      </w:r>
      <w:r>
        <w:rPr>
          <w:rFonts w:ascii="Times New Roman" w:hAnsi="Times New Roman" w:cs="Times New Roman"/>
          <w:sz w:val="24"/>
          <w:lang w:val="en-GB"/>
        </w:rPr>
        <w:t>, on the contrary, induce</w:t>
      </w:r>
      <w:r w:rsidRPr="00415B11">
        <w:rPr>
          <w:rFonts w:ascii="Times New Roman" w:hAnsi="Times New Roman" w:cs="Times New Roman"/>
          <w:sz w:val="24"/>
          <w:lang w:val="en-GB"/>
        </w:rPr>
        <w:t xml:space="preserve"> </w:t>
      </w:r>
      <w:r>
        <w:rPr>
          <w:rFonts w:ascii="Times New Roman" w:hAnsi="Times New Roman" w:cs="Times New Roman"/>
          <w:sz w:val="24"/>
          <w:lang w:val="en-GB"/>
        </w:rPr>
        <w:t xml:space="preserve">hostile </w:t>
      </w:r>
      <w:r w:rsidRPr="00415B11">
        <w:rPr>
          <w:rFonts w:ascii="Times New Roman" w:hAnsi="Times New Roman" w:cs="Times New Roman"/>
          <w:sz w:val="24"/>
          <w:lang w:val="en-GB"/>
        </w:rPr>
        <w:t xml:space="preserve">feelings </w:t>
      </w:r>
      <w:r>
        <w:rPr>
          <w:rFonts w:ascii="Times New Roman" w:hAnsi="Times New Roman" w:cs="Times New Roman"/>
          <w:sz w:val="24"/>
          <w:lang w:val="en-GB"/>
        </w:rPr>
        <w:t>towards</w:t>
      </w:r>
      <w:r w:rsidRPr="00415B11">
        <w:rPr>
          <w:rFonts w:ascii="Times New Roman" w:hAnsi="Times New Roman" w:cs="Times New Roman"/>
          <w:sz w:val="24"/>
          <w:lang w:val="en-GB"/>
        </w:rPr>
        <w:t xml:space="preserve"> cultural diversity. Based on a qualitative study conducted in Quebec (Canada) in the </w:t>
      </w:r>
      <w:r>
        <w:rPr>
          <w:rFonts w:ascii="Times New Roman" w:hAnsi="Times New Roman" w:cs="Times New Roman"/>
          <w:sz w:val="24"/>
          <w:lang w:val="en-GB"/>
        </w:rPr>
        <w:t>G</w:t>
      </w:r>
      <w:r w:rsidRPr="00415B11">
        <w:rPr>
          <w:rFonts w:ascii="Times New Roman" w:hAnsi="Times New Roman" w:cs="Times New Roman"/>
          <w:sz w:val="24"/>
          <w:lang w:val="en-GB"/>
        </w:rPr>
        <w:t>reater Montreal area, this article aims to highlight the systemic issues involved in understanding the rehabilitation and return</w:t>
      </w:r>
      <w:r>
        <w:rPr>
          <w:rFonts w:ascii="Times New Roman" w:hAnsi="Times New Roman" w:cs="Times New Roman"/>
          <w:sz w:val="24"/>
          <w:lang w:val="en-GB"/>
        </w:rPr>
        <w:t>-</w:t>
      </w:r>
      <w:r w:rsidRPr="00415B11">
        <w:rPr>
          <w:rFonts w:ascii="Times New Roman" w:hAnsi="Times New Roman" w:cs="Times New Roman"/>
          <w:sz w:val="24"/>
          <w:lang w:val="en-GB"/>
        </w:rPr>
        <w:t>to</w:t>
      </w:r>
      <w:r>
        <w:rPr>
          <w:rFonts w:ascii="Times New Roman" w:hAnsi="Times New Roman" w:cs="Times New Roman"/>
          <w:sz w:val="24"/>
          <w:lang w:val="en-GB"/>
        </w:rPr>
        <w:t>-</w:t>
      </w:r>
      <w:r w:rsidRPr="00415B11">
        <w:rPr>
          <w:rFonts w:ascii="Times New Roman" w:hAnsi="Times New Roman" w:cs="Times New Roman"/>
          <w:sz w:val="24"/>
          <w:lang w:val="en-GB"/>
        </w:rPr>
        <w:t xml:space="preserve">work issues </w:t>
      </w:r>
      <w:r>
        <w:rPr>
          <w:rFonts w:ascii="Times New Roman" w:hAnsi="Times New Roman" w:cs="Times New Roman"/>
          <w:sz w:val="24"/>
          <w:lang w:val="en-GB"/>
        </w:rPr>
        <w:t>associated with</w:t>
      </w:r>
      <w:r w:rsidRPr="00415B11">
        <w:rPr>
          <w:rFonts w:ascii="Times New Roman" w:hAnsi="Times New Roman" w:cs="Times New Roman"/>
          <w:sz w:val="24"/>
          <w:lang w:val="en-GB"/>
        </w:rPr>
        <w:t xml:space="preserve"> Canadian </w:t>
      </w:r>
      <w:r>
        <w:rPr>
          <w:rFonts w:ascii="Times New Roman" w:hAnsi="Times New Roman" w:cs="Times New Roman"/>
          <w:sz w:val="24"/>
          <w:lang w:val="en-GB"/>
        </w:rPr>
        <w:t xml:space="preserve">immigrant </w:t>
      </w:r>
      <w:r w:rsidRPr="00415B11">
        <w:rPr>
          <w:rFonts w:ascii="Times New Roman" w:hAnsi="Times New Roman" w:cs="Times New Roman"/>
          <w:sz w:val="24"/>
          <w:lang w:val="en-GB"/>
        </w:rPr>
        <w:t>workers in the Greater</w:t>
      </w:r>
      <w:r>
        <w:rPr>
          <w:rFonts w:ascii="Times New Roman" w:hAnsi="Times New Roman" w:cs="Times New Roman"/>
          <w:sz w:val="24"/>
          <w:lang w:val="en-GB"/>
        </w:rPr>
        <w:t xml:space="preserve"> Montreal area</w:t>
      </w:r>
      <w:r w:rsidRPr="00415B11">
        <w:rPr>
          <w:rFonts w:ascii="Times New Roman" w:hAnsi="Times New Roman" w:cs="Times New Roman"/>
          <w:sz w:val="24"/>
          <w:lang w:val="en-GB"/>
        </w:rPr>
        <w:t xml:space="preserve"> who receive compensation </w:t>
      </w:r>
      <w:r>
        <w:rPr>
          <w:rFonts w:ascii="Times New Roman" w:hAnsi="Times New Roman" w:cs="Times New Roman"/>
          <w:sz w:val="24"/>
          <w:lang w:val="en-GB"/>
        </w:rPr>
        <w:t>following</w:t>
      </w:r>
      <w:r w:rsidRPr="00415B11">
        <w:rPr>
          <w:rFonts w:ascii="Times New Roman" w:hAnsi="Times New Roman" w:cs="Times New Roman"/>
          <w:sz w:val="24"/>
          <w:lang w:val="en-GB"/>
        </w:rPr>
        <w:t xml:space="preserve"> an employment injury. Th</w:t>
      </w:r>
      <w:r>
        <w:rPr>
          <w:rFonts w:ascii="Times New Roman" w:hAnsi="Times New Roman" w:cs="Times New Roman"/>
          <w:sz w:val="24"/>
          <w:lang w:val="en-GB"/>
        </w:rPr>
        <w:t>e</w:t>
      </w:r>
      <w:r w:rsidRPr="00415B11">
        <w:rPr>
          <w:rFonts w:ascii="Times New Roman" w:hAnsi="Times New Roman" w:cs="Times New Roman"/>
          <w:sz w:val="24"/>
          <w:lang w:val="en-GB"/>
        </w:rPr>
        <w:t xml:space="preserve"> study </w:t>
      </w:r>
      <w:r>
        <w:rPr>
          <w:rFonts w:ascii="Times New Roman" w:hAnsi="Times New Roman" w:cs="Times New Roman"/>
          <w:sz w:val="24"/>
          <w:lang w:val="en-GB"/>
        </w:rPr>
        <w:t>involved 40</w:t>
      </w:r>
      <w:r w:rsidRPr="00415B11">
        <w:rPr>
          <w:rFonts w:ascii="Times New Roman" w:hAnsi="Times New Roman" w:cs="Times New Roman"/>
          <w:sz w:val="24"/>
          <w:lang w:val="en-GB"/>
        </w:rPr>
        <w:t xml:space="preserve"> individuals: </w:t>
      </w:r>
      <w:r>
        <w:rPr>
          <w:rFonts w:ascii="Times New Roman" w:hAnsi="Times New Roman" w:cs="Times New Roman"/>
          <w:sz w:val="24"/>
          <w:lang w:val="en-GB"/>
        </w:rPr>
        <w:t>work-injured immigrant</w:t>
      </w:r>
      <w:r w:rsidRPr="00415B11">
        <w:rPr>
          <w:rFonts w:ascii="Times New Roman" w:hAnsi="Times New Roman" w:cs="Times New Roman"/>
          <w:sz w:val="24"/>
          <w:lang w:val="en-GB"/>
        </w:rPr>
        <w:t xml:space="preserve"> workers (n=9), employers (n=2), and various </w:t>
      </w:r>
      <w:r>
        <w:rPr>
          <w:rFonts w:ascii="Times New Roman" w:hAnsi="Times New Roman" w:cs="Times New Roman"/>
          <w:sz w:val="24"/>
          <w:lang w:val="en-GB"/>
        </w:rPr>
        <w:t>rehabilitation professionals</w:t>
      </w:r>
      <w:r w:rsidRPr="00415B11">
        <w:rPr>
          <w:rFonts w:ascii="Times New Roman" w:hAnsi="Times New Roman" w:cs="Times New Roman"/>
          <w:sz w:val="24"/>
          <w:lang w:val="en-GB"/>
        </w:rPr>
        <w:t xml:space="preserve"> (n=29)</w:t>
      </w:r>
      <w:r>
        <w:rPr>
          <w:rFonts w:ascii="Times New Roman" w:hAnsi="Times New Roman" w:cs="Times New Roman"/>
          <w:sz w:val="24"/>
          <w:lang w:val="en-GB"/>
        </w:rPr>
        <w:t xml:space="preserve">. </w:t>
      </w:r>
      <w:r w:rsidRPr="00B84894">
        <w:rPr>
          <w:rFonts w:ascii="Times New Roman" w:hAnsi="Times New Roman" w:cs="Times New Roman"/>
          <w:sz w:val="24"/>
          <w:lang w:val="en-GB"/>
        </w:rPr>
        <w:t xml:space="preserve">It proposes a hypothesis for better understanding the phenomenon of the genesis and reinforcement of ethnocultural prejudices in the health care sector, a hypothesis that could explain the emergence of compassion fatigue or diversity fatigue among rehabilitation professionals, and the possible causal link between these two types of fatigue. The authors of the article argue that this causal link (the chicken or the egg dilemma) can only be understood </w:t>
      </w:r>
      <w:r>
        <w:rPr>
          <w:rFonts w:ascii="Times New Roman" w:hAnsi="Times New Roman" w:cs="Times New Roman"/>
          <w:sz w:val="24"/>
          <w:lang w:val="en-GB"/>
        </w:rPr>
        <w:t xml:space="preserve">through </w:t>
      </w:r>
      <w:r w:rsidRPr="00415B11">
        <w:rPr>
          <w:rFonts w:ascii="Times New Roman" w:hAnsi="Times New Roman" w:cs="Times New Roman"/>
          <w:sz w:val="24"/>
          <w:lang w:val="en-GB"/>
        </w:rPr>
        <w:t xml:space="preserve">a broader and systemic understanding of the </w:t>
      </w:r>
      <w:r>
        <w:rPr>
          <w:rFonts w:ascii="Times New Roman" w:hAnsi="Times New Roman" w:cs="Times New Roman"/>
          <w:sz w:val="24"/>
          <w:lang w:val="en-GB"/>
        </w:rPr>
        <w:t xml:space="preserve">intervention </w:t>
      </w:r>
      <w:r w:rsidRPr="00415B11">
        <w:rPr>
          <w:rFonts w:ascii="Times New Roman" w:hAnsi="Times New Roman" w:cs="Times New Roman"/>
          <w:sz w:val="24"/>
          <w:lang w:val="en-GB"/>
        </w:rPr>
        <w:t>context and the managerial practices that govern professional practice and skill development.</w:t>
      </w:r>
    </w:p>
    <w:p w14:paraId="6A8F74D0" w14:textId="77777777" w:rsidR="00023546" w:rsidRPr="00415B11" w:rsidRDefault="00023546" w:rsidP="002216EC">
      <w:pPr>
        <w:spacing w:line="360" w:lineRule="auto"/>
        <w:jc w:val="both"/>
        <w:rPr>
          <w:rFonts w:ascii="Times New Roman" w:hAnsi="Times New Roman" w:cs="Times New Roman"/>
          <w:sz w:val="24"/>
          <w:lang w:val="en-GB"/>
        </w:rPr>
      </w:pPr>
      <w:r>
        <w:rPr>
          <w:rFonts w:ascii="Times New Roman" w:hAnsi="Times New Roman" w:cs="Times New Roman"/>
          <w:sz w:val="24"/>
          <w:lang w:val="en-GB"/>
        </w:rPr>
        <w:t>Key words: inclusion; immigrant workers; intercultural competence; vocational rehabilitation; systemic approach</w:t>
      </w:r>
    </w:p>
    <w:p w14:paraId="1C814906" w14:textId="77777777" w:rsidR="00FD49F6" w:rsidRDefault="00FD49F6" w:rsidP="002216EC">
      <w:pPr>
        <w:spacing w:line="360" w:lineRule="auto"/>
        <w:jc w:val="both"/>
        <w:rPr>
          <w:rFonts w:ascii="Times New Roman" w:hAnsi="Times New Roman" w:cs="Times New Roman"/>
          <w:sz w:val="24"/>
          <w:lang w:val="en-GB"/>
        </w:rPr>
      </w:pPr>
    </w:p>
    <w:p w14:paraId="26DB2F84" w14:textId="77777777" w:rsidR="00023546" w:rsidRPr="00C95D78" w:rsidRDefault="00023546" w:rsidP="002216EC">
      <w:pPr>
        <w:spacing w:line="360" w:lineRule="auto"/>
        <w:jc w:val="both"/>
        <w:rPr>
          <w:rFonts w:ascii="Times New Roman" w:hAnsi="Times New Roman" w:cs="Times New Roman"/>
          <w:b/>
          <w:sz w:val="24"/>
          <w:szCs w:val="24"/>
          <w:lang w:val="es-ES"/>
        </w:rPr>
      </w:pPr>
      <w:r w:rsidRPr="00C95D78">
        <w:rPr>
          <w:rFonts w:ascii="Times New Roman" w:hAnsi="Times New Roman" w:cs="Times New Roman"/>
          <w:b/>
          <w:sz w:val="24"/>
          <w:szCs w:val="24"/>
          <w:lang w:val="es-ES"/>
        </w:rPr>
        <w:t xml:space="preserve">Cansancio de compasión, cansancio de diversidad: </w:t>
      </w:r>
      <w:r w:rsidRPr="00C95D78">
        <w:rPr>
          <w:rFonts w:ascii="Times New Roman" w:hAnsi="Times New Roman" w:cs="Times New Roman"/>
          <w:b/>
          <w:sz w:val="24"/>
          <w:szCs w:val="24"/>
          <w:lang w:val="es-419"/>
        </w:rPr>
        <w:t>¿</w:t>
      </w:r>
      <w:r w:rsidRPr="00C95D78">
        <w:rPr>
          <w:rFonts w:ascii="Times New Roman" w:hAnsi="Times New Roman" w:cs="Times New Roman"/>
          <w:b/>
          <w:sz w:val="24"/>
          <w:szCs w:val="24"/>
          <w:lang w:val="es-ES"/>
        </w:rPr>
        <w:t>el huevo o la gallina</w:t>
      </w:r>
      <w:r>
        <w:rPr>
          <w:rFonts w:ascii="Times New Roman" w:hAnsi="Times New Roman" w:cs="Times New Roman"/>
          <w:b/>
          <w:sz w:val="24"/>
          <w:szCs w:val="24"/>
          <w:lang w:val="es-ES"/>
        </w:rPr>
        <w:t>?</w:t>
      </w:r>
    </w:p>
    <w:p w14:paraId="41BAA79B" w14:textId="77777777" w:rsidR="00023546" w:rsidRPr="00C95D78" w:rsidRDefault="00023546" w:rsidP="002216EC">
      <w:pPr>
        <w:spacing w:line="360" w:lineRule="auto"/>
        <w:jc w:val="both"/>
        <w:rPr>
          <w:rFonts w:ascii="Times New Roman" w:hAnsi="Times New Roman" w:cs="Times New Roman"/>
          <w:sz w:val="24"/>
          <w:szCs w:val="24"/>
          <w:lang w:val="es-ES"/>
        </w:rPr>
      </w:pPr>
    </w:p>
    <w:p w14:paraId="30BCB82E" w14:textId="77777777" w:rsidR="00023546" w:rsidRPr="00C95D78" w:rsidRDefault="00023546" w:rsidP="002216EC">
      <w:pPr>
        <w:spacing w:line="360" w:lineRule="auto"/>
        <w:jc w:val="both"/>
        <w:rPr>
          <w:rFonts w:ascii="Times New Roman" w:hAnsi="Times New Roman" w:cs="Times New Roman"/>
          <w:b/>
          <w:sz w:val="24"/>
          <w:szCs w:val="24"/>
          <w:lang w:val="es-ES"/>
        </w:rPr>
      </w:pPr>
      <w:r w:rsidRPr="00C95D78">
        <w:rPr>
          <w:rFonts w:ascii="Times New Roman" w:hAnsi="Times New Roman" w:cs="Times New Roman"/>
          <w:b/>
          <w:sz w:val="24"/>
          <w:szCs w:val="24"/>
          <w:lang w:val="es-ES"/>
        </w:rPr>
        <w:t>Resumen</w:t>
      </w:r>
    </w:p>
    <w:p w14:paraId="52F29281" w14:textId="77777777" w:rsidR="00023546" w:rsidRDefault="00023546" w:rsidP="002216EC">
      <w:pPr>
        <w:spacing w:line="360" w:lineRule="auto"/>
        <w:jc w:val="both"/>
        <w:rPr>
          <w:rFonts w:ascii="Times New Roman" w:hAnsi="Times New Roman" w:cs="Times New Roman"/>
          <w:bCs/>
          <w:sz w:val="24"/>
          <w:szCs w:val="24"/>
          <w:lang w:val="es-ES"/>
        </w:rPr>
      </w:pPr>
      <w:r w:rsidRPr="00C95D78">
        <w:rPr>
          <w:rFonts w:ascii="Times New Roman" w:hAnsi="Times New Roman" w:cs="Times New Roman"/>
          <w:bCs/>
          <w:sz w:val="24"/>
          <w:szCs w:val="24"/>
          <w:lang w:val="es-ES"/>
        </w:rPr>
        <w:t xml:space="preserve">La intervención en contextos  interculturales requiere una serie de competencias relacionadas a la comprensión de la situación personal del cliente y de su historia vida, y la capacidad de establecer un plan de intervención adaptado a cada situación. Mientras que la intervención en contextos  </w:t>
      </w:r>
      <w:r w:rsidRPr="00C95D78">
        <w:rPr>
          <w:rFonts w:ascii="Times New Roman" w:hAnsi="Times New Roman" w:cs="Times New Roman"/>
          <w:bCs/>
          <w:sz w:val="24"/>
          <w:szCs w:val="24"/>
          <w:lang w:val="es-ES"/>
        </w:rPr>
        <w:lastRenderedPageBreak/>
        <w:t>interculturales requiere de escucha activa y empatía, algunos contextos organizativos pueden en algunas circunstancias, por el contrario, favorecer el desarrollo de sentimientos hostiles a la diversidad cultural. Basado en un estudio cualitativo realizado en la región metropolitana de Montreal, en la provincia de Quebec (Canadá), este artículo se propone destacar los elementos sistémicos que forman parte de las trayectorias de readaptación y de retorno al trabajo de trabajadores canadienses de origen inmigrante que reciben subsidios por accidentes de trabajo. Este estudio recoge los testimonios de cuarenta personas: trabajadores inmigrantes (n=9), empleadores(n=9), y profesionales de la rehabilitación (n=29). Se propone una hipótesis para entender la relación lógica entre el desarrollo y el reforzamiento de los prejuicios culturales en el ámbito de la salud y el desarrollo del cansancio de compasión o del cansancio de diversidad de los profesionales de la rehabilitación. Los autores alegan que esta relación lógica, el huevo o la gallina, sólo se puede entender al considerar el contexto sistémico de intervención y de las prácticas de gestión que regulan el marco de la práctica profesional y el desarrollo de competencias.</w:t>
      </w:r>
    </w:p>
    <w:p w14:paraId="3EEB37E1" w14:textId="77777777" w:rsidR="00023546" w:rsidRDefault="00023546" w:rsidP="002216EC">
      <w:pPr>
        <w:spacing w:line="360" w:lineRule="auto"/>
        <w:jc w:val="both"/>
        <w:rPr>
          <w:rFonts w:ascii="Times New Roman" w:hAnsi="Times New Roman" w:cs="Times New Roman"/>
          <w:sz w:val="24"/>
          <w:szCs w:val="24"/>
          <w:lang w:val="es-ES"/>
        </w:rPr>
      </w:pPr>
      <w:r>
        <w:rPr>
          <w:rFonts w:ascii="Times New Roman" w:hAnsi="Times New Roman" w:cs="Times New Roman"/>
          <w:bCs/>
          <w:sz w:val="24"/>
          <w:szCs w:val="24"/>
          <w:lang w:val="es-ES"/>
        </w:rPr>
        <w:t xml:space="preserve">Palabras clave: </w:t>
      </w:r>
      <w:r w:rsidRPr="003B7027">
        <w:rPr>
          <w:rFonts w:ascii="Times New Roman" w:hAnsi="Times New Roman" w:cs="Times New Roman"/>
          <w:sz w:val="24"/>
          <w:szCs w:val="24"/>
          <w:lang w:val="es-ES"/>
        </w:rPr>
        <w:t>inclusión</w:t>
      </w:r>
      <w:r>
        <w:rPr>
          <w:rFonts w:ascii="Times New Roman" w:hAnsi="Times New Roman" w:cs="Times New Roman"/>
          <w:sz w:val="24"/>
          <w:szCs w:val="24"/>
          <w:lang w:val="es-ES"/>
        </w:rPr>
        <w:t>; trabajadores inmigrantes; competencia intercultural; rehabilitación en el trabajo; enfoque sistémico</w:t>
      </w:r>
    </w:p>
    <w:p w14:paraId="60CB847C" w14:textId="77777777" w:rsidR="00023546" w:rsidRPr="00023546" w:rsidRDefault="00023546" w:rsidP="002216EC">
      <w:pPr>
        <w:spacing w:line="360" w:lineRule="auto"/>
        <w:jc w:val="both"/>
        <w:rPr>
          <w:rFonts w:ascii="Times New Roman" w:hAnsi="Times New Roman" w:cs="Times New Roman"/>
          <w:sz w:val="24"/>
          <w:lang w:val="es-419"/>
        </w:rPr>
      </w:pPr>
    </w:p>
    <w:p w14:paraId="7AA66967" w14:textId="77777777" w:rsidR="00A5639A" w:rsidRPr="009468B7" w:rsidRDefault="00A5639A" w:rsidP="002216EC">
      <w:pPr>
        <w:spacing w:line="360" w:lineRule="auto"/>
        <w:rPr>
          <w:rFonts w:ascii="Times New Roman" w:hAnsi="Times New Roman" w:cs="Times New Roman"/>
          <w:b/>
          <w:sz w:val="24"/>
          <w:szCs w:val="24"/>
        </w:rPr>
      </w:pPr>
      <w:r w:rsidRPr="009468B7">
        <w:rPr>
          <w:rFonts w:ascii="Times New Roman" w:hAnsi="Times New Roman" w:cs="Times New Roman"/>
          <w:b/>
          <w:sz w:val="24"/>
          <w:szCs w:val="24"/>
        </w:rPr>
        <w:t>Introduction</w:t>
      </w:r>
    </w:p>
    <w:p w14:paraId="5D2684E2" w14:textId="77777777" w:rsidR="00A5639A" w:rsidRPr="009468B7" w:rsidRDefault="00A5639A" w:rsidP="002216EC">
      <w:pPr>
        <w:spacing w:line="360" w:lineRule="auto"/>
        <w:jc w:val="both"/>
        <w:rPr>
          <w:rFonts w:ascii="Times New Roman" w:hAnsi="Times New Roman" w:cs="Times New Roman"/>
          <w:sz w:val="24"/>
        </w:rPr>
      </w:pPr>
      <w:r w:rsidRPr="009468B7">
        <w:rPr>
          <w:rFonts w:ascii="Times New Roman" w:hAnsi="Times New Roman" w:cs="Times New Roman"/>
          <w:sz w:val="24"/>
        </w:rPr>
        <w:t xml:space="preserve">L’intervention en contextes interculturels requiert un certain nombre de compétences relatives à la compréhension de la situation personnelle du client et de son parcours de vie, et sur la capacité à définir un plan d’intervention adapté à cette situation. Ces compétences se pensent au niveau de des organisations, au niveau des collectifs ou des équipes de travail et au niveau des intervenants à titre individuel. Cependant, les écrits sur le sujet suggèrent très clairement que ce type d’intervention requiert un dispositif opérationnel complexe et suffisamment flexible pour permettre aux intervenants d’ajuster leur plan d’intervention et d’y prévoir le temps et les ressources nécessaires. L’intervention en contexte interculturel requiert certaines habiletés relationnelles  (par ex. : écoute, ouverture à la différence, empathie, bienveillance, flexibilité, confiance, décodage du langage non verbal, etc.) </w:t>
      </w:r>
      <w:r w:rsidRPr="009468B7">
        <w:rPr>
          <w:rFonts w:ascii="Times New Roman" w:hAnsi="Times New Roman" w:cs="Times New Roman"/>
          <w:noProof/>
          <w:sz w:val="24"/>
        </w:rPr>
        <w:t>(O'keeffe</w:t>
      </w:r>
      <w:r w:rsidRPr="009468B7">
        <w:rPr>
          <w:rFonts w:ascii="Times New Roman" w:hAnsi="Times New Roman" w:cs="Times New Roman"/>
          <w:i/>
          <w:noProof/>
          <w:sz w:val="24"/>
        </w:rPr>
        <w:t xml:space="preserve"> et al.</w:t>
      </w:r>
      <w:r w:rsidRPr="009468B7">
        <w:rPr>
          <w:rFonts w:ascii="Times New Roman" w:hAnsi="Times New Roman" w:cs="Times New Roman"/>
          <w:noProof/>
          <w:sz w:val="24"/>
        </w:rPr>
        <w:t>, 2016)</w:t>
      </w:r>
      <w:r w:rsidRPr="009468B7">
        <w:rPr>
          <w:rFonts w:ascii="Times New Roman" w:hAnsi="Times New Roman" w:cs="Times New Roman"/>
          <w:sz w:val="24"/>
        </w:rPr>
        <w:t xml:space="preserve">. Ces habiletés relationnelles sont la plupart du temps envisagées sous l’angle de la communication </w:t>
      </w:r>
      <w:r w:rsidRPr="009468B7">
        <w:rPr>
          <w:rFonts w:ascii="Times New Roman" w:hAnsi="Times New Roman" w:cs="Times New Roman"/>
          <w:sz w:val="24"/>
        </w:rPr>
        <w:lastRenderedPageBreak/>
        <w:t xml:space="preserve">interpersonnelle </w:t>
      </w:r>
      <w:r w:rsidRPr="009468B7">
        <w:rPr>
          <w:rFonts w:ascii="Times New Roman" w:hAnsi="Times New Roman" w:cs="Times New Roman"/>
          <w:noProof/>
          <w:sz w:val="24"/>
        </w:rPr>
        <w:t>(Livian, 2012)</w:t>
      </w:r>
      <w:r w:rsidRPr="009468B7">
        <w:rPr>
          <w:rFonts w:ascii="Times New Roman" w:hAnsi="Times New Roman" w:cs="Times New Roman"/>
          <w:sz w:val="24"/>
        </w:rPr>
        <w:t xml:space="preserve">. Elles sont souvent désignées par l’appellation de « compétence interculturelle », et qui se traduit de manière très générale par la capacité à reconnaître une situation interculturelle et d’y fournir une réponse adaptée </w:t>
      </w:r>
      <w:r w:rsidRPr="009468B7">
        <w:rPr>
          <w:rFonts w:ascii="Times New Roman" w:hAnsi="Times New Roman" w:cs="Times New Roman"/>
          <w:noProof/>
          <w:sz w:val="24"/>
        </w:rPr>
        <w:t>(Muñoz, 2007; Bartel-Radic, 2009; Spitzberg et Changnon, 2009; Castillo et Guo, 2011; Beagan, 2015)</w:t>
      </w:r>
      <w:r w:rsidRPr="009468B7">
        <w:rPr>
          <w:rFonts w:ascii="Times New Roman" w:hAnsi="Times New Roman" w:cs="Times New Roman"/>
          <w:sz w:val="24"/>
        </w:rPr>
        <w:t xml:space="preserve">. Ce sont donc principalement des compétences individuelles dont il est question; le développement et l’adaptation des organisations étant plus rarement abordé </w:t>
      </w:r>
      <w:r w:rsidRPr="009468B7">
        <w:rPr>
          <w:rFonts w:ascii="Times New Roman" w:hAnsi="Times New Roman" w:cs="Times New Roman"/>
          <w:noProof/>
          <w:sz w:val="24"/>
        </w:rPr>
        <w:t>(Purnell</w:t>
      </w:r>
      <w:r w:rsidRPr="009468B7">
        <w:rPr>
          <w:rFonts w:ascii="Times New Roman" w:hAnsi="Times New Roman" w:cs="Times New Roman"/>
          <w:i/>
          <w:noProof/>
          <w:sz w:val="24"/>
        </w:rPr>
        <w:t xml:space="preserve"> et al.</w:t>
      </w:r>
      <w:r w:rsidRPr="009468B7">
        <w:rPr>
          <w:rFonts w:ascii="Times New Roman" w:hAnsi="Times New Roman" w:cs="Times New Roman"/>
          <w:noProof/>
          <w:sz w:val="24"/>
        </w:rPr>
        <w:t>, 2011; Livian, 2012)</w:t>
      </w:r>
      <w:r w:rsidRPr="009468B7">
        <w:rPr>
          <w:rFonts w:ascii="Times New Roman" w:hAnsi="Times New Roman" w:cs="Times New Roman"/>
          <w:sz w:val="24"/>
        </w:rPr>
        <w:t xml:space="preserve">. Par conséquent, il se peut  que certains établissements, négligeant de mettre à jour ses propres orientations, entraînent malencontreusement l’apparition de sentiments hostiles à la diversité ethnoculturelle. Cette hostilité peut générer une </w:t>
      </w:r>
      <w:r w:rsidRPr="009468B7">
        <w:rPr>
          <w:rFonts w:ascii="Times New Roman" w:hAnsi="Times New Roman" w:cs="Times New Roman"/>
          <w:i/>
          <w:sz w:val="24"/>
        </w:rPr>
        <w:t>fatigue de diversit</w:t>
      </w:r>
      <w:r w:rsidRPr="009468B7">
        <w:rPr>
          <w:rFonts w:ascii="Times New Roman" w:hAnsi="Times New Roman" w:cs="Times New Roman"/>
          <w:sz w:val="24"/>
        </w:rPr>
        <w:t xml:space="preserve">é </w:t>
      </w:r>
      <w:r w:rsidRPr="009468B7">
        <w:rPr>
          <w:rFonts w:ascii="Times New Roman" w:hAnsi="Times New Roman" w:cs="Times New Roman"/>
          <w:noProof/>
          <w:sz w:val="24"/>
        </w:rPr>
        <w:t>(Germain, 2013)</w:t>
      </w:r>
      <w:r w:rsidRPr="009468B7">
        <w:rPr>
          <w:rFonts w:ascii="Times New Roman" w:hAnsi="Times New Roman" w:cs="Times New Roman"/>
          <w:sz w:val="24"/>
        </w:rPr>
        <w:t xml:space="preserve"> quand les intervenants ont le sentiment que certains dossiers sont plus difficiles à traiter, plus complexes, plus longs que ce qui est « normalement » attendu, et auxquels ils attachent une certaine charge cognitive et émotionnelle </w:t>
      </w:r>
      <w:r>
        <w:rPr>
          <w:rFonts w:ascii="Times New Roman" w:hAnsi="Times New Roman" w:cs="Times New Roman"/>
          <w:noProof/>
          <w:sz w:val="24"/>
        </w:rPr>
        <w:t>(Côté et Dubé, 2018; Côté</w:t>
      </w:r>
      <w:r w:rsidRPr="004A5B16">
        <w:rPr>
          <w:rFonts w:ascii="Times New Roman" w:hAnsi="Times New Roman" w:cs="Times New Roman"/>
          <w:i/>
          <w:noProof/>
          <w:sz w:val="24"/>
        </w:rPr>
        <w:t xml:space="preserve"> et al.</w:t>
      </w:r>
      <w:r>
        <w:rPr>
          <w:rFonts w:ascii="Times New Roman" w:hAnsi="Times New Roman" w:cs="Times New Roman"/>
          <w:noProof/>
          <w:sz w:val="24"/>
        </w:rPr>
        <w:t>, 2019, sous presse)</w:t>
      </w:r>
      <w:r w:rsidRPr="009468B7">
        <w:rPr>
          <w:rFonts w:ascii="Times New Roman" w:hAnsi="Times New Roman" w:cs="Times New Roman"/>
          <w:sz w:val="24"/>
        </w:rPr>
        <w:t xml:space="preserve">. Dans le milieu de l’intervention en santé et sécurité du travail où nos données ont été puisées, les professionnels de la santé côtoient quotidiennement des personnes immigrantes qui ont vécu une lésion professionnelle et qui vivent un niveau de stress et d’anxiété important liés à l’incertitude face à leur avenir, à leur possibilité de retourner au travail ou à la stigmatisation </w:t>
      </w:r>
      <w:r>
        <w:rPr>
          <w:rFonts w:ascii="Times New Roman" w:hAnsi="Times New Roman" w:cs="Times New Roman"/>
          <w:noProof/>
          <w:sz w:val="24"/>
        </w:rPr>
        <w:t>(Rathod, 2016; Lay</w:t>
      </w:r>
      <w:r w:rsidRPr="004A5B16">
        <w:rPr>
          <w:rFonts w:ascii="Times New Roman" w:hAnsi="Times New Roman" w:cs="Times New Roman"/>
          <w:i/>
          <w:noProof/>
          <w:sz w:val="24"/>
        </w:rPr>
        <w:t xml:space="preserve"> et al.</w:t>
      </w:r>
      <w:r>
        <w:rPr>
          <w:rFonts w:ascii="Times New Roman" w:hAnsi="Times New Roman" w:cs="Times New Roman"/>
          <w:noProof/>
          <w:sz w:val="24"/>
        </w:rPr>
        <w:t>, 2018; Yanar</w:t>
      </w:r>
      <w:r w:rsidRPr="004A5B16">
        <w:rPr>
          <w:rFonts w:ascii="Times New Roman" w:hAnsi="Times New Roman" w:cs="Times New Roman"/>
          <w:i/>
          <w:noProof/>
          <w:sz w:val="24"/>
        </w:rPr>
        <w:t xml:space="preserve"> et al.</w:t>
      </w:r>
      <w:r>
        <w:rPr>
          <w:rFonts w:ascii="Times New Roman" w:hAnsi="Times New Roman" w:cs="Times New Roman"/>
          <w:noProof/>
          <w:sz w:val="24"/>
        </w:rPr>
        <w:t>, 2018; Côté</w:t>
      </w:r>
      <w:r w:rsidRPr="004A5B16">
        <w:rPr>
          <w:rFonts w:ascii="Times New Roman" w:hAnsi="Times New Roman" w:cs="Times New Roman"/>
          <w:i/>
          <w:noProof/>
          <w:sz w:val="24"/>
        </w:rPr>
        <w:t xml:space="preserve"> et al.</w:t>
      </w:r>
      <w:r>
        <w:rPr>
          <w:rFonts w:ascii="Times New Roman" w:hAnsi="Times New Roman" w:cs="Times New Roman"/>
          <w:noProof/>
          <w:sz w:val="24"/>
        </w:rPr>
        <w:t>, 2019, sous presse)</w:t>
      </w:r>
      <w:r w:rsidRPr="009468B7">
        <w:rPr>
          <w:rFonts w:ascii="Times New Roman" w:hAnsi="Times New Roman" w:cs="Times New Roman"/>
          <w:sz w:val="24"/>
        </w:rPr>
        <w:t xml:space="preserve">. La répétition de certaines situations d’interventions chargées sur le plan émotionnel peut entraîner ou favoriser une </w:t>
      </w:r>
      <w:r w:rsidRPr="009468B7">
        <w:rPr>
          <w:rFonts w:ascii="Times New Roman" w:hAnsi="Times New Roman" w:cs="Times New Roman"/>
          <w:i/>
          <w:sz w:val="24"/>
        </w:rPr>
        <w:t>fatigue de compassion</w:t>
      </w:r>
      <w:r w:rsidRPr="009468B7">
        <w:rPr>
          <w:rFonts w:ascii="Times New Roman" w:hAnsi="Times New Roman" w:cs="Times New Roman"/>
          <w:sz w:val="24"/>
        </w:rPr>
        <w:t xml:space="preserve"> chez l’intervenant et saturer ou compromettre la relation thérapeutique </w:t>
      </w:r>
      <w:r w:rsidRPr="009468B7">
        <w:rPr>
          <w:rFonts w:ascii="Times New Roman" w:hAnsi="Times New Roman" w:cs="Times New Roman"/>
          <w:noProof/>
          <w:sz w:val="24"/>
        </w:rPr>
        <w:t>(Figley, 2002; Sabo, 2006; Mathieu, 2012)</w:t>
      </w:r>
      <w:r w:rsidRPr="009468B7">
        <w:rPr>
          <w:rFonts w:ascii="Times New Roman" w:hAnsi="Times New Roman" w:cs="Times New Roman"/>
          <w:sz w:val="24"/>
        </w:rPr>
        <w:t xml:space="preserve">. Cet article explore le lien probable entre la fatigue de diversité et la fatigue de compassion et les mécanismes qui le sous-tendent comme la catégorisation ethnoculturelle et l’attribution de représentations, d’attitudes ou de comportements relatifs à un groupe ethnique </w:t>
      </w:r>
      <w:r>
        <w:rPr>
          <w:rFonts w:ascii="Times New Roman" w:hAnsi="Times New Roman" w:cs="Times New Roman"/>
          <w:noProof/>
          <w:sz w:val="24"/>
        </w:rPr>
        <w:t>(Doise, 1989; Jonsson, 1998; Bertheleu, 2007; Côté</w:t>
      </w:r>
      <w:r w:rsidRPr="004A5B16">
        <w:rPr>
          <w:rFonts w:ascii="Times New Roman" w:hAnsi="Times New Roman" w:cs="Times New Roman"/>
          <w:i/>
          <w:noProof/>
          <w:sz w:val="24"/>
        </w:rPr>
        <w:t xml:space="preserve"> et al.</w:t>
      </w:r>
      <w:r>
        <w:rPr>
          <w:rFonts w:ascii="Times New Roman" w:hAnsi="Times New Roman" w:cs="Times New Roman"/>
          <w:noProof/>
          <w:sz w:val="24"/>
        </w:rPr>
        <w:t>, 2017; Côté</w:t>
      </w:r>
      <w:r w:rsidRPr="004A5B16">
        <w:rPr>
          <w:rFonts w:ascii="Times New Roman" w:hAnsi="Times New Roman" w:cs="Times New Roman"/>
          <w:i/>
          <w:noProof/>
          <w:sz w:val="24"/>
        </w:rPr>
        <w:t xml:space="preserve"> et al.</w:t>
      </w:r>
      <w:r>
        <w:rPr>
          <w:rFonts w:ascii="Times New Roman" w:hAnsi="Times New Roman" w:cs="Times New Roman"/>
          <w:noProof/>
          <w:sz w:val="24"/>
        </w:rPr>
        <w:t>, 2019, sous presse)</w:t>
      </w:r>
      <w:r w:rsidRPr="009468B7">
        <w:rPr>
          <w:rFonts w:ascii="Times New Roman" w:hAnsi="Times New Roman" w:cs="Times New Roman"/>
          <w:sz w:val="24"/>
        </w:rPr>
        <w:t>. Cet article interroge également les conditions pour une implantation efficace de la compétence interculturelle auprès des intervenants et de leurs organisations respectives en contextes pluriethniques. Il vise à faire ressortir les enjeux systémiques qui sont impliqués dans la compréhension des problématiques de réadaptation et de retour au travail de travailleurs canadiens issus de l’immigration et qui reçoivent des indemnités après avoir subi une lésion professionnelle.</w:t>
      </w:r>
    </w:p>
    <w:p w14:paraId="29C4C4AB" w14:textId="77777777" w:rsidR="00A5639A" w:rsidRPr="009468B7" w:rsidRDefault="00A5639A" w:rsidP="002216EC">
      <w:pPr>
        <w:spacing w:line="360" w:lineRule="auto"/>
        <w:rPr>
          <w:rFonts w:ascii="Times New Roman" w:hAnsi="Times New Roman" w:cs="Times New Roman"/>
          <w:b/>
          <w:sz w:val="24"/>
        </w:rPr>
      </w:pPr>
      <w:r w:rsidRPr="009468B7">
        <w:rPr>
          <w:rFonts w:ascii="Times New Roman" w:hAnsi="Times New Roman" w:cs="Times New Roman"/>
          <w:b/>
          <w:sz w:val="24"/>
        </w:rPr>
        <w:t>Méthodologie</w:t>
      </w:r>
    </w:p>
    <w:p w14:paraId="7CB9A38B" w14:textId="77777777" w:rsidR="00A5639A" w:rsidRPr="009468B7" w:rsidRDefault="00A5639A" w:rsidP="002216EC">
      <w:pPr>
        <w:spacing w:line="360" w:lineRule="auto"/>
        <w:jc w:val="both"/>
        <w:rPr>
          <w:rFonts w:ascii="Times New Roman" w:hAnsi="Times New Roman" w:cs="Times New Roman"/>
          <w:sz w:val="24"/>
        </w:rPr>
      </w:pPr>
      <w:r w:rsidRPr="009468B7">
        <w:rPr>
          <w:rFonts w:ascii="Times New Roman" w:hAnsi="Times New Roman" w:cs="Times New Roman"/>
          <w:sz w:val="24"/>
        </w:rPr>
        <w:lastRenderedPageBreak/>
        <w:t xml:space="preserve">Cet article s’appuie sur les données d’une étude qualitative réalisée au Québec (Canada) dans la grande région métropolitaine de Montréal où plus d’un cinquième de la population est né à l’extérieur du Canada </w:t>
      </w:r>
      <w:r w:rsidRPr="009468B7">
        <w:rPr>
          <w:rFonts w:ascii="Times New Roman" w:hAnsi="Times New Roman" w:cs="Times New Roman"/>
          <w:noProof/>
          <w:sz w:val="24"/>
        </w:rPr>
        <w:t>(Montréal, 2017)</w:t>
      </w:r>
      <w:r w:rsidRPr="009468B7">
        <w:rPr>
          <w:rFonts w:ascii="Times New Roman" w:hAnsi="Times New Roman" w:cs="Times New Roman"/>
          <w:sz w:val="24"/>
        </w:rPr>
        <w:t xml:space="preserve">. Cette étude a recueilli le témoignage d’une quarantaine de personnes : travailleurs (n=9), employeurs (n=2), intervenants divers (n=29) qui veillent à la réintégration en emploi de ces travailleurs </w:t>
      </w:r>
      <w:r w:rsidRPr="009468B7">
        <w:rPr>
          <w:rFonts w:ascii="Times New Roman" w:hAnsi="Times New Roman" w:cs="Times New Roman"/>
          <w:noProof/>
          <w:sz w:val="24"/>
        </w:rPr>
        <w:t>(Côté</w:t>
      </w:r>
      <w:r w:rsidRPr="009468B7">
        <w:rPr>
          <w:rFonts w:ascii="Times New Roman" w:hAnsi="Times New Roman" w:cs="Times New Roman"/>
          <w:i/>
          <w:noProof/>
          <w:sz w:val="24"/>
        </w:rPr>
        <w:t xml:space="preserve"> et al.</w:t>
      </w:r>
      <w:r w:rsidRPr="009468B7">
        <w:rPr>
          <w:rFonts w:ascii="Times New Roman" w:hAnsi="Times New Roman" w:cs="Times New Roman"/>
          <w:noProof/>
          <w:sz w:val="24"/>
        </w:rPr>
        <w:t>, 2017)</w:t>
      </w:r>
      <w:r w:rsidRPr="009468B7">
        <w:rPr>
          <w:rFonts w:ascii="Times New Roman" w:hAnsi="Times New Roman" w:cs="Times New Roman"/>
          <w:sz w:val="24"/>
        </w:rPr>
        <w:t xml:space="preserve">. Pour cet article, seules les données provenant des intervenants ont été utilisées, à partir d’une sélection de mots-clés ou codes permettant de mieux documenter les différents facteurs organisationnels ou contextuels qui peuvent influencer l’acte à poser. L’ensemble de la procédure analytique s’est inspirée de la théorisation ancrée (approche inductive, codification axiale et théorique, processus itératif, etc.) en utilisant le logiciel de soutien à l’analyse qualitive NVivo 10 </w:t>
      </w:r>
      <w:r w:rsidRPr="009468B7">
        <w:rPr>
          <w:rFonts w:ascii="Times New Roman" w:hAnsi="Times New Roman" w:cs="Times New Roman"/>
          <w:noProof/>
          <w:sz w:val="24"/>
        </w:rPr>
        <w:t>(Sheridan et Storch, 2009; Hutchison</w:t>
      </w:r>
      <w:r w:rsidRPr="009468B7">
        <w:rPr>
          <w:rFonts w:ascii="Times New Roman" w:hAnsi="Times New Roman" w:cs="Times New Roman"/>
          <w:i/>
          <w:noProof/>
          <w:sz w:val="24"/>
        </w:rPr>
        <w:t xml:space="preserve"> et al.</w:t>
      </w:r>
      <w:r w:rsidRPr="009468B7">
        <w:rPr>
          <w:rFonts w:ascii="Times New Roman" w:hAnsi="Times New Roman" w:cs="Times New Roman"/>
          <w:noProof/>
          <w:sz w:val="24"/>
        </w:rPr>
        <w:t>, 2010)</w:t>
      </w:r>
      <w:r w:rsidRPr="009468B7">
        <w:rPr>
          <w:rFonts w:ascii="Times New Roman" w:hAnsi="Times New Roman" w:cs="Times New Roman"/>
          <w:sz w:val="24"/>
        </w:rPr>
        <w:t xml:space="preserve">. Les entrevues semi-dirigées se sont déroulées entre les mois de juillet 2014 et novembre 2015 et portaient, notamment, sur leur contexte général d’intervention, leur rôle spécifique comme intervenant, leur contexte de travail (par ex. : soutien organisationnel, aspects législatifs de leur travail, leurs relations avec les organisations externes), leur vision concernant les moments clés dans le processus de réadaptation des travailleurs (les différentes phases et les différents défis), leur expérience avec la clientèle immigrante ou issue des minorités ethnoculturelles et comment ils définissent les différences et ressemblances avec le groupe majoritaire (dont la plupart des intervenants interrogés faisaient partie), leur vision de la notion de compétence interculturelle et leur formation dans le domaine, et les défis en matière de réadaptation touchant cette clientèle spécifique (différences et similitudes avec la population majoritaire, parcours-types, trajectoires, etc.). </w:t>
      </w:r>
    </w:p>
    <w:p w14:paraId="78C3FA03" w14:textId="77777777" w:rsidR="00A5639A" w:rsidRPr="009468B7" w:rsidRDefault="00A5639A" w:rsidP="002216EC">
      <w:pPr>
        <w:spacing w:line="360" w:lineRule="auto"/>
        <w:jc w:val="both"/>
        <w:rPr>
          <w:rFonts w:ascii="Times New Roman" w:hAnsi="Times New Roman" w:cs="Times New Roman"/>
          <w:sz w:val="24"/>
        </w:rPr>
      </w:pPr>
      <w:r w:rsidRPr="009468B7">
        <w:rPr>
          <w:rFonts w:ascii="Times New Roman" w:hAnsi="Times New Roman" w:cs="Times New Roman"/>
        </w:rPr>
        <w:t>Toutes les règles d'éthique préconisées par le Comité d’éthique de la recherche du Centre de santé et de services sociaux (CSSS) de la Montagne ont été appliquées (no d’approbation R-879) et par le Comité d’éthique de la recherche des établissements du Centre de recherche interdisciplinaire en réadaptation du Montréal métropolitain (CRIR, no 970-0514). Par souci de transparence et pour assurer la confidentialité, chaque participant a signé un formulaire de consentement l’informant de la nature du projet et de sa participation, du déroulement du projet, des avantages, des bénéfices, des risques et des inconvénients à y participer, de la confidentialité, de la liberté de participation et de retrait et des engagements du chercheur.</w:t>
      </w:r>
    </w:p>
    <w:p w14:paraId="115B424C" w14:textId="77777777" w:rsidR="00A5639A" w:rsidRPr="009468B7" w:rsidRDefault="00A5639A" w:rsidP="002216EC">
      <w:pPr>
        <w:spacing w:line="360" w:lineRule="auto"/>
        <w:rPr>
          <w:rFonts w:ascii="Times New Roman" w:hAnsi="Times New Roman" w:cs="Times New Roman"/>
          <w:b/>
          <w:sz w:val="24"/>
        </w:rPr>
      </w:pPr>
      <w:r w:rsidRPr="009468B7">
        <w:rPr>
          <w:rFonts w:ascii="Times New Roman" w:hAnsi="Times New Roman" w:cs="Times New Roman"/>
          <w:b/>
          <w:sz w:val="24"/>
        </w:rPr>
        <w:t>Résultats</w:t>
      </w:r>
    </w:p>
    <w:p w14:paraId="750B252A" w14:textId="77777777" w:rsidR="00A5639A" w:rsidRPr="009468B7" w:rsidRDefault="00A5639A" w:rsidP="002216EC">
      <w:pPr>
        <w:spacing w:line="360" w:lineRule="auto"/>
        <w:jc w:val="both"/>
        <w:rPr>
          <w:rFonts w:ascii="Times New Roman" w:hAnsi="Times New Roman" w:cs="Times New Roman"/>
          <w:b/>
          <w:sz w:val="28"/>
          <w:szCs w:val="24"/>
        </w:rPr>
      </w:pPr>
      <w:r w:rsidRPr="009468B7">
        <w:rPr>
          <w:rFonts w:ascii="Times New Roman" w:hAnsi="Times New Roman" w:cs="Times New Roman"/>
          <w:sz w:val="24"/>
        </w:rPr>
        <w:lastRenderedPageBreak/>
        <w:t xml:space="preserve">Dans l’étude initiale, nous avons recueilli de nombreuses données portant sur le contexte de travail des intervenants et sur leurs expériences de travail dans les milieux pluriethniques. Ces données décrivent les aspects individuels de la pratique professionnelle, ainsi que les aspects plus systémiques du cadre de pratique dans leur dimension à la fois organisationnelle (ce qui est relatif à l’établissement de soins ou de services et aux collectifs de travail) et sociale (ce qui est relatif à la structure du système de santé et de services sociaux dans son ensemble). L’analyse de contenu thématique plus avancée, nous a permis d’identifier des liens logiques entre différents thèmes et attributs de sorte qu’il nous a été possible de développer de nouvelles hypothèses de recherche ou théories, dont celle de la fatigue de compassion et de la fatigue de diversité </w:t>
      </w:r>
      <w:r w:rsidRPr="009468B7">
        <w:rPr>
          <w:rFonts w:ascii="Times New Roman" w:hAnsi="Times New Roman" w:cs="Times New Roman"/>
          <w:noProof/>
          <w:sz w:val="24"/>
        </w:rPr>
        <w:t>(Walker et Myrick, 2006; Guillemette et Luckerhoff, 2009)</w:t>
      </w:r>
      <w:r w:rsidRPr="009468B7">
        <w:rPr>
          <w:rFonts w:ascii="Times New Roman" w:hAnsi="Times New Roman" w:cs="Times New Roman"/>
          <w:sz w:val="24"/>
        </w:rPr>
        <w:t>. Les résultats émergents de l’étude initiale se divise en trois sous-sections : les aspects individuels, organisationnels et collectifs de la pratique professionnelle en contextes interculturels.</w:t>
      </w:r>
    </w:p>
    <w:p w14:paraId="479DA801" w14:textId="77777777" w:rsidR="00A5639A" w:rsidRPr="009468B7" w:rsidRDefault="00A5639A" w:rsidP="002216EC">
      <w:pPr>
        <w:spacing w:line="360" w:lineRule="auto"/>
        <w:jc w:val="both"/>
        <w:rPr>
          <w:rFonts w:ascii="Times New Roman" w:hAnsi="Times New Roman" w:cs="Times New Roman"/>
          <w:b/>
          <w:i/>
          <w:sz w:val="24"/>
          <w:szCs w:val="24"/>
        </w:rPr>
      </w:pPr>
    </w:p>
    <w:p w14:paraId="06431000" w14:textId="77777777" w:rsidR="00A5639A" w:rsidRPr="009468B7" w:rsidRDefault="00A5639A" w:rsidP="002216EC">
      <w:pPr>
        <w:spacing w:line="360" w:lineRule="auto"/>
        <w:jc w:val="both"/>
        <w:rPr>
          <w:rFonts w:ascii="Times New Roman" w:hAnsi="Times New Roman" w:cs="Times New Roman"/>
          <w:b/>
          <w:i/>
          <w:sz w:val="24"/>
          <w:szCs w:val="24"/>
        </w:rPr>
      </w:pPr>
      <w:r w:rsidRPr="009468B7">
        <w:rPr>
          <w:rFonts w:ascii="Times New Roman" w:hAnsi="Times New Roman" w:cs="Times New Roman"/>
          <w:b/>
          <w:i/>
          <w:sz w:val="24"/>
          <w:szCs w:val="24"/>
        </w:rPr>
        <w:t>Aspects individuels de la pratique professionnelle</w:t>
      </w:r>
    </w:p>
    <w:p w14:paraId="55C9771D" w14:textId="77777777" w:rsidR="00A5639A" w:rsidRPr="009468B7" w:rsidRDefault="00A5639A" w:rsidP="002216EC">
      <w:pPr>
        <w:spacing w:line="360" w:lineRule="auto"/>
        <w:jc w:val="both"/>
        <w:rPr>
          <w:rFonts w:ascii="Times New Roman" w:hAnsi="Times New Roman" w:cs="Times New Roman"/>
          <w:sz w:val="24"/>
          <w:szCs w:val="24"/>
        </w:rPr>
      </w:pPr>
      <w:r w:rsidRPr="009468B7">
        <w:rPr>
          <w:rFonts w:ascii="Times New Roman" w:hAnsi="Times New Roman" w:cs="Times New Roman"/>
          <w:sz w:val="24"/>
          <w:szCs w:val="24"/>
        </w:rPr>
        <w:t>Les intervenants que nous avons interrogés ont évoqué différents aspects de leur pratique professionnelle mettant en relief un besoin de compétences en matière de relations interculturelles afin de mieux desservir la population visée. L’idée d’un manque d’outils ou d’un manque de préparation et de formation se traduit souvent chez ces intervenants par une charge de travail plus difficile pour eux. Comme l’indique cette intervenante :</w:t>
      </w:r>
    </w:p>
    <w:p w14:paraId="2CEB6655" w14:textId="77777777" w:rsidR="00A5639A" w:rsidRPr="009468B7" w:rsidRDefault="00A5639A" w:rsidP="002216EC">
      <w:pPr>
        <w:spacing w:line="360" w:lineRule="auto"/>
        <w:ind w:left="851"/>
        <w:jc w:val="both"/>
        <w:rPr>
          <w:rFonts w:ascii="Times New Roman" w:hAnsi="Times New Roman" w:cs="Times New Roman"/>
          <w:sz w:val="24"/>
          <w:szCs w:val="24"/>
          <w:lang w:val="fr-FR"/>
        </w:rPr>
      </w:pPr>
      <w:r w:rsidRPr="009468B7">
        <w:rPr>
          <w:rFonts w:ascii="Times New Roman" w:hAnsi="Times New Roman" w:cs="Times New Roman"/>
          <w:sz w:val="24"/>
          <w:szCs w:val="24"/>
          <w:lang w:val="fr-FR"/>
        </w:rPr>
        <w:t>C'est lourd parce qu’on a l'impression qu'il y a quelque chose qui nous échappe due à la culture.  Comme s'il y avait quelque chose qu'on [ne] comprend pas (…) sur lesquelles on [ne] peut pas intervenir (…) (Zoé, 27 ans, diplômée en relations industrielles, intervenant au sein d’un assureur public)</w:t>
      </w:r>
    </w:p>
    <w:p w14:paraId="5DC199B4" w14:textId="77777777" w:rsidR="00A5639A" w:rsidRPr="009468B7" w:rsidRDefault="00A5639A" w:rsidP="002216EC">
      <w:pPr>
        <w:spacing w:line="360" w:lineRule="auto"/>
        <w:rPr>
          <w:rFonts w:ascii="Times New Roman" w:hAnsi="Times New Roman" w:cs="Times New Roman"/>
          <w:sz w:val="24"/>
          <w:szCs w:val="24"/>
          <w:lang w:val="fr-FR"/>
        </w:rPr>
      </w:pPr>
      <w:r w:rsidRPr="009468B7">
        <w:rPr>
          <w:rFonts w:ascii="Times New Roman" w:hAnsi="Times New Roman" w:cs="Times New Roman"/>
          <w:sz w:val="24"/>
          <w:szCs w:val="24"/>
          <w:lang w:val="fr-FR"/>
        </w:rPr>
        <w:t>Pour cet autre intervenant :</w:t>
      </w:r>
    </w:p>
    <w:p w14:paraId="67326B86" w14:textId="77777777" w:rsidR="00A5639A" w:rsidRPr="009468B7" w:rsidRDefault="00A5639A" w:rsidP="002216EC">
      <w:pPr>
        <w:spacing w:line="360" w:lineRule="auto"/>
        <w:ind w:left="851"/>
        <w:jc w:val="both"/>
        <w:rPr>
          <w:rFonts w:ascii="Times New Roman" w:hAnsi="Times New Roman" w:cs="Times New Roman"/>
          <w:sz w:val="24"/>
          <w:szCs w:val="24"/>
          <w:lang w:val="fr-FR"/>
        </w:rPr>
      </w:pPr>
      <w:r w:rsidRPr="009468B7">
        <w:rPr>
          <w:rFonts w:ascii="Times New Roman" w:hAnsi="Times New Roman" w:cs="Times New Roman"/>
          <w:sz w:val="24"/>
          <w:szCs w:val="24"/>
          <w:lang w:val="fr-FR"/>
        </w:rPr>
        <w:t>Dans un premier temps, il faut s'habituer à la barrière culturelle, donc faut élaborer une stratégie d'action basée sur la différence culturelle en tant que telle.  Ça demande […] beaucoup de temps pour parler avec la personne pour mieux comprendre sa culture, ce qu'on n'a pas là ici. On ne prend pas le temps ici. (Louis, 40 ans, physiothérapeute)</w:t>
      </w:r>
    </w:p>
    <w:p w14:paraId="1453EB6B" w14:textId="77777777" w:rsidR="00A5639A" w:rsidRPr="009468B7" w:rsidRDefault="00A5639A" w:rsidP="002216EC">
      <w:pPr>
        <w:spacing w:line="360" w:lineRule="auto"/>
        <w:jc w:val="both"/>
        <w:rPr>
          <w:rFonts w:ascii="Times New Roman" w:hAnsi="Times New Roman" w:cs="Times New Roman"/>
          <w:sz w:val="24"/>
          <w:szCs w:val="24"/>
          <w:lang w:val="fr-FR"/>
        </w:rPr>
      </w:pPr>
      <w:r w:rsidRPr="009468B7">
        <w:rPr>
          <w:rFonts w:ascii="Times New Roman" w:hAnsi="Times New Roman" w:cs="Times New Roman"/>
          <w:sz w:val="24"/>
          <w:szCs w:val="24"/>
          <w:lang w:val="fr-FR"/>
        </w:rPr>
        <w:lastRenderedPageBreak/>
        <w:t>La stratégie évoquée par Louis suppose un temps d’intervention plus long qu’il n’est pas toujours facile d’intégrer dans un horaire. Cette situation peut se traduire par une charge cognitive et émotionnelle chez les intervenants pouvant même influencer le roulement de personnel comme le suggère cette autre intervenante :</w:t>
      </w:r>
    </w:p>
    <w:p w14:paraId="727B2562" w14:textId="77777777" w:rsidR="00A5639A" w:rsidRPr="009468B7" w:rsidRDefault="00A5639A" w:rsidP="002216EC">
      <w:pPr>
        <w:spacing w:line="360" w:lineRule="auto"/>
        <w:ind w:left="851"/>
        <w:jc w:val="both"/>
        <w:rPr>
          <w:rFonts w:ascii="Times New Roman" w:hAnsi="Times New Roman" w:cs="Times New Roman"/>
          <w:sz w:val="24"/>
          <w:szCs w:val="24"/>
          <w:lang w:val="fr-FR"/>
        </w:rPr>
      </w:pPr>
      <w:r w:rsidRPr="009468B7">
        <w:rPr>
          <w:rFonts w:ascii="Times New Roman" w:hAnsi="Times New Roman" w:cs="Times New Roman"/>
          <w:sz w:val="24"/>
          <w:szCs w:val="24"/>
          <w:lang w:val="fr-FR"/>
        </w:rPr>
        <w:t xml:space="preserve">On a perdu 3 adjointes ici parce qu'elles n’étaient pas capables de faire [la gestion des absences et des retards], il y en a 2 qui sont parties en dépression, puis une autre qui a juste quitté pour un autre emploi </w:t>
      </w:r>
      <w:r w:rsidRPr="009468B7">
        <w:rPr>
          <w:rFonts w:ascii="Times New Roman" w:hAnsi="Times New Roman" w:cs="Times New Roman"/>
          <w:iCs/>
          <w:sz w:val="24"/>
          <w:szCs w:val="24"/>
          <w:lang w:val="fr-FR"/>
        </w:rPr>
        <w:t>parce qu'ils disent c'est une clientèle trop difficile.  Pourtant ils sont super gentils, là. C'est juste [que] c'est trop difficile à faire entrer dans un horaire</w:t>
      </w:r>
      <w:r w:rsidRPr="009468B7">
        <w:rPr>
          <w:rFonts w:ascii="Times New Roman" w:hAnsi="Times New Roman" w:cs="Times New Roman"/>
          <w:sz w:val="24"/>
          <w:szCs w:val="24"/>
          <w:lang w:val="fr-FR"/>
        </w:rPr>
        <w:t>. Elles disent que c'est une clientèle trop difficile. (Emma, 27 ans, ergothérapeute)</w:t>
      </w:r>
    </w:p>
    <w:p w14:paraId="795625AC" w14:textId="77777777" w:rsidR="00A5639A" w:rsidRPr="009468B7" w:rsidRDefault="00A5639A" w:rsidP="002216EC">
      <w:pPr>
        <w:spacing w:line="360" w:lineRule="auto"/>
        <w:rPr>
          <w:rFonts w:ascii="Times New Roman" w:hAnsi="Times New Roman" w:cs="Times New Roman"/>
          <w:sz w:val="24"/>
          <w:szCs w:val="24"/>
          <w:lang w:val="fr-FR"/>
        </w:rPr>
      </w:pPr>
      <w:r w:rsidRPr="009468B7">
        <w:rPr>
          <w:rFonts w:ascii="Times New Roman" w:hAnsi="Times New Roman" w:cs="Times New Roman"/>
          <w:sz w:val="24"/>
          <w:szCs w:val="24"/>
          <w:lang w:val="fr-FR"/>
        </w:rPr>
        <w:t xml:space="preserve">Cette charge de travail n’évacue aucunement la compassion des intervenants et le désir de leur venir en aide, comme cet intervenant : </w:t>
      </w:r>
    </w:p>
    <w:p w14:paraId="78F02819" w14:textId="77777777" w:rsidR="00A5639A" w:rsidRPr="009468B7" w:rsidRDefault="00A5639A" w:rsidP="002216EC">
      <w:pPr>
        <w:spacing w:line="360" w:lineRule="auto"/>
        <w:ind w:left="851"/>
        <w:jc w:val="both"/>
        <w:rPr>
          <w:rFonts w:ascii="Times New Roman" w:hAnsi="Times New Roman" w:cs="Times New Roman"/>
          <w:sz w:val="24"/>
          <w:szCs w:val="24"/>
        </w:rPr>
      </w:pPr>
      <w:r w:rsidRPr="009468B7">
        <w:rPr>
          <w:rFonts w:ascii="Times New Roman" w:hAnsi="Times New Roman" w:cs="Times New Roman"/>
          <w:sz w:val="24"/>
          <w:szCs w:val="24"/>
          <w:lang w:val="fr-FR"/>
        </w:rPr>
        <w:t>I</w:t>
      </w:r>
      <w:r w:rsidRPr="009468B7">
        <w:rPr>
          <w:rFonts w:ascii="Times New Roman" w:hAnsi="Times New Roman" w:cs="Times New Roman"/>
          <w:sz w:val="24"/>
          <w:szCs w:val="24"/>
        </w:rPr>
        <w:t>l arrive souvent que je pense dans la douche à mes dossiers … souvent nous sommes pris avec toute la détresse de nos clients. (Alexis, 25 ans, diplômé en travail social, intervenant au sein d’un assureur public)</w:t>
      </w:r>
    </w:p>
    <w:p w14:paraId="303F4796" w14:textId="77777777" w:rsidR="00A5639A" w:rsidRPr="009468B7" w:rsidRDefault="00A5639A" w:rsidP="002216EC">
      <w:pPr>
        <w:spacing w:line="360" w:lineRule="auto"/>
        <w:jc w:val="both"/>
        <w:rPr>
          <w:rFonts w:ascii="Times New Roman" w:hAnsi="Times New Roman" w:cs="Times New Roman"/>
          <w:i/>
          <w:sz w:val="24"/>
          <w:szCs w:val="24"/>
          <w:lang w:val="fr-FR"/>
        </w:rPr>
      </w:pPr>
      <w:r w:rsidRPr="009468B7">
        <w:rPr>
          <w:rFonts w:ascii="Times New Roman" w:hAnsi="Times New Roman" w:cs="Times New Roman"/>
          <w:sz w:val="24"/>
          <w:szCs w:val="24"/>
          <w:lang w:val="fr-FR"/>
        </w:rPr>
        <w:t xml:space="preserve">En somme, les participants à cette étude décrivent différents aspects individuels qui se traduisent souvent par l’idée d’une manque de préparation et au besoin d’acquérir de nouvelles habiletés. De plus, ils décrivent la nécessité de mettre en place des stratégies d’intervention devant faciliter leur compréhension des problématiques interculturelles en énonçant des conséquences relatives au manque de préparation et d’outils qui se traduisent par une augmentation de la charge cognitive et émotionnelle. Pour éviter cette situation de surcharge des intervenants, il est primordiale d’avoir l’engagement de la direction afin qu’elle puisse reconnaître l’exigence pratique en contexte interculturel. </w:t>
      </w:r>
    </w:p>
    <w:p w14:paraId="06AA0CC1" w14:textId="77777777" w:rsidR="00A5639A" w:rsidRPr="009468B7" w:rsidRDefault="00A5639A" w:rsidP="002216EC">
      <w:pPr>
        <w:spacing w:line="360" w:lineRule="auto"/>
        <w:jc w:val="both"/>
        <w:rPr>
          <w:rFonts w:ascii="Times New Roman" w:hAnsi="Times New Roman" w:cs="Times New Roman"/>
          <w:b/>
          <w:i/>
          <w:sz w:val="24"/>
          <w:szCs w:val="24"/>
          <w:lang w:val="fr-FR"/>
        </w:rPr>
      </w:pPr>
      <w:r w:rsidRPr="009468B7">
        <w:rPr>
          <w:rFonts w:ascii="Times New Roman" w:hAnsi="Times New Roman" w:cs="Times New Roman"/>
          <w:b/>
          <w:i/>
          <w:sz w:val="24"/>
          <w:szCs w:val="24"/>
          <w:lang w:val="fr-FR"/>
        </w:rPr>
        <w:t>Aspects organisationnels de la pratique professionnelle</w:t>
      </w:r>
    </w:p>
    <w:p w14:paraId="44B7F1A0" w14:textId="77777777" w:rsidR="00A5639A" w:rsidRPr="009468B7" w:rsidRDefault="00A5639A" w:rsidP="002216EC">
      <w:pPr>
        <w:spacing w:line="360" w:lineRule="auto"/>
        <w:jc w:val="both"/>
        <w:rPr>
          <w:rFonts w:ascii="Times New Roman" w:hAnsi="Times New Roman" w:cs="Times New Roman"/>
          <w:sz w:val="24"/>
          <w:szCs w:val="24"/>
          <w:lang w:val="fr-FR"/>
        </w:rPr>
      </w:pPr>
      <w:r w:rsidRPr="009468B7">
        <w:rPr>
          <w:rFonts w:ascii="Times New Roman" w:hAnsi="Times New Roman" w:cs="Times New Roman"/>
          <w:sz w:val="24"/>
          <w:szCs w:val="24"/>
          <w:lang w:val="fr-FR"/>
        </w:rPr>
        <w:t xml:space="preserve">Les aspects individuels décrivent surtout l’exigence pratique de l’intervention dans certains contextes pluriethniques. Mais pour être compréhensible, cette exigence pratique doit être située dans le contexte de travail des intervenants.  Le fait qu’un manque d’outils ou de préparation puisse être lié à une charge cognitive ou émotionnelle pouvant induire une volonté de changer </w:t>
      </w:r>
      <w:r w:rsidRPr="009468B7">
        <w:rPr>
          <w:rFonts w:ascii="Times New Roman" w:hAnsi="Times New Roman" w:cs="Times New Roman"/>
          <w:sz w:val="24"/>
          <w:szCs w:val="24"/>
          <w:lang w:val="fr-FR"/>
        </w:rPr>
        <w:lastRenderedPageBreak/>
        <w:t>d’emploi dénote la présence probable de certains enjeux organisationnels. Pour certains intervenants interrogés, l’adaptation à la clientèle n’est pas qu’une affaire d’habileté personnelle et de compétences relationnelles, elle repose aussi sur la capacité de leur organisation à sadapter à la réalité de la diversité ethnoculturelle. L’extrait suivant illustre cette prise de position :</w:t>
      </w:r>
    </w:p>
    <w:p w14:paraId="5FBD52BA" w14:textId="77777777" w:rsidR="00A5639A" w:rsidRPr="009468B7" w:rsidRDefault="00A5639A" w:rsidP="002216EC">
      <w:pPr>
        <w:spacing w:line="360" w:lineRule="auto"/>
        <w:ind w:left="851"/>
        <w:jc w:val="both"/>
        <w:rPr>
          <w:rFonts w:ascii="Times New Roman" w:hAnsi="Times New Roman" w:cs="Times New Roman"/>
          <w:sz w:val="24"/>
          <w:szCs w:val="24"/>
        </w:rPr>
      </w:pPr>
      <w:r w:rsidRPr="009468B7">
        <w:rPr>
          <w:rFonts w:ascii="Times New Roman" w:hAnsi="Times New Roman" w:cs="Times New Roman"/>
          <w:sz w:val="24"/>
          <w:szCs w:val="24"/>
        </w:rPr>
        <w:t xml:space="preserve">Je pense qu'au niveau organisationnel </w:t>
      </w:r>
      <w:r w:rsidRPr="009468B7">
        <w:rPr>
          <w:rFonts w:ascii="Times New Roman" w:hAnsi="Times New Roman" w:cs="Times New Roman"/>
          <w:iCs/>
          <w:sz w:val="24"/>
          <w:szCs w:val="24"/>
          <w:lang w:val="fr-FR"/>
        </w:rPr>
        <w:t xml:space="preserve">[il faudrait] </w:t>
      </w:r>
      <w:r w:rsidRPr="009468B7">
        <w:rPr>
          <w:rFonts w:ascii="Times New Roman" w:hAnsi="Times New Roman" w:cs="Times New Roman"/>
          <w:sz w:val="24"/>
          <w:szCs w:val="24"/>
        </w:rPr>
        <w:t xml:space="preserve">qu'on se mette à l'heure du jour en fait, que oui Montréal c'est multiculturel </w:t>
      </w:r>
      <w:r w:rsidRPr="009468B7">
        <w:rPr>
          <w:rFonts w:ascii="Times New Roman" w:hAnsi="Times New Roman" w:cs="Times New Roman"/>
          <w:iCs/>
          <w:sz w:val="24"/>
          <w:szCs w:val="24"/>
          <w:lang w:val="fr-FR"/>
        </w:rPr>
        <w:t xml:space="preserve">[…] </w:t>
      </w:r>
      <w:r w:rsidRPr="009468B7">
        <w:rPr>
          <w:rFonts w:ascii="Times New Roman" w:hAnsi="Times New Roman" w:cs="Times New Roman"/>
          <w:sz w:val="24"/>
          <w:szCs w:val="24"/>
        </w:rPr>
        <w:t>Je pense que ça on accuse beaucoup de retard qui pourrait nous aider à développer d'autres stratégies puis à gérer un dossier d'une personne immigrante de la même façon qu'on pourrait gérer un dossier d'un Québécois. (Extrait d’un focus group, assureur public)</w:t>
      </w:r>
    </w:p>
    <w:p w14:paraId="7D1B8DF9" w14:textId="77777777" w:rsidR="00A5639A" w:rsidRPr="009468B7" w:rsidRDefault="00A5639A" w:rsidP="002216EC">
      <w:pPr>
        <w:spacing w:line="360" w:lineRule="auto"/>
        <w:jc w:val="both"/>
        <w:rPr>
          <w:rFonts w:ascii="Times New Roman" w:hAnsi="Times New Roman" w:cs="Times New Roman"/>
          <w:sz w:val="24"/>
          <w:szCs w:val="24"/>
        </w:rPr>
      </w:pPr>
      <w:r w:rsidRPr="009468B7">
        <w:rPr>
          <w:rFonts w:ascii="Times New Roman" w:hAnsi="Times New Roman" w:cs="Times New Roman"/>
          <w:sz w:val="24"/>
          <w:szCs w:val="24"/>
        </w:rPr>
        <w:t xml:space="preserve">L’extrait qui suit évoque encore une fois la charge de travail des intervenants, en la situant dans le contexte de l’établissement qui ne reconnaîtrait pas suffisamment le travail réel des intervenants qui, pour parfaire leur intervention et leurs suivis de dossiers, débordent du temps de travail officiellement reconnu : </w:t>
      </w:r>
    </w:p>
    <w:p w14:paraId="25227295" w14:textId="77777777" w:rsidR="00A5639A" w:rsidRPr="009468B7" w:rsidRDefault="00A5639A" w:rsidP="002216EC">
      <w:pPr>
        <w:spacing w:before="240" w:line="360" w:lineRule="auto"/>
        <w:ind w:left="851"/>
        <w:jc w:val="both"/>
        <w:rPr>
          <w:rFonts w:ascii="Times New Roman" w:hAnsi="Times New Roman" w:cs="Times New Roman"/>
          <w:sz w:val="24"/>
          <w:szCs w:val="24"/>
        </w:rPr>
      </w:pPr>
      <w:r w:rsidRPr="009468B7">
        <w:rPr>
          <w:rFonts w:ascii="Times New Roman" w:hAnsi="Times New Roman" w:cs="Times New Roman"/>
          <w:sz w:val="24"/>
          <w:szCs w:val="24"/>
        </w:rPr>
        <w:t xml:space="preserve">En tout cas, pour ma part ça arrive souvent que je vais continuer à travailler en dînant </w:t>
      </w:r>
      <w:r w:rsidRPr="009468B7">
        <w:rPr>
          <w:rFonts w:ascii="Times New Roman" w:hAnsi="Times New Roman" w:cs="Times New Roman"/>
          <w:iCs/>
          <w:sz w:val="24"/>
          <w:szCs w:val="24"/>
          <w:lang w:val="fr-FR"/>
        </w:rPr>
        <w:t xml:space="preserve">[…] </w:t>
      </w:r>
      <w:r w:rsidRPr="009468B7">
        <w:rPr>
          <w:rFonts w:ascii="Times New Roman" w:hAnsi="Times New Roman" w:cs="Times New Roman"/>
          <w:sz w:val="24"/>
          <w:szCs w:val="24"/>
        </w:rPr>
        <w:t>parce qu’on est limité puis, je pense que le contexte organisationnel fait que</w:t>
      </w:r>
      <w:r w:rsidRPr="009468B7">
        <w:rPr>
          <w:rFonts w:ascii="Times New Roman" w:hAnsi="Times New Roman" w:cs="Times New Roman"/>
          <w:iCs/>
          <w:sz w:val="24"/>
          <w:szCs w:val="24"/>
          <w:lang w:val="fr-FR"/>
        </w:rPr>
        <w:t xml:space="preserve">… </w:t>
      </w:r>
      <w:r w:rsidRPr="009468B7">
        <w:rPr>
          <w:rFonts w:ascii="Times New Roman" w:hAnsi="Times New Roman" w:cs="Times New Roman"/>
          <w:sz w:val="24"/>
          <w:szCs w:val="24"/>
        </w:rPr>
        <w:t>(Extrait d’un focus group, assureur public)</w:t>
      </w:r>
    </w:p>
    <w:p w14:paraId="359291FA" w14:textId="77777777" w:rsidR="00A5639A" w:rsidRPr="009468B7" w:rsidRDefault="00A5639A" w:rsidP="002216EC">
      <w:pPr>
        <w:spacing w:line="360" w:lineRule="auto"/>
        <w:rPr>
          <w:rFonts w:ascii="Times New Roman" w:hAnsi="Times New Roman" w:cs="Times New Roman"/>
          <w:sz w:val="24"/>
          <w:szCs w:val="24"/>
        </w:rPr>
      </w:pPr>
      <w:r w:rsidRPr="009468B7">
        <w:rPr>
          <w:rFonts w:ascii="Times New Roman" w:hAnsi="Times New Roman" w:cs="Times New Roman"/>
          <w:sz w:val="24"/>
          <w:szCs w:val="24"/>
        </w:rPr>
        <w:t>Puis :</w:t>
      </w:r>
    </w:p>
    <w:p w14:paraId="52F6E11C" w14:textId="77777777" w:rsidR="00A5639A" w:rsidRPr="009468B7" w:rsidRDefault="00A5639A" w:rsidP="002216EC">
      <w:pPr>
        <w:spacing w:line="360" w:lineRule="auto"/>
        <w:ind w:left="851"/>
        <w:jc w:val="both"/>
        <w:rPr>
          <w:rFonts w:ascii="Times New Roman" w:hAnsi="Times New Roman" w:cs="Times New Roman"/>
          <w:sz w:val="24"/>
          <w:szCs w:val="24"/>
        </w:rPr>
      </w:pPr>
      <w:r w:rsidRPr="009468B7">
        <w:rPr>
          <w:rFonts w:ascii="Times New Roman" w:hAnsi="Times New Roman" w:cs="Times New Roman"/>
          <w:sz w:val="24"/>
          <w:szCs w:val="24"/>
        </w:rPr>
        <w:t xml:space="preserve">Si on regarde le résultat, ça va être que si t'es un travailleur qui a subi un accident de travail </w:t>
      </w:r>
      <w:r w:rsidRPr="009468B7">
        <w:rPr>
          <w:rFonts w:ascii="Times New Roman" w:hAnsi="Times New Roman" w:cs="Times New Roman"/>
          <w:iCs/>
          <w:sz w:val="24"/>
          <w:szCs w:val="24"/>
          <w:lang w:val="fr-FR"/>
        </w:rPr>
        <w:t xml:space="preserve">[et qui se retrouve] dans une direction régionale qui est plus proactive qu’une autre, tu </w:t>
      </w:r>
      <w:r w:rsidRPr="009468B7">
        <w:rPr>
          <w:rFonts w:ascii="Times New Roman" w:hAnsi="Times New Roman" w:cs="Times New Roman"/>
          <w:sz w:val="24"/>
          <w:szCs w:val="24"/>
        </w:rPr>
        <w:t xml:space="preserve">as plus de chances de t'en sortir que dans l’autre </w:t>
      </w:r>
      <w:r w:rsidRPr="009468B7">
        <w:rPr>
          <w:rFonts w:ascii="Times New Roman" w:hAnsi="Times New Roman" w:cs="Times New Roman"/>
          <w:iCs/>
          <w:sz w:val="24"/>
          <w:szCs w:val="24"/>
          <w:lang w:val="fr-FR"/>
        </w:rPr>
        <w:t xml:space="preserve">[direction] </w:t>
      </w:r>
      <w:r w:rsidRPr="009468B7">
        <w:rPr>
          <w:rFonts w:ascii="Times New Roman" w:hAnsi="Times New Roman" w:cs="Times New Roman"/>
          <w:sz w:val="24"/>
          <w:szCs w:val="24"/>
        </w:rPr>
        <w:t>régionale où ils vont viser autre chose puis là ton dossier va peut-être durer plus longtemps.  Ce n’est pas juste ce facteur-là, mais ça vient s’ajouter à la complexité de la gestion de dossier en contexte interculturel. (Extrait d’un focus group, assureur public)</w:t>
      </w:r>
    </w:p>
    <w:p w14:paraId="6426DF56" w14:textId="77777777" w:rsidR="00A5639A" w:rsidRPr="009468B7" w:rsidRDefault="00A5639A" w:rsidP="002216EC">
      <w:pPr>
        <w:spacing w:before="240" w:line="360" w:lineRule="auto"/>
        <w:jc w:val="both"/>
        <w:rPr>
          <w:rFonts w:ascii="Times New Roman" w:hAnsi="Times New Roman" w:cs="Times New Roman"/>
          <w:sz w:val="24"/>
          <w:szCs w:val="24"/>
        </w:rPr>
      </w:pPr>
      <w:r w:rsidRPr="009468B7">
        <w:rPr>
          <w:rFonts w:ascii="Times New Roman" w:hAnsi="Times New Roman" w:cs="Times New Roman"/>
          <w:sz w:val="24"/>
          <w:szCs w:val="24"/>
        </w:rPr>
        <w:t>L’extrait suivant fait apparaître le questionnement chez les gestionnaires en situant ce dernier dans l’optique du rendement et de l’atteinte des résultats :</w:t>
      </w:r>
    </w:p>
    <w:p w14:paraId="4252E339" w14:textId="77777777" w:rsidR="00A5639A" w:rsidRPr="009468B7" w:rsidRDefault="00A5639A" w:rsidP="002216EC">
      <w:pPr>
        <w:spacing w:before="240" w:line="360" w:lineRule="auto"/>
        <w:ind w:left="851"/>
        <w:jc w:val="both"/>
        <w:rPr>
          <w:rFonts w:ascii="Times New Roman" w:hAnsi="Times New Roman" w:cs="Times New Roman"/>
          <w:sz w:val="24"/>
          <w:szCs w:val="24"/>
        </w:rPr>
      </w:pPr>
      <w:r w:rsidRPr="009468B7">
        <w:rPr>
          <w:rFonts w:ascii="Times New Roman" w:hAnsi="Times New Roman" w:cs="Times New Roman"/>
          <w:iCs/>
          <w:sz w:val="24"/>
          <w:szCs w:val="24"/>
          <w:lang w:val="fr-FR"/>
        </w:rPr>
        <w:t xml:space="preserve">[Les gestionnaires] </w:t>
      </w:r>
      <w:r w:rsidRPr="009468B7">
        <w:rPr>
          <w:rFonts w:ascii="Times New Roman" w:hAnsi="Times New Roman" w:cs="Times New Roman"/>
          <w:sz w:val="24"/>
          <w:szCs w:val="24"/>
        </w:rPr>
        <w:t xml:space="preserve">sont en train d'essayer de comprendre ce qui se passe parce qu'ils comprennent qu'il y a quelque chose là, il y a des écarts [culturels]. C'est parce qu’il y a les résultats aussi au bout du compte.  On est dans un système où on nous demande des </w:t>
      </w:r>
      <w:r w:rsidRPr="009468B7">
        <w:rPr>
          <w:rFonts w:ascii="Times New Roman" w:hAnsi="Times New Roman" w:cs="Times New Roman"/>
          <w:sz w:val="24"/>
          <w:szCs w:val="24"/>
        </w:rPr>
        <w:lastRenderedPageBreak/>
        <w:t xml:space="preserve">résultats.  Donc tout devient un chiffre, </w:t>
      </w:r>
      <w:r w:rsidRPr="009468B7">
        <w:rPr>
          <w:rFonts w:ascii="Times New Roman" w:hAnsi="Times New Roman" w:cs="Times New Roman"/>
          <w:iCs/>
          <w:sz w:val="24"/>
          <w:szCs w:val="24"/>
          <w:lang w:val="fr-FR"/>
        </w:rPr>
        <w:t xml:space="preserve">[c’est ce qui] </w:t>
      </w:r>
      <w:r w:rsidRPr="009468B7">
        <w:rPr>
          <w:rFonts w:ascii="Times New Roman" w:hAnsi="Times New Roman" w:cs="Times New Roman"/>
          <w:sz w:val="24"/>
          <w:szCs w:val="24"/>
        </w:rPr>
        <w:t xml:space="preserve">fait qu'eux aussi, [à] un moment donné, </w:t>
      </w:r>
      <w:r w:rsidRPr="009468B7">
        <w:rPr>
          <w:rFonts w:ascii="Times New Roman" w:hAnsi="Times New Roman" w:cs="Times New Roman"/>
          <w:iCs/>
          <w:sz w:val="24"/>
          <w:szCs w:val="24"/>
          <w:lang w:val="fr-FR"/>
        </w:rPr>
        <w:t xml:space="preserve">[ils] </w:t>
      </w:r>
      <w:r w:rsidRPr="009468B7">
        <w:rPr>
          <w:rFonts w:ascii="Times New Roman" w:hAnsi="Times New Roman" w:cs="Times New Roman"/>
          <w:sz w:val="24"/>
          <w:szCs w:val="24"/>
        </w:rPr>
        <w:t xml:space="preserve">se questionnent sur comment ça se fait que tel ou tel dossier </w:t>
      </w:r>
      <w:r w:rsidRPr="009468B7">
        <w:rPr>
          <w:rFonts w:ascii="Times New Roman" w:hAnsi="Times New Roman" w:cs="Times New Roman"/>
          <w:iCs/>
          <w:sz w:val="24"/>
          <w:szCs w:val="24"/>
          <w:lang w:val="fr-FR"/>
        </w:rPr>
        <w:t>[prend]</w:t>
      </w:r>
      <w:r w:rsidRPr="009468B7">
        <w:rPr>
          <w:rFonts w:ascii="Times New Roman" w:hAnsi="Times New Roman" w:cs="Times New Roman"/>
          <w:sz w:val="24"/>
          <w:szCs w:val="24"/>
        </w:rPr>
        <w:t xml:space="preserve"> autant de jours </w:t>
      </w:r>
      <w:r w:rsidRPr="009468B7">
        <w:rPr>
          <w:rFonts w:ascii="Times New Roman" w:hAnsi="Times New Roman" w:cs="Times New Roman"/>
          <w:iCs/>
          <w:sz w:val="24"/>
          <w:szCs w:val="24"/>
          <w:lang w:val="fr-FR"/>
        </w:rPr>
        <w:t xml:space="preserve">[à se régler] et trouvent que </w:t>
      </w:r>
      <w:r w:rsidRPr="009468B7">
        <w:rPr>
          <w:rFonts w:ascii="Times New Roman" w:hAnsi="Times New Roman" w:cs="Times New Roman"/>
          <w:sz w:val="24"/>
          <w:szCs w:val="24"/>
        </w:rPr>
        <w:t>ç'a n’a pas de bon sens  (Extrait d’un focus group, assureur public)</w:t>
      </w:r>
    </w:p>
    <w:p w14:paraId="00E3DAA7" w14:textId="77777777" w:rsidR="00A5639A" w:rsidRPr="009468B7" w:rsidRDefault="00A5639A" w:rsidP="002216EC">
      <w:pPr>
        <w:spacing w:line="360" w:lineRule="auto"/>
        <w:jc w:val="both"/>
        <w:rPr>
          <w:rFonts w:ascii="Times New Roman" w:hAnsi="Times New Roman" w:cs="Times New Roman"/>
          <w:sz w:val="24"/>
          <w:szCs w:val="24"/>
        </w:rPr>
      </w:pPr>
      <w:r w:rsidRPr="009468B7">
        <w:rPr>
          <w:rFonts w:ascii="Times New Roman" w:hAnsi="Times New Roman" w:cs="Times New Roman"/>
          <w:sz w:val="24"/>
          <w:szCs w:val="24"/>
        </w:rPr>
        <w:t xml:space="preserve">Les résultats dont il est fait mention dans cet extrait semblent moins portés sur le succès et l’issue de l’intervention en contexte interculturel que sur l’atteinte d’objectifs managériaux. Ce qui peut être une source de conflits intérieurs et de paradoxes si l’éthique professionnelle (atteinte de résultats cliniques ou relatifs à l’intervention) contrevient à l’éthique managériale (atteinte des objectifs en termes de rendement performatif) comme nous l’avons décrit dans un autre écrit </w:t>
      </w:r>
      <w:r w:rsidRPr="009468B7">
        <w:rPr>
          <w:rFonts w:ascii="Times New Roman" w:hAnsi="Times New Roman" w:cs="Times New Roman"/>
          <w:noProof/>
          <w:sz w:val="24"/>
          <w:szCs w:val="24"/>
        </w:rPr>
        <w:t>(Côté et Dubé, 2018)</w:t>
      </w:r>
      <w:r w:rsidRPr="009468B7">
        <w:rPr>
          <w:rFonts w:ascii="Times New Roman" w:hAnsi="Times New Roman" w:cs="Times New Roman"/>
          <w:sz w:val="24"/>
          <w:szCs w:val="24"/>
        </w:rPr>
        <w:t xml:space="preserve">. </w:t>
      </w:r>
    </w:p>
    <w:p w14:paraId="4047DD15" w14:textId="77777777" w:rsidR="00A5639A" w:rsidRPr="009468B7" w:rsidRDefault="00A5639A" w:rsidP="002216EC">
      <w:pPr>
        <w:spacing w:line="360" w:lineRule="auto"/>
        <w:jc w:val="both"/>
        <w:rPr>
          <w:rFonts w:ascii="Times New Roman" w:hAnsi="Times New Roman" w:cs="Times New Roman"/>
          <w:sz w:val="24"/>
          <w:szCs w:val="24"/>
        </w:rPr>
      </w:pPr>
      <w:r w:rsidRPr="009468B7">
        <w:rPr>
          <w:rFonts w:ascii="Times New Roman" w:hAnsi="Times New Roman" w:cs="Times New Roman"/>
          <w:sz w:val="24"/>
          <w:szCs w:val="24"/>
        </w:rPr>
        <w:t>Il se peut également que les gestionnaires aient une compréhension incomplète et partielle de l’exigence de l’acte à poser ou de la tâche à réaliser en contexte interculturel. Cela peut se traduire par un manque de soutien instrumental et émotionnel :</w:t>
      </w:r>
    </w:p>
    <w:p w14:paraId="1FF9531C" w14:textId="77777777" w:rsidR="00A5639A" w:rsidRPr="009468B7" w:rsidRDefault="00A5639A" w:rsidP="002216EC">
      <w:pPr>
        <w:spacing w:line="360" w:lineRule="auto"/>
        <w:ind w:left="851"/>
        <w:jc w:val="both"/>
        <w:rPr>
          <w:rFonts w:ascii="Times New Roman" w:hAnsi="Times New Roman" w:cs="Times New Roman"/>
          <w:bCs/>
          <w:sz w:val="24"/>
          <w:szCs w:val="24"/>
        </w:rPr>
      </w:pPr>
      <w:r w:rsidRPr="009468B7">
        <w:rPr>
          <w:rFonts w:ascii="Times New Roman" w:hAnsi="Times New Roman" w:cs="Times New Roman"/>
          <w:iCs/>
          <w:sz w:val="24"/>
          <w:szCs w:val="24"/>
        </w:rPr>
        <w:t xml:space="preserve"> Ma </w:t>
      </w:r>
      <w:r w:rsidRPr="009468B7">
        <w:rPr>
          <w:rFonts w:ascii="Times New Roman" w:hAnsi="Times New Roman" w:cs="Times New Roman"/>
          <w:i/>
          <w:iCs/>
          <w:sz w:val="24"/>
          <w:szCs w:val="24"/>
        </w:rPr>
        <w:t>boss</w:t>
      </w:r>
      <w:r w:rsidRPr="009468B7">
        <w:rPr>
          <w:rFonts w:ascii="Times New Roman" w:hAnsi="Times New Roman" w:cs="Times New Roman"/>
          <w:iCs/>
          <w:sz w:val="24"/>
          <w:szCs w:val="24"/>
        </w:rPr>
        <w:t xml:space="preserve"> est pas vraiment au courant, faut qu'on le dise. Mais moi [je ne trouve] pas [que l’on se fait] soutenir vraiment bien parce que, quand on parle de nos problématiques, ça nous revient dessus tu sais » </w:t>
      </w:r>
      <w:r w:rsidRPr="009468B7">
        <w:rPr>
          <w:rFonts w:ascii="Times New Roman" w:hAnsi="Times New Roman" w:cs="Times New Roman"/>
          <w:bCs/>
          <w:sz w:val="24"/>
          <w:szCs w:val="24"/>
        </w:rPr>
        <w:t>(Emma, 27 ans, ergothérapeute en pratique privée).</w:t>
      </w:r>
    </w:p>
    <w:p w14:paraId="3AF62E5E" w14:textId="77777777" w:rsidR="00A5639A" w:rsidRPr="009468B7" w:rsidRDefault="00A5639A" w:rsidP="002216EC">
      <w:pPr>
        <w:spacing w:line="360" w:lineRule="auto"/>
        <w:ind w:left="142"/>
        <w:jc w:val="both"/>
        <w:rPr>
          <w:rFonts w:ascii="Times New Roman" w:hAnsi="Times New Roman" w:cs="Times New Roman"/>
          <w:bCs/>
          <w:sz w:val="24"/>
          <w:szCs w:val="24"/>
        </w:rPr>
      </w:pPr>
      <w:r w:rsidRPr="009468B7">
        <w:rPr>
          <w:rFonts w:ascii="Times New Roman" w:hAnsi="Times New Roman" w:cs="Times New Roman"/>
          <w:bCs/>
          <w:sz w:val="24"/>
          <w:szCs w:val="24"/>
        </w:rPr>
        <w:t>Ce manque de soutien peut induire un sentiment de surcharge :</w:t>
      </w:r>
    </w:p>
    <w:p w14:paraId="115D93C8" w14:textId="77777777" w:rsidR="00A5639A" w:rsidRPr="009468B7" w:rsidRDefault="00A5639A" w:rsidP="002216EC">
      <w:pPr>
        <w:spacing w:line="360" w:lineRule="auto"/>
        <w:ind w:left="851"/>
        <w:jc w:val="both"/>
        <w:rPr>
          <w:rFonts w:ascii="Times New Roman" w:hAnsi="Times New Roman" w:cs="Times New Roman"/>
          <w:sz w:val="24"/>
          <w:szCs w:val="24"/>
        </w:rPr>
      </w:pPr>
      <w:r w:rsidRPr="009468B7">
        <w:rPr>
          <w:rFonts w:ascii="Times New Roman" w:hAnsi="Times New Roman" w:cs="Times New Roman"/>
          <w:sz w:val="24"/>
          <w:szCs w:val="24"/>
        </w:rPr>
        <w:t>C'est sûr que je sens que des fois on est des fois surchargé aussi, tu sais si t'as 45 dossiers, t'as pas le moyen non plus d’intervenir pour chacun comme t'aimerais… (Victoria, 34 ans, née en Amérique du Sud, diplômée en travail social, intervenante au sein d’un assureur public)</w:t>
      </w:r>
    </w:p>
    <w:p w14:paraId="4DFB2C02" w14:textId="77777777" w:rsidR="00A5639A" w:rsidRPr="009468B7" w:rsidRDefault="00A5639A" w:rsidP="002216EC">
      <w:pPr>
        <w:spacing w:line="360" w:lineRule="auto"/>
        <w:jc w:val="both"/>
        <w:rPr>
          <w:rFonts w:ascii="Times New Roman" w:hAnsi="Times New Roman" w:cs="Times New Roman"/>
          <w:sz w:val="24"/>
          <w:szCs w:val="24"/>
        </w:rPr>
      </w:pPr>
      <w:r w:rsidRPr="009468B7">
        <w:rPr>
          <w:rFonts w:ascii="Times New Roman" w:hAnsi="Times New Roman" w:cs="Times New Roman"/>
          <w:sz w:val="24"/>
          <w:szCs w:val="24"/>
        </w:rPr>
        <w:t>Plusieurs intervenants ont situé cette surcharge dans un contexte plus large qui ne tient pas compte des enjeux de la pratique en contextes interculturels. Comme l’illustre l’extrait suivant, ce serait plutôt le système dans son ensemble qui devrait s’ajuster à cette situation :</w:t>
      </w:r>
    </w:p>
    <w:p w14:paraId="37D42617" w14:textId="77777777" w:rsidR="00A5639A" w:rsidRPr="009468B7" w:rsidRDefault="00A5639A" w:rsidP="002216EC">
      <w:pPr>
        <w:spacing w:line="360" w:lineRule="auto"/>
        <w:ind w:left="851"/>
        <w:jc w:val="both"/>
        <w:rPr>
          <w:rFonts w:ascii="Times New Roman" w:hAnsi="Times New Roman" w:cs="Times New Roman"/>
          <w:sz w:val="24"/>
          <w:szCs w:val="24"/>
        </w:rPr>
      </w:pPr>
      <w:r w:rsidRPr="009468B7">
        <w:rPr>
          <w:rFonts w:ascii="Times New Roman" w:hAnsi="Times New Roman" w:cs="Times New Roman"/>
          <w:sz w:val="24"/>
          <w:szCs w:val="24"/>
        </w:rPr>
        <w:t xml:space="preserve">Puis je trouve que si on était capable d'être mieux outillé </w:t>
      </w:r>
      <w:r w:rsidRPr="009468B7">
        <w:rPr>
          <w:rFonts w:ascii="Times New Roman" w:hAnsi="Times New Roman" w:cs="Times New Roman"/>
          <w:sz w:val="24"/>
          <w:szCs w:val="24"/>
          <w:lang w:val="fr-FR"/>
        </w:rPr>
        <w:t>[…]</w:t>
      </w:r>
      <w:r w:rsidRPr="009468B7">
        <w:rPr>
          <w:rFonts w:ascii="Times New Roman" w:hAnsi="Times New Roman" w:cs="Times New Roman"/>
          <w:sz w:val="24"/>
          <w:szCs w:val="24"/>
        </w:rPr>
        <w:t xml:space="preserve"> parce que de ce que je me suis rendu compte de mon expérience en suivi de dossiers, c'est que le temps joue contre </w:t>
      </w:r>
      <w:r w:rsidRPr="009468B7">
        <w:rPr>
          <w:rFonts w:ascii="Times New Roman" w:hAnsi="Times New Roman" w:cs="Times New Roman"/>
          <w:sz w:val="24"/>
          <w:szCs w:val="24"/>
        </w:rPr>
        <w:lastRenderedPageBreak/>
        <w:t xml:space="preserve">nous, notre système </w:t>
      </w:r>
      <w:r w:rsidRPr="009468B7">
        <w:rPr>
          <w:rFonts w:ascii="Times New Roman" w:hAnsi="Times New Roman" w:cs="Times New Roman"/>
          <w:sz w:val="24"/>
          <w:szCs w:val="24"/>
          <w:lang w:val="fr-FR"/>
        </w:rPr>
        <w:t xml:space="preserve">[…] </w:t>
      </w:r>
      <w:r w:rsidRPr="009468B7">
        <w:rPr>
          <w:rFonts w:ascii="Times New Roman" w:hAnsi="Times New Roman" w:cs="Times New Roman"/>
          <w:sz w:val="24"/>
          <w:szCs w:val="24"/>
        </w:rPr>
        <w:t xml:space="preserve">est désuet </w:t>
      </w:r>
      <w:r w:rsidRPr="009468B7">
        <w:rPr>
          <w:rFonts w:ascii="Times New Roman" w:hAnsi="Times New Roman" w:cs="Times New Roman"/>
          <w:sz w:val="24"/>
          <w:szCs w:val="24"/>
          <w:lang w:val="fr-FR"/>
        </w:rPr>
        <w:t xml:space="preserve">[et] </w:t>
      </w:r>
      <w:r w:rsidRPr="009468B7">
        <w:rPr>
          <w:rFonts w:ascii="Times New Roman" w:hAnsi="Times New Roman" w:cs="Times New Roman"/>
          <w:sz w:val="24"/>
          <w:szCs w:val="24"/>
        </w:rPr>
        <w:t>joue contre nous. (extrait d’un focus group, assureur public)</w:t>
      </w:r>
    </w:p>
    <w:p w14:paraId="60C60045" w14:textId="77777777" w:rsidR="00A5639A" w:rsidRPr="009468B7" w:rsidRDefault="00A5639A" w:rsidP="002216EC">
      <w:pPr>
        <w:spacing w:line="360" w:lineRule="auto"/>
        <w:jc w:val="both"/>
        <w:rPr>
          <w:rFonts w:ascii="Times New Roman" w:hAnsi="Times New Roman" w:cs="Times New Roman"/>
          <w:sz w:val="24"/>
          <w:szCs w:val="24"/>
        </w:rPr>
      </w:pPr>
      <w:r w:rsidRPr="009468B7">
        <w:rPr>
          <w:rFonts w:ascii="Times New Roman" w:hAnsi="Times New Roman" w:cs="Times New Roman"/>
          <w:sz w:val="24"/>
          <w:szCs w:val="24"/>
        </w:rPr>
        <w:t>Les répondants à notre étude ne sont pas toujours très précis sur la nature de leurs besoins quand ils parlent d’ « être mieux outillés ». Par conséquents, certains d’entre eux ont mentionné vouloir optimiser leurs habiletés relationnelles, leur capacité à communiquer et à saisir plus rapidement les besoins des travailleurs immigrants afin de mieux comprendre leurs parcours de vie et les difficultés qui s’y rapportent. Toutefois, il apparaît clairement pour l’ensemble des intervenants interrogés que la solution doit inclure des modifications dans les pratiques organisationnelles et le fonctionnement des établissements en question. De nombreux centres de réadaptation offrant, notamment, des programmes de retour au travail, sont intégrés à un réseau de cliniques qui ne vivent pas toutes la réalité de la diversité ethnoculturelle :</w:t>
      </w:r>
    </w:p>
    <w:p w14:paraId="27052E96" w14:textId="77777777" w:rsidR="00A5639A" w:rsidRPr="009468B7" w:rsidRDefault="00A5639A" w:rsidP="002216EC">
      <w:pPr>
        <w:spacing w:line="360" w:lineRule="auto"/>
        <w:ind w:left="851"/>
        <w:jc w:val="both"/>
        <w:rPr>
          <w:rFonts w:ascii="Times New Roman" w:hAnsi="Times New Roman" w:cs="Times New Roman"/>
          <w:sz w:val="24"/>
          <w:szCs w:val="24"/>
        </w:rPr>
      </w:pPr>
      <w:r w:rsidRPr="009468B7">
        <w:rPr>
          <w:rFonts w:ascii="Times New Roman" w:hAnsi="Times New Roman" w:cs="Times New Roman"/>
          <w:sz w:val="24"/>
          <w:szCs w:val="24"/>
        </w:rPr>
        <w:t>Ils [gestionnaires] le savent, OK.  Comprendre, je ne suis pas sûre parce que on est juste deux cliniques sur 9 qui vivent cette situation</w:t>
      </w:r>
      <w:r w:rsidRPr="009468B7">
        <w:rPr>
          <w:rFonts w:ascii="Times New Roman" w:hAnsi="Times New Roman" w:cs="Times New Roman"/>
          <w:sz w:val="24"/>
          <w:szCs w:val="24"/>
        </w:rPr>
        <w:noBreakHyphen/>
        <w:t>là […] Est</w:t>
      </w:r>
      <w:r w:rsidRPr="009468B7">
        <w:rPr>
          <w:rFonts w:ascii="Times New Roman" w:hAnsi="Times New Roman" w:cs="Times New Roman"/>
          <w:sz w:val="24"/>
          <w:szCs w:val="24"/>
        </w:rPr>
        <w:noBreakHyphen/>
        <w:t>ce qu'ils vont me payer les 15 minutes de plus que ça prend [pour terminer l’intervention]? Pas pour l'instant.</w:t>
      </w:r>
    </w:p>
    <w:p w14:paraId="0CD8E9F7" w14:textId="77777777" w:rsidR="00A5639A" w:rsidRPr="009468B7" w:rsidRDefault="00A5639A" w:rsidP="002216EC">
      <w:pPr>
        <w:spacing w:line="360" w:lineRule="auto"/>
        <w:ind w:left="851"/>
        <w:jc w:val="both"/>
        <w:rPr>
          <w:rFonts w:ascii="Times New Roman" w:hAnsi="Times New Roman" w:cs="Times New Roman"/>
          <w:sz w:val="24"/>
          <w:szCs w:val="24"/>
        </w:rPr>
      </w:pPr>
      <w:r w:rsidRPr="009468B7">
        <w:rPr>
          <w:rFonts w:ascii="Times New Roman" w:hAnsi="Times New Roman" w:cs="Times New Roman"/>
          <w:sz w:val="24"/>
          <w:szCs w:val="24"/>
        </w:rPr>
        <w:t>(Emma, 27 ans, ergothérapeute)</w:t>
      </w:r>
    </w:p>
    <w:p w14:paraId="7894686B" w14:textId="77777777" w:rsidR="00A5639A" w:rsidRPr="009468B7" w:rsidRDefault="00A5639A" w:rsidP="002216EC">
      <w:pPr>
        <w:spacing w:line="360" w:lineRule="auto"/>
        <w:jc w:val="both"/>
        <w:rPr>
          <w:rFonts w:ascii="Times New Roman" w:hAnsi="Times New Roman" w:cs="Times New Roman"/>
          <w:sz w:val="24"/>
          <w:szCs w:val="24"/>
        </w:rPr>
      </w:pPr>
      <w:r w:rsidRPr="009468B7">
        <w:rPr>
          <w:rFonts w:ascii="Times New Roman" w:hAnsi="Times New Roman" w:cs="Times New Roman"/>
          <w:sz w:val="24"/>
          <w:szCs w:val="24"/>
        </w:rPr>
        <w:t>Il devient alors plus difficile de faire valoir le bien fondé de certains actes à poser qui demandent plus de temps ou qui nécessitent des suivis plus fréquents, y compris le recours à des ressources externes (par ex. : interprètes, organismes communautaires ou municipaux, organismes spécialisés en immigration ou venant en aide aux ressortissants originaires d’un pays ou d’une région en particulier, etc.).</w:t>
      </w:r>
    </w:p>
    <w:p w14:paraId="7076B9D8" w14:textId="77777777" w:rsidR="00A5639A" w:rsidRPr="009468B7" w:rsidRDefault="00A5639A" w:rsidP="002216EC">
      <w:pPr>
        <w:spacing w:line="360" w:lineRule="auto"/>
        <w:jc w:val="both"/>
        <w:rPr>
          <w:rFonts w:ascii="Times New Roman" w:hAnsi="Times New Roman" w:cs="Times New Roman"/>
          <w:sz w:val="24"/>
          <w:szCs w:val="24"/>
        </w:rPr>
      </w:pPr>
      <w:r w:rsidRPr="009468B7">
        <w:rPr>
          <w:rFonts w:ascii="Times New Roman" w:hAnsi="Times New Roman" w:cs="Times New Roman"/>
          <w:sz w:val="24"/>
          <w:szCs w:val="24"/>
        </w:rPr>
        <w:t>Les aspects organisationnels décrits par les participants font ressortir un certain manque de flexibilité dans la définition des tâches et, surtout, du temps de travail nécessaire à leur exécution. Il y aurait donc tout un  travail à faire pour que les actions requises pour atteindre les objectifs cliniques et organisationnels soient pleinement reconnues par les différentes instances.</w:t>
      </w:r>
    </w:p>
    <w:p w14:paraId="15C47FBE" w14:textId="77777777" w:rsidR="00A5639A" w:rsidRPr="009468B7" w:rsidRDefault="00A5639A" w:rsidP="002216EC">
      <w:pPr>
        <w:spacing w:line="360" w:lineRule="auto"/>
        <w:jc w:val="both"/>
        <w:rPr>
          <w:rFonts w:ascii="Times New Roman" w:hAnsi="Times New Roman" w:cs="Times New Roman"/>
          <w:i/>
          <w:sz w:val="24"/>
          <w:szCs w:val="24"/>
        </w:rPr>
      </w:pPr>
      <w:r w:rsidRPr="009468B7">
        <w:rPr>
          <w:rFonts w:ascii="Times New Roman" w:hAnsi="Times New Roman" w:cs="Times New Roman"/>
          <w:i/>
          <w:sz w:val="24"/>
          <w:szCs w:val="24"/>
        </w:rPr>
        <w:t>Aspects collectifs de la pratique professionnelle</w:t>
      </w:r>
    </w:p>
    <w:p w14:paraId="2E6561A2" w14:textId="77777777" w:rsidR="00A5639A" w:rsidRPr="009468B7" w:rsidRDefault="00A5639A" w:rsidP="002216EC">
      <w:pPr>
        <w:spacing w:line="360" w:lineRule="auto"/>
        <w:jc w:val="both"/>
        <w:rPr>
          <w:rFonts w:ascii="Times New Roman" w:hAnsi="Times New Roman" w:cs="Times New Roman"/>
          <w:sz w:val="24"/>
          <w:szCs w:val="24"/>
        </w:rPr>
      </w:pPr>
      <w:r w:rsidRPr="009468B7">
        <w:rPr>
          <w:rFonts w:ascii="Times New Roman" w:hAnsi="Times New Roman" w:cs="Times New Roman"/>
          <w:sz w:val="24"/>
          <w:szCs w:val="24"/>
        </w:rPr>
        <w:t xml:space="preserve">Pour relever les défis de l’intervention en contextes interculturels, certains établissements ont développé des mécanismes d’échange et de réflexion. Qu’il s’agisse de la mise sur pied d’ateliers de réflexion ou de communautés de pratique, certains établissements misent sur la capacité des </w:t>
      </w:r>
      <w:r w:rsidRPr="009468B7">
        <w:rPr>
          <w:rFonts w:ascii="Times New Roman" w:hAnsi="Times New Roman" w:cs="Times New Roman"/>
          <w:sz w:val="24"/>
          <w:szCs w:val="24"/>
        </w:rPr>
        <w:lastRenderedPageBreak/>
        <w:t xml:space="preserve">individus, réunis en collectif, de développer de nouvelles compétences et de tirer profit de l’expérience de chacun. </w:t>
      </w:r>
    </w:p>
    <w:p w14:paraId="025F53E1" w14:textId="77777777" w:rsidR="00A5639A" w:rsidRPr="009468B7" w:rsidRDefault="00A5639A" w:rsidP="002216EC">
      <w:pPr>
        <w:tabs>
          <w:tab w:val="left" w:pos="567"/>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before="240" w:line="360" w:lineRule="auto"/>
        <w:ind w:left="851"/>
        <w:jc w:val="both"/>
        <w:rPr>
          <w:rFonts w:ascii="Times New Roman" w:hAnsi="Times New Roman" w:cs="Times New Roman"/>
          <w:sz w:val="24"/>
          <w:szCs w:val="24"/>
        </w:rPr>
      </w:pPr>
      <w:r w:rsidRPr="009468B7">
        <w:rPr>
          <w:rFonts w:ascii="Times New Roman" w:hAnsi="Times New Roman" w:cs="Times New Roman"/>
          <w:sz w:val="24"/>
          <w:szCs w:val="24"/>
        </w:rPr>
        <w:t>Bien nous, on s'est parti une petite communauté de notre pratique en réadaptation […] et on fait des rencontres pour nous aider à avoir des pratiques gagnantes. […] on peut se parler des dossiers à cœur ouvert sans mettre nos gants blancs […] on peut vraiment dire qu'est-ce qu'on ferait avec tel dossier.  On demande à nos pairs leur feedback […]  Ça c'est aidant, c'est vraiment aidant. (Clara, 59 ans, diplômée en gestion des ressources humaine et intervenants au sein de l’assureur public)</w:t>
      </w:r>
    </w:p>
    <w:p w14:paraId="1E2191EB" w14:textId="77777777" w:rsidR="00A5639A" w:rsidRPr="009468B7" w:rsidRDefault="00A5639A" w:rsidP="002216EC">
      <w:pPr>
        <w:spacing w:line="360" w:lineRule="auto"/>
        <w:jc w:val="both"/>
        <w:rPr>
          <w:rFonts w:ascii="Times New Roman" w:hAnsi="Times New Roman" w:cs="Times New Roman"/>
          <w:sz w:val="24"/>
          <w:szCs w:val="24"/>
        </w:rPr>
      </w:pPr>
      <w:r w:rsidRPr="009468B7">
        <w:rPr>
          <w:rFonts w:ascii="Times New Roman" w:hAnsi="Times New Roman" w:cs="Times New Roman"/>
          <w:sz w:val="24"/>
          <w:szCs w:val="24"/>
        </w:rPr>
        <w:t>Ces rencontres portent sur l’ensemble des difficultés rencontrées dans le cadre de leur pratique professionnelle en réadaptation, notamment les défis que représentent pour eux certains dossiers de travailleurs accidentés dont les enjeux relatifs aux différences culturelles (par ex. : perception de la douleur et de la sévérité de la blessure, perception de capacité au travail, perception du rôle des intervenants et de leurs compétences, perception du traitement idéal, enjeux relatifs au décodage du langage non verbal et à l’expression des émotions). La compréhension du phénomène migratoire est également un sujet abordé lors de ces échanges.</w:t>
      </w:r>
    </w:p>
    <w:p w14:paraId="08E79A2D" w14:textId="77777777" w:rsidR="00A5639A" w:rsidRPr="009468B7" w:rsidRDefault="00A5639A" w:rsidP="002216EC">
      <w:pPr>
        <w:spacing w:line="360" w:lineRule="auto"/>
        <w:jc w:val="both"/>
        <w:rPr>
          <w:rFonts w:ascii="Times New Roman" w:hAnsi="Times New Roman" w:cs="Times New Roman"/>
          <w:sz w:val="24"/>
          <w:szCs w:val="24"/>
        </w:rPr>
      </w:pPr>
      <w:r w:rsidRPr="009468B7">
        <w:rPr>
          <w:rFonts w:ascii="Times New Roman" w:hAnsi="Times New Roman" w:cs="Times New Roman"/>
          <w:sz w:val="24"/>
          <w:szCs w:val="24"/>
        </w:rPr>
        <w:t>À la lumière des propos recueillis dans la cadre de notre étude, il apparaît très clairement que le développement et l’implantation de la compétence interculturelle est complexe et repose sur vision systémique des différents enjeux relatifs à l’intervention en contexte interculturel. Le caractère systémique de ces enjeux permet de penser la notion de compétence interculturelle à trois niveaux : individuel, collectif et organisationnel, et ceci, de manière intégrée.</w:t>
      </w:r>
    </w:p>
    <w:p w14:paraId="38126480" w14:textId="77777777" w:rsidR="00A5639A" w:rsidRPr="009468B7" w:rsidRDefault="00A5639A" w:rsidP="002216EC">
      <w:pPr>
        <w:spacing w:line="360" w:lineRule="auto"/>
        <w:rPr>
          <w:rFonts w:ascii="Times New Roman" w:hAnsi="Times New Roman" w:cs="Times New Roman"/>
          <w:b/>
          <w:sz w:val="24"/>
          <w:szCs w:val="24"/>
        </w:rPr>
      </w:pPr>
      <w:r w:rsidRPr="009468B7">
        <w:rPr>
          <w:rFonts w:ascii="Times New Roman" w:hAnsi="Times New Roman" w:cs="Times New Roman"/>
          <w:b/>
          <w:sz w:val="24"/>
          <w:szCs w:val="24"/>
        </w:rPr>
        <w:t>Discussion</w:t>
      </w:r>
    </w:p>
    <w:p w14:paraId="34A64629" w14:textId="77777777" w:rsidR="00A5639A" w:rsidRPr="009468B7" w:rsidRDefault="00A5639A" w:rsidP="002216EC">
      <w:pPr>
        <w:spacing w:line="360" w:lineRule="auto"/>
        <w:jc w:val="both"/>
        <w:rPr>
          <w:rFonts w:ascii="Times New Roman" w:hAnsi="Times New Roman" w:cs="Times New Roman"/>
          <w:sz w:val="24"/>
        </w:rPr>
      </w:pPr>
      <w:r w:rsidRPr="009468B7">
        <w:rPr>
          <w:rFonts w:ascii="Times New Roman" w:hAnsi="Times New Roman" w:cs="Times New Roman"/>
          <w:sz w:val="24"/>
        </w:rPr>
        <w:t xml:space="preserve">Nous avons dressé un portrait général de la situation d’intervenants œuvrant dans le contexte spécifique de l’indemnisation de travailleurs qui ont subi une lésion professionnelle, et leur réadaptation physique, sociale ou professionnelle. Nous avons cherché à mettre en relief les enjeux de ces interventions en contextes pluriethniques. Si nos données montrent que les intervenants tentent du mieux qu’ils peuvent, et au meilleur de leurs connaissances, de surmonter les barrières culturelles, elles mettent en relief le besoin de soutien organisationnel et d’une marge de manœuvre dans la mise en place des stratégies d’intervention qu’ils estiment appropriées. Les participants soulignent également l’importance d’avoir une compréhension </w:t>
      </w:r>
      <w:r w:rsidRPr="009468B7">
        <w:rPr>
          <w:rFonts w:ascii="Times New Roman" w:hAnsi="Times New Roman" w:cs="Times New Roman"/>
          <w:sz w:val="24"/>
        </w:rPr>
        <w:lastRenderedPageBreak/>
        <w:t xml:space="preserve">commune des enjeux de la pratique en contextes interculturelles (i.e. intervenants, gestionnaires, personnes en position d’autorité ou qui ont un pouvoir décisionnelle sur les orientations stratégiques des établissements concernés) de manière à éviter les situations de surcharge cognitive ou émotionnelle chez les intervenants. Nos données mettent en relief le rôle non négligeable des communautés de pratique pour faciliter un apprentissage collectif et une intelligence commune des stratégies à privilégier dans les situations les plus problématiques et favoriser leur dénouement. </w:t>
      </w:r>
    </w:p>
    <w:p w14:paraId="69DE6D8E" w14:textId="77777777" w:rsidR="00A5639A" w:rsidRPr="009468B7" w:rsidRDefault="00A5639A" w:rsidP="002216EC">
      <w:pPr>
        <w:spacing w:line="360" w:lineRule="auto"/>
        <w:jc w:val="both"/>
        <w:rPr>
          <w:rFonts w:ascii="Times New Roman" w:hAnsi="Times New Roman" w:cs="Times New Roman"/>
          <w:sz w:val="24"/>
        </w:rPr>
      </w:pPr>
      <w:r w:rsidRPr="009468B7">
        <w:rPr>
          <w:rFonts w:ascii="Times New Roman" w:hAnsi="Times New Roman" w:cs="Times New Roman"/>
          <w:sz w:val="24"/>
        </w:rPr>
        <w:t xml:space="preserve">Les conditions d’inclusion des personnes immigrantes sont multiples qu’il s’agisse de l’accès à l’emploi </w:t>
      </w:r>
      <w:r w:rsidRPr="009468B7">
        <w:rPr>
          <w:rFonts w:ascii="Times New Roman" w:hAnsi="Times New Roman" w:cs="Times New Roman"/>
          <w:noProof/>
          <w:sz w:val="24"/>
        </w:rPr>
        <w:t>(Premji et Shakya, 2017)</w:t>
      </w:r>
      <w:r w:rsidRPr="009468B7">
        <w:rPr>
          <w:rFonts w:ascii="Times New Roman" w:hAnsi="Times New Roman" w:cs="Times New Roman"/>
          <w:sz w:val="24"/>
        </w:rPr>
        <w:t xml:space="preserve"> et toute une série de services pour faciliter leur pleine intégration dans la société d’accueil, dans le respect de la diversité sous toutes ses formes </w:t>
      </w:r>
      <w:r w:rsidRPr="009468B7">
        <w:rPr>
          <w:rFonts w:ascii="Times New Roman" w:hAnsi="Times New Roman" w:cs="Times New Roman"/>
          <w:noProof/>
          <w:sz w:val="24"/>
        </w:rPr>
        <w:t>(Vertovec, 2007)</w:t>
      </w:r>
      <w:r w:rsidRPr="009468B7">
        <w:rPr>
          <w:rFonts w:ascii="Times New Roman" w:hAnsi="Times New Roman" w:cs="Times New Roman"/>
          <w:sz w:val="24"/>
        </w:rPr>
        <w:t xml:space="preserve">. Dans le contexte de la santé-sécurité du travail, d’autres facteurs viennent s’ajouter à la complexité de la question des conditions d’inclusion, notamment la connaissance des enjeux relatifs à la précarité du lien d’emploi et les nombreuses situations de vulnérabilités qui caractérisent le parcours social et professionnel de nombreux immigrants </w:t>
      </w:r>
      <w:r w:rsidRPr="009468B7">
        <w:rPr>
          <w:rFonts w:ascii="Times New Roman" w:hAnsi="Times New Roman" w:cs="Times New Roman"/>
          <w:noProof/>
          <w:sz w:val="24"/>
        </w:rPr>
        <w:t>(Vosko, 2006; Sargeant et Tucker, 2009; Anderson, 2010; Barrett et Sargeant, 2011; Kosny</w:t>
      </w:r>
      <w:r w:rsidRPr="009468B7">
        <w:rPr>
          <w:rFonts w:ascii="Times New Roman" w:hAnsi="Times New Roman" w:cs="Times New Roman"/>
          <w:i/>
          <w:noProof/>
          <w:sz w:val="24"/>
        </w:rPr>
        <w:t xml:space="preserve"> et al.</w:t>
      </w:r>
      <w:r w:rsidRPr="009468B7">
        <w:rPr>
          <w:rFonts w:ascii="Times New Roman" w:hAnsi="Times New Roman" w:cs="Times New Roman"/>
          <w:noProof/>
          <w:sz w:val="24"/>
        </w:rPr>
        <w:t>, 2011; Thirot, 2013)</w:t>
      </w:r>
      <w:r w:rsidRPr="009468B7">
        <w:rPr>
          <w:rFonts w:ascii="Times New Roman" w:hAnsi="Times New Roman" w:cs="Times New Roman"/>
          <w:sz w:val="24"/>
        </w:rPr>
        <w:t xml:space="preserve">. Comprendre ces différents enjeux devient une condition de la compétence interculturelle des intervenants qui œuvrent dans le domaine afin de comprendre le vécu de leur clientèle et d’y apporter une réponse adaptée </w:t>
      </w:r>
      <w:r w:rsidRPr="009468B7">
        <w:rPr>
          <w:rFonts w:ascii="Times New Roman" w:hAnsi="Times New Roman" w:cs="Times New Roman"/>
          <w:noProof/>
          <w:sz w:val="24"/>
        </w:rPr>
        <w:t>(Muñoz, 2007; Anand et Lahiri, 2009; Renzaho</w:t>
      </w:r>
      <w:r w:rsidRPr="009468B7">
        <w:rPr>
          <w:rFonts w:ascii="Times New Roman" w:hAnsi="Times New Roman" w:cs="Times New Roman"/>
          <w:i/>
          <w:noProof/>
          <w:sz w:val="24"/>
        </w:rPr>
        <w:t xml:space="preserve"> et al.</w:t>
      </w:r>
      <w:r w:rsidRPr="009468B7">
        <w:rPr>
          <w:rFonts w:ascii="Times New Roman" w:hAnsi="Times New Roman" w:cs="Times New Roman"/>
          <w:noProof/>
          <w:sz w:val="24"/>
        </w:rPr>
        <w:t>, 2013; Beagan, 2015; Henderson</w:t>
      </w:r>
      <w:r w:rsidRPr="009468B7">
        <w:rPr>
          <w:rFonts w:ascii="Times New Roman" w:hAnsi="Times New Roman" w:cs="Times New Roman"/>
          <w:i/>
          <w:noProof/>
          <w:sz w:val="24"/>
        </w:rPr>
        <w:t xml:space="preserve"> et al.</w:t>
      </w:r>
      <w:r w:rsidRPr="009468B7">
        <w:rPr>
          <w:rFonts w:ascii="Times New Roman" w:hAnsi="Times New Roman" w:cs="Times New Roman"/>
          <w:noProof/>
          <w:sz w:val="24"/>
        </w:rPr>
        <w:t>, 2018)</w:t>
      </w:r>
      <w:r w:rsidRPr="009468B7">
        <w:rPr>
          <w:rFonts w:ascii="Times New Roman" w:hAnsi="Times New Roman" w:cs="Times New Roman"/>
          <w:sz w:val="24"/>
        </w:rPr>
        <w:t xml:space="preserve">. Toutefois, imputer une réponse adaptée à la seule compétence individuelle des intervenants comporte des risques qui, comme nous l’avons vu dans les extraits présentés plus hauts, peut avoir un impact négatif chez ces derniers, notamment en matière de surcharge et le sentiment de n’être pas assez « outillé » pour offrir une intervention de de même qualité aux travailleurs immigrants. Une fatigue de compassion peut naître de cette situation pour se protéger, même inconsciemment, d’un trop-plein de récits de détresse contre laquelle nous n’avons souvent que trop peu d’emprise. Aussi, cette situation peut nuire à la mission de l’établissement de santé, et davantage dans les établissements qui ne se sont pas encore engagés activement dans l’implantation de la compétence interculturelle </w:t>
      </w:r>
      <w:r w:rsidRPr="009468B7">
        <w:rPr>
          <w:rFonts w:ascii="Times New Roman" w:hAnsi="Times New Roman" w:cs="Times New Roman"/>
          <w:noProof/>
          <w:sz w:val="24"/>
        </w:rPr>
        <w:t>(Purnell</w:t>
      </w:r>
      <w:r w:rsidRPr="009468B7">
        <w:rPr>
          <w:rFonts w:ascii="Times New Roman" w:hAnsi="Times New Roman" w:cs="Times New Roman"/>
          <w:i/>
          <w:noProof/>
          <w:sz w:val="24"/>
        </w:rPr>
        <w:t xml:space="preserve"> et al.</w:t>
      </w:r>
      <w:r w:rsidRPr="009468B7">
        <w:rPr>
          <w:rFonts w:ascii="Times New Roman" w:hAnsi="Times New Roman" w:cs="Times New Roman"/>
          <w:noProof/>
          <w:sz w:val="24"/>
        </w:rPr>
        <w:t>, 2011; Livian, 2012)</w:t>
      </w:r>
      <w:r w:rsidRPr="009468B7">
        <w:rPr>
          <w:rFonts w:ascii="Times New Roman" w:hAnsi="Times New Roman" w:cs="Times New Roman"/>
          <w:sz w:val="24"/>
        </w:rPr>
        <w:t xml:space="preserve">. Ce type d’établissement peut entretenir à son insu un mode de « gestion paradoxante »  qui confronte l’intervenant à la double exigence institutionnelle de devoir répondre simultanément à son éthique professionnelle et aux objectifs de rendement et de performance fixés par son organisation </w:t>
      </w:r>
      <w:r w:rsidRPr="009468B7">
        <w:rPr>
          <w:rFonts w:ascii="Times New Roman" w:hAnsi="Times New Roman" w:cs="Times New Roman"/>
          <w:noProof/>
          <w:sz w:val="24"/>
        </w:rPr>
        <w:t>(De Gaulejac, 2010)</w:t>
      </w:r>
      <w:r w:rsidRPr="009468B7">
        <w:rPr>
          <w:rFonts w:ascii="Times New Roman" w:hAnsi="Times New Roman" w:cs="Times New Roman"/>
          <w:sz w:val="24"/>
        </w:rPr>
        <w:t xml:space="preserve">, ou par toute autre institution qui la </w:t>
      </w:r>
      <w:r w:rsidRPr="009468B7">
        <w:rPr>
          <w:rFonts w:ascii="Times New Roman" w:hAnsi="Times New Roman" w:cs="Times New Roman"/>
          <w:sz w:val="24"/>
        </w:rPr>
        <w:lastRenderedPageBreak/>
        <w:t xml:space="preserve">chapeaute (agence, ministère, etc.). Cette situation paradoxale participe à la construction de l’hypothèse que nous proposons dans cet article, à savoir la nature du lien causal qui connecte la fatigue de compassion à la fatigue de diversité. </w:t>
      </w:r>
    </w:p>
    <w:p w14:paraId="151DD88D" w14:textId="77777777" w:rsidR="00A5639A" w:rsidRPr="009468B7" w:rsidRDefault="00A5639A" w:rsidP="002216EC">
      <w:pPr>
        <w:spacing w:line="360" w:lineRule="auto"/>
        <w:jc w:val="both"/>
        <w:rPr>
          <w:rFonts w:ascii="Times New Roman" w:hAnsi="Times New Roman" w:cs="Times New Roman"/>
          <w:sz w:val="24"/>
          <w:szCs w:val="24"/>
        </w:rPr>
      </w:pPr>
      <w:r w:rsidRPr="009468B7">
        <w:rPr>
          <w:rFonts w:ascii="Times New Roman" w:hAnsi="Times New Roman" w:cs="Times New Roman"/>
          <w:sz w:val="24"/>
        </w:rPr>
        <w:t xml:space="preserve">Notre hypothèse comprend deux modèle logiques : 1) quand la fatigue de compassion induit une fatigue de diversité (voir : figure 1); 2) quand la fatigue de diversité induit une fatigue de compassion (voir : figure 2). C’est le contexte de travail qui détermine la nature du lien logique et qui laisse entrevoir le type de solution à privilégier. </w:t>
      </w:r>
      <w:r w:rsidRPr="009468B7">
        <w:rPr>
          <w:rFonts w:ascii="Times New Roman" w:hAnsi="Times New Roman" w:cs="Times New Roman"/>
          <w:sz w:val="24"/>
          <w:szCs w:val="24"/>
        </w:rPr>
        <w:t xml:space="preserve">Dans la figure 1, nous posons l’hypothèse qu’une fatigue de compassion émane d’un contexte de travail passablement surchargé et qui laisse peu de marge de manœuvre aux intervenants dans le choix et la mise en place d’une stratégie ou d’un plan d’intervention. En contexte de diversité linguistique et culturelle, il se peut que les intervenants n’aient pas toutes les ressources désirées pour intervenir de manière optimale et que la durée des interventions, ainsi que la fréquence des suivis soient plus élevés que pour la clientèle en général sans que leur charge de travail ne soit modifiée en conséquence. Les intervenants peuvent développer ou renforcer des préjugés et des stéréotypes envers certains groupes ethnoculturels, et nuire ainsi à la qualité de la relation intervenant-client/thérapeute-patient, alimentant tout un processus de stigmatisation </w:t>
      </w:r>
      <w:r>
        <w:rPr>
          <w:rFonts w:ascii="Times New Roman" w:hAnsi="Times New Roman" w:cs="Times New Roman"/>
          <w:noProof/>
          <w:sz w:val="24"/>
          <w:szCs w:val="24"/>
        </w:rPr>
        <w:t>(Côté</w:t>
      </w:r>
      <w:r w:rsidRPr="004A5B16">
        <w:rPr>
          <w:rFonts w:ascii="Times New Roman" w:hAnsi="Times New Roman" w:cs="Times New Roman"/>
          <w:i/>
          <w:noProof/>
          <w:sz w:val="24"/>
          <w:szCs w:val="24"/>
        </w:rPr>
        <w:t xml:space="preserve"> et al.</w:t>
      </w:r>
      <w:r>
        <w:rPr>
          <w:rFonts w:ascii="Times New Roman" w:hAnsi="Times New Roman" w:cs="Times New Roman"/>
          <w:noProof/>
          <w:sz w:val="24"/>
          <w:szCs w:val="24"/>
        </w:rPr>
        <w:t>, 2019, sous presse)</w:t>
      </w:r>
      <w:r w:rsidRPr="009468B7">
        <w:rPr>
          <w:rFonts w:ascii="Times New Roman" w:hAnsi="Times New Roman" w:cs="Times New Roman"/>
          <w:sz w:val="24"/>
          <w:szCs w:val="24"/>
        </w:rPr>
        <w:t>.</w:t>
      </w:r>
    </w:p>
    <w:p w14:paraId="35094548" w14:textId="77777777" w:rsidR="00A5639A" w:rsidRPr="009468B7" w:rsidRDefault="00A5639A" w:rsidP="002216EC">
      <w:pPr>
        <w:spacing w:line="360" w:lineRule="auto"/>
        <w:jc w:val="both"/>
        <w:rPr>
          <w:rFonts w:ascii="Times New Roman" w:hAnsi="Times New Roman" w:cs="Times New Roman"/>
          <w:sz w:val="24"/>
          <w:szCs w:val="24"/>
        </w:rPr>
      </w:pPr>
    </w:p>
    <w:p w14:paraId="3FB3AD81" w14:textId="77777777" w:rsidR="00A5639A" w:rsidRPr="009468B7" w:rsidRDefault="00A5639A" w:rsidP="002216EC">
      <w:pPr>
        <w:spacing w:line="360" w:lineRule="auto"/>
        <w:jc w:val="both"/>
        <w:rPr>
          <w:rFonts w:ascii="Times New Roman" w:hAnsi="Times New Roman" w:cs="Times New Roman"/>
          <w:sz w:val="24"/>
        </w:rPr>
      </w:pPr>
    </w:p>
    <w:p w14:paraId="6B13F93D" w14:textId="77777777" w:rsidR="00A5639A" w:rsidRPr="009468B7" w:rsidRDefault="00A5639A" w:rsidP="002216EC">
      <w:pPr>
        <w:spacing w:line="360" w:lineRule="auto"/>
        <w:rPr>
          <w:rFonts w:ascii="Times New Roman" w:hAnsi="Times New Roman" w:cs="Times New Roman"/>
          <w:b/>
          <w:sz w:val="24"/>
          <w:szCs w:val="24"/>
        </w:rPr>
      </w:pPr>
      <w:r w:rsidRPr="009468B7">
        <w:rPr>
          <w:rFonts w:ascii="Times New Roman" w:hAnsi="Times New Roman" w:cs="Times New Roman"/>
          <w:b/>
          <w:sz w:val="24"/>
          <w:szCs w:val="24"/>
        </w:rPr>
        <w:t>Figure 1. La fatigue de compassion induit une fatigue de diversité</w:t>
      </w:r>
    </w:p>
    <w:p w14:paraId="784D8F05" w14:textId="77777777" w:rsidR="00A5639A" w:rsidRPr="009468B7" w:rsidRDefault="00A5639A" w:rsidP="002216EC">
      <w:pPr>
        <w:spacing w:line="360" w:lineRule="auto"/>
        <w:rPr>
          <w:rFonts w:ascii="Times New Roman" w:hAnsi="Times New Roman" w:cs="Times New Roman"/>
          <w:sz w:val="24"/>
          <w:szCs w:val="24"/>
        </w:rPr>
      </w:pPr>
      <w:r w:rsidRPr="009468B7">
        <w:rPr>
          <w:rFonts w:ascii="Times New Roman" w:hAnsi="Times New Roman" w:cs="Times New Roman"/>
          <w:noProof/>
          <w:sz w:val="24"/>
          <w:szCs w:val="24"/>
          <w:lang w:eastAsia="fr-CA"/>
        </w:rPr>
        <w:drawing>
          <wp:inline distT="0" distB="0" distL="0" distR="0" wp14:anchorId="4AB8D359" wp14:editId="2F90D6DF">
            <wp:extent cx="4883150" cy="2393950"/>
            <wp:effectExtent l="19050" t="0" r="12700" b="25400"/>
            <wp:docPr id="3" name="Diagramme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 r:lo="rId6" r:qs="rId7" r:cs="rId8"/>
              </a:graphicData>
            </a:graphic>
          </wp:inline>
        </w:drawing>
      </w:r>
    </w:p>
    <w:p w14:paraId="5274A861" w14:textId="77777777" w:rsidR="00A5639A" w:rsidRPr="009468B7" w:rsidRDefault="00A5639A" w:rsidP="002216EC">
      <w:pPr>
        <w:spacing w:line="360" w:lineRule="auto"/>
        <w:jc w:val="both"/>
        <w:rPr>
          <w:rFonts w:ascii="Times New Roman" w:hAnsi="Times New Roman" w:cs="Times New Roman"/>
          <w:sz w:val="24"/>
          <w:szCs w:val="24"/>
        </w:rPr>
      </w:pPr>
      <w:r w:rsidRPr="009468B7">
        <w:rPr>
          <w:rFonts w:ascii="Times New Roman" w:hAnsi="Times New Roman" w:cs="Times New Roman"/>
          <w:sz w:val="24"/>
          <w:szCs w:val="24"/>
        </w:rPr>
        <w:lastRenderedPageBreak/>
        <w:t>Dans ce contexte, implanter la compétence interculturelle peut ne pas être suffisante dans la mesure où il faut que l’établissement revoie ses politiques en matière de soins inclusifs et de formation de son personnel, ses pratiques managériales, notamment celles ayant trait à l’évaluation du rendement du personnel tenant compte des exigences pratiques de l’intervention en contextes interculturels. Il s’agit donc d’un effort de mobilisation collective, à l’échelle de l’établissement.</w:t>
      </w:r>
    </w:p>
    <w:p w14:paraId="606C6AED" w14:textId="77777777" w:rsidR="00A5639A" w:rsidRPr="009468B7" w:rsidRDefault="00A5639A" w:rsidP="002216EC">
      <w:pPr>
        <w:spacing w:line="360" w:lineRule="auto"/>
        <w:jc w:val="both"/>
        <w:rPr>
          <w:rFonts w:ascii="Times New Roman" w:hAnsi="Times New Roman" w:cs="Times New Roman"/>
          <w:sz w:val="24"/>
          <w:szCs w:val="24"/>
        </w:rPr>
      </w:pPr>
      <w:r w:rsidRPr="009468B7">
        <w:rPr>
          <w:rFonts w:ascii="Times New Roman" w:hAnsi="Times New Roman" w:cs="Times New Roman"/>
          <w:sz w:val="24"/>
          <w:szCs w:val="24"/>
        </w:rPr>
        <w:t xml:space="preserve">Dans la figure 2, nous posons l’hypothèse inverse où c’est la fatigue de diversité qui induit une fatigue de compassion. La fatigue de diversité peut apparaître si l’intervenant se montre insensible à la diversité ethnoculturelle et si son attitude témoigne d’un manque d’écoute et d’ouverture aux différences culturelles ou une compréhension insuffisante des situations de vulnérabilité dans lesquelles les immigrants ou les membres des minorités ethnoculturelles peuvent se retrouver. Dans ce contexte, si l’intervenant n’est pas surchargé, s’il dispose d’une certaine marge de manœuvre et si les pratiques managériales en vigueur sont assez souples pour tenir compte de la réalité du « terrain », il se peut qu’une formation sur la compétence interculturelle soit suffisante. Toutefois, nous apportons un bémol en ce sens. Le développement de la compétence interculturelle chez l’intervenant devrait s’inscrire dans une démarche plus globale d’implantation de la compétence interculturelle à tous les niveaux de l’organisation : individuel, collectif et organisationnel </w:t>
      </w:r>
      <w:r w:rsidRPr="009468B7">
        <w:rPr>
          <w:rFonts w:ascii="Times New Roman" w:hAnsi="Times New Roman" w:cs="Times New Roman"/>
          <w:noProof/>
          <w:sz w:val="24"/>
          <w:szCs w:val="24"/>
        </w:rPr>
        <w:t>(Bartel-Radic, 2009)</w:t>
      </w:r>
      <w:r w:rsidRPr="009468B7">
        <w:rPr>
          <w:rFonts w:ascii="Times New Roman" w:hAnsi="Times New Roman" w:cs="Times New Roman"/>
          <w:sz w:val="24"/>
          <w:szCs w:val="24"/>
        </w:rPr>
        <w:t>.</w:t>
      </w:r>
    </w:p>
    <w:p w14:paraId="3A4EF032" w14:textId="77777777" w:rsidR="00A5639A" w:rsidRPr="009468B7" w:rsidRDefault="00A5639A" w:rsidP="002216EC">
      <w:pPr>
        <w:spacing w:line="360" w:lineRule="auto"/>
        <w:jc w:val="both"/>
        <w:rPr>
          <w:rFonts w:ascii="Times New Roman" w:hAnsi="Times New Roman" w:cs="Times New Roman"/>
          <w:sz w:val="24"/>
          <w:szCs w:val="24"/>
        </w:rPr>
      </w:pPr>
    </w:p>
    <w:p w14:paraId="01618FCD" w14:textId="77777777" w:rsidR="00A5639A" w:rsidRPr="009468B7" w:rsidRDefault="00A5639A" w:rsidP="002216EC">
      <w:pPr>
        <w:spacing w:line="360" w:lineRule="auto"/>
        <w:rPr>
          <w:rFonts w:ascii="Times New Roman" w:hAnsi="Times New Roman" w:cs="Times New Roman"/>
          <w:b/>
          <w:sz w:val="24"/>
          <w:szCs w:val="24"/>
        </w:rPr>
      </w:pPr>
      <w:r w:rsidRPr="009468B7">
        <w:rPr>
          <w:rFonts w:ascii="Times New Roman" w:hAnsi="Times New Roman" w:cs="Times New Roman"/>
          <w:b/>
          <w:sz w:val="24"/>
          <w:szCs w:val="24"/>
        </w:rPr>
        <w:t>Figure 2. La fatigue de diversité induit une fatigue de compassion</w:t>
      </w:r>
    </w:p>
    <w:p w14:paraId="16D65297" w14:textId="77777777" w:rsidR="00A5639A" w:rsidRPr="009468B7" w:rsidRDefault="00A5639A" w:rsidP="002216EC">
      <w:pPr>
        <w:spacing w:line="360" w:lineRule="auto"/>
        <w:rPr>
          <w:rFonts w:ascii="Times New Roman" w:hAnsi="Times New Roman" w:cs="Times New Roman"/>
          <w:sz w:val="24"/>
          <w:szCs w:val="24"/>
        </w:rPr>
      </w:pPr>
      <w:r w:rsidRPr="009468B7">
        <w:rPr>
          <w:rFonts w:ascii="Times New Roman" w:hAnsi="Times New Roman" w:cs="Times New Roman"/>
          <w:noProof/>
          <w:sz w:val="24"/>
          <w:szCs w:val="24"/>
          <w:lang w:eastAsia="fr-CA"/>
        </w:rPr>
        <w:lastRenderedPageBreak/>
        <w:drawing>
          <wp:inline distT="0" distB="0" distL="0" distR="0" wp14:anchorId="6290052C" wp14:editId="4A2352DC">
            <wp:extent cx="5461000" cy="2654300"/>
            <wp:effectExtent l="19050" t="0" r="25400" b="12700"/>
            <wp:docPr id="4" name="Diagramme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 r:lo="rId11" r:qs="rId12" r:cs="rId13"/>
              </a:graphicData>
            </a:graphic>
          </wp:inline>
        </w:drawing>
      </w:r>
    </w:p>
    <w:p w14:paraId="372B174A" w14:textId="77777777" w:rsidR="00A5639A" w:rsidRPr="009468B7" w:rsidRDefault="00A5639A" w:rsidP="002216EC">
      <w:pPr>
        <w:spacing w:line="360" w:lineRule="auto"/>
        <w:jc w:val="both"/>
        <w:rPr>
          <w:rFonts w:ascii="Times New Roman" w:hAnsi="Times New Roman" w:cs="Times New Roman"/>
          <w:sz w:val="24"/>
          <w:szCs w:val="24"/>
        </w:rPr>
      </w:pPr>
      <w:r w:rsidRPr="009468B7">
        <w:rPr>
          <w:rFonts w:ascii="Times New Roman" w:hAnsi="Times New Roman" w:cs="Times New Roman"/>
          <w:sz w:val="24"/>
          <w:szCs w:val="24"/>
        </w:rPr>
        <w:t xml:space="preserve">Il ressort de ces deux hypothèses de travail une question centrale : comment les intervenants parviennent-il à concilier leur éthique professionnelle à l’éthique managériale dans un cadre de pratique qui ne le facilite pas et qui peut même les opposer </w:t>
      </w:r>
      <w:r w:rsidRPr="009468B7">
        <w:rPr>
          <w:rFonts w:ascii="Times New Roman" w:hAnsi="Times New Roman" w:cs="Times New Roman"/>
          <w:noProof/>
          <w:sz w:val="24"/>
          <w:szCs w:val="24"/>
        </w:rPr>
        <w:t>(Therriault</w:t>
      </w:r>
      <w:r w:rsidRPr="009468B7">
        <w:rPr>
          <w:rFonts w:ascii="Times New Roman" w:hAnsi="Times New Roman" w:cs="Times New Roman"/>
          <w:i/>
          <w:noProof/>
          <w:sz w:val="24"/>
          <w:szCs w:val="24"/>
        </w:rPr>
        <w:t xml:space="preserve"> et al.</w:t>
      </w:r>
      <w:r w:rsidRPr="009468B7">
        <w:rPr>
          <w:rFonts w:ascii="Times New Roman" w:hAnsi="Times New Roman" w:cs="Times New Roman"/>
          <w:noProof/>
          <w:sz w:val="24"/>
          <w:szCs w:val="24"/>
        </w:rPr>
        <w:t>, 2004; De Gaulejac, 2010; Ancelin-Bourguignon, 2018; Côté et Dubé, 2018)</w:t>
      </w:r>
      <w:r w:rsidRPr="009468B7">
        <w:rPr>
          <w:rFonts w:ascii="Times New Roman" w:hAnsi="Times New Roman" w:cs="Times New Roman"/>
          <w:sz w:val="24"/>
          <w:szCs w:val="24"/>
        </w:rPr>
        <w:t xml:space="preserve">? En ce sens, le paradoxe apparent de l’œuf et de la poule est intéressant, fatigue de compassion et fatigue de diversité, nous incite à interroger les mécanismes de pondération des mesures de performances et de reconnaissance des exigences pratiques d’une tâche définie </w:t>
      </w:r>
      <w:r w:rsidRPr="009468B7">
        <w:rPr>
          <w:rFonts w:ascii="Times New Roman" w:hAnsi="Times New Roman" w:cs="Times New Roman"/>
          <w:noProof/>
          <w:sz w:val="24"/>
          <w:szCs w:val="24"/>
        </w:rPr>
        <w:t>(Dejours, 2003; De Gaulejac, 2010; Fortier, 2010; Deblois et Lepanto, 2013; Teich et Faddoul, 2013; Bruère, 2014; Moraros</w:t>
      </w:r>
      <w:r w:rsidRPr="009468B7">
        <w:rPr>
          <w:rFonts w:ascii="Times New Roman" w:hAnsi="Times New Roman" w:cs="Times New Roman"/>
          <w:i/>
          <w:noProof/>
          <w:sz w:val="24"/>
          <w:szCs w:val="24"/>
        </w:rPr>
        <w:t xml:space="preserve"> et al.</w:t>
      </w:r>
      <w:r w:rsidRPr="009468B7">
        <w:rPr>
          <w:rFonts w:ascii="Times New Roman" w:hAnsi="Times New Roman" w:cs="Times New Roman"/>
          <w:noProof/>
          <w:sz w:val="24"/>
          <w:szCs w:val="24"/>
        </w:rPr>
        <w:t>, 2016)</w:t>
      </w:r>
      <w:r w:rsidRPr="009468B7">
        <w:rPr>
          <w:rFonts w:ascii="Times New Roman" w:hAnsi="Times New Roman" w:cs="Times New Roman"/>
          <w:sz w:val="24"/>
          <w:szCs w:val="24"/>
        </w:rPr>
        <w:t>. L’organisation est-elle suffisamment instruite des enjeux de l’intervention en contextes interculturels? Est-elle sensible à ces questions? L’organisation se donne-t-elle les moyens de ses ambitions en matière d’inclusion (par ex. : diversité de sa propre main d’œuvre, soutien à des clientèles spécifiques)?</w:t>
      </w:r>
    </w:p>
    <w:p w14:paraId="0B294C36" w14:textId="77777777" w:rsidR="00A5639A" w:rsidRPr="009468B7" w:rsidRDefault="00A5639A" w:rsidP="002216EC">
      <w:pPr>
        <w:spacing w:line="360" w:lineRule="auto"/>
        <w:jc w:val="both"/>
        <w:rPr>
          <w:rFonts w:ascii="Times New Roman" w:hAnsi="Times New Roman" w:cs="Times New Roman"/>
          <w:sz w:val="24"/>
        </w:rPr>
      </w:pPr>
      <w:r w:rsidRPr="009468B7">
        <w:rPr>
          <w:rFonts w:ascii="Times New Roman" w:hAnsi="Times New Roman" w:cs="Times New Roman"/>
          <w:sz w:val="24"/>
        </w:rPr>
        <w:t xml:space="preserve">Les interventions en santé et en services sociaux requièrent un certain nombre de compétences relatives aux relations interculturelles et à la capacité à offrir des services adaptés. Ces compétences se pensent autant à l’échelle des organisations (gestion, orientations stratégiques, positionnement, recrutement, etc.) qu’au niveau collectif (équipes de travail, mécanismes d’échange et de partage) et individuel (l’ensemble des habiletés relationnelles de l’intervenant en plus de ses compétences techniques et de son expertise professionnelle) </w:t>
      </w:r>
      <w:r w:rsidRPr="009468B7">
        <w:rPr>
          <w:rFonts w:ascii="Times New Roman" w:hAnsi="Times New Roman" w:cs="Times New Roman"/>
          <w:noProof/>
          <w:sz w:val="24"/>
        </w:rPr>
        <w:t>(Ardouin, 2015)</w:t>
      </w:r>
      <w:r w:rsidRPr="009468B7">
        <w:rPr>
          <w:rFonts w:ascii="Times New Roman" w:hAnsi="Times New Roman" w:cs="Times New Roman"/>
          <w:sz w:val="24"/>
        </w:rPr>
        <w:t xml:space="preserve">. Il n’existe pas à l’heure actuelle de consensus sur la manière d’adapter les services et sur le contenu et le style pédagogique à privilégier </w:t>
      </w:r>
      <w:r w:rsidRPr="009468B7">
        <w:rPr>
          <w:rFonts w:ascii="Times New Roman" w:hAnsi="Times New Roman" w:cs="Times New Roman"/>
          <w:noProof/>
          <w:sz w:val="24"/>
        </w:rPr>
        <w:t>(Lewis</w:t>
      </w:r>
      <w:r w:rsidRPr="009468B7">
        <w:rPr>
          <w:rFonts w:ascii="Times New Roman" w:hAnsi="Times New Roman" w:cs="Times New Roman"/>
          <w:i/>
          <w:noProof/>
          <w:sz w:val="24"/>
        </w:rPr>
        <w:t xml:space="preserve"> et al.</w:t>
      </w:r>
      <w:r w:rsidRPr="009468B7">
        <w:rPr>
          <w:rFonts w:ascii="Times New Roman" w:hAnsi="Times New Roman" w:cs="Times New Roman"/>
          <w:noProof/>
          <w:sz w:val="24"/>
        </w:rPr>
        <w:t>, 2009; Pouliot</w:t>
      </w:r>
      <w:r w:rsidRPr="009468B7">
        <w:rPr>
          <w:rFonts w:ascii="Times New Roman" w:hAnsi="Times New Roman" w:cs="Times New Roman"/>
          <w:i/>
          <w:noProof/>
          <w:sz w:val="24"/>
        </w:rPr>
        <w:t xml:space="preserve"> et al.</w:t>
      </w:r>
      <w:r w:rsidRPr="009468B7">
        <w:rPr>
          <w:rFonts w:ascii="Times New Roman" w:hAnsi="Times New Roman" w:cs="Times New Roman"/>
          <w:noProof/>
          <w:sz w:val="24"/>
        </w:rPr>
        <w:t>, 2015)</w:t>
      </w:r>
      <w:r w:rsidRPr="009468B7">
        <w:rPr>
          <w:rFonts w:ascii="Times New Roman" w:hAnsi="Times New Roman" w:cs="Times New Roman"/>
          <w:sz w:val="24"/>
        </w:rPr>
        <w:t xml:space="preserve">. De même, des </w:t>
      </w:r>
      <w:r w:rsidRPr="009468B7">
        <w:rPr>
          <w:rFonts w:ascii="Times New Roman" w:hAnsi="Times New Roman" w:cs="Times New Roman"/>
          <w:sz w:val="24"/>
        </w:rPr>
        <w:lastRenderedPageBreak/>
        <w:t xml:space="preserve">questions se posent en regard de l’efficacité des formations et de leur impact sur la clientèle visée </w:t>
      </w:r>
      <w:r w:rsidRPr="009468B7">
        <w:rPr>
          <w:rFonts w:ascii="Times New Roman" w:hAnsi="Times New Roman" w:cs="Times New Roman"/>
          <w:noProof/>
          <w:sz w:val="24"/>
        </w:rPr>
        <w:t>(Lie</w:t>
      </w:r>
      <w:r w:rsidRPr="009468B7">
        <w:rPr>
          <w:rFonts w:ascii="Times New Roman" w:hAnsi="Times New Roman" w:cs="Times New Roman"/>
          <w:i/>
          <w:noProof/>
          <w:sz w:val="24"/>
        </w:rPr>
        <w:t xml:space="preserve"> et al.</w:t>
      </w:r>
      <w:r w:rsidRPr="009468B7">
        <w:rPr>
          <w:rFonts w:ascii="Times New Roman" w:hAnsi="Times New Roman" w:cs="Times New Roman"/>
          <w:noProof/>
          <w:sz w:val="24"/>
        </w:rPr>
        <w:t>, 2010)</w:t>
      </w:r>
      <w:r w:rsidRPr="009468B7">
        <w:rPr>
          <w:rFonts w:ascii="Times New Roman" w:hAnsi="Times New Roman" w:cs="Times New Roman"/>
          <w:sz w:val="24"/>
        </w:rPr>
        <w:t xml:space="preserve">. L’implantation de la compétence interculturelle dans les organisations comporte encore une grande part d’inconnu. Le défi est donc immense pour les établissements qui souhaitent inclure ce type de compétence dans leur planification stratégique. Admettons toutefois qu’un établissement qui se questionne sur cet enjeu a déjà franchi une première étape en matière de compétence interculturelle s’il reconnaît d’emblée les besoins de la clientèle issue de l’immigration ou des minorités ethnoculturelles et ce que requiert l’intervention dans un contexte interculturel </w:t>
      </w:r>
      <w:r w:rsidRPr="009468B7">
        <w:rPr>
          <w:rFonts w:ascii="Times New Roman" w:hAnsi="Times New Roman" w:cs="Times New Roman"/>
          <w:noProof/>
          <w:sz w:val="24"/>
        </w:rPr>
        <w:t>(Curtis</w:t>
      </w:r>
      <w:r w:rsidRPr="009468B7">
        <w:rPr>
          <w:rFonts w:ascii="Times New Roman" w:hAnsi="Times New Roman" w:cs="Times New Roman"/>
          <w:i/>
          <w:noProof/>
          <w:sz w:val="24"/>
        </w:rPr>
        <w:t xml:space="preserve"> et al.</w:t>
      </w:r>
      <w:r w:rsidRPr="009468B7">
        <w:rPr>
          <w:rFonts w:ascii="Times New Roman" w:hAnsi="Times New Roman" w:cs="Times New Roman"/>
          <w:noProof/>
          <w:sz w:val="24"/>
        </w:rPr>
        <w:t>, 2007; Sloots</w:t>
      </w:r>
      <w:r w:rsidRPr="009468B7">
        <w:rPr>
          <w:rFonts w:ascii="Times New Roman" w:hAnsi="Times New Roman" w:cs="Times New Roman"/>
          <w:i/>
          <w:noProof/>
          <w:sz w:val="24"/>
        </w:rPr>
        <w:t xml:space="preserve"> et al.</w:t>
      </w:r>
      <w:r w:rsidRPr="009468B7">
        <w:rPr>
          <w:rFonts w:ascii="Times New Roman" w:hAnsi="Times New Roman" w:cs="Times New Roman"/>
          <w:noProof/>
          <w:sz w:val="24"/>
        </w:rPr>
        <w:t>, 2011)</w:t>
      </w:r>
      <w:r w:rsidRPr="009468B7">
        <w:rPr>
          <w:rFonts w:ascii="Times New Roman" w:hAnsi="Times New Roman" w:cs="Times New Roman"/>
          <w:sz w:val="24"/>
        </w:rPr>
        <w:t>.</w:t>
      </w:r>
    </w:p>
    <w:p w14:paraId="4A5D7900" w14:textId="77777777" w:rsidR="00A5639A" w:rsidRPr="009468B7" w:rsidRDefault="00A5639A" w:rsidP="002216EC">
      <w:pPr>
        <w:spacing w:line="360" w:lineRule="auto"/>
        <w:jc w:val="both"/>
        <w:rPr>
          <w:rFonts w:ascii="Times New Roman" w:hAnsi="Times New Roman" w:cs="Times New Roman"/>
          <w:b/>
          <w:sz w:val="24"/>
        </w:rPr>
      </w:pPr>
      <w:r w:rsidRPr="009468B7">
        <w:rPr>
          <w:rFonts w:ascii="Times New Roman" w:hAnsi="Times New Roman" w:cs="Times New Roman"/>
          <w:b/>
          <w:sz w:val="24"/>
        </w:rPr>
        <w:t>Conclusion</w:t>
      </w:r>
    </w:p>
    <w:p w14:paraId="7EF7D67A" w14:textId="77777777" w:rsidR="00A5639A" w:rsidRPr="003F27FB" w:rsidRDefault="00A5639A" w:rsidP="002216EC">
      <w:pPr>
        <w:spacing w:line="360" w:lineRule="auto"/>
        <w:jc w:val="both"/>
        <w:rPr>
          <w:rFonts w:ascii="Times New Roman" w:hAnsi="Times New Roman" w:cs="Times New Roman"/>
          <w:sz w:val="24"/>
          <w:szCs w:val="24"/>
        </w:rPr>
      </w:pPr>
      <w:r w:rsidRPr="009468B7">
        <w:rPr>
          <w:rFonts w:ascii="Times New Roman" w:hAnsi="Times New Roman" w:cs="Times New Roman"/>
          <w:sz w:val="24"/>
        </w:rPr>
        <w:t xml:space="preserve">Cet article présente </w:t>
      </w:r>
      <w:r>
        <w:rPr>
          <w:rFonts w:ascii="Times New Roman" w:hAnsi="Times New Roman" w:cs="Times New Roman"/>
          <w:sz w:val="24"/>
        </w:rPr>
        <w:t xml:space="preserve">les </w:t>
      </w:r>
      <w:r w:rsidRPr="009468B7">
        <w:rPr>
          <w:rFonts w:ascii="Times New Roman" w:hAnsi="Times New Roman" w:cs="Times New Roman"/>
          <w:sz w:val="24"/>
        </w:rPr>
        <w:t>lien</w:t>
      </w:r>
      <w:r>
        <w:rPr>
          <w:rFonts w:ascii="Times New Roman" w:hAnsi="Times New Roman" w:cs="Times New Roman"/>
          <w:sz w:val="24"/>
        </w:rPr>
        <w:t>s</w:t>
      </w:r>
      <w:r w:rsidRPr="009468B7">
        <w:rPr>
          <w:rFonts w:ascii="Times New Roman" w:hAnsi="Times New Roman" w:cs="Times New Roman"/>
          <w:sz w:val="24"/>
        </w:rPr>
        <w:t xml:space="preserve"> logique</w:t>
      </w:r>
      <w:r>
        <w:rPr>
          <w:rFonts w:ascii="Times New Roman" w:hAnsi="Times New Roman" w:cs="Times New Roman"/>
          <w:sz w:val="24"/>
        </w:rPr>
        <w:t xml:space="preserve">s </w:t>
      </w:r>
      <w:r w:rsidRPr="009468B7">
        <w:rPr>
          <w:rFonts w:ascii="Times New Roman" w:hAnsi="Times New Roman" w:cs="Times New Roman"/>
          <w:sz w:val="24"/>
        </w:rPr>
        <w:t>entre deux types de fatigue</w:t>
      </w:r>
      <w:r>
        <w:rPr>
          <w:rFonts w:ascii="Times New Roman" w:hAnsi="Times New Roman" w:cs="Times New Roman"/>
          <w:sz w:val="24"/>
        </w:rPr>
        <w:t xml:space="preserve"> qui peuvent apparaître dans des contextes d’intervention interculturels, la fatigue de compassion et la fatigue de diversité</w:t>
      </w:r>
      <w:r w:rsidRPr="009468B7">
        <w:rPr>
          <w:rFonts w:ascii="Times New Roman" w:hAnsi="Times New Roman" w:cs="Times New Roman"/>
          <w:sz w:val="24"/>
        </w:rPr>
        <w:t xml:space="preserve">, l’œuf ou la poule. À partir d’une approche systémique, plusieurs enjeux ont été soulevés lors des entretiens avec les professionnels de la santé et sécurité du travail. Ces derniers ont aussi mentionnés l’absence de marge de manœuvre dans leurs interventions et la présence de situations </w:t>
      </w:r>
      <w:r>
        <w:rPr>
          <w:rFonts w:ascii="Times New Roman" w:hAnsi="Times New Roman" w:cs="Times New Roman"/>
          <w:sz w:val="24"/>
        </w:rPr>
        <w:t>paradoxales susceptible de générer un fort niveau de tension et qui peuvent être une source</w:t>
      </w:r>
      <w:r w:rsidRPr="009468B7">
        <w:rPr>
          <w:rFonts w:ascii="Times New Roman" w:hAnsi="Times New Roman" w:cs="Times New Roman"/>
          <w:sz w:val="24"/>
        </w:rPr>
        <w:t xml:space="preserve"> surcharge cognitive et émotionnelle dans l’organisation. </w:t>
      </w:r>
      <w:r>
        <w:rPr>
          <w:rFonts w:ascii="Times New Roman" w:hAnsi="Times New Roman" w:cs="Times New Roman"/>
          <w:sz w:val="24"/>
        </w:rPr>
        <w:t>Un intervenant vit une situation paradoxale lorsqu’on lui demande d’être compétent sur le plan de la relation d’aide et celui du rendement (exécuter une tâche dans un temps prescrit). Il est difficile d’échapper à ce genre de situation puisque chaque exigence (professionnelle et managériale) est légitime en soi et nécessaire au fonctionnement de l’organisation et à la réalisation de sa mission</w:t>
      </w:r>
      <w:r w:rsidRPr="003F27FB">
        <w:rPr>
          <w:rFonts w:ascii="Times New Roman" w:hAnsi="Times New Roman" w:cs="Times New Roman"/>
          <w:sz w:val="24"/>
          <w:szCs w:val="24"/>
        </w:rPr>
        <w:t xml:space="preserve">. Il se trouve alors dans une situation sans issue et intenable à moins d’y sacrifier sa propre santé, son propre équilibre, et au prix d’une </w:t>
      </w:r>
      <w:r w:rsidRPr="003F27FB">
        <w:rPr>
          <w:rFonts w:ascii="Times New Roman" w:hAnsi="Times New Roman" w:cs="Times New Roman"/>
          <w:i/>
          <w:sz w:val="24"/>
          <w:szCs w:val="24"/>
        </w:rPr>
        <w:t>fatigue de compassion</w:t>
      </w:r>
      <w:r w:rsidRPr="003F27FB">
        <w:rPr>
          <w:rFonts w:ascii="Times New Roman" w:hAnsi="Times New Roman" w:cs="Times New Roman"/>
          <w:color w:val="000000"/>
          <w:sz w:val="24"/>
          <w:szCs w:val="24"/>
          <w:shd w:val="clear" w:color="auto" w:fill="FFFFFF"/>
        </w:rPr>
        <w:t xml:space="preserve"> qui peut provoquer dans ce genre de contexte organisationnel une </w:t>
      </w:r>
      <w:r w:rsidRPr="003F27FB">
        <w:rPr>
          <w:rFonts w:ascii="Times New Roman" w:hAnsi="Times New Roman" w:cs="Times New Roman"/>
          <w:i/>
          <w:color w:val="000000"/>
          <w:sz w:val="24"/>
          <w:szCs w:val="24"/>
          <w:shd w:val="clear" w:color="auto" w:fill="FFFFFF"/>
        </w:rPr>
        <w:t>fatigue de diversité</w:t>
      </w:r>
      <w:r w:rsidRPr="003F27FB">
        <w:rPr>
          <w:rFonts w:ascii="Times New Roman" w:hAnsi="Times New Roman" w:cs="Times New Roman"/>
          <w:color w:val="000000"/>
          <w:sz w:val="24"/>
          <w:szCs w:val="24"/>
          <w:shd w:val="clear" w:color="auto" w:fill="FFFFFF"/>
        </w:rPr>
        <w:t>.</w:t>
      </w:r>
      <w:r w:rsidRPr="003F27FB">
        <w:rPr>
          <w:rFonts w:ascii="Times New Roman" w:hAnsi="Times New Roman" w:cs="Times New Roman"/>
          <w:sz w:val="24"/>
          <w:szCs w:val="24"/>
        </w:rPr>
        <w:t xml:space="preserve"> </w:t>
      </w:r>
    </w:p>
    <w:p w14:paraId="04EC1297" w14:textId="77777777" w:rsidR="00A5639A" w:rsidRPr="003F27FB" w:rsidRDefault="00A5639A" w:rsidP="002216EC">
      <w:pPr>
        <w:spacing w:line="360" w:lineRule="auto"/>
        <w:jc w:val="both"/>
        <w:rPr>
          <w:rFonts w:ascii="Times New Roman" w:hAnsi="Times New Roman" w:cs="Times New Roman"/>
          <w:sz w:val="24"/>
          <w:szCs w:val="24"/>
        </w:rPr>
      </w:pPr>
      <w:r w:rsidRPr="003F27FB">
        <w:rPr>
          <w:rFonts w:ascii="Times New Roman" w:hAnsi="Times New Roman" w:cs="Times New Roman"/>
          <w:color w:val="000000"/>
          <w:sz w:val="24"/>
          <w:szCs w:val="24"/>
          <w:shd w:val="clear" w:color="auto" w:fill="FFFFFF"/>
        </w:rPr>
        <w:t xml:space="preserve">Le fait qu’une société pluraliste comme le Québec puisse générer de telles situations paradoxales, notamment à cause de pratiques de gestion incongrues et inadaptées, laisse perplexe. Comment se fait-il que des intervenants formés aux différentes approches centrées sur le client et soucieux d’offrir un service adapté finissent par développer des sentiments d’hostilité envers des personnes issues de certains groupes ethnoculturels?  Comment se sortir de ces situations paradoxales qui intoxiquent les milieux d’intervention interculturelle? Il peut y avoir plusieurs issues prometteuses </w:t>
      </w:r>
      <w:r w:rsidRPr="003F27FB">
        <w:rPr>
          <w:rFonts w:ascii="Times New Roman" w:hAnsi="Times New Roman" w:cs="Times New Roman"/>
          <w:sz w:val="24"/>
          <w:szCs w:val="24"/>
        </w:rPr>
        <w:t>pour diminuer les incompréhensions et tensions au sein d’une organisation</w:t>
      </w:r>
      <w:r w:rsidRPr="003F27FB">
        <w:rPr>
          <w:rFonts w:ascii="Times New Roman" w:hAnsi="Times New Roman" w:cs="Times New Roman"/>
          <w:color w:val="000000"/>
          <w:sz w:val="24"/>
          <w:szCs w:val="24"/>
          <w:shd w:val="clear" w:color="auto" w:fill="FFFFFF"/>
        </w:rPr>
        <w:t xml:space="preserve"> comme </w:t>
      </w:r>
      <w:r w:rsidRPr="003F27FB">
        <w:rPr>
          <w:rFonts w:ascii="Times New Roman" w:hAnsi="Times New Roman" w:cs="Times New Roman"/>
          <w:color w:val="000000"/>
          <w:sz w:val="24"/>
          <w:szCs w:val="24"/>
          <w:shd w:val="clear" w:color="auto" w:fill="FFFFFF"/>
        </w:rPr>
        <w:lastRenderedPageBreak/>
        <w:t xml:space="preserve">le </w:t>
      </w:r>
      <w:r w:rsidRPr="003F27FB">
        <w:rPr>
          <w:rFonts w:ascii="Times New Roman" w:hAnsi="Times New Roman" w:cs="Times New Roman"/>
          <w:sz w:val="24"/>
          <w:szCs w:val="24"/>
        </w:rPr>
        <w:t>développement des compétences interculturelles à trois niveaux : individuel, collectif et organisationnel. Cette prise en charge à trois niveaux permet non seulement l’accroissement de la performance globale de l’organisation, mais aussi, et surtout, d’offrir à l’ensemble de sa clientèle, un service adapté, respectueux des différences et des besoins de chacun.</w:t>
      </w:r>
    </w:p>
    <w:p w14:paraId="6F91DF87" w14:textId="77777777" w:rsidR="00A5639A" w:rsidRPr="009468B7" w:rsidRDefault="00A5639A" w:rsidP="002216EC">
      <w:pPr>
        <w:spacing w:line="360" w:lineRule="auto"/>
        <w:rPr>
          <w:rFonts w:ascii="Times New Roman" w:hAnsi="Times New Roman" w:cs="Times New Roman"/>
          <w:sz w:val="24"/>
          <w:szCs w:val="24"/>
        </w:rPr>
      </w:pPr>
    </w:p>
    <w:p w14:paraId="4A39327B" w14:textId="77777777" w:rsidR="00A5639A" w:rsidRPr="009468B7" w:rsidRDefault="00A5639A" w:rsidP="002216EC">
      <w:pPr>
        <w:spacing w:line="360" w:lineRule="auto"/>
        <w:rPr>
          <w:rFonts w:ascii="Times New Roman" w:hAnsi="Times New Roman" w:cs="Times New Roman"/>
          <w:b/>
          <w:sz w:val="24"/>
          <w:szCs w:val="24"/>
          <w:lang w:val="en-CA"/>
        </w:rPr>
      </w:pPr>
      <w:r w:rsidRPr="009468B7">
        <w:rPr>
          <w:rFonts w:ascii="Times New Roman" w:hAnsi="Times New Roman" w:cs="Times New Roman"/>
          <w:b/>
          <w:sz w:val="24"/>
          <w:szCs w:val="24"/>
          <w:lang w:val="en-CA"/>
        </w:rPr>
        <w:t>Références bibliographiques</w:t>
      </w:r>
    </w:p>
    <w:p w14:paraId="0F527D04" w14:textId="77777777" w:rsidR="00A5639A" w:rsidRPr="003E6177" w:rsidRDefault="00A5639A" w:rsidP="003E6177">
      <w:pPr>
        <w:pStyle w:val="NoSpacing"/>
        <w:spacing w:line="360" w:lineRule="auto"/>
        <w:jc w:val="both"/>
        <w:rPr>
          <w:rFonts w:ascii="Times New Roman" w:hAnsi="Times New Roman" w:cs="Times New Roman"/>
          <w:sz w:val="24"/>
          <w:szCs w:val="24"/>
        </w:rPr>
      </w:pPr>
      <w:r w:rsidRPr="003E6177">
        <w:rPr>
          <w:rFonts w:ascii="Times New Roman" w:hAnsi="Times New Roman" w:cs="Times New Roman"/>
          <w:sz w:val="24"/>
          <w:szCs w:val="24"/>
        </w:rPr>
        <w:t xml:space="preserve">ANAND, R.; LAHIRI, I. Intercultural Competence in Health Care. Developing Skills for Interculturally Competent Care. In: DEARDORFF, D. K. (Ed.). </w:t>
      </w:r>
      <w:r w:rsidRPr="003E6177">
        <w:rPr>
          <w:rFonts w:ascii="Times New Roman" w:hAnsi="Times New Roman" w:cs="Times New Roman"/>
          <w:b/>
          <w:sz w:val="24"/>
          <w:szCs w:val="24"/>
        </w:rPr>
        <w:t>The SAGE Handbook of Intercultural Competence</w:t>
      </w:r>
      <w:r w:rsidRPr="003E6177">
        <w:rPr>
          <w:rFonts w:ascii="Times New Roman" w:hAnsi="Times New Roman" w:cs="Times New Roman"/>
          <w:sz w:val="24"/>
          <w:szCs w:val="24"/>
        </w:rPr>
        <w:t xml:space="preserve">. Thousand Oaks, CA: Sage, 2009.  p.387-402.  </w:t>
      </w:r>
    </w:p>
    <w:p w14:paraId="6A92BE3E" w14:textId="77777777" w:rsidR="00A5639A" w:rsidRPr="003E6177" w:rsidRDefault="00A5639A" w:rsidP="003E6177">
      <w:pPr>
        <w:pStyle w:val="NoSpacing"/>
        <w:spacing w:line="360" w:lineRule="auto"/>
        <w:jc w:val="both"/>
        <w:rPr>
          <w:rFonts w:ascii="Times New Roman" w:hAnsi="Times New Roman" w:cs="Times New Roman"/>
          <w:sz w:val="24"/>
          <w:szCs w:val="24"/>
        </w:rPr>
      </w:pPr>
    </w:p>
    <w:p w14:paraId="1A994EC8" w14:textId="77777777" w:rsidR="00A5639A" w:rsidRPr="003E6177" w:rsidRDefault="00A5639A" w:rsidP="003E6177">
      <w:pPr>
        <w:pStyle w:val="NoSpacing"/>
        <w:spacing w:line="360" w:lineRule="auto"/>
        <w:jc w:val="both"/>
        <w:rPr>
          <w:rFonts w:ascii="Times New Roman" w:hAnsi="Times New Roman" w:cs="Times New Roman"/>
          <w:sz w:val="24"/>
          <w:szCs w:val="24"/>
        </w:rPr>
      </w:pPr>
      <w:r w:rsidRPr="003E6177">
        <w:rPr>
          <w:rFonts w:ascii="Times New Roman" w:hAnsi="Times New Roman" w:cs="Times New Roman"/>
          <w:sz w:val="24"/>
          <w:szCs w:val="24"/>
        </w:rPr>
        <w:t xml:space="preserve">ANCELIN-BOURGUIGNON, A. La dynamique des doubles contraintes dans les organisations. Propositions pour limiter leur caractère toxique. </w:t>
      </w:r>
      <w:r w:rsidRPr="003E6177">
        <w:rPr>
          <w:rFonts w:ascii="Times New Roman" w:hAnsi="Times New Roman" w:cs="Times New Roman"/>
          <w:b/>
          <w:sz w:val="24"/>
          <w:szCs w:val="24"/>
        </w:rPr>
        <w:t xml:space="preserve">Revue Française de Gestion, </w:t>
      </w:r>
      <w:r w:rsidRPr="003E6177">
        <w:rPr>
          <w:rFonts w:ascii="Times New Roman" w:hAnsi="Times New Roman" w:cs="Times New Roman"/>
          <w:sz w:val="24"/>
          <w:szCs w:val="24"/>
        </w:rPr>
        <w:t xml:space="preserve">v. 44, n. 270,  2018.   </w:t>
      </w:r>
    </w:p>
    <w:p w14:paraId="0670049C" w14:textId="77777777" w:rsidR="00A5639A" w:rsidRPr="003E6177" w:rsidRDefault="00A5639A" w:rsidP="003E6177">
      <w:pPr>
        <w:pStyle w:val="NoSpacing"/>
        <w:spacing w:line="360" w:lineRule="auto"/>
        <w:jc w:val="both"/>
        <w:rPr>
          <w:rFonts w:ascii="Times New Roman" w:hAnsi="Times New Roman" w:cs="Times New Roman"/>
          <w:sz w:val="24"/>
          <w:szCs w:val="24"/>
        </w:rPr>
      </w:pPr>
    </w:p>
    <w:p w14:paraId="126D7FC2" w14:textId="77777777" w:rsidR="00A5639A" w:rsidRPr="003E6177" w:rsidRDefault="00A5639A" w:rsidP="003E6177">
      <w:pPr>
        <w:pStyle w:val="NoSpacing"/>
        <w:spacing w:line="360" w:lineRule="auto"/>
        <w:jc w:val="both"/>
        <w:rPr>
          <w:rFonts w:ascii="Times New Roman" w:hAnsi="Times New Roman" w:cs="Times New Roman"/>
          <w:sz w:val="24"/>
          <w:szCs w:val="24"/>
        </w:rPr>
      </w:pPr>
      <w:r w:rsidRPr="003E6177">
        <w:rPr>
          <w:rFonts w:ascii="Times New Roman" w:hAnsi="Times New Roman" w:cs="Times New Roman"/>
          <w:sz w:val="24"/>
          <w:szCs w:val="24"/>
        </w:rPr>
        <w:t xml:space="preserve">ANDERSON, B. Migration, immigration controls and the fashioning of precarious workers. </w:t>
      </w:r>
      <w:r w:rsidRPr="003E6177">
        <w:rPr>
          <w:rFonts w:ascii="Times New Roman" w:hAnsi="Times New Roman" w:cs="Times New Roman"/>
          <w:b/>
          <w:sz w:val="24"/>
          <w:szCs w:val="24"/>
        </w:rPr>
        <w:t xml:space="preserve">Work, employment and society, </w:t>
      </w:r>
      <w:r w:rsidRPr="003E6177">
        <w:rPr>
          <w:rFonts w:ascii="Times New Roman" w:hAnsi="Times New Roman" w:cs="Times New Roman"/>
          <w:sz w:val="24"/>
          <w:szCs w:val="24"/>
        </w:rPr>
        <w:t xml:space="preserve">v. 24, n. 2, p. 300-317,  2010.   </w:t>
      </w:r>
    </w:p>
    <w:p w14:paraId="0DCAF9F7" w14:textId="77777777" w:rsidR="00A5639A" w:rsidRPr="003E6177" w:rsidRDefault="00A5639A" w:rsidP="003E6177">
      <w:pPr>
        <w:pStyle w:val="NoSpacing"/>
        <w:spacing w:line="360" w:lineRule="auto"/>
        <w:jc w:val="both"/>
        <w:rPr>
          <w:rFonts w:ascii="Times New Roman" w:hAnsi="Times New Roman" w:cs="Times New Roman"/>
          <w:sz w:val="24"/>
          <w:szCs w:val="24"/>
        </w:rPr>
      </w:pPr>
    </w:p>
    <w:p w14:paraId="3EE42CF5" w14:textId="77777777" w:rsidR="00A5639A" w:rsidRPr="003E6177" w:rsidRDefault="00A5639A" w:rsidP="003E6177">
      <w:pPr>
        <w:pStyle w:val="NoSpacing"/>
        <w:spacing w:line="360" w:lineRule="auto"/>
        <w:jc w:val="both"/>
        <w:rPr>
          <w:rFonts w:ascii="Times New Roman" w:hAnsi="Times New Roman" w:cs="Times New Roman"/>
          <w:sz w:val="24"/>
          <w:szCs w:val="24"/>
        </w:rPr>
      </w:pPr>
      <w:r w:rsidRPr="003E6177">
        <w:rPr>
          <w:rFonts w:ascii="Times New Roman" w:hAnsi="Times New Roman" w:cs="Times New Roman"/>
          <w:sz w:val="24"/>
          <w:szCs w:val="24"/>
        </w:rPr>
        <w:t xml:space="preserve">ARDOUIN, T. Les capacités de l'organisation par les compétences individuelles, collectives et organisationnelles. In: RENARD, L. e SOPARNOT, R. (Ed.). </w:t>
      </w:r>
      <w:r w:rsidRPr="003E6177">
        <w:rPr>
          <w:rFonts w:ascii="Times New Roman" w:hAnsi="Times New Roman" w:cs="Times New Roman"/>
          <w:b/>
          <w:sz w:val="24"/>
          <w:szCs w:val="24"/>
        </w:rPr>
        <w:t>Les capacités de l'organisation en débat</w:t>
      </w:r>
      <w:r w:rsidRPr="003E6177">
        <w:rPr>
          <w:rFonts w:ascii="Times New Roman" w:hAnsi="Times New Roman" w:cs="Times New Roman"/>
          <w:sz w:val="24"/>
          <w:szCs w:val="24"/>
        </w:rPr>
        <w:t xml:space="preserve">. Paris: L'Harmattan, 2015.  p.71-101.  </w:t>
      </w:r>
    </w:p>
    <w:p w14:paraId="529D7DA2" w14:textId="77777777" w:rsidR="00A5639A" w:rsidRPr="003E6177" w:rsidRDefault="00A5639A" w:rsidP="003E6177">
      <w:pPr>
        <w:pStyle w:val="NoSpacing"/>
        <w:spacing w:line="360" w:lineRule="auto"/>
        <w:jc w:val="both"/>
        <w:rPr>
          <w:rFonts w:ascii="Times New Roman" w:hAnsi="Times New Roman" w:cs="Times New Roman"/>
          <w:sz w:val="24"/>
          <w:szCs w:val="24"/>
        </w:rPr>
      </w:pPr>
    </w:p>
    <w:p w14:paraId="7EE98664" w14:textId="77777777" w:rsidR="00A5639A" w:rsidRPr="003E6177" w:rsidRDefault="00A5639A" w:rsidP="003E6177">
      <w:pPr>
        <w:pStyle w:val="NoSpacing"/>
        <w:spacing w:line="360" w:lineRule="auto"/>
        <w:jc w:val="both"/>
        <w:rPr>
          <w:rFonts w:ascii="Times New Roman" w:hAnsi="Times New Roman" w:cs="Times New Roman"/>
          <w:sz w:val="24"/>
          <w:szCs w:val="24"/>
        </w:rPr>
      </w:pPr>
      <w:r w:rsidRPr="003E6177">
        <w:rPr>
          <w:rFonts w:ascii="Times New Roman" w:hAnsi="Times New Roman" w:cs="Times New Roman"/>
          <w:sz w:val="24"/>
          <w:szCs w:val="24"/>
        </w:rPr>
        <w:t xml:space="preserve">BARRETT, B.; SARGEANT, M. The Health, Safety and Well-being of Vulnerable Workers. In: SARGEANT, M. e GIOVANNONE, M. (Ed.). </w:t>
      </w:r>
      <w:r w:rsidRPr="003E6177">
        <w:rPr>
          <w:rFonts w:ascii="Times New Roman" w:hAnsi="Times New Roman" w:cs="Times New Roman"/>
          <w:b/>
          <w:sz w:val="24"/>
          <w:szCs w:val="24"/>
        </w:rPr>
        <w:t>Vulnerable Workers; Health Safety and Well-being</w:t>
      </w:r>
      <w:r w:rsidRPr="003E6177">
        <w:rPr>
          <w:rFonts w:ascii="Times New Roman" w:hAnsi="Times New Roman" w:cs="Times New Roman"/>
          <w:sz w:val="24"/>
          <w:szCs w:val="24"/>
        </w:rPr>
        <w:t xml:space="preserve">. Surrey, UK: Gower Applied Research, 2011.  p.2-20.  </w:t>
      </w:r>
    </w:p>
    <w:p w14:paraId="5FD5A2A9" w14:textId="77777777" w:rsidR="00A5639A" w:rsidRPr="003E6177" w:rsidRDefault="00A5639A" w:rsidP="003E6177">
      <w:pPr>
        <w:pStyle w:val="NoSpacing"/>
        <w:spacing w:line="360" w:lineRule="auto"/>
        <w:jc w:val="both"/>
        <w:rPr>
          <w:rFonts w:ascii="Times New Roman" w:hAnsi="Times New Roman" w:cs="Times New Roman"/>
          <w:sz w:val="24"/>
          <w:szCs w:val="24"/>
        </w:rPr>
      </w:pPr>
    </w:p>
    <w:p w14:paraId="21CE22CF" w14:textId="77777777" w:rsidR="00A5639A" w:rsidRPr="003E6177" w:rsidRDefault="00A5639A" w:rsidP="003E6177">
      <w:pPr>
        <w:pStyle w:val="NoSpacing"/>
        <w:spacing w:line="360" w:lineRule="auto"/>
        <w:jc w:val="both"/>
        <w:rPr>
          <w:rFonts w:ascii="Times New Roman" w:hAnsi="Times New Roman" w:cs="Times New Roman"/>
          <w:sz w:val="24"/>
          <w:szCs w:val="24"/>
        </w:rPr>
      </w:pPr>
      <w:r w:rsidRPr="003E6177">
        <w:rPr>
          <w:rFonts w:ascii="Times New Roman" w:hAnsi="Times New Roman" w:cs="Times New Roman"/>
          <w:sz w:val="24"/>
          <w:szCs w:val="24"/>
        </w:rPr>
        <w:t xml:space="preserve">BARTEL-RADIC, A. La compétence interculturelle: état de l'art et perspectives. </w:t>
      </w:r>
      <w:r w:rsidRPr="003E6177">
        <w:rPr>
          <w:rFonts w:ascii="Times New Roman" w:hAnsi="Times New Roman" w:cs="Times New Roman"/>
          <w:b/>
          <w:sz w:val="24"/>
          <w:szCs w:val="24"/>
        </w:rPr>
        <w:t xml:space="preserve">Management international / International Management / Gestion Internacional, </w:t>
      </w:r>
      <w:r w:rsidRPr="003E6177">
        <w:rPr>
          <w:rFonts w:ascii="Times New Roman" w:hAnsi="Times New Roman" w:cs="Times New Roman"/>
          <w:sz w:val="24"/>
          <w:szCs w:val="24"/>
        </w:rPr>
        <w:t xml:space="preserve">v. 13, n. 4, p. 11-26,  2009.   </w:t>
      </w:r>
    </w:p>
    <w:p w14:paraId="7C1A2AE0" w14:textId="77777777" w:rsidR="00A5639A" w:rsidRPr="003E6177" w:rsidRDefault="00A5639A" w:rsidP="003E6177">
      <w:pPr>
        <w:pStyle w:val="NoSpacing"/>
        <w:spacing w:line="360" w:lineRule="auto"/>
        <w:jc w:val="both"/>
        <w:rPr>
          <w:rFonts w:ascii="Times New Roman" w:hAnsi="Times New Roman" w:cs="Times New Roman"/>
          <w:sz w:val="24"/>
          <w:szCs w:val="24"/>
        </w:rPr>
      </w:pPr>
    </w:p>
    <w:p w14:paraId="12EBBEC0" w14:textId="77777777" w:rsidR="00A5639A" w:rsidRPr="003E6177" w:rsidRDefault="00A5639A" w:rsidP="003E6177">
      <w:pPr>
        <w:pStyle w:val="NoSpacing"/>
        <w:spacing w:line="360" w:lineRule="auto"/>
        <w:jc w:val="both"/>
        <w:rPr>
          <w:rFonts w:ascii="Times New Roman" w:hAnsi="Times New Roman" w:cs="Times New Roman"/>
          <w:sz w:val="24"/>
          <w:szCs w:val="24"/>
        </w:rPr>
      </w:pPr>
      <w:r w:rsidRPr="003E6177">
        <w:rPr>
          <w:rFonts w:ascii="Times New Roman" w:hAnsi="Times New Roman" w:cs="Times New Roman"/>
          <w:sz w:val="24"/>
          <w:szCs w:val="24"/>
        </w:rPr>
        <w:lastRenderedPageBreak/>
        <w:t xml:space="preserve">BEAGAN, B. L. Approaches to culture and diversity: A critical synthesis of occupational therapy literature. </w:t>
      </w:r>
      <w:r w:rsidRPr="003E6177">
        <w:rPr>
          <w:rFonts w:ascii="Times New Roman" w:hAnsi="Times New Roman" w:cs="Times New Roman"/>
          <w:b/>
          <w:sz w:val="24"/>
          <w:szCs w:val="24"/>
        </w:rPr>
        <w:t xml:space="preserve">Canadian Journal of Occupational Therapy, </w:t>
      </w:r>
      <w:r w:rsidRPr="003E6177">
        <w:rPr>
          <w:rFonts w:ascii="Times New Roman" w:hAnsi="Times New Roman" w:cs="Times New Roman"/>
          <w:sz w:val="24"/>
          <w:szCs w:val="24"/>
        </w:rPr>
        <w:t xml:space="preserve">v. 82, n. 5, p. 272-282,  2015.   </w:t>
      </w:r>
    </w:p>
    <w:p w14:paraId="79018A76" w14:textId="77777777" w:rsidR="00A5639A" w:rsidRPr="003E6177" w:rsidRDefault="00A5639A" w:rsidP="003E6177">
      <w:pPr>
        <w:pStyle w:val="NoSpacing"/>
        <w:spacing w:line="360" w:lineRule="auto"/>
        <w:jc w:val="both"/>
        <w:rPr>
          <w:rFonts w:ascii="Times New Roman" w:hAnsi="Times New Roman" w:cs="Times New Roman"/>
          <w:sz w:val="24"/>
          <w:szCs w:val="24"/>
        </w:rPr>
      </w:pPr>
    </w:p>
    <w:p w14:paraId="4B29D258" w14:textId="77777777" w:rsidR="00A5639A" w:rsidRPr="003E6177" w:rsidRDefault="00A5639A" w:rsidP="003E6177">
      <w:pPr>
        <w:pStyle w:val="NoSpacing"/>
        <w:spacing w:line="360" w:lineRule="auto"/>
        <w:jc w:val="both"/>
        <w:rPr>
          <w:rFonts w:ascii="Times New Roman" w:hAnsi="Times New Roman" w:cs="Times New Roman"/>
          <w:sz w:val="24"/>
          <w:szCs w:val="24"/>
        </w:rPr>
      </w:pPr>
      <w:r w:rsidRPr="003E6177">
        <w:rPr>
          <w:rFonts w:ascii="Times New Roman" w:hAnsi="Times New Roman" w:cs="Times New Roman"/>
          <w:sz w:val="24"/>
          <w:szCs w:val="24"/>
        </w:rPr>
        <w:t xml:space="preserve">BERTHELEU, H. Sens et usages de « l’ethnicisation ». </w:t>
      </w:r>
      <w:r w:rsidRPr="003E6177">
        <w:rPr>
          <w:rFonts w:ascii="Times New Roman" w:hAnsi="Times New Roman" w:cs="Times New Roman"/>
          <w:b/>
          <w:sz w:val="24"/>
          <w:szCs w:val="24"/>
        </w:rPr>
        <w:t xml:space="preserve">Revue européenne des migrations internationales, </w:t>
      </w:r>
      <w:r w:rsidRPr="003E6177">
        <w:rPr>
          <w:rFonts w:ascii="Times New Roman" w:hAnsi="Times New Roman" w:cs="Times New Roman"/>
          <w:sz w:val="24"/>
          <w:szCs w:val="24"/>
        </w:rPr>
        <w:t xml:space="preserve">v. 23, n. 2, p. 7-28,  2007.   </w:t>
      </w:r>
    </w:p>
    <w:p w14:paraId="1E774F04" w14:textId="77777777" w:rsidR="00A5639A" w:rsidRPr="003E6177" w:rsidRDefault="00A5639A" w:rsidP="003E6177">
      <w:pPr>
        <w:pStyle w:val="NoSpacing"/>
        <w:spacing w:line="360" w:lineRule="auto"/>
        <w:jc w:val="both"/>
        <w:rPr>
          <w:rFonts w:ascii="Times New Roman" w:hAnsi="Times New Roman" w:cs="Times New Roman"/>
          <w:sz w:val="24"/>
          <w:szCs w:val="24"/>
        </w:rPr>
      </w:pPr>
    </w:p>
    <w:p w14:paraId="621F0625" w14:textId="77777777" w:rsidR="00A5639A" w:rsidRPr="003E6177" w:rsidRDefault="00A5639A" w:rsidP="003E6177">
      <w:pPr>
        <w:pStyle w:val="NoSpacing"/>
        <w:spacing w:line="360" w:lineRule="auto"/>
        <w:jc w:val="both"/>
        <w:rPr>
          <w:rFonts w:ascii="Times New Roman" w:hAnsi="Times New Roman" w:cs="Times New Roman"/>
          <w:sz w:val="24"/>
          <w:szCs w:val="24"/>
        </w:rPr>
      </w:pPr>
      <w:r w:rsidRPr="003E6177">
        <w:rPr>
          <w:rFonts w:ascii="Times New Roman" w:hAnsi="Times New Roman" w:cs="Times New Roman"/>
          <w:sz w:val="24"/>
          <w:szCs w:val="24"/>
        </w:rPr>
        <w:t xml:space="preserve">BRUÈRE, S. Les liens entre le système de production lean manufaturing et la santé au travail: une recension de la littérature. </w:t>
      </w:r>
      <w:r w:rsidRPr="003E6177">
        <w:rPr>
          <w:rFonts w:ascii="Times New Roman" w:hAnsi="Times New Roman" w:cs="Times New Roman"/>
          <w:b/>
          <w:sz w:val="24"/>
          <w:szCs w:val="24"/>
        </w:rPr>
        <w:t xml:space="preserve">Revue multidisciplinaire sur l'emploi, le syndicalisme et le travail (REMEST), </w:t>
      </w:r>
      <w:r w:rsidRPr="003E6177">
        <w:rPr>
          <w:rFonts w:ascii="Times New Roman" w:hAnsi="Times New Roman" w:cs="Times New Roman"/>
          <w:sz w:val="24"/>
          <w:szCs w:val="24"/>
        </w:rPr>
        <w:t xml:space="preserve">v. 8, n. 1, p. 21-50,  2014.   </w:t>
      </w:r>
    </w:p>
    <w:p w14:paraId="5B3BB466" w14:textId="77777777" w:rsidR="00A5639A" w:rsidRPr="003E6177" w:rsidRDefault="00A5639A" w:rsidP="003E6177">
      <w:pPr>
        <w:pStyle w:val="NoSpacing"/>
        <w:spacing w:line="360" w:lineRule="auto"/>
        <w:jc w:val="both"/>
        <w:rPr>
          <w:rFonts w:ascii="Times New Roman" w:hAnsi="Times New Roman" w:cs="Times New Roman"/>
          <w:sz w:val="24"/>
          <w:szCs w:val="24"/>
        </w:rPr>
      </w:pPr>
    </w:p>
    <w:p w14:paraId="1C8489AB" w14:textId="77777777" w:rsidR="00A5639A" w:rsidRPr="003E6177" w:rsidRDefault="00A5639A" w:rsidP="003E6177">
      <w:pPr>
        <w:pStyle w:val="NoSpacing"/>
        <w:spacing w:line="360" w:lineRule="auto"/>
        <w:jc w:val="both"/>
        <w:rPr>
          <w:rFonts w:ascii="Times New Roman" w:hAnsi="Times New Roman" w:cs="Times New Roman"/>
          <w:sz w:val="24"/>
          <w:szCs w:val="24"/>
        </w:rPr>
      </w:pPr>
      <w:r w:rsidRPr="003E6177">
        <w:rPr>
          <w:rFonts w:ascii="Times New Roman" w:hAnsi="Times New Roman" w:cs="Times New Roman"/>
          <w:sz w:val="24"/>
          <w:szCs w:val="24"/>
        </w:rPr>
        <w:t xml:space="preserve">CASTILLO, R. J.; GUO, K. L. A framework for cultural competence in health care organizations. </w:t>
      </w:r>
      <w:r w:rsidRPr="003E6177">
        <w:rPr>
          <w:rFonts w:ascii="Times New Roman" w:hAnsi="Times New Roman" w:cs="Times New Roman"/>
          <w:b/>
          <w:sz w:val="24"/>
          <w:szCs w:val="24"/>
        </w:rPr>
        <w:t xml:space="preserve">The Health Care Manager, </w:t>
      </w:r>
      <w:r w:rsidRPr="003E6177">
        <w:rPr>
          <w:rFonts w:ascii="Times New Roman" w:hAnsi="Times New Roman" w:cs="Times New Roman"/>
          <w:sz w:val="24"/>
          <w:szCs w:val="24"/>
        </w:rPr>
        <w:t xml:space="preserve">v. 30, n. 3, p. 205-214,  2011.   </w:t>
      </w:r>
    </w:p>
    <w:p w14:paraId="23A22C15" w14:textId="77777777" w:rsidR="00A5639A" w:rsidRPr="003E6177" w:rsidRDefault="00A5639A" w:rsidP="003E6177">
      <w:pPr>
        <w:pStyle w:val="NoSpacing"/>
        <w:spacing w:line="360" w:lineRule="auto"/>
        <w:jc w:val="both"/>
        <w:rPr>
          <w:rFonts w:ascii="Times New Roman" w:hAnsi="Times New Roman" w:cs="Times New Roman"/>
          <w:sz w:val="24"/>
          <w:szCs w:val="24"/>
        </w:rPr>
      </w:pPr>
    </w:p>
    <w:p w14:paraId="1F81D5A2" w14:textId="77777777" w:rsidR="00A5639A" w:rsidRPr="003E6177" w:rsidRDefault="00A5639A" w:rsidP="003E6177">
      <w:pPr>
        <w:pStyle w:val="NoSpacing"/>
        <w:spacing w:line="360" w:lineRule="auto"/>
        <w:jc w:val="both"/>
        <w:rPr>
          <w:rFonts w:ascii="Times New Roman" w:hAnsi="Times New Roman" w:cs="Times New Roman"/>
          <w:sz w:val="24"/>
          <w:szCs w:val="24"/>
        </w:rPr>
      </w:pPr>
      <w:r w:rsidRPr="003E6177">
        <w:rPr>
          <w:rFonts w:ascii="Times New Roman" w:hAnsi="Times New Roman" w:cs="Times New Roman"/>
          <w:sz w:val="24"/>
          <w:szCs w:val="24"/>
        </w:rPr>
        <w:t>CÔTÉ, D.; DUBÉ, J. Pratiques de soins en réadaptation et diversité ethnoculturelle: l'adaptation des services peut-elle soutenir la performance et la santé des professionnels? In: FORTIER, I.;HAMISULTANE, S.</w:t>
      </w:r>
      <w:r w:rsidRPr="003E6177">
        <w:rPr>
          <w:rFonts w:ascii="Times New Roman" w:hAnsi="Times New Roman" w:cs="Times New Roman"/>
          <w:i/>
          <w:sz w:val="24"/>
          <w:szCs w:val="24"/>
        </w:rPr>
        <w:t>, et al</w:t>
      </w:r>
      <w:r w:rsidRPr="003E6177">
        <w:rPr>
          <w:rFonts w:ascii="Times New Roman" w:hAnsi="Times New Roman" w:cs="Times New Roman"/>
          <w:sz w:val="24"/>
          <w:szCs w:val="24"/>
        </w:rPr>
        <w:t xml:space="preserve"> (Ed.). </w:t>
      </w:r>
      <w:r w:rsidRPr="003E6177">
        <w:rPr>
          <w:rFonts w:ascii="Times New Roman" w:hAnsi="Times New Roman" w:cs="Times New Roman"/>
          <w:b/>
          <w:sz w:val="24"/>
          <w:szCs w:val="24"/>
        </w:rPr>
        <w:t>Clinique en sciences sociales: sens et pratiques alternatives</w:t>
      </w:r>
      <w:r w:rsidRPr="003E6177">
        <w:rPr>
          <w:rFonts w:ascii="Times New Roman" w:hAnsi="Times New Roman" w:cs="Times New Roman"/>
          <w:sz w:val="24"/>
          <w:szCs w:val="24"/>
        </w:rPr>
        <w:t xml:space="preserve">. Québec: Presses de l'Université du Québec, 2018.  p.266-278.  </w:t>
      </w:r>
    </w:p>
    <w:p w14:paraId="52ED5D93" w14:textId="77777777" w:rsidR="00A5639A" w:rsidRPr="003E6177" w:rsidRDefault="00A5639A" w:rsidP="003E6177">
      <w:pPr>
        <w:pStyle w:val="NoSpacing"/>
        <w:spacing w:line="360" w:lineRule="auto"/>
        <w:jc w:val="both"/>
        <w:rPr>
          <w:rFonts w:ascii="Times New Roman" w:hAnsi="Times New Roman" w:cs="Times New Roman"/>
          <w:sz w:val="24"/>
          <w:szCs w:val="24"/>
        </w:rPr>
      </w:pPr>
    </w:p>
    <w:p w14:paraId="772BB34E" w14:textId="77777777" w:rsidR="00A5639A" w:rsidRPr="003E6177" w:rsidRDefault="00A5639A" w:rsidP="003E6177">
      <w:pPr>
        <w:pStyle w:val="NoSpacing"/>
        <w:spacing w:line="360" w:lineRule="auto"/>
        <w:jc w:val="both"/>
        <w:rPr>
          <w:rFonts w:ascii="Times New Roman" w:hAnsi="Times New Roman" w:cs="Times New Roman"/>
          <w:sz w:val="24"/>
          <w:szCs w:val="24"/>
        </w:rPr>
      </w:pPr>
      <w:r w:rsidRPr="003E6177">
        <w:rPr>
          <w:rFonts w:ascii="Times New Roman" w:hAnsi="Times New Roman" w:cs="Times New Roman"/>
          <w:sz w:val="24"/>
          <w:szCs w:val="24"/>
        </w:rPr>
        <w:t xml:space="preserve">CÔTÉ, D.  et al. Cumulative stigma among injured immigrant workers: a qualitative exploratory study in Montreal (Quebec, Canada). </w:t>
      </w:r>
      <w:r w:rsidRPr="003E6177">
        <w:rPr>
          <w:rFonts w:ascii="Times New Roman" w:hAnsi="Times New Roman" w:cs="Times New Roman"/>
          <w:b/>
          <w:sz w:val="24"/>
          <w:szCs w:val="24"/>
        </w:rPr>
        <w:t>Disability &amp; Rehabilitation</w:t>
      </w:r>
      <w:r w:rsidRPr="003E6177">
        <w:rPr>
          <w:rFonts w:ascii="Times New Roman" w:hAnsi="Times New Roman" w:cs="Times New Roman"/>
          <w:sz w:val="24"/>
          <w:szCs w:val="24"/>
        </w:rPr>
        <w:t xml:space="preserve">,  2019, sous presse.   </w:t>
      </w:r>
    </w:p>
    <w:p w14:paraId="628AAE8C" w14:textId="77777777" w:rsidR="00A5639A" w:rsidRPr="003E6177" w:rsidRDefault="00A5639A" w:rsidP="003E6177">
      <w:pPr>
        <w:pStyle w:val="NoSpacing"/>
        <w:spacing w:line="360" w:lineRule="auto"/>
        <w:jc w:val="both"/>
        <w:rPr>
          <w:rFonts w:ascii="Times New Roman" w:hAnsi="Times New Roman" w:cs="Times New Roman"/>
          <w:sz w:val="24"/>
          <w:szCs w:val="24"/>
        </w:rPr>
      </w:pPr>
    </w:p>
    <w:p w14:paraId="7D570A65" w14:textId="77777777" w:rsidR="00A5639A" w:rsidRPr="003E6177" w:rsidRDefault="00A5639A" w:rsidP="003E6177">
      <w:pPr>
        <w:pStyle w:val="NoSpacing"/>
        <w:spacing w:line="360" w:lineRule="auto"/>
        <w:jc w:val="both"/>
        <w:rPr>
          <w:rFonts w:ascii="Times New Roman" w:hAnsi="Times New Roman" w:cs="Times New Roman"/>
          <w:sz w:val="24"/>
          <w:szCs w:val="24"/>
        </w:rPr>
      </w:pPr>
      <w:r w:rsidRPr="003E6177">
        <w:rPr>
          <w:rFonts w:ascii="Times New Roman" w:hAnsi="Times New Roman" w:cs="Times New Roman"/>
          <w:sz w:val="24"/>
          <w:szCs w:val="24"/>
        </w:rPr>
        <w:t xml:space="preserve">CÔTÉ, D.  et al. </w:t>
      </w:r>
      <w:r w:rsidRPr="003E6177">
        <w:rPr>
          <w:rFonts w:ascii="Times New Roman" w:hAnsi="Times New Roman" w:cs="Times New Roman"/>
          <w:b/>
          <w:sz w:val="24"/>
          <w:szCs w:val="24"/>
        </w:rPr>
        <w:t>Relations interculturelles : Comprendre le processus de réadaptation et de retour au travail. Rapport R-967, collection Études et recherches</w:t>
      </w:r>
      <w:r w:rsidRPr="003E6177">
        <w:rPr>
          <w:rFonts w:ascii="Times New Roman" w:hAnsi="Times New Roman" w:cs="Times New Roman"/>
          <w:sz w:val="24"/>
          <w:szCs w:val="24"/>
        </w:rPr>
        <w:t>.  Montréal: Institut de recherche Robert-Sauvé en santé et en sécurité du travail (IRSST), 2017.</w:t>
      </w:r>
    </w:p>
    <w:p w14:paraId="0F36C738" w14:textId="77777777" w:rsidR="00A5639A" w:rsidRPr="003E6177" w:rsidRDefault="00A5639A" w:rsidP="003E6177">
      <w:pPr>
        <w:pStyle w:val="NoSpacing"/>
        <w:spacing w:line="360" w:lineRule="auto"/>
        <w:jc w:val="both"/>
        <w:rPr>
          <w:rFonts w:ascii="Times New Roman" w:hAnsi="Times New Roman" w:cs="Times New Roman"/>
          <w:sz w:val="24"/>
          <w:szCs w:val="24"/>
        </w:rPr>
      </w:pPr>
    </w:p>
    <w:p w14:paraId="43857301" w14:textId="77777777" w:rsidR="00A5639A" w:rsidRPr="003E6177" w:rsidRDefault="00A5639A" w:rsidP="003E6177">
      <w:pPr>
        <w:pStyle w:val="NoSpacing"/>
        <w:spacing w:line="360" w:lineRule="auto"/>
        <w:jc w:val="both"/>
        <w:rPr>
          <w:rFonts w:ascii="Times New Roman" w:hAnsi="Times New Roman" w:cs="Times New Roman"/>
          <w:sz w:val="24"/>
          <w:szCs w:val="24"/>
        </w:rPr>
      </w:pPr>
      <w:r w:rsidRPr="003E6177">
        <w:rPr>
          <w:rFonts w:ascii="Times New Roman" w:hAnsi="Times New Roman" w:cs="Times New Roman"/>
          <w:sz w:val="24"/>
          <w:szCs w:val="24"/>
        </w:rPr>
        <w:t xml:space="preserve">CURTIS, E. F.; DEACHSLIN, J. L.; SINIORIS, M. Diversity and Cultural Competence Training in Health Care Organization. </w:t>
      </w:r>
      <w:r w:rsidRPr="003E6177">
        <w:rPr>
          <w:rFonts w:ascii="Times New Roman" w:hAnsi="Times New Roman" w:cs="Times New Roman"/>
          <w:b/>
          <w:sz w:val="24"/>
          <w:szCs w:val="24"/>
        </w:rPr>
        <w:t xml:space="preserve">The Health Care Manager, </w:t>
      </w:r>
      <w:r w:rsidRPr="003E6177">
        <w:rPr>
          <w:rFonts w:ascii="Times New Roman" w:hAnsi="Times New Roman" w:cs="Times New Roman"/>
          <w:sz w:val="24"/>
          <w:szCs w:val="24"/>
        </w:rPr>
        <w:t xml:space="preserve">v. 26, n. 3, p. 255-262,  2007.   </w:t>
      </w:r>
    </w:p>
    <w:p w14:paraId="7199C806" w14:textId="77777777" w:rsidR="00A5639A" w:rsidRPr="003E6177" w:rsidRDefault="00A5639A" w:rsidP="003E6177">
      <w:pPr>
        <w:pStyle w:val="NoSpacing"/>
        <w:spacing w:line="360" w:lineRule="auto"/>
        <w:jc w:val="both"/>
        <w:rPr>
          <w:rFonts w:ascii="Times New Roman" w:hAnsi="Times New Roman" w:cs="Times New Roman"/>
          <w:sz w:val="24"/>
          <w:szCs w:val="24"/>
        </w:rPr>
      </w:pPr>
    </w:p>
    <w:p w14:paraId="339B8624" w14:textId="77777777" w:rsidR="00A5639A" w:rsidRPr="003E6177" w:rsidRDefault="00A5639A" w:rsidP="003E6177">
      <w:pPr>
        <w:pStyle w:val="NoSpacing"/>
        <w:spacing w:line="360" w:lineRule="auto"/>
        <w:jc w:val="both"/>
        <w:rPr>
          <w:rFonts w:ascii="Times New Roman" w:hAnsi="Times New Roman" w:cs="Times New Roman"/>
          <w:sz w:val="24"/>
          <w:szCs w:val="24"/>
        </w:rPr>
      </w:pPr>
      <w:r w:rsidRPr="003E6177">
        <w:rPr>
          <w:rFonts w:ascii="Times New Roman" w:hAnsi="Times New Roman" w:cs="Times New Roman"/>
          <w:sz w:val="24"/>
          <w:szCs w:val="24"/>
        </w:rPr>
        <w:t xml:space="preserve">DE GAULEJAC, V. La NGP: nouvelle gestion paradoxante. </w:t>
      </w:r>
      <w:r w:rsidRPr="003E6177">
        <w:rPr>
          <w:rFonts w:ascii="Times New Roman" w:hAnsi="Times New Roman" w:cs="Times New Roman"/>
          <w:b/>
          <w:sz w:val="24"/>
          <w:szCs w:val="24"/>
        </w:rPr>
        <w:t xml:space="preserve">Nouvelles pratiques sociales, </w:t>
      </w:r>
      <w:r w:rsidRPr="003E6177">
        <w:rPr>
          <w:rFonts w:ascii="Times New Roman" w:hAnsi="Times New Roman" w:cs="Times New Roman"/>
          <w:sz w:val="24"/>
          <w:szCs w:val="24"/>
        </w:rPr>
        <w:t xml:space="preserve">v. 22, n. 2, p. 83-98,  2010.   </w:t>
      </w:r>
    </w:p>
    <w:p w14:paraId="7075E592" w14:textId="77777777" w:rsidR="00A5639A" w:rsidRPr="003E6177" w:rsidRDefault="00A5639A" w:rsidP="003E6177">
      <w:pPr>
        <w:pStyle w:val="NoSpacing"/>
        <w:spacing w:line="360" w:lineRule="auto"/>
        <w:jc w:val="both"/>
        <w:rPr>
          <w:rFonts w:ascii="Times New Roman" w:hAnsi="Times New Roman" w:cs="Times New Roman"/>
          <w:sz w:val="24"/>
          <w:szCs w:val="24"/>
        </w:rPr>
      </w:pPr>
    </w:p>
    <w:p w14:paraId="75F511B7" w14:textId="77777777" w:rsidR="00A5639A" w:rsidRPr="003E6177" w:rsidRDefault="00A5639A" w:rsidP="003E6177">
      <w:pPr>
        <w:pStyle w:val="NoSpacing"/>
        <w:spacing w:line="360" w:lineRule="auto"/>
        <w:jc w:val="both"/>
        <w:rPr>
          <w:rFonts w:ascii="Times New Roman" w:hAnsi="Times New Roman" w:cs="Times New Roman"/>
          <w:sz w:val="24"/>
          <w:szCs w:val="24"/>
        </w:rPr>
      </w:pPr>
      <w:r w:rsidRPr="003E6177">
        <w:rPr>
          <w:rFonts w:ascii="Times New Roman" w:hAnsi="Times New Roman" w:cs="Times New Roman"/>
          <w:sz w:val="24"/>
          <w:szCs w:val="24"/>
        </w:rPr>
        <w:lastRenderedPageBreak/>
        <w:t xml:space="preserve">DEBLOIS, S.; LEPANTO, L. </w:t>
      </w:r>
      <w:r w:rsidRPr="003E6177">
        <w:rPr>
          <w:rFonts w:ascii="Times New Roman" w:hAnsi="Times New Roman" w:cs="Times New Roman"/>
          <w:b/>
          <w:sz w:val="24"/>
          <w:szCs w:val="24"/>
        </w:rPr>
        <w:t>Implantation et effets du lean et du six sigma en milieu de soins aigus</w:t>
      </w:r>
      <w:r w:rsidRPr="003E6177">
        <w:rPr>
          <w:rFonts w:ascii="Times New Roman" w:hAnsi="Times New Roman" w:cs="Times New Roman"/>
          <w:sz w:val="24"/>
          <w:szCs w:val="24"/>
        </w:rPr>
        <w:t>.  Montréal: Direction de l'évaluation des technologies et des modes d'intervention en santé (DETMIS), Centre hospitalier de l'Université de Montréal (CHUM), 2013.</w:t>
      </w:r>
    </w:p>
    <w:p w14:paraId="55B58719" w14:textId="77777777" w:rsidR="00A5639A" w:rsidRPr="003E6177" w:rsidRDefault="00A5639A" w:rsidP="003E6177">
      <w:pPr>
        <w:pStyle w:val="NoSpacing"/>
        <w:spacing w:line="360" w:lineRule="auto"/>
        <w:jc w:val="both"/>
        <w:rPr>
          <w:rFonts w:ascii="Times New Roman" w:hAnsi="Times New Roman" w:cs="Times New Roman"/>
          <w:sz w:val="24"/>
          <w:szCs w:val="24"/>
        </w:rPr>
      </w:pPr>
    </w:p>
    <w:p w14:paraId="300CC065" w14:textId="77777777" w:rsidR="00A5639A" w:rsidRPr="003E6177" w:rsidRDefault="00A5639A" w:rsidP="003E6177">
      <w:pPr>
        <w:pStyle w:val="NoSpacing"/>
        <w:spacing w:line="360" w:lineRule="auto"/>
        <w:jc w:val="both"/>
        <w:rPr>
          <w:rFonts w:ascii="Times New Roman" w:hAnsi="Times New Roman" w:cs="Times New Roman"/>
          <w:sz w:val="24"/>
          <w:szCs w:val="24"/>
        </w:rPr>
      </w:pPr>
      <w:r w:rsidRPr="003E6177">
        <w:rPr>
          <w:rFonts w:ascii="Times New Roman" w:hAnsi="Times New Roman" w:cs="Times New Roman"/>
          <w:sz w:val="24"/>
          <w:szCs w:val="24"/>
        </w:rPr>
        <w:t xml:space="preserve">DEJOURS, C. </w:t>
      </w:r>
      <w:r w:rsidRPr="003E6177">
        <w:rPr>
          <w:rFonts w:ascii="Times New Roman" w:hAnsi="Times New Roman" w:cs="Times New Roman"/>
          <w:b/>
          <w:sz w:val="24"/>
          <w:szCs w:val="24"/>
        </w:rPr>
        <w:t>L'évaluation du travail à l'épreuve du réel. Critique des fondements de l'évaluation</w:t>
      </w:r>
      <w:r w:rsidRPr="003E6177">
        <w:rPr>
          <w:rFonts w:ascii="Times New Roman" w:hAnsi="Times New Roman" w:cs="Times New Roman"/>
          <w:sz w:val="24"/>
          <w:szCs w:val="24"/>
        </w:rPr>
        <w:t>.  Paris: Institut National de la Recherche Agronomique (INRA), 2003. 82.</w:t>
      </w:r>
    </w:p>
    <w:p w14:paraId="743DB542" w14:textId="77777777" w:rsidR="00A5639A" w:rsidRPr="003E6177" w:rsidRDefault="00A5639A" w:rsidP="003E6177">
      <w:pPr>
        <w:pStyle w:val="NoSpacing"/>
        <w:spacing w:line="360" w:lineRule="auto"/>
        <w:jc w:val="both"/>
        <w:rPr>
          <w:rFonts w:ascii="Times New Roman" w:hAnsi="Times New Roman" w:cs="Times New Roman"/>
          <w:sz w:val="24"/>
          <w:szCs w:val="24"/>
        </w:rPr>
      </w:pPr>
    </w:p>
    <w:p w14:paraId="7E5FAB9F" w14:textId="77777777" w:rsidR="00A5639A" w:rsidRPr="003E6177" w:rsidRDefault="00A5639A" w:rsidP="003E6177">
      <w:pPr>
        <w:pStyle w:val="NoSpacing"/>
        <w:spacing w:line="360" w:lineRule="auto"/>
        <w:jc w:val="both"/>
        <w:rPr>
          <w:rFonts w:ascii="Times New Roman" w:hAnsi="Times New Roman" w:cs="Times New Roman"/>
          <w:sz w:val="24"/>
          <w:szCs w:val="24"/>
        </w:rPr>
      </w:pPr>
      <w:r w:rsidRPr="003E6177">
        <w:rPr>
          <w:rFonts w:ascii="Times New Roman" w:hAnsi="Times New Roman" w:cs="Times New Roman"/>
          <w:sz w:val="24"/>
          <w:szCs w:val="24"/>
        </w:rPr>
        <w:t xml:space="preserve">DOISE, W. Attitudes et représentations sociales. In: JODELET, D. (Ed.). </w:t>
      </w:r>
      <w:r w:rsidRPr="003E6177">
        <w:rPr>
          <w:rFonts w:ascii="Times New Roman" w:hAnsi="Times New Roman" w:cs="Times New Roman"/>
          <w:b/>
          <w:sz w:val="24"/>
          <w:szCs w:val="24"/>
        </w:rPr>
        <w:t>Les représentations sociales</w:t>
      </w:r>
      <w:r w:rsidRPr="003E6177">
        <w:rPr>
          <w:rFonts w:ascii="Times New Roman" w:hAnsi="Times New Roman" w:cs="Times New Roman"/>
          <w:sz w:val="24"/>
          <w:szCs w:val="24"/>
        </w:rPr>
        <w:t xml:space="preserve">. Paris: PUF, 1989.  p.220-238.  </w:t>
      </w:r>
    </w:p>
    <w:p w14:paraId="3747DC56" w14:textId="77777777" w:rsidR="00A5639A" w:rsidRPr="003E6177" w:rsidRDefault="00A5639A" w:rsidP="003E6177">
      <w:pPr>
        <w:pStyle w:val="NoSpacing"/>
        <w:spacing w:line="360" w:lineRule="auto"/>
        <w:jc w:val="both"/>
        <w:rPr>
          <w:rFonts w:ascii="Times New Roman" w:hAnsi="Times New Roman" w:cs="Times New Roman"/>
          <w:sz w:val="24"/>
          <w:szCs w:val="24"/>
        </w:rPr>
      </w:pPr>
    </w:p>
    <w:p w14:paraId="5ADCA688" w14:textId="77777777" w:rsidR="00A5639A" w:rsidRPr="003E6177" w:rsidRDefault="00A5639A" w:rsidP="003E6177">
      <w:pPr>
        <w:pStyle w:val="NoSpacing"/>
        <w:spacing w:line="360" w:lineRule="auto"/>
        <w:jc w:val="both"/>
        <w:rPr>
          <w:rFonts w:ascii="Times New Roman" w:hAnsi="Times New Roman" w:cs="Times New Roman"/>
          <w:sz w:val="24"/>
          <w:szCs w:val="24"/>
        </w:rPr>
      </w:pPr>
      <w:r w:rsidRPr="003E6177">
        <w:rPr>
          <w:rFonts w:ascii="Times New Roman" w:hAnsi="Times New Roman" w:cs="Times New Roman"/>
          <w:sz w:val="24"/>
          <w:szCs w:val="24"/>
        </w:rPr>
        <w:t xml:space="preserve">FIGLEY, C. R. Compassion fatigue: psychotherapists’ chronic lack of self care. </w:t>
      </w:r>
      <w:r w:rsidRPr="003E6177">
        <w:rPr>
          <w:rFonts w:ascii="Times New Roman" w:hAnsi="Times New Roman" w:cs="Times New Roman"/>
          <w:b/>
          <w:sz w:val="24"/>
          <w:szCs w:val="24"/>
        </w:rPr>
        <w:t xml:space="preserve">Journal of Clinical Psychology, </w:t>
      </w:r>
      <w:r w:rsidRPr="003E6177">
        <w:rPr>
          <w:rFonts w:ascii="Times New Roman" w:hAnsi="Times New Roman" w:cs="Times New Roman"/>
          <w:sz w:val="24"/>
          <w:szCs w:val="24"/>
        </w:rPr>
        <w:t xml:space="preserve">v. 58, n. 11, p. 1433-1441,  2002.   </w:t>
      </w:r>
    </w:p>
    <w:p w14:paraId="5DEDA0B2" w14:textId="77777777" w:rsidR="00A5639A" w:rsidRPr="003E6177" w:rsidRDefault="00A5639A" w:rsidP="003E6177">
      <w:pPr>
        <w:pStyle w:val="NoSpacing"/>
        <w:spacing w:line="360" w:lineRule="auto"/>
        <w:jc w:val="both"/>
        <w:rPr>
          <w:rFonts w:ascii="Times New Roman" w:hAnsi="Times New Roman" w:cs="Times New Roman"/>
          <w:sz w:val="24"/>
          <w:szCs w:val="24"/>
        </w:rPr>
      </w:pPr>
    </w:p>
    <w:p w14:paraId="003ABF15" w14:textId="77777777" w:rsidR="00A5639A" w:rsidRPr="003E6177" w:rsidRDefault="00A5639A" w:rsidP="003E6177">
      <w:pPr>
        <w:pStyle w:val="NoSpacing"/>
        <w:spacing w:line="360" w:lineRule="auto"/>
        <w:jc w:val="both"/>
        <w:rPr>
          <w:rFonts w:ascii="Times New Roman" w:hAnsi="Times New Roman" w:cs="Times New Roman"/>
          <w:sz w:val="24"/>
          <w:szCs w:val="24"/>
        </w:rPr>
      </w:pPr>
      <w:r w:rsidRPr="003E6177">
        <w:rPr>
          <w:rFonts w:ascii="Times New Roman" w:hAnsi="Times New Roman" w:cs="Times New Roman"/>
          <w:sz w:val="24"/>
          <w:szCs w:val="24"/>
        </w:rPr>
        <w:t xml:space="preserve">FORTIER, I. La modernisation de l'État québécois: la gouvernance démocratique à l'épreuve des enjeux du managérialisme. </w:t>
      </w:r>
      <w:r w:rsidRPr="003E6177">
        <w:rPr>
          <w:rFonts w:ascii="Times New Roman" w:hAnsi="Times New Roman" w:cs="Times New Roman"/>
          <w:b/>
          <w:sz w:val="24"/>
          <w:szCs w:val="24"/>
        </w:rPr>
        <w:t xml:space="preserve">Nouvelles pratiques sociales, </w:t>
      </w:r>
      <w:r w:rsidRPr="003E6177">
        <w:rPr>
          <w:rFonts w:ascii="Times New Roman" w:hAnsi="Times New Roman" w:cs="Times New Roman"/>
          <w:sz w:val="24"/>
          <w:szCs w:val="24"/>
        </w:rPr>
        <w:t xml:space="preserve">v. 22, n. 2, p. 35-50,  2010.   </w:t>
      </w:r>
    </w:p>
    <w:p w14:paraId="68C14A1D" w14:textId="77777777" w:rsidR="00A5639A" w:rsidRPr="003E6177" w:rsidRDefault="00A5639A" w:rsidP="003E6177">
      <w:pPr>
        <w:pStyle w:val="NoSpacing"/>
        <w:spacing w:line="360" w:lineRule="auto"/>
        <w:jc w:val="both"/>
        <w:rPr>
          <w:rFonts w:ascii="Times New Roman" w:hAnsi="Times New Roman" w:cs="Times New Roman"/>
          <w:sz w:val="24"/>
          <w:szCs w:val="24"/>
        </w:rPr>
      </w:pPr>
    </w:p>
    <w:p w14:paraId="5A45314C" w14:textId="77777777" w:rsidR="00A5639A" w:rsidRPr="003E6177" w:rsidRDefault="00A5639A" w:rsidP="003E6177">
      <w:pPr>
        <w:pStyle w:val="NoSpacing"/>
        <w:spacing w:line="360" w:lineRule="auto"/>
        <w:jc w:val="both"/>
        <w:rPr>
          <w:rFonts w:ascii="Times New Roman" w:hAnsi="Times New Roman" w:cs="Times New Roman"/>
          <w:sz w:val="24"/>
          <w:szCs w:val="24"/>
        </w:rPr>
      </w:pPr>
      <w:r w:rsidRPr="003E6177">
        <w:rPr>
          <w:rFonts w:ascii="Times New Roman" w:hAnsi="Times New Roman" w:cs="Times New Roman"/>
          <w:sz w:val="24"/>
          <w:szCs w:val="24"/>
        </w:rPr>
        <w:t>GERMAIN, A. Une ville inclusive est-elle une ville sans exclusion? Ou quand la diversité vivifie…ou fatigue. In: MCANDREW, M.;POTVIN, M.</w:t>
      </w:r>
      <w:r w:rsidRPr="003E6177">
        <w:rPr>
          <w:rFonts w:ascii="Times New Roman" w:hAnsi="Times New Roman" w:cs="Times New Roman"/>
          <w:i/>
          <w:sz w:val="24"/>
          <w:szCs w:val="24"/>
        </w:rPr>
        <w:t>, et al</w:t>
      </w:r>
      <w:r w:rsidRPr="003E6177">
        <w:rPr>
          <w:rFonts w:ascii="Times New Roman" w:hAnsi="Times New Roman" w:cs="Times New Roman"/>
          <w:sz w:val="24"/>
          <w:szCs w:val="24"/>
        </w:rPr>
        <w:t xml:space="preserve"> (Ed.). </w:t>
      </w:r>
      <w:r w:rsidRPr="003E6177">
        <w:rPr>
          <w:rFonts w:ascii="Times New Roman" w:hAnsi="Times New Roman" w:cs="Times New Roman"/>
          <w:b/>
          <w:sz w:val="24"/>
          <w:szCs w:val="24"/>
        </w:rPr>
        <w:t>Le développement d’institutions inclusives en contexte de diversité : recherche, formation, partenariat</w:t>
      </w:r>
      <w:r w:rsidRPr="003E6177">
        <w:rPr>
          <w:rFonts w:ascii="Times New Roman" w:hAnsi="Times New Roman" w:cs="Times New Roman"/>
          <w:sz w:val="24"/>
          <w:szCs w:val="24"/>
        </w:rPr>
        <w:t xml:space="preserve">. Montréal (Québec, Canada): Presses de l'Université de Montréal, 2013.  p.27-42.  </w:t>
      </w:r>
    </w:p>
    <w:p w14:paraId="2B811504" w14:textId="77777777" w:rsidR="00A5639A" w:rsidRPr="003E6177" w:rsidRDefault="00A5639A" w:rsidP="003E6177">
      <w:pPr>
        <w:pStyle w:val="NoSpacing"/>
        <w:spacing w:line="360" w:lineRule="auto"/>
        <w:jc w:val="both"/>
        <w:rPr>
          <w:rFonts w:ascii="Times New Roman" w:hAnsi="Times New Roman" w:cs="Times New Roman"/>
          <w:sz w:val="24"/>
          <w:szCs w:val="24"/>
        </w:rPr>
      </w:pPr>
    </w:p>
    <w:p w14:paraId="120FFD38" w14:textId="77777777" w:rsidR="00A5639A" w:rsidRPr="003E6177" w:rsidRDefault="00A5639A" w:rsidP="003E6177">
      <w:pPr>
        <w:pStyle w:val="NoSpacing"/>
        <w:spacing w:line="360" w:lineRule="auto"/>
        <w:jc w:val="both"/>
        <w:rPr>
          <w:rFonts w:ascii="Times New Roman" w:hAnsi="Times New Roman" w:cs="Times New Roman"/>
          <w:sz w:val="24"/>
          <w:szCs w:val="24"/>
        </w:rPr>
      </w:pPr>
      <w:r w:rsidRPr="003E6177">
        <w:rPr>
          <w:rFonts w:ascii="Times New Roman" w:hAnsi="Times New Roman" w:cs="Times New Roman"/>
          <w:sz w:val="24"/>
          <w:szCs w:val="24"/>
        </w:rPr>
        <w:t xml:space="preserve">GUILLEMETTE, F.; LUCKERHOFF, J. L'induction en méthodologie de la théorisation enracinée (MTE). </w:t>
      </w:r>
      <w:r w:rsidRPr="003E6177">
        <w:rPr>
          <w:rFonts w:ascii="Times New Roman" w:hAnsi="Times New Roman" w:cs="Times New Roman"/>
          <w:b/>
          <w:sz w:val="24"/>
          <w:szCs w:val="24"/>
        </w:rPr>
        <w:t xml:space="preserve">Recherches Qualitatives, </w:t>
      </w:r>
      <w:r w:rsidRPr="003E6177">
        <w:rPr>
          <w:rFonts w:ascii="Times New Roman" w:hAnsi="Times New Roman" w:cs="Times New Roman"/>
          <w:sz w:val="24"/>
          <w:szCs w:val="24"/>
        </w:rPr>
        <w:t xml:space="preserve">v. 28, n. 2, p. 4-21,  2009.   </w:t>
      </w:r>
    </w:p>
    <w:p w14:paraId="0A71FAC1" w14:textId="77777777" w:rsidR="00A5639A" w:rsidRPr="003E6177" w:rsidRDefault="00A5639A" w:rsidP="003E6177">
      <w:pPr>
        <w:pStyle w:val="NoSpacing"/>
        <w:spacing w:line="360" w:lineRule="auto"/>
        <w:jc w:val="both"/>
        <w:rPr>
          <w:rFonts w:ascii="Times New Roman" w:hAnsi="Times New Roman" w:cs="Times New Roman"/>
          <w:sz w:val="24"/>
          <w:szCs w:val="24"/>
        </w:rPr>
      </w:pPr>
    </w:p>
    <w:p w14:paraId="51AD746F" w14:textId="77777777" w:rsidR="00A5639A" w:rsidRPr="003E6177" w:rsidRDefault="00A5639A" w:rsidP="003E6177">
      <w:pPr>
        <w:pStyle w:val="NoSpacing"/>
        <w:spacing w:line="360" w:lineRule="auto"/>
        <w:jc w:val="both"/>
        <w:rPr>
          <w:rFonts w:ascii="Times New Roman" w:hAnsi="Times New Roman" w:cs="Times New Roman"/>
          <w:sz w:val="24"/>
          <w:szCs w:val="24"/>
        </w:rPr>
      </w:pPr>
      <w:r w:rsidRPr="003E6177">
        <w:rPr>
          <w:rFonts w:ascii="Times New Roman" w:hAnsi="Times New Roman" w:cs="Times New Roman"/>
          <w:sz w:val="24"/>
          <w:szCs w:val="24"/>
        </w:rPr>
        <w:t xml:space="preserve">HENDERSON, S.  et al. Cultural competence in healthcare in the community: A concept analysis. </w:t>
      </w:r>
      <w:r w:rsidRPr="003E6177">
        <w:rPr>
          <w:rFonts w:ascii="Times New Roman" w:hAnsi="Times New Roman" w:cs="Times New Roman"/>
          <w:b/>
          <w:sz w:val="24"/>
          <w:szCs w:val="24"/>
        </w:rPr>
        <w:t xml:space="preserve">Health and Social Care in the Community, </w:t>
      </w:r>
      <w:r w:rsidRPr="003E6177">
        <w:rPr>
          <w:rFonts w:ascii="Times New Roman" w:hAnsi="Times New Roman" w:cs="Times New Roman"/>
          <w:sz w:val="24"/>
          <w:szCs w:val="24"/>
        </w:rPr>
        <w:t xml:space="preserve">v. 26, n. 4, p. 590-603,  2018.   </w:t>
      </w:r>
    </w:p>
    <w:p w14:paraId="0658BA9E" w14:textId="77777777" w:rsidR="00A5639A" w:rsidRPr="003E6177" w:rsidRDefault="00A5639A" w:rsidP="003E6177">
      <w:pPr>
        <w:pStyle w:val="NoSpacing"/>
        <w:spacing w:line="360" w:lineRule="auto"/>
        <w:jc w:val="both"/>
        <w:rPr>
          <w:rFonts w:ascii="Times New Roman" w:hAnsi="Times New Roman" w:cs="Times New Roman"/>
          <w:sz w:val="24"/>
          <w:szCs w:val="24"/>
        </w:rPr>
      </w:pPr>
    </w:p>
    <w:p w14:paraId="14FBEF48" w14:textId="77777777" w:rsidR="00A5639A" w:rsidRPr="003E6177" w:rsidRDefault="00A5639A" w:rsidP="003E6177">
      <w:pPr>
        <w:pStyle w:val="NoSpacing"/>
        <w:spacing w:line="360" w:lineRule="auto"/>
        <w:jc w:val="both"/>
        <w:rPr>
          <w:rFonts w:ascii="Times New Roman" w:hAnsi="Times New Roman" w:cs="Times New Roman"/>
          <w:sz w:val="24"/>
          <w:szCs w:val="24"/>
        </w:rPr>
      </w:pPr>
      <w:r w:rsidRPr="003E6177">
        <w:rPr>
          <w:rFonts w:ascii="Times New Roman" w:hAnsi="Times New Roman" w:cs="Times New Roman"/>
          <w:sz w:val="24"/>
          <w:szCs w:val="24"/>
        </w:rPr>
        <w:t>HUTCHISON, A. J.; JOHNSTON, L. H.; BRECKON, J. D. Using QSR‐NVivo to facilitate the development of a grounded theory project: an account of a worked example.</w:t>
      </w:r>
      <w:r w:rsidRPr="003E6177">
        <w:rPr>
          <w:rFonts w:ascii="Times New Roman" w:hAnsi="Times New Roman" w:cs="Times New Roman"/>
          <w:b/>
          <w:sz w:val="24"/>
          <w:szCs w:val="24"/>
        </w:rPr>
        <w:t xml:space="preserve"> </w:t>
      </w:r>
      <w:r w:rsidRPr="003E6177">
        <w:rPr>
          <w:rFonts w:ascii="Times New Roman" w:hAnsi="Times New Roman" w:cs="Times New Roman"/>
          <w:sz w:val="24"/>
          <w:szCs w:val="24"/>
        </w:rPr>
        <w:t xml:space="preserve">v. 13, n. 4, p. 283-302,  2010.   </w:t>
      </w:r>
    </w:p>
    <w:p w14:paraId="20175342" w14:textId="77777777" w:rsidR="00A5639A" w:rsidRPr="003E6177" w:rsidRDefault="00A5639A" w:rsidP="003E6177">
      <w:pPr>
        <w:pStyle w:val="NoSpacing"/>
        <w:spacing w:line="360" w:lineRule="auto"/>
        <w:jc w:val="both"/>
        <w:rPr>
          <w:rFonts w:ascii="Times New Roman" w:hAnsi="Times New Roman" w:cs="Times New Roman"/>
          <w:sz w:val="24"/>
          <w:szCs w:val="24"/>
        </w:rPr>
      </w:pPr>
    </w:p>
    <w:p w14:paraId="39E1C3FF" w14:textId="77777777" w:rsidR="00A5639A" w:rsidRPr="003E6177" w:rsidRDefault="00A5639A" w:rsidP="003E6177">
      <w:pPr>
        <w:pStyle w:val="NoSpacing"/>
        <w:spacing w:line="360" w:lineRule="auto"/>
        <w:jc w:val="both"/>
        <w:rPr>
          <w:rFonts w:ascii="Times New Roman" w:hAnsi="Times New Roman" w:cs="Times New Roman"/>
          <w:sz w:val="24"/>
          <w:szCs w:val="24"/>
        </w:rPr>
      </w:pPr>
      <w:r w:rsidRPr="003E6177">
        <w:rPr>
          <w:rFonts w:ascii="Times New Roman" w:hAnsi="Times New Roman" w:cs="Times New Roman"/>
          <w:sz w:val="24"/>
          <w:szCs w:val="24"/>
        </w:rPr>
        <w:lastRenderedPageBreak/>
        <w:t xml:space="preserve">JONSSON, T. B. Institutionalized strategies in face-to-face encounters: focus on immigrant clients. </w:t>
      </w:r>
      <w:r w:rsidRPr="003E6177">
        <w:rPr>
          <w:rFonts w:ascii="Times New Roman" w:hAnsi="Times New Roman" w:cs="Times New Roman"/>
          <w:b/>
          <w:sz w:val="24"/>
          <w:szCs w:val="24"/>
        </w:rPr>
        <w:t xml:space="preserve">Scandinavian Journal of Social Welfare, </w:t>
      </w:r>
      <w:r w:rsidRPr="003E6177">
        <w:rPr>
          <w:rFonts w:ascii="Times New Roman" w:hAnsi="Times New Roman" w:cs="Times New Roman"/>
          <w:sz w:val="24"/>
          <w:szCs w:val="24"/>
        </w:rPr>
        <w:t xml:space="preserve">v. 7, n. 1, p. 27-33,  1998.   </w:t>
      </w:r>
    </w:p>
    <w:p w14:paraId="2528F03F" w14:textId="77777777" w:rsidR="00A5639A" w:rsidRPr="003E6177" w:rsidRDefault="00A5639A" w:rsidP="003E6177">
      <w:pPr>
        <w:pStyle w:val="NoSpacing"/>
        <w:spacing w:line="360" w:lineRule="auto"/>
        <w:jc w:val="both"/>
        <w:rPr>
          <w:rFonts w:ascii="Times New Roman" w:hAnsi="Times New Roman" w:cs="Times New Roman"/>
          <w:sz w:val="24"/>
          <w:szCs w:val="24"/>
        </w:rPr>
      </w:pPr>
    </w:p>
    <w:p w14:paraId="2E9555DD" w14:textId="77777777" w:rsidR="00A5639A" w:rsidRPr="003E6177" w:rsidRDefault="00A5639A" w:rsidP="003E6177">
      <w:pPr>
        <w:pStyle w:val="NoSpacing"/>
        <w:spacing w:line="360" w:lineRule="auto"/>
        <w:jc w:val="both"/>
        <w:rPr>
          <w:rFonts w:ascii="Times New Roman" w:hAnsi="Times New Roman" w:cs="Times New Roman"/>
          <w:sz w:val="24"/>
          <w:szCs w:val="24"/>
        </w:rPr>
      </w:pPr>
      <w:r w:rsidRPr="003E6177">
        <w:rPr>
          <w:rFonts w:ascii="Times New Roman" w:hAnsi="Times New Roman" w:cs="Times New Roman"/>
          <w:sz w:val="24"/>
          <w:szCs w:val="24"/>
        </w:rPr>
        <w:t xml:space="preserve">KOSNY, A.  et al. </w:t>
      </w:r>
      <w:r w:rsidRPr="003E6177">
        <w:rPr>
          <w:rFonts w:ascii="Times New Roman" w:hAnsi="Times New Roman" w:cs="Times New Roman"/>
          <w:b/>
          <w:sz w:val="24"/>
          <w:szCs w:val="24"/>
        </w:rPr>
        <w:t>Delicate Dances: Immigrant Workers’ Experiences of Injury Reporting and Claim Filing</w:t>
      </w:r>
      <w:r w:rsidRPr="003E6177">
        <w:rPr>
          <w:rFonts w:ascii="Times New Roman" w:hAnsi="Times New Roman" w:cs="Times New Roman"/>
          <w:sz w:val="24"/>
          <w:szCs w:val="24"/>
        </w:rPr>
        <w:t>.  Toronto: Institute for Work and Health, 2011.</w:t>
      </w:r>
    </w:p>
    <w:p w14:paraId="320BC2DF" w14:textId="77777777" w:rsidR="00A5639A" w:rsidRPr="003E6177" w:rsidRDefault="00A5639A" w:rsidP="003E6177">
      <w:pPr>
        <w:pStyle w:val="NoSpacing"/>
        <w:spacing w:line="360" w:lineRule="auto"/>
        <w:jc w:val="both"/>
        <w:rPr>
          <w:rFonts w:ascii="Times New Roman" w:hAnsi="Times New Roman" w:cs="Times New Roman"/>
          <w:sz w:val="24"/>
          <w:szCs w:val="24"/>
        </w:rPr>
      </w:pPr>
    </w:p>
    <w:p w14:paraId="083FB8B6" w14:textId="77777777" w:rsidR="00A5639A" w:rsidRPr="003E6177" w:rsidRDefault="00A5639A" w:rsidP="003E6177">
      <w:pPr>
        <w:pStyle w:val="NoSpacing"/>
        <w:spacing w:line="360" w:lineRule="auto"/>
        <w:jc w:val="both"/>
        <w:rPr>
          <w:rFonts w:ascii="Times New Roman" w:hAnsi="Times New Roman" w:cs="Times New Roman"/>
          <w:sz w:val="24"/>
          <w:szCs w:val="24"/>
        </w:rPr>
      </w:pPr>
      <w:r w:rsidRPr="003E6177">
        <w:rPr>
          <w:rFonts w:ascii="Times New Roman" w:hAnsi="Times New Roman" w:cs="Times New Roman"/>
          <w:sz w:val="24"/>
          <w:szCs w:val="24"/>
        </w:rPr>
        <w:t xml:space="preserve">LAY, A. M.  et al. The occupational health and safety vulnerability of recent immigrants accessing settlement services. </w:t>
      </w:r>
      <w:r w:rsidRPr="003E6177">
        <w:rPr>
          <w:rFonts w:ascii="Times New Roman" w:hAnsi="Times New Roman" w:cs="Times New Roman"/>
          <w:b/>
          <w:sz w:val="24"/>
          <w:szCs w:val="24"/>
        </w:rPr>
        <w:t xml:space="preserve">Canadian Journal of Public Health, </w:t>
      </w:r>
      <w:r w:rsidRPr="003E6177">
        <w:rPr>
          <w:rFonts w:ascii="Times New Roman" w:hAnsi="Times New Roman" w:cs="Times New Roman"/>
          <w:sz w:val="24"/>
          <w:szCs w:val="24"/>
        </w:rPr>
        <w:t xml:space="preserve">v. 109, n. 3, p. 303-311,  2018.   </w:t>
      </w:r>
    </w:p>
    <w:p w14:paraId="0F9DCD7A" w14:textId="77777777" w:rsidR="00A5639A" w:rsidRPr="003E6177" w:rsidRDefault="00A5639A" w:rsidP="003E6177">
      <w:pPr>
        <w:pStyle w:val="NoSpacing"/>
        <w:spacing w:line="360" w:lineRule="auto"/>
        <w:jc w:val="both"/>
        <w:rPr>
          <w:rFonts w:ascii="Times New Roman" w:hAnsi="Times New Roman" w:cs="Times New Roman"/>
          <w:sz w:val="24"/>
          <w:szCs w:val="24"/>
        </w:rPr>
      </w:pPr>
    </w:p>
    <w:p w14:paraId="33E06D01" w14:textId="77777777" w:rsidR="00A5639A" w:rsidRPr="003E6177" w:rsidRDefault="00A5639A" w:rsidP="003E6177">
      <w:pPr>
        <w:pStyle w:val="NoSpacing"/>
        <w:spacing w:line="360" w:lineRule="auto"/>
        <w:jc w:val="both"/>
        <w:rPr>
          <w:rFonts w:ascii="Times New Roman" w:hAnsi="Times New Roman" w:cs="Times New Roman"/>
          <w:sz w:val="24"/>
          <w:szCs w:val="24"/>
        </w:rPr>
      </w:pPr>
      <w:r w:rsidRPr="003E6177">
        <w:rPr>
          <w:rFonts w:ascii="Times New Roman" w:hAnsi="Times New Roman" w:cs="Times New Roman"/>
          <w:sz w:val="24"/>
          <w:szCs w:val="24"/>
        </w:rPr>
        <w:t xml:space="preserve">LEWIS, A.; BETHEA, J.; HURLEY, J. Integrating cultural competency in rehabilitation curricula in the new millennium: Keeping it simpl. </w:t>
      </w:r>
      <w:r w:rsidRPr="003E6177">
        <w:rPr>
          <w:rFonts w:ascii="Times New Roman" w:hAnsi="Times New Roman" w:cs="Times New Roman"/>
          <w:b/>
          <w:sz w:val="24"/>
          <w:szCs w:val="24"/>
        </w:rPr>
        <w:t xml:space="preserve">Disability and Rehabilitation, </w:t>
      </w:r>
      <w:r w:rsidRPr="003E6177">
        <w:rPr>
          <w:rFonts w:ascii="Times New Roman" w:hAnsi="Times New Roman" w:cs="Times New Roman"/>
          <w:sz w:val="24"/>
          <w:szCs w:val="24"/>
        </w:rPr>
        <w:t xml:space="preserve">v. 31, n. 14, p. 1161-1169,  2009.   </w:t>
      </w:r>
    </w:p>
    <w:p w14:paraId="43C2953B" w14:textId="77777777" w:rsidR="00A5639A" w:rsidRPr="003E6177" w:rsidRDefault="00A5639A" w:rsidP="003E6177">
      <w:pPr>
        <w:pStyle w:val="NoSpacing"/>
        <w:spacing w:line="360" w:lineRule="auto"/>
        <w:jc w:val="both"/>
        <w:rPr>
          <w:rFonts w:ascii="Times New Roman" w:hAnsi="Times New Roman" w:cs="Times New Roman"/>
          <w:sz w:val="24"/>
          <w:szCs w:val="24"/>
        </w:rPr>
      </w:pPr>
    </w:p>
    <w:p w14:paraId="1AE3D86B" w14:textId="77777777" w:rsidR="00A5639A" w:rsidRPr="003E6177" w:rsidRDefault="00A5639A" w:rsidP="003E6177">
      <w:pPr>
        <w:pStyle w:val="NoSpacing"/>
        <w:spacing w:line="360" w:lineRule="auto"/>
        <w:jc w:val="both"/>
        <w:rPr>
          <w:rFonts w:ascii="Times New Roman" w:hAnsi="Times New Roman" w:cs="Times New Roman"/>
          <w:sz w:val="24"/>
          <w:szCs w:val="24"/>
        </w:rPr>
      </w:pPr>
      <w:r w:rsidRPr="003E6177">
        <w:rPr>
          <w:rFonts w:ascii="Times New Roman" w:hAnsi="Times New Roman" w:cs="Times New Roman"/>
          <w:sz w:val="24"/>
          <w:szCs w:val="24"/>
        </w:rPr>
        <w:t xml:space="preserve">LIE, D. A.  et al. Does cultural competency training of health professionals improve patients outcomes? A systematic review and proposed algorithms for future research 10583. </w:t>
      </w:r>
      <w:r w:rsidRPr="003E6177">
        <w:rPr>
          <w:rFonts w:ascii="Times New Roman" w:hAnsi="Times New Roman" w:cs="Times New Roman"/>
          <w:b/>
          <w:sz w:val="24"/>
          <w:szCs w:val="24"/>
        </w:rPr>
        <w:t xml:space="preserve">Journal of General Internal Medicine, </w:t>
      </w:r>
      <w:r w:rsidRPr="003E6177">
        <w:rPr>
          <w:rFonts w:ascii="Times New Roman" w:hAnsi="Times New Roman" w:cs="Times New Roman"/>
          <w:sz w:val="24"/>
          <w:szCs w:val="24"/>
        </w:rPr>
        <w:t xml:space="preserve">v. 26, n. 3, p. 317-325,  2010.   </w:t>
      </w:r>
    </w:p>
    <w:p w14:paraId="31F24E7F" w14:textId="77777777" w:rsidR="00A5639A" w:rsidRPr="003E6177" w:rsidRDefault="00A5639A" w:rsidP="003E6177">
      <w:pPr>
        <w:pStyle w:val="NoSpacing"/>
        <w:spacing w:line="360" w:lineRule="auto"/>
        <w:jc w:val="both"/>
        <w:rPr>
          <w:rFonts w:ascii="Times New Roman" w:hAnsi="Times New Roman" w:cs="Times New Roman"/>
          <w:sz w:val="24"/>
          <w:szCs w:val="24"/>
        </w:rPr>
      </w:pPr>
    </w:p>
    <w:p w14:paraId="37BA3EDF" w14:textId="77777777" w:rsidR="00A5639A" w:rsidRPr="003E6177" w:rsidRDefault="00A5639A" w:rsidP="003E6177">
      <w:pPr>
        <w:pStyle w:val="NoSpacing"/>
        <w:spacing w:line="360" w:lineRule="auto"/>
        <w:jc w:val="both"/>
        <w:rPr>
          <w:rFonts w:ascii="Times New Roman" w:hAnsi="Times New Roman" w:cs="Times New Roman"/>
          <w:sz w:val="24"/>
          <w:szCs w:val="24"/>
        </w:rPr>
      </w:pPr>
      <w:r w:rsidRPr="003E6177">
        <w:rPr>
          <w:rFonts w:ascii="Times New Roman" w:hAnsi="Times New Roman" w:cs="Times New Roman"/>
          <w:sz w:val="24"/>
          <w:szCs w:val="24"/>
        </w:rPr>
        <w:t xml:space="preserve">LIVIAN, Y.-F. Le concept de compétence interculturelle est-il un concept utile? </w:t>
      </w:r>
      <w:r w:rsidRPr="003E6177">
        <w:rPr>
          <w:rFonts w:ascii="Times New Roman" w:hAnsi="Times New Roman" w:cs="Times New Roman"/>
          <w:b/>
          <w:sz w:val="24"/>
          <w:szCs w:val="24"/>
        </w:rPr>
        <w:t>Annales des Mines - Gérer et comprendre</w:t>
      </w:r>
      <w:r w:rsidRPr="003E6177">
        <w:rPr>
          <w:rFonts w:ascii="Times New Roman" w:hAnsi="Times New Roman" w:cs="Times New Roman"/>
          <w:sz w:val="24"/>
          <w:szCs w:val="24"/>
        </w:rPr>
        <w:t xml:space="preserve">, n. 107, p. 87-94,  2012.   </w:t>
      </w:r>
    </w:p>
    <w:p w14:paraId="7F0AB797" w14:textId="77777777" w:rsidR="00A5639A" w:rsidRPr="003E6177" w:rsidRDefault="00A5639A" w:rsidP="003E6177">
      <w:pPr>
        <w:pStyle w:val="NoSpacing"/>
        <w:spacing w:line="360" w:lineRule="auto"/>
        <w:jc w:val="both"/>
        <w:rPr>
          <w:rFonts w:ascii="Times New Roman" w:hAnsi="Times New Roman" w:cs="Times New Roman"/>
          <w:sz w:val="24"/>
          <w:szCs w:val="24"/>
        </w:rPr>
      </w:pPr>
    </w:p>
    <w:p w14:paraId="5932201A" w14:textId="77777777" w:rsidR="00A5639A" w:rsidRPr="003E6177" w:rsidRDefault="00A5639A" w:rsidP="003E6177">
      <w:pPr>
        <w:pStyle w:val="NoSpacing"/>
        <w:spacing w:line="360" w:lineRule="auto"/>
        <w:jc w:val="both"/>
        <w:rPr>
          <w:rFonts w:ascii="Times New Roman" w:hAnsi="Times New Roman" w:cs="Times New Roman"/>
          <w:sz w:val="24"/>
          <w:szCs w:val="24"/>
        </w:rPr>
      </w:pPr>
      <w:r w:rsidRPr="003E6177">
        <w:rPr>
          <w:rFonts w:ascii="Times New Roman" w:hAnsi="Times New Roman" w:cs="Times New Roman"/>
          <w:sz w:val="24"/>
          <w:szCs w:val="24"/>
        </w:rPr>
        <w:t xml:space="preserve">MATHIEU, F. </w:t>
      </w:r>
      <w:r w:rsidRPr="003E6177">
        <w:rPr>
          <w:rFonts w:ascii="Times New Roman" w:hAnsi="Times New Roman" w:cs="Times New Roman"/>
          <w:b/>
          <w:sz w:val="24"/>
          <w:szCs w:val="24"/>
        </w:rPr>
        <w:t>The Compassion Fatigue Workbook: Creative Tools for Transforming Compassion Fatigue and Vicarious Traumatization</w:t>
      </w:r>
      <w:r w:rsidRPr="003E6177">
        <w:rPr>
          <w:rFonts w:ascii="Times New Roman" w:hAnsi="Times New Roman" w:cs="Times New Roman"/>
          <w:sz w:val="24"/>
          <w:szCs w:val="24"/>
        </w:rPr>
        <w:t>.  New-York (NY)/Hove (East Sussex): Routledge, 2012. 179.</w:t>
      </w:r>
    </w:p>
    <w:p w14:paraId="73067636" w14:textId="77777777" w:rsidR="00A5639A" w:rsidRPr="003E6177" w:rsidRDefault="00A5639A" w:rsidP="003E6177">
      <w:pPr>
        <w:pStyle w:val="NoSpacing"/>
        <w:spacing w:line="360" w:lineRule="auto"/>
        <w:jc w:val="both"/>
        <w:rPr>
          <w:rFonts w:ascii="Times New Roman" w:hAnsi="Times New Roman" w:cs="Times New Roman"/>
          <w:sz w:val="24"/>
          <w:szCs w:val="24"/>
        </w:rPr>
      </w:pPr>
    </w:p>
    <w:p w14:paraId="59F1DD9E" w14:textId="77777777" w:rsidR="00A5639A" w:rsidRPr="003E6177" w:rsidRDefault="00A5639A" w:rsidP="003E6177">
      <w:pPr>
        <w:pStyle w:val="NoSpacing"/>
        <w:spacing w:line="360" w:lineRule="auto"/>
        <w:jc w:val="both"/>
        <w:rPr>
          <w:rFonts w:ascii="Times New Roman" w:hAnsi="Times New Roman" w:cs="Times New Roman"/>
          <w:sz w:val="24"/>
          <w:szCs w:val="24"/>
        </w:rPr>
      </w:pPr>
      <w:r w:rsidRPr="003E6177">
        <w:rPr>
          <w:rFonts w:ascii="Times New Roman" w:hAnsi="Times New Roman" w:cs="Times New Roman"/>
          <w:sz w:val="24"/>
          <w:szCs w:val="24"/>
        </w:rPr>
        <w:t xml:space="preserve">MONTRÉAL. </w:t>
      </w:r>
      <w:r w:rsidRPr="003E6177">
        <w:rPr>
          <w:rFonts w:ascii="Times New Roman" w:hAnsi="Times New Roman" w:cs="Times New Roman"/>
          <w:b/>
          <w:sz w:val="24"/>
          <w:szCs w:val="24"/>
        </w:rPr>
        <w:t>Profil sociodémographique. Recencement de 2016</w:t>
      </w:r>
      <w:r w:rsidRPr="003E6177">
        <w:rPr>
          <w:rFonts w:ascii="Times New Roman" w:hAnsi="Times New Roman" w:cs="Times New Roman"/>
          <w:sz w:val="24"/>
          <w:szCs w:val="24"/>
        </w:rPr>
        <w:t>.   Montréal en statistiques. Service du développement économique, Ville de Montréal, 2017.</w:t>
      </w:r>
    </w:p>
    <w:p w14:paraId="2ECFD4BC" w14:textId="77777777" w:rsidR="00A5639A" w:rsidRPr="003E6177" w:rsidRDefault="00A5639A" w:rsidP="003E6177">
      <w:pPr>
        <w:pStyle w:val="NoSpacing"/>
        <w:spacing w:line="360" w:lineRule="auto"/>
        <w:jc w:val="both"/>
        <w:rPr>
          <w:rFonts w:ascii="Times New Roman" w:hAnsi="Times New Roman" w:cs="Times New Roman"/>
          <w:sz w:val="24"/>
          <w:szCs w:val="24"/>
        </w:rPr>
      </w:pPr>
    </w:p>
    <w:p w14:paraId="7620FE12" w14:textId="77777777" w:rsidR="00A5639A" w:rsidRPr="003E6177" w:rsidRDefault="00A5639A" w:rsidP="003E6177">
      <w:pPr>
        <w:pStyle w:val="NoSpacing"/>
        <w:spacing w:line="360" w:lineRule="auto"/>
        <w:jc w:val="both"/>
        <w:rPr>
          <w:rFonts w:ascii="Times New Roman" w:hAnsi="Times New Roman" w:cs="Times New Roman"/>
          <w:sz w:val="24"/>
          <w:szCs w:val="24"/>
        </w:rPr>
      </w:pPr>
      <w:r w:rsidRPr="003E6177">
        <w:rPr>
          <w:rFonts w:ascii="Times New Roman" w:hAnsi="Times New Roman" w:cs="Times New Roman"/>
          <w:sz w:val="24"/>
          <w:szCs w:val="24"/>
        </w:rPr>
        <w:t xml:space="preserve">MORAROS, J.; LEMSTRA, M.; NWANKWO, C. Lean interventions in healthcare: do they actually work? A systemic literature review. </w:t>
      </w:r>
      <w:r w:rsidRPr="003E6177">
        <w:rPr>
          <w:rFonts w:ascii="Times New Roman" w:hAnsi="Times New Roman" w:cs="Times New Roman"/>
          <w:b/>
          <w:sz w:val="24"/>
          <w:szCs w:val="24"/>
        </w:rPr>
        <w:t xml:space="preserve">International Journal for Quality in Health Care, </w:t>
      </w:r>
      <w:r w:rsidRPr="003E6177">
        <w:rPr>
          <w:rFonts w:ascii="Times New Roman" w:hAnsi="Times New Roman" w:cs="Times New Roman"/>
          <w:sz w:val="24"/>
          <w:szCs w:val="24"/>
        </w:rPr>
        <w:t xml:space="preserve">v. 28, n. 2, p. 150-165,  2016.   </w:t>
      </w:r>
    </w:p>
    <w:p w14:paraId="6ABFE735" w14:textId="77777777" w:rsidR="00A5639A" w:rsidRPr="003E6177" w:rsidRDefault="00A5639A" w:rsidP="003E6177">
      <w:pPr>
        <w:pStyle w:val="NoSpacing"/>
        <w:spacing w:line="360" w:lineRule="auto"/>
        <w:jc w:val="both"/>
        <w:rPr>
          <w:rFonts w:ascii="Times New Roman" w:hAnsi="Times New Roman" w:cs="Times New Roman"/>
          <w:sz w:val="24"/>
          <w:szCs w:val="24"/>
        </w:rPr>
      </w:pPr>
    </w:p>
    <w:p w14:paraId="5F15C108" w14:textId="77777777" w:rsidR="00A5639A" w:rsidRPr="003E6177" w:rsidRDefault="00A5639A" w:rsidP="003E6177">
      <w:pPr>
        <w:pStyle w:val="NoSpacing"/>
        <w:spacing w:line="360" w:lineRule="auto"/>
        <w:jc w:val="both"/>
        <w:rPr>
          <w:rFonts w:ascii="Times New Roman" w:hAnsi="Times New Roman" w:cs="Times New Roman"/>
          <w:sz w:val="24"/>
          <w:szCs w:val="24"/>
        </w:rPr>
      </w:pPr>
      <w:r w:rsidRPr="003E6177">
        <w:rPr>
          <w:rFonts w:ascii="Times New Roman" w:hAnsi="Times New Roman" w:cs="Times New Roman"/>
          <w:sz w:val="24"/>
          <w:szCs w:val="24"/>
        </w:rPr>
        <w:t xml:space="preserve">MUÑOZ, J. P. Culturally responsive caring in occupational therapy. </w:t>
      </w:r>
      <w:r w:rsidRPr="003E6177">
        <w:rPr>
          <w:rFonts w:ascii="Times New Roman" w:hAnsi="Times New Roman" w:cs="Times New Roman"/>
          <w:b/>
          <w:sz w:val="24"/>
          <w:szCs w:val="24"/>
        </w:rPr>
        <w:t xml:space="preserve">Occupational Therapy International, </w:t>
      </w:r>
      <w:r w:rsidRPr="003E6177">
        <w:rPr>
          <w:rFonts w:ascii="Times New Roman" w:hAnsi="Times New Roman" w:cs="Times New Roman"/>
          <w:sz w:val="24"/>
          <w:szCs w:val="24"/>
        </w:rPr>
        <w:t xml:space="preserve">v. 14, n. 4, p. 256-280,  2007.   </w:t>
      </w:r>
    </w:p>
    <w:p w14:paraId="609B3582" w14:textId="77777777" w:rsidR="00A5639A" w:rsidRPr="003E6177" w:rsidRDefault="00A5639A" w:rsidP="003E6177">
      <w:pPr>
        <w:pStyle w:val="NoSpacing"/>
        <w:spacing w:line="360" w:lineRule="auto"/>
        <w:jc w:val="both"/>
        <w:rPr>
          <w:rFonts w:ascii="Times New Roman" w:hAnsi="Times New Roman" w:cs="Times New Roman"/>
          <w:sz w:val="24"/>
          <w:szCs w:val="24"/>
        </w:rPr>
      </w:pPr>
    </w:p>
    <w:p w14:paraId="3D60A1C1" w14:textId="77777777" w:rsidR="00A5639A" w:rsidRPr="003E6177" w:rsidRDefault="00A5639A" w:rsidP="003E6177">
      <w:pPr>
        <w:pStyle w:val="NoSpacing"/>
        <w:spacing w:line="360" w:lineRule="auto"/>
        <w:jc w:val="both"/>
        <w:rPr>
          <w:rFonts w:ascii="Times New Roman" w:hAnsi="Times New Roman" w:cs="Times New Roman"/>
          <w:sz w:val="24"/>
          <w:szCs w:val="24"/>
        </w:rPr>
      </w:pPr>
      <w:r w:rsidRPr="003E6177">
        <w:rPr>
          <w:rFonts w:ascii="Times New Roman" w:hAnsi="Times New Roman" w:cs="Times New Roman"/>
          <w:sz w:val="24"/>
          <w:szCs w:val="24"/>
        </w:rPr>
        <w:t xml:space="preserve">O'KEEFFE, M.  et al. What Influences Patient-Therapist Interactions in Musculoskeletal Physical Therapy? Qualitative Systematic Review and Meta-Synthesis. </w:t>
      </w:r>
      <w:r w:rsidRPr="003E6177">
        <w:rPr>
          <w:rFonts w:ascii="Times New Roman" w:hAnsi="Times New Roman" w:cs="Times New Roman"/>
          <w:b/>
          <w:sz w:val="24"/>
          <w:szCs w:val="24"/>
        </w:rPr>
        <w:t xml:space="preserve">Physical Therapy, </w:t>
      </w:r>
      <w:r w:rsidRPr="003E6177">
        <w:rPr>
          <w:rFonts w:ascii="Times New Roman" w:hAnsi="Times New Roman" w:cs="Times New Roman"/>
          <w:sz w:val="24"/>
          <w:szCs w:val="24"/>
        </w:rPr>
        <w:t xml:space="preserve">v. 96, n. 5, p. 609-622,  2016.   </w:t>
      </w:r>
    </w:p>
    <w:p w14:paraId="3F2A47AC" w14:textId="77777777" w:rsidR="00A5639A" w:rsidRPr="003E6177" w:rsidRDefault="00A5639A" w:rsidP="003E6177">
      <w:pPr>
        <w:pStyle w:val="NoSpacing"/>
        <w:spacing w:line="360" w:lineRule="auto"/>
        <w:jc w:val="both"/>
        <w:rPr>
          <w:rFonts w:ascii="Times New Roman" w:hAnsi="Times New Roman" w:cs="Times New Roman"/>
          <w:sz w:val="24"/>
          <w:szCs w:val="24"/>
        </w:rPr>
      </w:pPr>
    </w:p>
    <w:p w14:paraId="540C742A" w14:textId="77777777" w:rsidR="00A5639A" w:rsidRPr="003E6177" w:rsidRDefault="00A5639A" w:rsidP="003E6177">
      <w:pPr>
        <w:pStyle w:val="NoSpacing"/>
        <w:spacing w:line="360" w:lineRule="auto"/>
        <w:jc w:val="both"/>
        <w:rPr>
          <w:rFonts w:ascii="Times New Roman" w:hAnsi="Times New Roman" w:cs="Times New Roman"/>
          <w:sz w:val="24"/>
          <w:szCs w:val="24"/>
        </w:rPr>
      </w:pPr>
      <w:r w:rsidRPr="003E6177">
        <w:rPr>
          <w:rFonts w:ascii="Times New Roman" w:hAnsi="Times New Roman" w:cs="Times New Roman"/>
          <w:sz w:val="24"/>
          <w:szCs w:val="24"/>
        </w:rPr>
        <w:t xml:space="preserve">POULIOT, S.  et al. </w:t>
      </w:r>
      <w:r w:rsidRPr="003E6177">
        <w:rPr>
          <w:rFonts w:ascii="Times New Roman" w:hAnsi="Times New Roman" w:cs="Times New Roman"/>
          <w:b/>
          <w:sz w:val="24"/>
          <w:szCs w:val="24"/>
        </w:rPr>
        <w:t>La formation interculturelle dans le réseau québécois de la santé et des services sociaux. Constats et pistes d'action</w:t>
      </w:r>
      <w:r w:rsidRPr="003E6177">
        <w:rPr>
          <w:rFonts w:ascii="Times New Roman" w:hAnsi="Times New Roman" w:cs="Times New Roman"/>
          <w:sz w:val="24"/>
          <w:szCs w:val="24"/>
        </w:rPr>
        <w:t>.  Québec: Institut national de santé publique du Québec (INSPQ), 2015.</w:t>
      </w:r>
    </w:p>
    <w:p w14:paraId="7CD1518F" w14:textId="77777777" w:rsidR="00A5639A" w:rsidRPr="003E6177" w:rsidRDefault="00A5639A" w:rsidP="003E6177">
      <w:pPr>
        <w:pStyle w:val="NoSpacing"/>
        <w:spacing w:line="360" w:lineRule="auto"/>
        <w:jc w:val="both"/>
        <w:rPr>
          <w:rFonts w:ascii="Times New Roman" w:hAnsi="Times New Roman" w:cs="Times New Roman"/>
          <w:sz w:val="24"/>
          <w:szCs w:val="24"/>
        </w:rPr>
      </w:pPr>
    </w:p>
    <w:p w14:paraId="0532E725" w14:textId="77777777" w:rsidR="00A5639A" w:rsidRPr="003E6177" w:rsidRDefault="00A5639A" w:rsidP="003E6177">
      <w:pPr>
        <w:pStyle w:val="NoSpacing"/>
        <w:spacing w:line="360" w:lineRule="auto"/>
        <w:jc w:val="both"/>
        <w:rPr>
          <w:rFonts w:ascii="Times New Roman" w:hAnsi="Times New Roman" w:cs="Times New Roman"/>
          <w:sz w:val="24"/>
          <w:szCs w:val="24"/>
        </w:rPr>
      </w:pPr>
      <w:r w:rsidRPr="003E6177">
        <w:rPr>
          <w:rFonts w:ascii="Times New Roman" w:hAnsi="Times New Roman" w:cs="Times New Roman"/>
          <w:sz w:val="24"/>
          <w:szCs w:val="24"/>
        </w:rPr>
        <w:t xml:space="preserve">PREMJI, S.; SHAKYA, Y. Pathways between under/unemployment and health among racialized immigrant women in Toronto. </w:t>
      </w:r>
      <w:r w:rsidRPr="003E6177">
        <w:rPr>
          <w:rFonts w:ascii="Times New Roman" w:hAnsi="Times New Roman" w:cs="Times New Roman"/>
          <w:b/>
          <w:sz w:val="24"/>
          <w:szCs w:val="24"/>
        </w:rPr>
        <w:t xml:space="preserve">Ethnicity &amp; Health, </w:t>
      </w:r>
      <w:r w:rsidRPr="003E6177">
        <w:rPr>
          <w:rFonts w:ascii="Times New Roman" w:hAnsi="Times New Roman" w:cs="Times New Roman"/>
          <w:sz w:val="24"/>
          <w:szCs w:val="24"/>
        </w:rPr>
        <w:t xml:space="preserve">v. 22, n. 1, p. 17-35, May 13 2017. ISSN 1355-7858.  </w:t>
      </w:r>
    </w:p>
    <w:p w14:paraId="0CDA243A" w14:textId="77777777" w:rsidR="00A5639A" w:rsidRPr="003E6177" w:rsidRDefault="00A5639A" w:rsidP="003E6177">
      <w:pPr>
        <w:pStyle w:val="NoSpacing"/>
        <w:spacing w:line="360" w:lineRule="auto"/>
        <w:jc w:val="both"/>
        <w:rPr>
          <w:rFonts w:ascii="Times New Roman" w:hAnsi="Times New Roman" w:cs="Times New Roman"/>
          <w:sz w:val="24"/>
          <w:szCs w:val="24"/>
        </w:rPr>
      </w:pPr>
    </w:p>
    <w:p w14:paraId="27AC77E0" w14:textId="77777777" w:rsidR="00A5639A" w:rsidRPr="003E6177" w:rsidRDefault="00A5639A" w:rsidP="003E6177">
      <w:pPr>
        <w:pStyle w:val="NoSpacing"/>
        <w:spacing w:line="360" w:lineRule="auto"/>
        <w:jc w:val="both"/>
        <w:rPr>
          <w:rFonts w:ascii="Times New Roman" w:hAnsi="Times New Roman" w:cs="Times New Roman"/>
          <w:sz w:val="24"/>
          <w:szCs w:val="24"/>
        </w:rPr>
      </w:pPr>
      <w:r w:rsidRPr="003E6177">
        <w:rPr>
          <w:rFonts w:ascii="Times New Roman" w:hAnsi="Times New Roman" w:cs="Times New Roman"/>
          <w:sz w:val="24"/>
          <w:szCs w:val="24"/>
        </w:rPr>
        <w:t xml:space="preserve">PURNELL, L.  et al. A Guide to Developing a Culturally Competent Organization. </w:t>
      </w:r>
      <w:r w:rsidRPr="003E6177">
        <w:rPr>
          <w:rFonts w:ascii="Times New Roman" w:hAnsi="Times New Roman" w:cs="Times New Roman"/>
          <w:b/>
          <w:sz w:val="24"/>
          <w:szCs w:val="24"/>
        </w:rPr>
        <w:t xml:space="preserve">Journal of Transcultural Nursing, </w:t>
      </w:r>
      <w:r w:rsidRPr="003E6177">
        <w:rPr>
          <w:rFonts w:ascii="Times New Roman" w:hAnsi="Times New Roman" w:cs="Times New Roman"/>
          <w:sz w:val="24"/>
          <w:szCs w:val="24"/>
        </w:rPr>
        <w:t xml:space="preserve">v. 22, n. 1, p. 7-14,  2011.   </w:t>
      </w:r>
    </w:p>
    <w:p w14:paraId="1E7F85B3" w14:textId="77777777" w:rsidR="00A5639A" w:rsidRPr="003E6177" w:rsidRDefault="00A5639A" w:rsidP="003E6177">
      <w:pPr>
        <w:pStyle w:val="NoSpacing"/>
        <w:spacing w:line="360" w:lineRule="auto"/>
        <w:jc w:val="both"/>
        <w:rPr>
          <w:rFonts w:ascii="Times New Roman" w:hAnsi="Times New Roman" w:cs="Times New Roman"/>
          <w:sz w:val="24"/>
          <w:szCs w:val="24"/>
        </w:rPr>
      </w:pPr>
    </w:p>
    <w:p w14:paraId="1D38D5C8" w14:textId="77777777" w:rsidR="00A5639A" w:rsidRPr="003E6177" w:rsidRDefault="00A5639A" w:rsidP="003E6177">
      <w:pPr>
        <w:pStyle w:val="NoSpacing"/>
        <w:spacing w:line="360" w:lineRule="auto"/>
        <w:jc w:val="both"/>
        <w:rPr>
          <w:rFonts w:ascii="Times New Roman" w:hAnsi="Times New Roman" w:cs="Times New Roman"/>
          <w:sz w:val="24"/>
          <w:szCs w:val="24"/>
        </w:rPr>
      </w:pPr>
      <w:r w:rsidRPr="003E6177">
        <w:rPr>
          <w:rFonts w:ascii="Times New Roman" w:hAnsi="Times New Roman" w:cs="Times New Roman"/>
          <w:sz w:val="24"/>
          <w:szCs w:val="24"/>
        </w:rPr>
        <w:t xml:space="preserve">RATHOD, J. M. Danger and Dignity: Immigrant Day Laborers and Occupational Risk. </w:t>
      </w:r>
      <w:r w:rsidRPr="003E6177">
        <w:rPr>
          <w:rFonts w:ascii="Times New Roman" w:hAnsi="Times New Roman" w:cs="Times New Roman"/>
          <w:b/>
          <w:sz w:val="24"/>
          <w:szCs w:val="24"/>
        </w:rPr>
        <w:t xml:space="preserve">Seton Hall Law Review, </w:t>
      </w:r>
      <w:r w:rsidRPr="003E6177">
        <w:rPr>
          <w:rFonts w:ascii="Times New Roman" w:hAnsi="Times New Roman" w:cs="Times New Roman"/>
          <w:sz w:val="24"/>
          <w:szCs w:val="24"/>
        </w:rPr>
        <w:t xml:space="preserve">v. 46, n. 3, p. 813-882,  2016.   </w:t>
      </w:r>
    </w:p>
    <w:p w14:paraId="286E2483" w14:textId="77777777" w:rsidR="00A5639A" w:rsidRPr="003E6177" w:rsidRDefault="00A5639A" w:rsidP="003E6177">
      <w:pPr>
        <w:pStyle w:val="NoSpacing"/>
        <w:spacing w:line="360" w:lineRule="auto"/>
        <w:jc w:val="both"/>
        <w:rPr>
          <w:rFonts w:ascii="Times New Roman" w:hAnsi="Times New Roman" w:cs="Times New Roman"/>
          <w:sz w:val="24"/>
          <w:szCs w:val="24"/>
        </w:rPr>
      </w:pPr>
    </w:p>
    <w:p w14:paraId="247B7AAD" w14:textId="77777777" w:rsidR="00A5639A" w:rsidRPr="003E6177" w:rsidRDefault="00A5639A" w:rsidP="003E6177">
      <w:pPr>
        <w:pStyle w:val="NoSpacing"/>
        <w:spacing w:line="360" w:lineRule="auto"/>
        <w:jc w:val="both"/>
        <w:rPr>
          <w:rFonts w:ascii="Times New Roman" w:hAnsi="Times New Roman" w:cs="Times New Roman"/>
          <w:sz w:val="24"/>
          <w:szCs w:val="24"/>
        </w:rPr>
      </w:pPr>
      <w:r w:rsidRPr="003E6177">
        <w:rPr>
          <w:rFonts w:ascii="Times New Roman" w:hAnsi="Times New Roman" w:cs="Times New Roman"/>
          <w:sz w:val="24"/>
          <w:szCs w:val="24"/>
        </w:rPr>
        <w:t xml:space="preserve">RENZAHO, A. M. N.  et al. The effectiveness of cultural competence programs in ethnic minority patient-centered health care—a systematic review of the literature. </w:t>
      </w:r>
      <w:r w:rsidRPr="003E6177">
        <w:rPr>
          <w:rFonts w:ascii="Times New Roman" w:hAnsi="Times New Roman" w:cs="Times New Roman"/>
          <w:b/>
          <w:sz w:val="24"/>
          <w:szCs w:val="24"/>
        </w:rPr>
        <w:t xml:space="preserve">International Journal for Quality in Health Care, </w:t>
      </w:r>
      <w:r w:rsidRPr="003E6177">
        <w:rPr>
          <w:rFonts w:ascii="Times New Roman" w:hAnsi="Times New Roman" w:cs="Times New Roman"/>
          <w:sz w:val="24"/>
          <w:szCs w:val="24"/>
        </w:rPr>
        <w:t xml:space="preserve">v. 25, n. 3, p. 261-269,  2013.   </w:t>
      </w:r>
    </w:p>
    <w:p w14:paraId="301E0475" w14:textId="77777777" w:rsidR="00A5639A" w:rsidRPr="003E6177" w:rsidRDefault="00A5639A" w:rsidP="003E6177">
      <w:pPr>
        <w:pStyle w:val="NoSpacing"/>
        <w:spacing w:line="360" w:lineRule="auto"/>
        <w:jc w:val="both"/>
        <w:rPr>
          <w:rFonts w:ascii="Times New Roman" w:hAnsi="Times New Roman" w:cs="Times New Roman"/>
          <w:sz w:val="24"/>
          <w:szCs w:val="24"/>
        </w:rPr>
      </w:pPr>
    </w:p>
    <w:p w14:paraId="0A9DCC88" w14:textId="77777777" w:rsidR="00A5639A" w:rsidRPr="003E6177" w:rsidRDefault="00A5639A" w:rsidP="003E6177">
      <w:pPr>
        <w:pStyle w:val="NoSpacing"/>
        <w:spacing w:line="360" w:lineRule="auto"/>
        <w:jc w:val="both"/>
        <w:rPr>
          <w:rFonts w:ascii="Times New Roman" w:hAnsi="Times New Roman" w:cs="Times New Roman"/>
          <w:sz w:val="24"/>
          <w:szCs w:val="24"/>
        </w:rPr>
      </w:pPr>
      <w:r w:rsidRPr="003E6177">
        <w:rPr>
          <w:rFonts w:ascii="Times New Roman" w:hAnsi="Times New Roman" w:cs="Times New Roman"/>
          <w:sz w:val="24"/>
          <w:szCs w:val="24"/>
        </w:rPr>
        <w:t xml:space="preserve">SABO, B. Compassion fatigue and nursing work : can we accurately capture the consequences of caring work ? </w:t>
      </w:r>
      <w:r w:rsidRPr="003E6177">
        <w:rPr>
          <w:rFonts w:ascii="Times New Roman" w:hAnsi="Times New Roman" w:cs="Times New Roman"/>
          <w:b/>
          <w:sz w:val="24"/>
          <w:szCs w:val="24"/>
        </w:rPr>
        <w:t xml:space="preserve">International Journal of Nursing Practice, </w:t>
      </w:r>
      <w:r w:rsidRPr="003E6177">
        <w:rPr>
          <w:rFonts w:ascii="Times New Roman" w:hAnsi="Times New Roman" w:cs="Times New Roman"/>
          <w:sz w:val="24"/>
          <w:szCs w:val="24"/>
        </w:rPr>
        <w:t xml:space="preserve">v. 12, p. 136-142,  2006.   </w:t>
      </w:r>
    </w:p>
    <w:p w14:paraId="62BC3095" w14:textId="77777777" w:rsidR="00A5639A" w:rsidRPr="003E6177" w:rsidRDefault="00A5639A" w:rsidP="003E6177">
      <w:pPr>
        <w:pStyle w:val="NoSpacing"/>
        <w:spacing w:line="360" w:lineRule="auto"/>
        <w:jc w:val="both"/>
        <w:rPr>
          <w:rFonts w:ascii="Times New Roman" w:hAnsi="Times New Roman" w:cs="Times New Roman"/>
          <w:sz w:val="24"/>
          <w:szCs w:val="24"/>
        </w:rPr>
      </w:pPr>
    </w:p>
    <w:p w14:paraId="68A0A04A" w14:textId="77777777" w:rsidR="00A5639A" w:rsidRPr="003E6177" w:rsidRDefault="00A5639A" w:rsidP="003E6177">
      <w:pPr>
        <w:pStyle w:val="NoSpacing"/>
        <w:spacing w:line="360" w:lineRule="auto"/>
        <w:jc w:val="both"/>
        <w:rPr>
          <w:rFonts w:ascii="Times New Roman" w:hAnsi="Times New Roman" w:cs="Times New Roman"/>
          <w:sz w:val="24"/>
          <w:szCs w:val="24"/>
        </w:rPr>
      </w:pPr>
      <w:r w:rsidRPr="00785A7D">
        <w:rPr>
          <w:rFonts w:ascii="Times New Roman" w:hAnsi="Times New Roman" w:cs="Times New Roman"/>
          <w:sz w:val="24"/>
          <w:szCs w:val="24"/>
          <w:lang w:val="en-CA"/>
        </w:rPr>
        <w:lastRenderedPageBreak/>
        <w:t xml:space="preserve">SARGEANT, M.; TUCKER, E. Layers of Vulnerability in Occupation Health and Safety for Migrant Workers: Case Studies from Canada and the United Kingdom. </w:t>
      </w:r>
      <w:r w:rsidRPr="003E6177">
        <w:rPr>
          <w:rFonts w:ascii="Times New Roman" w:hAnsi="Times New Roman" w:cs="Times New Roman"/>
          <w:b/>
          <w:sz w:val="24"/>
          <w:szCs w:val="24"/>
        </w:rPr>
        <w:t xml:space="preserve">Comparative Research in Law &amp; Political Economy,, </w:t>
      </w:r>
      <w:r w:rsidRPr="003E6177">
        <w:rPr>
          <w:rFonts w:ascii="Times New Roman" w:hAnsi="Times New Roman" w:cs="Times New Roman"/>
          <w:sz w:val="24"/>
          <w:szCs w:val="24"/>
        </w:rPr>
        <w:t xml:space="preserve">v. 51, n. 8,  2009.   </w:t>
      </w:r>
    </w:p>
    <w:p w14:paraId="753220C1" w14:textId="77777777" w:rsidR="00A5639A" w:rsidRPr="003E6177" w:rsidRDefault="00A5639A" w:rsidP="003E6177">
      <w:pPr>
        <w:pStyle w:val="NoSpacing"/>
        <w:spacing w:line="360" w:lineRule="auto"/>
        <w:jc w:val="both"/>
        <w:rPr>
          <w:rFonts w:ascii="Times New Roman" w:hAnsi="Times New Roman" w:cs="Times New Roman"/>
          <w:sz w:val="24"/>
          <w:szCs w:val="24"/>
        </w:rPr>
      </w:pPr>
    </w:p>
    <w:p w14:paraId="1F1F7F35" w14:textId="77777777" w:rsidR="00A5639A" w:rsidRPr="003E6177" w:rsidRDefault="00A5639A" w:rsidP="003E6177">
      <w:pPr>
        <w:pStyle w:val="NoSpacing"/>
        <w:spacing w:line="360" w:lineRule="auto"/>
        <w:jc w:val="both"/>
        <w:rPr>
          <w:rFonts w:ascii="Times New Roman" w:hAnsi="Times New Roman" w:cs="Times New Roman"/>
          <w:sz w:val="24"/>
          <w:szCs w:val="24"/>
        </w:rPr>
      </w:pPr>
      <w:r w:rsidRPr="003E6177">
        <w:rPr>
          <w:rFonts w:ascii="Times New Roman" w:hAnsi="Times New Roman" w:cs="Times New Roman"/>
          <w:sz w:val="24"/>
          <w:szCs w:val="24"/>
        </w:rPr>
        <w:t xml:space="preserve">SHERIDAN, V.; STORCH, K. Linking the Intercultural and Grounded Theory: Methodological Issues in Migration Research. </w:t>
      </w:r>
      <w:r w:rsidRPr="003E6177">
        <w:rPr>
          <w:rFonts w:ascii="Times New Roman" w:hAnsi="Times New Roman" w:cs="Times New Roman"/>
          <w:b/>
          <w:sz w:val="24"/>
          <w:szCs w:val="24"/>
        </w:rPr>
        <w:t xml:space="preserve">Forum: Qualitative Social Research / Sozialforschung, </w:t>
      </w:r>
      <w:r w:rsidRPr="003E6177">
        <w:rPr>
          <w:rFonts w:ascii="Times New Roman" w:hAnsi="Times New Roman" w:cs="Times New Roman"/>
          <w:sz w:val="24"/>
          <w:szCs w:val="24"/>
        </w:rPr>
        <w:t xml:space="preserve">v. 10, n. 1, p. Art. 36,  2009.   </w:t>
      </w:r>
    </w:p>
    <w:p w14:paraId="165FC7BC" w14:textId="77777777" w:rsidR="00A5639A" w:rsidRPr="003E6177" w:rsidRDefault="00A5639A" w:rsidP="003E6177">
      <w:pPr>
        <w:pStyle w:val="NoSpacing"/>
        <w:spacing w:line="360" w:lineRule="auto"/>
        <w:jc w:val="both"/>
        <w:rPr>
          <w:rFonts w:ascii="Times New Roman" w:hAnsi="Times New Roman" w:cs="Times New Roman"/>
          <w:sz w:val="24"/>
          <w:szCs w:val="24"/>
        </w:rPr>
      </w:pPr>
    </w:p>
    <w:p w14:paraId="737E229A" w14:textId="77777777" w:rsidR="00A5639A" w:rsidRPr="003E6177" w:rsidRDefault="00A5639A" w:rsidP="003E6177">
      <w:pPr>
        <w:pStyle w:val="NoSpacing"/>
        <w:spacing w:line="360" w:lineRule="auto"/>
        <w:jc w:val="both"/>
        <w:rPr>
          <w:rFonts w:ascii="Times New Roman" w:hAnsi="Times New Roman" w:cs="Times New Roman"/>
          <w:sz w:val="24"/>
          <w:szCs w:val="24"/>
        </w:rPr>
      </w:pPr>
      <w:r w:rsidRPr="003E6177">
        <w:rPr>
          <w:rFonts w:ascii="Times New Roman" w:hAnsi="Times New Roman" w:cs="Times New Roman"/>
          <w:sz w:val="24"/>
          <w:szCs w:val="24"/>
        </w:rPr>
        <w:t xml:space="preserve">SLOOTS, M.  et al. Adaptations to pain rehabilitation programmes for non-native patients with chronic pain. </w:t>
      </w:r>
      <w:r w:rsidRPr="003E6177">
        <w:rPr>
          <w:rFonts w:ascii="Times New Roman" w:hAnsi="Times New Roman" w:cs="Times New Roman"/>
          <w:b/>
          <w:sz w:val="24"/>
          <w:szCs w:val="24"/>
        </w:rPr>
        <w:t xml:space="preserve">Disability and Rehabilitation, </w:t>
      </w:r>
      <w:r w:rsidRPr="003E6177">
        <w:rPr>
          <w:rFonts w:ascii="Times New Roman" w:hAnsi="Times New Roman" w:cs="Times New Roman"/>
          <w:sz w:val="24"/>
          <w:szCs w:val="24"/>
        </w:rPr>
        <w:t xml:space="preserve">v. 33, n. 15-16, p. 1324-1329,  2011.   </w:t>
      </w:r>
    </w:p>
    <w:p w14:paraId="49026DB3" w14:textId="77777777" w:rsidR="00A5639A" w:rsidRPr="003E6177" w:rsidRDefault="00A5639A" w:rsidP="003E6177">
      <w:pPr>
        <w:pStyle w:val="NoSpacing"/>
        <w:spacing w:line="360" w:lineRule="auto"/>
        <w:jc w:val="both"/>
        <w:rPr>
          <w:rFonts w:ascii="Times New Roman" w:hAnsi="Times New Roman" w:cs="Times New Roman"/>
          <w:sz w:val="24"/>
          <w:szCs w:val="24"/>
        </w:rPr>
      </w:pPr>
    </w:p>
    <w:p w14:paraId="7D373A53" w14:textId="77777777" w:rsidR="00A5639A" w:rsidRPr="003E6177" w:rsidRDefault="00A5639A" w:rsidP="003E6177">
      <w:pPr>
        <w:pStyle w:val="NoSpacing"/>
        <w:spacing w:line="360" w:lineRule="auto"/>
        <w:jc w:val="both"/>
        <w:rPr>
          <w:rFonts w:ascii="Times New Roman" w:hAnsi="Times New Roman" w:cs="Times New Roman"/>
          <w:sz w:val="24"/>
          <w:szCs w:val="24"/>
        </w:rPr>
      </w:pPr>
      <w:r w:rsidRPr="003E6177">
        <w:rPr>
          <w:rFonts w:ascii="Times New Roman" w:hAnsi="Times New Roman" w:cs="Times New Roman"/>
          <w:sz w:val="24"/>
          <w:szCs w:val="24"/>
        </w:rPr>
        <w:t xml:space="preserve">SPITZBERG, B. H.; CHANGNON, G. Conceptualizing Intercultural Competence. In: DEARDORFF, D. K. (Ed.). </w:t>
      </w:r>
      <w:r w:rsidRPr="003E6177">
        <w:rPr>
          <w:rFonts w:ascii="Times New Roman" w:hAnsi="Times New Roman" w:cs="Times New Roman"/>
          <w:b/>
          <w:sz w:val="24"/>
          <w:szCs w:val="24"/>
        </w:rPr>
        <w:t>The SAGE Handbook of Intercultural Competence</w:t>
      </w:r>
      <w:r w:rsidRPr="003E6177">
        <w:rPr>
          <w:rFonts w:ascii="Times New Roman" w:hAnsi="Times New Roman" w:cs="Times New Roman"/>
          <w:sz w:val="24"/>
          <w:szCs w:val="24"/>
        </w:rPr>
        <w:t xml:space="preserve">. Thousand Oaks, CA: Sage, 2009.  p.2-52.  </w:t>
      </w:r>
    </w:p>
    <w:p w14:paraId="4AC57B3C" w14:textId="77777777" w:rsidR="00A5639A" w:rsidRPr="003E6177" w:rsidRDefault="00A5639A" w:rsidP="003E6177">
      <w:pPr>
        <w:pStyle w:val="NoSpacing"/>
        <w:spacing w:line="360" w:lineRule="auto"/>
        <w:jc w:val="both"/>
        <w:rPr>
          <w:rFonts w:ascii="Times New Roman" w:hAnsi="Times New Roman" w:cs="Times New Roman"/>
          <w:sz w:val="24"/>
          <w:szCs w:val="24"/>
        </w:rPr>
      </w:pPr>
    </w:p>
    <w:p w14:paraId="15159B05" w14:textId="77777777" w:rsidR="00A5639A" w:rsidRPr="003E6177" w:rsidRDefault="00A5639A" w:rsidP="003E6177">
      <w:pPr>
        <w:pStyle w:val="NoSpacing"/>
        <w:spacing w:line="360" w:lineRule="auto"/>
        <w:jc w:val="both"/>
        <w:rPr>
          <w:rFonts w:ascii="Times New Roman" w:hAnsi="Times New Roman" w:cs="Times New Roman"/>
          <w:sz w:val="24"/>
          <w:szCs w:val="24"/>
        </w:rPr>
      </w:pPr>
      <w:r w:rsidRPr="003E6177">
        <w:rPr>
          <w:rFonts w:ascii="Times New Roman" w:hAnsi="Times New Roman" w:cs="Times New Roman"/>
          <w:sz w:val="24"/>
          <w:szCs w:val="24"/>
        </w:rPr>
        <w:t xml:space="preserve">TEICH, S. T.; FADDOUL, F. F. Lean Management - The Journey from Toyota to Healthcare. </w:t>
      </w:r>
      <w:r w:rsidRPr="003E6177">
        <w:rPr>
          <w:rFonts w:ascii="Times New Roman" w:hAnsi="Times New Roman" w:cs="Times New Roman"/>
          <w:b/>
          <w:sz w:val="24"/>
          <w:szCs w:val="24"/>
        </w:rPr>
        <w:t xml:space="preserve">Rambam Maimonides Medical Journal, </w:t>
      </w:r>
      <w:r w:rsidRPr="003E6177">
        <w:rPr>
          <w:rFonts w:ascii="Times New Roman" w:hAnsi="Times New Roman" w:cs="Times New Roman"/>
          <w:sz w:val="24"/>
          <w:szCs w:val="24"/>
        </w:rPr>
        <w:t xml:space="preserve">v. 4, n. 2, p. 1-9,  2013.   </w:t>
      </w:r>
    </w:p>
    <w:p w14:paraId="78E8C9B5" w14:textId="77777777" w:rsidR="00A5639A" w:rsidRPr="003E6177" w:rsidRDefault="00A5639A" w:rsidP="003E6177">
      <w:pPr>
        <w:pStyle w:val="NoSpacing"/>
        <w:spacing w:line="360" w:lineRule="auto"/>
        <w:jc w:val="both"/>
        <w:rPr>
          <w:rFonts w:ascii="Times New Roman" w:hAnsi="Times New Roman" w:cs="Times New Roman"/>
          <w:sz w:val="24"/>
          <w:szCs w:val="24"/>
        </w:rPr>
      </w:pPr>
    </w:p>
    <w:p w14:paraId="158F1C1E" w14:textId="77777777" w:rsidR="00A5639A" w:rsidRPr="003E6177" w:rsidRDefault="00A5639A" w:rsidP="003E6177">
      <w:pPr>
        <w:pStyle w:val="NoSpacing"/>
        <w:spacing w:line="360" w:lineRule="auto"/>
        <w:jc w:val="both"/>
        <w:rPr>
          <w:rFonts w:ascii="Times New Roman" w:hAnsi="Times New Roman" w:cs="Times New Roman"/>
          <w:sz w:val="24"/>
          <w:szCs w:val="24"/>
        </w:rPr>
      </w:pPr>
      <w:r w:rsidRPr="003E6177">
        <w:rPr>
          <w:rFonts w:ascii="Times New Roman" w:hAnsi="Times New Roman" w:cs="Times New Roman"/>
          <w:sz w:val="24"/>
          <w:szCs w:val="24"/>
        </w:rPr>
        <w:t xml:space="preserve">THERRIAULT, P.-Y.; STREIT, U.; RHÉAUME, J. Situations paradoxales dans l'organisation du travail: une menace pour la santé mentale des travailleurs. </w:t>
      </w:r>
      <w:r w:rsidRPr="003E6177">
        <w:rPr>
          <w:rFonts w:ascii="Times New Roman" w:hAnsi="Times New Roman" w:cs="Times New Roman"/>
          <w:b/>
          <w:sz w:val="24"/>
          <w:szCs w:val="24"/>
        </w:rPr>
        <w:t xml:space="preserve">Santé mentale au Québec, </w:t>
      </w:r>
      <w:r w:rsidRPr="003E6177">
        <w:rPr>
          <w:rFonts w:ascii="Times New Roman" w:hAnsi="Times New Roman" w:cs="Times New Roman"/>
          <w:sz w:val="24"/>
          <w:szCs w:val="24"/>
        </w:rPr>
        <w:t xml:space="preserve">v. 29, n. 1, p. 173-200,  2004.   </w:t>
      </w:r>
    </w:p>
    <w:p w14:paraId="2E366C03" w14:textId="77777777" w:rsidR="00A5639A" w:rsidRPr="003E6177" w:rsidRDefault="00A5639A" w:rsidP="003E6177">
      <w:pPr>
        <w:pStyle w:val="NoSpacing"/>
        <w:spacing w:line="360" w:lineRule="auto"/>
        <w:jc w:val="both"/>
        <w:rPr>
          <w:rFonts w:ascii="Times New Roman" w:hAnsi="Times New Roman" w:cs="Times New Roman"/>
          <w:sz w:val="24"/>
          <w:szCs w:val="24"/>
        </w:rPr>
      </w:pPr>
    </w:p>
    <w:p w14:paraId="78DA8302" w14:textId="77777777" w:rsidR="00A5639A" w:rsidRPr="003E6177" w:rsidRDefault="00A5639A" w:rsidP="003E6177">
      <w:pPr>
        <w:pStyle w:val="NoSpacing"/>
        <w:spacing w:line="360" w:lineRule="auto"/>
        <w:jc w:val="both"/>
        <w:rPr>
          <w:rFonts w:ascii="Times New Roman" w:hAnsi="Times New Roman" w:cs="Times New Roman"/>
          <w:sz w:val="24"/>
          <w:szCs w:val="24"/>
        </w:rPr>
      </w:pPr>
      <w:r w:rsidRPr="003E6177">
        <w:rPr>
          <w:rFonts w:ascii="Times New Roman" w:hAnsi="Times New Roman" w:cs="Times New Roman"/>
          <w:sz w:val="24"/>
          <w:szCs w:val="24"/>
        </w:rPr>
        <w:t xml:space="preserve">THIROT, M. La précarisation du travail: des parcours professionnels à géométrie variable. </w:t>
      </w:r>
      <w:r w:rsidRPr="003E6177">
        <w:rPr>
          <w:rFonts w:ascii="Times New Roman" w:hAnsi="Times New Roman" w:cs="Times New Roman"/>
          <w:b/>
          <w:sz w:val="24"/>
          <w:szCs w:val="24"/>
        </w:rPr>
        <w:t xml:space="preserve">Relations industrielles / Industrial Relations, </w:t>
      </w:r>
      <w:r w:rsidRPr="003E6177">
        <w:rPr>
          <w:rFonts w:ascii="Times New Roman" w:hAnsi="Times New Roman" w:cs="Times New Roman"/>
          <w:sz w:val="24"/>
          <w:szCs w:val="24"/>
        </w:rPr>
        <w:t xml:space="preserve">v. 68, n. 1, p. 142-163,  2013.   </w:t>
      </w:r>
    </w:p>
    <w:p w14:paraId="71E0CE59" w14:textId="77777777" w:rsidR="00A5639A" w:rsidRPr="003E6177" w:rsidRDefault="00A5639A" w:rsidP="003E6177">
      <w:pPr>
        <w:pStyle w:val="NoSpacing"/>
        <w:spacing w:line="360" w:lineRule="auto"/>
        <w:jc w:val="both"/>
        <w:rPr>
          <w:rFonts w:ascii="Times New Roman" w:hAnsi="Times New Roman" w:cs="Times New Roman"/>
          <w:sz w:val="24"/>
          <w:szCs w:val="24"/>
        </w:rPr>
      </w:pPr>
    </w:p>
    <w:p w14:paraId="58591874" w14:textId="77777777" w:rsidR="00A5639A" w:rsidRPr="003E6177" w:rsidRDefault="00A5639A" w:rsidP="003E6177">
      <w:pPr>
        <w:pStyle w:val="NoSpacing"/>
        <w:spacing w:line="360" w:lineRule="auto"/>
        <w:jc w:val="both"/>
        <w:rPr>
          <w:rFonts w:ascii="Times New Roman" w:hAnsi="Times New Roman" w:cs="Times New Roman"/>
          <w:sz w:val="24"/>
          <w:szCs w:val="24"/>
        </w:rPr>
      </w:pPr>
      <w:r w:rsidRPr="003E6177">
        <w:rPr>
          <w:rFonts w:ascii="Times New Roman" w:hAnsi="Times New Roman" w:cs="Times New Roman"/>
          <w:sz w:val="24"/>
          <w:szCs w:val="24"/>
        </w:rPr>
        <w:t xml:space="preserve">VERTOVEC, S. Super-diversity and its implications. </w:t>
      </w:r>
      <w:r w:rsidRPr="003E6177">
        <w:rPr>
          <w:rFonts w:ascii="Times New Roman" w:hAnsi="Times New Roman" w:cs="Times New Roman"/>
          <w:b/>
          <w:sz w:val="24"/>
          <w:szCs w:val="24"/>
        </w:rPr>
        <w:t xml:space="preserve">Ethnic and Racial Studies, </w:t>
      </w:r>
      <w:r w:rsidRPr="003E6177">
        <w:rPr>
          <w:rFonts w:ascii="Times New Roman" w:hAnsi="Times New Roman" w:cs="Times New Roman"/>
          <w:sz w:val="24"/>
          <w:szCs w:val="24"/>
        </w:rPr>
        <w:t xml:space="preserve">v. 30, n. 6, p. 1024-1054,  2007.   </w:t>
      </w:r>
    </w:p>
    <w:p w14:paraId="6D0BF82C" w14:textId="77777777" w:rsidR="00A5639A" w:rsidRPr="003E6177" w:rsidRDefault="00A5639A" w:rsidP="003E6177">
      <w:pPr>
        <w:pStyle w:val="NoSpacing"/>
        <w:spacing w:line="360" w:lineRule="auto"/>
        <w:jc w:val="both"/>
        <w:rPr>
          <w:rFonts w:ascii="Times New Roman" w:hAnsi="Times New Roman" w:cs="Times New Roman"/>
          <w:sz w:val="24"/>
          <w:szCs w:val="24"/>
        </w:rPr>
      </w:pPr>
    </w:p>
    <w:p w14:paraId="7F3CAE9C" w14:textId="77777777" w:rsidR="00A5639A" w:rsidRPr="003E6177" w:rsidRDefault="00A5639A" w:rsidP="003E6177">
      <w:pPr>
        <w:pStyle w:val="NoSpacing"/>
        <w:spacing w:line="360" w:lineRule="auto"/>
        <w:jc w:val="both"/>
        <w:rPr>
          <w:rFonts w:ascii="Times New Roman" w:hAnsi="Times New Roman" w:cs="Times New Roman"/>
          <w:sz w:val="24"/>
          <w:szCs w:val="24"/>
        </w:rPr>
      </w:pPr>
      <w:r w:rsidRPr="003E6177">
        <w:rPr>
          <w:rFonts w:ascii="Times New Roman" w:hAnsi="Times New Roman" w:cs="Times New Roman"/>
          <w:sz w:val="24"/>
          <w:szCs w:val="24"/>
        </w:rPr>
        <w:t xml:space="preserve">VOSKO, L. F., Ed. </w:t>
      </w:r>
      <w:r w:rsidRPr="003E6177">
        <w:rPr>
          <w:rFonts w:ascii="Times New Roman" w:hAnsi="Times New Roman" w:cs="Times New Roman"/>
          <w:b/>
          <w:sz w:val="24"/>
          <w:szCs w:val="24"/>
        </w:rPr>
        <w:t>Precarious Employment: Understanding Labour Market Insecurity in Canada</w:t>
      </w:r>
      <w:r w:rsidRPr="003E6177">
        <w:rPr>
          <w:rFonts w:ascii="Times New Roman" w:hAnsi="Times New Roman" w:cs="Times New Roman"/>
          <w:sz w:val="24"/>
          <w:szCs w:val="24"/>
        </w:rPr>
        <w:t>: McGill-Queen's University Pressed. 2006.</w:t>
      </w:r>
    </w:p>
    <w:p w14:paraId="560395F9" w14:textId="77777777" w:rsidR="00A5639A" w:rsidRPr="003E6177" w:rsidRDefault="00A5639A" w:rsidP="003E6177">
      <w:pPr>
        <w:pStyle w:val="NoSpacing"/>
        <w:spacing w:line="360" w:lineRule="auto"/>
        <w:jc w:val="both"/>
        <w:rPr>
          <w:rFonts w:ascii="Times New Roman" w:hAnsi="Times New Roman" w:cs="Times New Roman"/>
          <w:sz w:val="24"/>
          <w:szCs w:val="24"/>
        </w:rPr>
      </w:pPr>
    </w:p>
    <w:p w14:paraId="629D62AC" w14:textId="77777777" w:rsidR="00A5639A" w:rsidRPr="003E6177" w:rsidRDefault="00A5639A" w:rsidP="003E6177">
      <w:pPr>
        <w:pStyle w:val="NoSpacing"/>
        <w:spacing w:line="360" w:lineRule="auto"/>
        <w:jc w:val="both"/>
        <w:rPr>
          <w:rFonts w:ascii="Times New Roman" w:hAnsi="Times New Roman" w:cs="Times New Roman"/>
          <w:sz w:val="24"/>
          <w:szCs w:val="24"/>
        </w:rPr>
      </w:pPr>
      <w:r w:rsidRPr="003E6177">
        <w:rPr>
          <w:rFonts w:ascii="Times New Roman" w:hAnsi="Times New Roman" w:cs="Times New Roman"/>
          <w:sz w:val="24"/>
          <w:szCs w:val="24"/>
        </w:rPr>
        <w:lastRenderedPageBreak/>
        <w:t xml:space="preserve">WALKER, D.; MYRICK, F. Grounded Theory: An Exploration of Process and Procedure. </w:t>
      </w:r>
      <w:r w:rsidRPr="003E6177">
        <w:rPr>
          <w:rFonts w:ascii="Times New Roman" w:hAnsi="Times New Roman" w:cs="Times New Roman"/>
          <w:b/>
          <w:sz w:val="24"/>
          <w:szCs w:val="24"/>
        </w:rPr>
        <w:t xml:space="preserve">Qualitative Health Research, </w:t>
      </w:r>
      <w:r w:rsidRPr="003E6177">
        <w:rPr>
          <w:rFonts w:ascii="Times New Roman" w:hAnsi="Times New Roman" w:cs="Times New Roman"/>
          <w:sz w:val="24"/>
          <w:szCs w:val="24"/>
        </w:rPr>
        <w:t xml:space="preserve">v. 16, n. 4, p. 547-559,  2006.   </w:t>
      </w:r>
    </w:p>
    <w:p w14:paraId="4ADF4BEE" w14:textId="77777777" w:rsidR="00A5639A" w:rsidRPr="003E6177" w:rsidRDefault="00A5639A" w:rsidP="003E6177">
      <w:pPr>
        <w:pStyle w:val="NoSpacing"/>
        <w:spacing w:line="360" w:lineRule="auto"/>
        <w:jc w:val="both"/>
        <w:rPr>
          <w:rFonts w:ascii="Times New Roman" w:hAnsi="Times New Roman" w:cs="Times New Roman"/>
          <w:sz w:val="24"/>
          <w:szCs w:val="24"/>
        </w:rPr>
      </w:pPr>
    </w:p>
    <w:p w14:paraId="7370D56E" w14:textId="77777777" w:rsidR="0061244F" w:rsidRPr="003E6177" w:rsidRDefault="00A5639A" w:rsidP="003E6177">
      <w:pPr>
        <w:pStyle w:val="NoSpacing"/>
        <w:spacing w:line="360" w:lineRule="auto"/>
        <w:jc w:val="both"/>
        <w:rPr>
          <w:rFonts w:ascii="Times New Roman" w:hAnsi="Times New Roman" w:cs="Times New Roman"/>
          <w:sz w:val="24"/>
          <w:szCs w:val="24"/>
          <w:lang w:val="en-US"/>
        </w:rPr>
      </w:pPr>
      <w:r w:rsidRPr="003E6177">
        <w:rPr>
          <w:rFonts w:ascii="Times New Roman" w:hAnsi="Times New Roman" w:cs="Times New Roman"/>
          <w:sz w:val="24"/>
          <w:szCs w:val="24"/>
        </w:rPr>
        <w:t xml:space="preserve">YANAR, B.; KOSNY, A.; SMITH, P. M. Occupational Health and Safety Vulnerability of Recent Immigrants and Refugees. </w:t>
      </w:r>
      <w:r w:rsidRPr="003E6177">
        <w:rPr>
          <w:rFonts w:ascii="Times New Roman" w:hAnsi="Times New Roman" w:cs="Times New Roman"/>
          <w:b/>
          <w:sz w:val="24"/>
          <w:szCs w:val="24"/>
        </w:rPr>
        <w:t xml:space="preserve">International Journal of Environmental Research and Public Health, </w:t>
      </w:r>
      <w:r w:rsidR="00F16911" w:rsidRPr="003E6177">
        <w:rPr>
          <w:rFonts w:ascii="Times New Roman" w:hAnsi="Times New Roman" w:cs="Times New Roman"/>
          <w:sz w:val="24"/>
          <w:szCs w:val="24"/>
        </w:rPr>
        <w:t>v. 15, n. 9,  2018.</w:t>
      </w:r>
    </w:p>
    <w:sectPr w:rsidR="0061244F" w:rsidRPr="003E6177" w:rsidSect="001B058E">
      <w:pgSz w:w="12240" w:h="15840"/>
      <w:pgMar w:top="1701" w:right="1134"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8163BB"/>
    <w:multiLevelType w:val="hybridMultilevel"/>
    <w:tmpl w:val="A99C58D0"/>
    <w:lvl w:ilvl="0" w:tplc="98625CE4">
      <w:start w:val="1"/>
      <w:numFmt w:val="bullet"/>
      <w:lvlText w:val="•"/>
      <w:lvlJc w:val="left"/>
      <w:pPr>
        <w:tabs>
          <w:tab w:val="num" w:pos="720"/>
        </w:tabs>
        <w:ind w:left="720" w:hanging="360"/>
      </w:pPr>
      <w:rPr>
        <w:rFonts w:ascii="Times New Roman" w:hAnsi="Times New Roman" w:hint="default"/>
      </w:rPr>
    </w:lvl>
    <w:lvl w:ilvl="1" w:tplc="1BA4AB3E" w:tentative="1">
      <w:start w:val="1"/>
      <w:numFmt w:val="bullet"/>
      <w:lvlText w:val="•"/>
      <w:lvlJc w:val="left"/>
      <w:pPr>
        <w:tabs>
          <w:tab w:val="num" w:pos="1440"/>
        </w:tabs>
        <w:ind w:left="1440" w:hanging="360"/>
      </w:pPr>
      <w:rPr>
        <w:rFonts w:ascii="Times New Roman" w:hAnsi="Times New Roman" w:hint="default"/>
      </w:rPr>
    </w:lvl>
    <w:lvl w:ilvl="2" w:tplc="1F8A6256" w:tentative="1">
      <w:start w:val="1"/>
      <w:numFmt w:val="bullet"/>
      <w:lvlText w:val="•"/>
      <w:lvlJc w:val="left"/>
      <w:pPr>
        <w:tabs>
          <w:tab w:val="num" w:pos="2160"/>
        </w:tabs>
        <w:ind w:left="2160" w:hanging="360"/>
      </w:pPr>
      <w:rPr>
        <w:rFonts w:ascii="Times New Roman" w:hAnsi="Times New Roman" w:hint="default"/>
      </w:rPr>
    </w:lvl>
    <w:lvl w:ilvl="3" w:tplc="0E68EE22" w:tentative="1">
      <w:start w:val="1"/>
      <w:numFmt w:val="bullet"/>
      <w:lvlText w:val="•"/>
      <w:lvlJc w:val="left"/>
      <w:pPr>
        <w:tabs>
          <w:tab w:val="num" w:pos="2880"/>
        </w:tabs>
        <w:ind w:left="2880" w:hanging="360"/>
      </w:pPr>
      <w:rPr>
        <w:rFonts w:ascii="Times New Roman" w:hAnsi="Times New Roman" w:hint="default"/>
      </w:rPr>
    </w:lvl>
    <w:lvl w:ilvl="4" w:tplc="385A62A2" w:tentative="1">
      <w:start w:val="1"/>
      <w:numFmt w:val="bullet"/>
      <w:lvlText w:val="•"/>
      <w:lvlJc w:val="left"/>
      <w:pPr>
        <w:tabs>
          <w:tab w:val="num" w:pos="3600"/>
        </w:tabs>
        <w:ind w:left="3600" w:hanging="360"/>
      </w:pPr>
      <w:rPr>
        <w:rFonts w:ascii="Times New Roman" w:hAnsi="Times New Roman" w:hint="default"/>
      </w:rPr>
    </w:lvl>
    <w:lvl w:ilvl="5" w:tplc="46A0BED4" w:tentative="1">
      <w:start w:val="1"/>
      <w:numFmt w:val="bullet"/>
      <w:lvlText w:val="•"/>
      <w:lvlJc w:val="left"/>
      <w:pPr>
        <w:tabs>
          <w:tab w:val="num" w:pos="4320"/>
        </w:tabs>
        <w:ind w:left="4320" w:hanging="360"/>
      </w:pPr>
      <w:rPr>
        <w:rFonts w:ascii="Times New Roman" w:hAnsi="Times New Roman" w:hint="default"/>
      </w:rPr>
    </w:lvl>
    <w:lvl w:ilvl="6" w:tplc="85E89BB8" w:tentative="1">
      <w:start w:val="1"/>
      <w:numFmt w:val="bullet"/>
      <w:lvlText w:val="•"/>
      <w:lvlJc w:val="left"/>
      <w:pPr>
        <w:tabs>
          <w:tab w:val="num" w:pos="5040"/>
        </w:tabs>
        <w:ind w:left="5040" w:hanging="360"/>
      </w:pPr>
      <w:rPr>
        <w:rFonts w:ascii="Times New Roman" w:hAnsi="Times New Roman" w:hint="default"/>
      </w:rPr>
    </w:lvl>
    <w:lvl w:ilvl="7" w:tplc="4CBE85D4" w:tentative="1">
      <w:start w:val="1"/>
      <w:numFmt w:val="bullet"/>
      <w:lvlText w:val="•"/>
      <w:lvlJc w:val="left"/>
      <w:pPr>
        <w:tabs>
          <w:tab w:val="num" w:pos="5760"/>
        </w:tabs>
        <w:ind w:left="5760" w:hanging="360"/>
      </w:pPr>
      <w:rPr>
        <w:rFonts w:ascii="Times New Roman" w:hAnsi="Times New Roman" w:hint="default"/>
      </w:rPr>
    </w:lvl>
    <w:lvl w:ilvl="8" w:tplc="B6D0F92A" w:tentative="1">
      <w:start w:val="1"/>
      <w:numFmt w:val="bullet"/>
      <w:lvlText w:val="•"/>
      <w:lvlJc w:val="left"/>
      <w:pPr>
        <w:tabs>
          <w:tab w:val="num" w:pos="6480"/>
        </w:tabs>
        <w:ind w:left="6480" w:hanging="360"/>
      </w:pPr>
      <w:rPr>
        <w:rFonts w:ascii="Times New Roman" w:hAnsi="Times New Roman" w:hint="default"/>
      </w:rPr>
    </w:lvl>
  </w:abstractNum>
  <w:abstractNum w:abstractNumId="1" w15:restartNumberingAfterBreak="0">
    <w:nsid w:val="0BA85AEC"/>
    <w:multiLevelType w:val="hybridMultilevel"/>
    <w:tmpl w:val="965606A2"/>
    <w:lvl w:ilvl="0" w:tplc="C66CCB84">
      <w:start w:val="1"/>
      <w:numFmt w:val="bullet"/>
      <w:lvlText w:val=""/>
      <w:lvlJc w:val="left"/>
      <w:pPr>
        <w:tabs>
          <w:tab w:val="num" w:pos="720"/>
        </w:tabs>
        <w:ind w:left="720" w:hanging="360"/>
      </w:pPr>
      <w:rPr>
        <w:rFonts w:ascii="Wingdings" w:hAnsi="Wingdings" w:hint="default"/>
      </w:rPr>
    </w:lvl>
    <w:lvl w:ilvl="1" w:tplc="FB2C6BE4" w:tentative="1">
      <w:start w:val="1"/>
      <w:numFmt w:val="bullet"/>
      <w:lvlText w:val=""/>
      <w:lvlJc w:val="left"/>
      <w:pPr>
        <w:tabs>
          <w:tab w:val="num" w:pos="1440"/>
        </w:tabs>
        <w:ind w:left="1440" w:hanging="360"/>
      </w:pPr>
      <w:rPr>
        <w:rFonts w:ascii="Wingdings" w:hAnsi="Wingdings" w:hint="default"/>
      </w:rPr>
    </w:lvl>
    <w:lvl w:ilvl="2" w:tplc="6E74C9B0" w:tentative="1">
      <w:start w:val="1"/>
      <w:numFmt w:val="bullet"/>
      <w:lvlText w:val=""/>
      <w:lvlJc w:val="left"/>
      <w:pPr>
        <w:tabs>
          <w:tab w:val="num" w:pos="2160"/>
        </w:tabs>
        <w:ind w:left="2160" w:hanging="360"/>
      </w:pPr>
      <w:rPr>
        <w:rFonts w:ascii="Wingdings" w:hAnsi="Wingdings" w:hint="default"/>
      </w:rPr>
    </w:lvl>
    <w:lvl w:ilvl="3" w:tplc="0C1498C6" w:tentative="1">
      <w:start w:val="1"/>
      <w:numFmt w:val="bullet"/>
      <w:lvlText w:val=""/>
      <w:lvlJc w:val="left"/>
      <w:pPr>
        <w:tabs>
          <w:tab w:val="num" w:pos="2880"/>
        </w:tabs>
        <w:ind w:left="2880" w:hanging="360"/>
      </w:pPr>
      <w:rPr>
        <w:rFonts w:ascii="Wingdings" w:hAnsi="Wingdings" w:hint="default"/>
      </w:rPr>
    </w:lvl>
    <w:lvl w:ilvl="4" w:tplc="7B749800" w:tentative="1">
      <w:start w:val="1"/>
      <w:numFmt w:val="bullet"/>
      <w:lvlText w:val=""/>
      <w:lvlJc w:val="left"/>
      <w:pPr>
        <w:tabs>
          <w:tab w:val="num" w:pos="3600"/>
        </w:tabs>
        <w:ind w:left="3600" w:hanging="360"/>
      </w:pPr>
      <w:rPr>
        <w:rFonts w:ascii="Wingdings" w:hAnsi="Wingdings" w:hint="default"/>
      </w:rPr>
    </w:lvl>
    <w:lvl w:ilvl="5" w:tplc="9EC6BD5A" w:tentative="1">
      <w:start w:val="1"/>
      <w:numFmt w:val="bullet"/>
      <w:lvlText w:val=""/>
      <w:lvlJc w:val="left"/>
      <w:pPr>
        <w:tabs>
          <w:tab w:val="num" w:pos="4320"/>
        </w:tabs>
        <w:ind w:left="4320" w:hanging="360"/>
      </w:pPr>
      <w:rPr>
        <w:rFonts w:ascii="Wingdings" w:hAnsi="Wingdings" w:hint="default"/>
      </w:rPr>
    </w:lvl>
    <w:lvl w:ilvl="6" w:tplc="97147A6E" w:tentative="1">
      <w:start w:val="1"/>
      <w:numFmt w:val="bullet"/>
      <w:lvlText w:val=""/>
      <w:lvlJc w:val="left"/>
      <w:pPr>
        <w:tabs>
          <w:tab w:val="num" w:pos="5040"/>
        </w:tabs>
        <w:ind w:left="5040" w:hanging="360"/>
      </w:pPr>
      <w:rPr>
        <w:rFonts w:ascii="Wingdings" w:hAnsi="Wingdings" w:hint="default"/>
      </w:rPr>
    </w:lvl>
    <w:lvl w:ilvl="7" w:tplc="4724BBD2" w:tentative="1">
      <w:start w:val="1"/>
      <w:numFmt w:val="bullet"/>
      <w:lvlText w:val=""/>
      <w:lvlJc w:val="left"/>
      <w:pPr>
        <w:tabs>
          <w:tab w:val="num" w:pos="5760"/>
        </w:tabs>
        <w:ind w:left="5760" w:hanging="360"/>
      </w:pPr>
      <w:rPr>
        <w:rFonts w:ascii="Wingdings" w:hAnsi="Wingdings" w:hint="default"/>
      </w:rPr>
    </w:lvl>
    <w:lvl w:ilvl="8" w:tplc="13922218"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2CD65097"/>
    <w:multiLevelType w:val="hybridMultilevel"/>
    <w:tmpl w:val="CBD2CD7A"/>
    <w:lvl w:ilvl="0" w:tplc="60F06B18">
      <w:start w:val="1"/>
      <w:numFmt w:val="bullet"/>
      <w:lvlText w:val="•"/>
      <w:lvlJc w:val="left"/>
      <w:pPr>
        <w:tabs>
          <w:tab w:val="num" w:pos="720"/>
        </w:tabs>
        <w:ind w:left="720" w:hanging="360"/>
      </w:pPr>
      <w:rPr>
        <w:rFonts w:ascii="Times New Roman" w:hAnsi="Times New Roman" w:hint="default"/>
      </w:rPr>
    </w:lvl>
    <w:lvl w:ilvl="1" w:tplc="EDDCD880" w:tentative="1">
      <w:start w:val="1"/>
      <w:numFmt w:val="bullet"/>
      <w:lvlText w:val="•"/>
      <w:lvlJc w:val="left"/>
      <w:pPr>
        <w:tabs>
          <w:tab w:val="num" w:pos="1440"/>
        </w:tabs>
        <w:ind w:left="1440" w:hanging="360"/>
      </w:pPr>
      <w:rPr>
        <w:rFonts w:ascii="Times New Roman" w:hAnsi="Times New Roman" w:hint="default"/>
      </w:rPr>
    </w:lvl>
    <w:lvl w:ilvl="2" w:tplc="6170A496" w:tentative="1">
      <w:start w:val="1"/>
      <w:numFmt w:val="bullet"/>
      <w:lvlText w:val="•"/>
      <w:lvlJc w:val="left"/>
      <w:pPr>
        <w:tabs>
          <w:tab w:val="num" w:pos="2160"/>
        </w:tabs>
        <w:ind w:left="2160" w:hanging="360"/>
      </w:pPr>
      <w:rPr>
        <w:rFonts w:ascii="Times New Roman" w:hAnsi="Times New Roman" w:hint="default"/>
      </w:rPr>
    </w:lvl>
    <w:lvl w:ilvl="3" w:tplc="9D5ED11C" w:tentative="1">
      <w:start w:val="1"/>
      <w:numFmt w:val="bullet"/>
      <w:lvlText w:val="•"/>
      <w:lvlJc w:val="left"/>
      <w:pPr>
        <w:tabs>
          <w:tab w:val="num" w:pos="2880"/>
        </w:tabs>
        <w:ind w:left="2880" w:hanging="360"/>
      </w:pPr>
      <w:rPr>
        <w:rFonts w:ascii="Times New Roman" w:hAnsi="Times New Roman" w:hint="default"/>
      </w:rPr>
    </w:lvl>
    <w:lvl w:ilvl="4" w:tplc="C5CA7808" w:tentative="1">
      <w:start w:val="1"/>
      <w:numFmt w:val="bullet"/>
      <w:lvlText w:val="•"/>
      <w:lvlJc w:val="left"/>
      <w:pPr>
        <w:tabs>
          <w:tab w:val="num" w:pos="3600"/>
        </w:tabs>
        <w:ind w:left="3600" w:hanging="360"/>
      </w:pPr>
      <w:rPr>
        <w:rFonts w:ascii="Times New Roman" w:hAnsi="Times New Roman" w:hint="default"/>
      </w:rPr>
    </w:lvl>
    <w:lvl w:ilvl="5" w:tplc="6380C2D4" w:tentative="1">
      <w:start w:val="1"/>
      <w:numFmt w:val="bullet"/>
      <w:lvlText w:val="•"/>
      <w:lvlJc w:val="left"/>
      <w:pPr>
        <w:tabs>
          <w:tab w:val="num" w:pos="4320"/>
        </w:tabs>
        <w:ind w:left="4320" w:hanging="360"/>
      </w:pPr>
      <w:rPr>
        <w:rFonts w:ascii="Times New Roman" w:hAnsi="Times New Roman" w:hint="default"/>
      </w:rPr>
    </w:lvl>
    <w:lvl w:ilvl="6" w:tplc="D848EF9E" w:tentative="1">
      <w:start w:val="1"/>
      <w:numFmt w:val="bullet"/>
      <w:lvlText w:val="•"/>
      <w:lvlJc w:val="left"/>
      <w:pPr>
        <w:tabs>
          <w:tab w:val="num" w:pos="5040"/>
        </w:tabs>
        <w:ind w:left="5040" w:hanging="360"/>
      </w:pPr>
      <w:rPr>
        <w:rFonts w:ascii="Times New Roman" w:hAnsi="Times New Roman" w:hint="default"/>
      </w:rPr>
    </w:lvl>
    <w:lvl w:ilvl="7" w:tplc="15F477CE" w:tentative="1">
      <w:start w:val="1"/>
      <w:numFmt w:val="bullet"/>
      <w:lvlText w:val="•"/>
      <w:lvlJc w:val="left"/>
      <w:pPr>
        <w:tabs>
          <w:tab w:val="num" w:pos="5760"/>
        </w:tabs>
        <w:ind w:left="5760" w:hanging="360"/>
      </w:pPr>
      <w:rPr>
        <w:rFonts w:ascii="Times New Roman" w:hAnsi="Times New Roman" w:hint="default"/>
      </w:rPr>
    </w:lvl>
    <w:lvl w:ilvl="8" w:tplc="9FCCBE9A" w:tentative="1">
      <w:start w:val="1"/>
      <w:numFmt w:val="bullet"/>
      <w:lvlText w:val="•"/>
      <w:lvlJc w:val="left"/>
      <w:pPr>
        <w:tabs>
          <w:tab w:val="num" w:pos="6480"/>
        </w:tabs>
        <w:ind w:left="6480" w:hanging="360"/>
      </w:pPr>
      <w:rPr>
        <w:rFonts w:ascii="Times New Roman" w:hAnsi="Times New Roman" w:hint="default"/>
      </w:rPr>
    </w:lvl>
  </w:abstractNum>
  <w:abstractNum w:abstractNumId="3" w15:restartNumberingAfterBreak="0">
    <w:nsid w:val="36FC314A"/>
    <w:multiLevelType w:val="hybridMultilevel"/>
    <w:tmpl w:val="2E5CEAEC"/>
    <w:lvl w:ilvl="0" w:tplc="01E64E14">
      <w:start w:val="1"/>
      <w:numFmt w:val="bullet"/>
      <w:lvlText w:val=""/>
      <w:lvlJc w:val="left"/>
      <w:pPr>
        <w:tabs>
          <w:tab w:val="num" w:pos="720"/>
        </w:tabs>
        <w:ind w:left="720" w:hanging="360"/>
      </w:pPr>
      <w:rPr>
        <w:rFonts w:ascii="Wingdings" w:hAnsi="Wingdings" w:hint="default"/>
      </w:rPr>
    </w:lvl>
    <w:lvl w:ilvl="1" w:tplc="E1FC42A2" w:tentative="1">
      <w:start w:val="1"/>
      <w:numFmt w:val="bullet"/>
      <w:lvlText w:val=""/>
      <w:lvlJc w:val="left"/>
      <w:pPr>
        <w:tabs>
          <w:tab w:val="num" w:pos="1440"/>
        </w:tabs>
        <w:ind w:left="1440" w:hanging="360"/>
      </w:pPr>
      <w:rPr>
        <w:rFonts w:ascii="Wingdings" w:hAnsi="Wingdings" w:hint="default"/>
      </w:rPr>
    </w:lvl>
    <w:lvl w:ilvl="2" w:tplc="9F2008CE">
      <w:start w:val="1"/>
      <w:numFmt w:val="bullet"/>
      <w:lvlText w:val=""/>
      <w:lvlJc w:val="left"/>
      <w:pPr>
        <w:tabs>
          <w:tab w:val="num" w:pos="2160"/>
        </w:tabs>
        <w:ind w:left="2160" w:hanging="360"/>
      </w:pPr>
      <w:rPr>
        <w:rFonts w:ascii="Wingdings" w:hAnsi="Wingdings" w:hint="default"/>
      </w:rPr>
    </w:lvl>
    <w:lvl w:ilvl="3" w:tplc="2454092A" w:tentative="1">
      <w:start w:val="1"/>
      <w:numFmt w:val="bullet"/>
      <w:lvlText w:val=""/>
      <w:lvlJc w:val="left"/>
      <w:pPr>
        <w:tabs>
          <w:tab w:val="num" w:pos="2880"/>
        </w:tabs>
        <w:ind w:left="2880" w:hanging="360"/>
      </w:pPr>
      <w:rPr>
        <w:rFonts w:ascii="Wingdings" w:hAnsi="Wingdings" w:hint="default"/>
      </w:rPr>
    </w:lvl>
    <w:lvl w:ilvl="4" w:tplc="EB5A9746" w:tentative="1">
      <w:start w:val="1"/>
      <w:numFmt w:val="bullet"/>
      <w:lvlText w:val=""/>
      <w:lvlJc w:val="left"/>
      <w:pPr>
        <w:tabs>
          <w:tab w:val="num" w:pos="3600"/>
        </w:tabs>
        <w:ind w:left="3600" w:hanging="360"/>
      </w:pPr>
      <w:rPr>
        <w:rFonts w:ascii="Wingdings" w:hAnsi="Wingdings" w:hint="default"/>
      </w:rPr>
    </w:lvl>
    <w:lvl w:ilvl="5" w:tplc="DCF4402E" w:tentative="1">
      <w:start w:val="1"/>
      <w:numFmt w:val="bullet"/>
      <w:lvlText w:val=""/>
      <w:lvlJc w:val="left"/>
      <w:pPr>
        <w:tabs>
          <w:tab w:val="num" w:pos="4320"/>
        </w:tabs>
        <w:ind w:left="4320" w:hanging="360"/>
      </w:pPr>
      <w:rPr>
        <w:rFonts w:ascii="Wingdings" w:hAnsi="Wingdings" w:hint="default"/>
      </w:rPr>
    </w:lvl>
    <w:lvl w:ilvl="6" w:tplc="8BEA366C" w:tentative="1">
      <w:start w:val="1"/>
      <w:numFmt w:val="bullet"/>
      <w:lvlText w:val=""/>
      <w:lvlJc w:val="left"/>
      <w:pPr>
        <w:tabs>
          <w:tab w:val="num" w:pos="5040"/>
        </w:tabs>
        <w:ind w:left="5040" w:hanging="360"/>
      </w:pPr>
      <w:rPr>
        <w:rFonts w:ascii="Wingdings" w:hAnsi="Wingdings" w:hint="default"/>
      </w:rPr>
    </w:lvl>
    <w:lvl w:ilvl="7" w:tplc="397A6250" w:tentative="1">
      <w:start w:val="1"/>
      <w:numFmt w:val="bullet"/>
      <w:lvlText w:val=""/>
      <w:lvlJc w:val="left"/>
      <w:pPr>
        <w:tabs>
          <w:tab w:val="num" w:pos="5760"/>
        </w:tabs>
        <w:ind w:left="5760" w:hanging="360"/>
      </w:pPr>
      <w:rPr>
        <w:rFonts w:ascii="Wingdings" w:hAnsi="Wingdings" w:hint="default"/>
      </w:rPr>
    </w:lvl>
    <w:lvl w:ilvl="8" w:tplc="FFD2E504"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3AC31789"/>
    <w:multiLevelType w:val="hybridMultilevel"/>
    <w:tmpl w:val="4FAAA9AE"/>
    <w:lvl w:ilvl="0" w:tplc="0C0C0001">
      <w:start w:val="1"/>
      <w:numFmt w:val="bullet"/>
      <w:lvlText w:val=""/>
      <w:lvlJc w:val="left"/>
      <w:pPr>
        <w:ind w:left="720" w:hanging="360"/>
      </w:pPr>
      <w:rPr>
        <w:rFonts w:ascii="Symbol" w:hAnsi="Symbol"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5" w15:restartNumberingAfterBreak="0">
    <w:nsid w:val="42DA64B8"/>
    <w:multiLevelType w:val="hybridMultilevel"/>
    <w:tmpl w:val="7E2E1018"/>
    <w:lvl w:ilvl="0" w:tplc="0C0C0001">
      <w:start w:val="1"/>
      <w:numFmt w:val="bullet"/>
      <w:lvlText w:val=""/>
      <w:lvlJc w:val="left"/>
      <w:pPr>
        <w:ind w:left="720" w:hanging="360"/>
      </w:pPr>
      <w:rPr>
        <w:rFonts w:ascii="Symbol" w:hAnsi="Symbol"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6" w15:restartNumberingAfterBreak="0">
    <w:nsid w:val="5EAA6712"/>
    <w:multiLevelType w:val="hybridMultilevel"/>
    <w:tmpl w:val="C25AAC0E"/>
    <w:lvl w:ilvl="0" w:tplc="10E8D852">
      <w:start w:val="1"/>
      <w:numFmt w:val="bullet"/>
      <w:lvlText w:val="•"/>
      <w:lvlJc w:val="left"/>
      <w:pPr>
        <w:tabs>
          <w:tab w:val="num" w:pos="720"/>
        </w:tabs>
        <w:ind w:left="720" w:hanging="360"/>
      </w:pPr>
      <w:rPr>
        <w:rFonts w:ascii="Times New Roman" w:hAnsi="Times New Roman" w:hint="default"/>
      </w:rPr>
    </w:lvl>
    <w:lvl w:ilvl="1" w:tplc="6C46119A" w:tentative="1">
      <w:start w:val="1"/>
      <w:numFmt w:val="bullet"/>
      <w:lvlText w:val="•"/>
      <w:lvlJc w:val="left"/>
      <w:pPr>
        <w:tabs>
          <w:tab w:val="num" w:pos="1440"/>
        </w:tabs>
        <w:ind w:left="1440" w:hanging="360"/>
      </w:pPr>
      <w:rPr>
        <w:rFonts w:ascii="Times New Roman" w:hAnsi="Times New Roman" w:hint="default"/>
      </w:rPr>
    </w:lvl>
    <w:lvl w:ilvl="2" w:tplc="99247F36" w:tentative="1">
      <w:start w:val="1"/>
      <w:numFmt w:val="bullet"/>
      <w:lvlText w:val="•"/>
      <w:lvlJc w:val="left"/>
      <w:pPr>
        <w:tabs>
          <w:tab w:val="num" w:pos="2160"/>
        </w:tabs>
        <w:ind w:left="2160" w:hanging="360"/>
      </w:pPr>
      <w:rPr>
        <w:rFonts w:ascii="Times New Roman" w:hAnsi="Times New Roman" w:hint="default"/>
      </w:rPr>
    </w:lvl>
    <w:lvl w:ilvl="3" w:tplc="E13650CE" w:tentative="1">
      <w:start w:val="1"/>
      <w:numFmt w:val="bullet"/>
      <w:lvlText w:val="•"/>
      <w:lvlJc w:val="left"/>
      <w:pPr>
        <w:tabs>
          <w:tab w:val="num" w:pos="2880"/>
        </w:tabs>
        <w:ind w:left="2880" w:hanging="360"/>
      </w:pPr>
      <w:rPr>
        <w:rFonts w:ascii="Times New Roman" w:hAnsi="Times New Roman" w:hint="default"/>
      </w:rPr>
    </w:lvl>
    <w:lvl w:ilvl="4" w:tplc="75D8469A" w:tentative="1">
      <w:start w:val="1"/>
      <w:numFmt w:val="bullet"/>
      <w:lvlText w:val="•"/>
      <w:lvlJc w:val="left"/>
      <w:pPr>
        <w:tabs>
          <w:tab w:val="num" w:pos="3600"/>
        </w:tabs>
        <w:ind w:left="3600" w:hanging="360"/>
      </w:pPr>
      <w:rPr>
        <w:rFonts w:ascii="Times New Roman" w:hAnsi="Times New Roman" w:hint="default"/>
      </w:rPr>
    </w:lvl>
    <w:lvl w:ilvl="5" w:tplc="D3120544" w:tentative="1">
      <w:start w:val="1"/>
      <w:numFmt w:val="bullet"/>
      <w:lvlText w:val="•"/>
      <w:lvlJc w:val="left"/>
      <w:pPr>
        <w:tabs>
          <w:tab w:val="num" w:pos="4320"/>
        </w:tabs>
        <w:ind w:left="4320" w:hanging="360"/>
      </w:pPr>
      <w:rPr>
        <w:rFonts w:ascii="Times New Roman" w:hAnsi="Times New Roman" w:hint="default"/>
      </w:rPr>
    </w:lvl>
    <w:lvl w:ilvl="6" w:tplc="71428F66" w:tentative="1">
      <w:start w:val="1"/>
      <w:numFmt w:val="bullet"/>
      <w:lvlText w:val="•"/>
      <w:lvlJc w:val="left"/>
      <w:pPr>
        <w:tabs>
          <w:tab w:val="num" w:pos="5040"/>
        </w:tabs>
        <w:ind w:left="5040" w:hanging="360"/>
      </w:pPr>
      <w:rPr>
        <w:rFonts w:ascii="Times New Roman" w:hAnsi="Times New Roman" w:hint="default"/>
      </w:rPr>
    </w:lvl>
    <w:lvl w:ilvl="7" w:tplc="C270C9D0" w:tentative="1">
      <w:start w:val="1"/>
      <w:numFmt w:val="bullet"/>
      <w:lvlText w:val="•"/>
      <w:lvlJc w:val="left"/>
      <w:pPr>
        <w:tabs>
          <w:tab w:val="num" w:pos="5760"/>
        </w:tabs>
        <w:ind w:left="5760" w:hanging="360"/>
      </w:pPr>
      <w:rPr>
        <w:rFonts w:ascii="Times New Roman" w:hAnsi="Times New Roman" w:hint="default"/>
      </w:rPr>
    </w:lvl>
    <w:lvl w:ilvl="8" w:tplc="E06C5172" w:tentative="1">
      <w:start w:val="1"/>
      <w:numFmt w:val="bullet"/>
      <w:lvlText w:val="•"/>
      <w:lvlJc w:val="left"/>
      <w:pPr>
        <w:tabs>
          <w:tab w:val="num" w:pos="6480"/>
        </w:tabs>
        <w:ind w:left="6480" w:hanging="360"/>
      </w:pPr>
      <w:rPr>
        <w:rFonts w:ascii="Times New Roman" w:hAnsi="Times New Roman" w:hint="default"/>
      </w:rPr>
    </w:lvl>
  </w:abstractNum>
  <w:abstractNum w:abstractNumId="7" w15:restartNumberingAfterBreak="0">
    <w:nsid w:val="66941036"/>
    <w:multiLevelType w:val="hybridMultilevel"/>
    <w:tmpl w:val="2B4C8BEC"/>
    <w:lvl w:ilvl="0" w:tplc="432444A6">
      <w:start w:val="1"/>
      <w:numFmt w:val="bullet"/>
      <w:lvlText w:val=""/>
      <w:lvlJc w:val="left"/>
      <w:pPr>
        <w:tabs>
          <w:tab w:val="num" w:pos="720"/>
        </w:tabs>
        <w:ind w:left="720" w:hanging="360"/>
      </w:pPr>
      <w:rPr>
        <w:rFonts w:ascii="Wingdings" w:hAnsi="Wingdings" w:hint="default"/>
      </w:rPr>
    </w:lvl>
    <w:lvl w:ilvl="1" w:tplc="24D20366" w:tentative="1">
      <w:start w:val="1"/>
      <w:numFmt w:val="bullet"/>
      <w:lvlText w:val=""/>
      <w:lvlJc w:val="left"/>
      <w:pPr>
        <w:tabs>
          <w:tab w:val="num" w:pos="1440"/>
        </w:tabs>
        <w:ind w:left="1440" w:hanging="360"/>
      </w:pPr>
      <w:rPr>
        <w:rFonts w:ascii="Wingdings" w:hAnsi="Wingdings" w:hint="default"/>
      </w:rPr>
    </w:lvl>
    <w:lvl w:ilvl="2" w:tplc="A60213E4" w:tentative="1">
      <w:start w:val="1"/>
      <w:numFmt w:val="bullet"/>
      <w:lvlText w:val=""/>
      <w:lvlJc w:val="left"/>
      <w:pPr>
        <w:tabs>
          <w:tab w:val="num" w:pos="2160"/>
        </w:tabs>
        <w:ind w:left="2160" w:hanging="360"/>
      </w:pPr>
      <w:rPr>
        <w:rFonts w:ascii="Wingdings" w:hAnsi="Wingdings" w:hint="default"/>
      </w:rPr>
    </w:lvl>
    <w:lvl w:ilvl="3" w:tplc="860CE8F6" w:tentative="1">
      <w:start w:val="1"/>
      <w:numFmt w:val="bullet"/>
      <w:lvlText w:val=""/>
      <w:lvlJc w:val="left"/>
      <w:pPr>
        <w:tabs>
          <w:tab w:val="num" w:pos="2880"/>
        </w:tabs>
        <w:ind w:left="2880" w:hanging="360"/>
      </w:pPr>
      <w:rPr>
        <w:rFonts w:ascii="Wingdings" w:hAnsi="Wingdings" w:hint="default"/>
      </w:rPr>
    </w:lvl>
    <w:lvl w:ilvl="4" w:tplc="AE2A3270" w:tentative="1">
      <w:start w:val="1"/>
      <w:numFmt w:val="bullet"/>
      <w:lvlText w:val=""/>
      <w:lvlJc w:val="left"/>
      <w:pPr>
        <w:tabs>
          <w:tab w:val="num" w:pos="3600"/>
        </w:tabs>
        <w:ind w:left="3600" w:hanging="360"/>
      </w:pPr>
      <w:rPr>
        <w:rFonts w:ascii="Wingdings" w:hAnsi="Wingdings" w:hint="default"/>
      </w:rPr>
    </w:lvl>
    <w:lvl w:ilvl="5" w:tplc="7A00F7C6" w:tentative="1">
      <w:start w:val="1"/>
      <w:numFmt w:val="bullet"/>
      <w:lvlText w:val=""/>
      <w:lvlJc w:val="left"/>
      <w:pPr>
        <w:tabs>
          <w:tab w:val="num" w:pos="4320"/>
        </w:tabs>
        <w:ind w:left="4320" w:hanging="360"/>
      </w:pPr>
      <w:rPr>
        <w:rFonts w:ascii="Wingdings" w:hAnsi="Wingdings" w:hint="default"/>
      </w:rPr>
    </w:lvl>
    <w:lvl w:ilvl="6" w:tplc="EA149774" w:tentative="1">
      <w:start w:val="1"/>
      <w:numFmt w:val="bullet"/>
      <w:lvlText w:val=""/>
      <w:lvlJc w:val="left"/>
      <w:pPr>
        <w:tabs>
          <w:tab w:val="num" w:pos="5040"/>
        </w:tabs>
        <w:ind w:left="5040" w:hanging="360"/>
      </w:pPr>
      <w:rPr>
        <w:rFonts w:ascii="Wingdings" w:hAnsi="Wingdings" w:hint="default"/>
      </w:rPr>
    </w:lvl>
    <w:lvl w:ilvl="7" w:tplc="C498927E" w:tentative="1">
      <w:start w:val="1"/>
      <w:numFmt w:val="bullet"/>
      <w:lvlText w:val=""/>
      <w:lvlJc w:val="left"/>
      <w:pPr>
        <w:tabs>
          <w:tab w:val="num" w:pos="5760"/>
        </w:tabs>
        <w:ind w:left="5760" w:hanging="360"/>
      </w:pPr>
      <w:rPr>
        <w:rFonts w:ascii="Wingdings" w:hAnsi="Wingdings" w:hint="default"/>
      </w:rPr>
    </w:lvl>
    <w:lvl w:ilvl="8" w:tplc="52CAA222"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7B525080"/>
    <w:multiLevelType w:val="hybridMultilevel"/>
    <w:tmpl w:val="09822B1E"/>
    <w:lvl w:ilvl="0" w:tplc="0C0C0001">
      <w:start w:val="1"/>
      <w:numFmt w:val="bullet"/>
      <w:lvlText w:val=""/>
      <w:lvlJc w:val="left"/>
      <w:pPr>
        <w:ind w:left="720" w:hanging="360"/>
      </w:pPr>
      <w:rPr>
        <w:rFonts w:ascii="Symbol" w:hAnsi="Symbol"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num w:numId="1">
    <w:abstractNumId w:val="1"/>
  </w:num>
  <w:num w:numId="2">
    <w:abstractNumId w:val="7"/>
  </w:num>
  <w:num w:numId="3">
    <w:abstractNumId w:val="3"/>
  </w:num>
  <w:num w:numId="4">
    <w:abstractNumId w:val="8"/>
  </w:num>
  <w:num w:numId="5">
    <w:abstractNumId w:val="0"/>
  </w:num>
  <w:num w:numId="6">
    <w:abstractNumId w:val="6"/>
  </w:num>
  <w:num w:numId="7">
    <w:abstractNumId w:val="2"/>
  </w:num>
  <w:num w:numId="8">
    <w:abstractNumId w:val="5"/>
  </w:num>
  <w:num w:numId="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oNotDisplayPageBoundaries/>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1&lt;/Suspended&gt;&lt;/ENInstantFormat&gt;"/>
  </w:docVars>
  <w:rsids>
    <w:rsidRoot w:val="00A5639A"/>
    <w:rsid w:val="00001473"/>
    <w:rsid w:val="00001D67"/>
    <w:rsid w:val="00001F72"/>
    <w:rsid w:val="000029C6"/>
    <w:rsid w:val="00002BE5"/>
    <w:rsid w:val="000033E0"/>
    <w:rsid w:val="00003634"/>
    <w:rsid w:val="0000377C"/>
    <w:rsid w:val="0000411F"/>
    <w:rsid w:val="0000470A"/>
    <w:rsid w:val="00004C00"/>
    <w:rsid w:val="0000538D"/>
    <w:rsid w:val="00005B34"/>
    <w:rsid w:val="00005EAD"/>
    <w:rsid w:val="00006541"/>
    <w:rsid w:val="00006824"/>
    <w:rsid w:val="00006B7B"/>
    <w:rsid w:val="00007081"/>
    <w:rsid w:val="000074BD"/>
    <w:rsid w:val="00007628"/>
    <w:rsid w:val="00007857"/>
    <w:rsid w:val="0001007C"/>
    <w:rsid w:val="00011D52"/>
    <w:rsid w:val="000129D6"/>
    <w:rsid w:val="0001301E"/>
    <w:rsid w:val="0001304C"/>
    <w:rsid w:val="00013413"/>
    <w:rsid w:val="00013ACF"/>
    <w:rsid w:val="00013E7F"/>
    <w:rsid w:val="0001425A"/>
    <w:rsid w:val="000149C2"/>
    <w:rsid w:val="00014C6C"/>
    <w:rsid w:val="00014EBD"/>
    <w:rsid w:val="000154F4"/>
    <w:rsid w:val="00016CF3"/>
    <w:rsid w:val="00017B6A"/>
    <w:rsid w:val="00017F67"/>
    <w:rsid w:val="0002048B"/>
    <w:rsid w:val="00021C66"/>
    <w:rsid w:val="000227B3"/>
    <w:rsid w:val="00022C60"/>
    <w:rsid w:val="000230A2"/>
    <w:rsid w:val="00023546"/>
    <w:rsid w:val="00023BAB"/>
    <w:rsid w:val="00023C22"/>
    <w:rsid w:val="000244E3"/>
    <w:rsid w:val="000255B6"/>
    <w:rsid w:val="00025D0B"/>
    <w:rsid w:val="00025F83"/>
    <w:rsid w:val="0002690F"/>
    <w:rsid w:val="000269C1"/>
    <w:rsid w:val="00026D58"/>
    <w:rsid w:val="0003060E"/>
    <w:rsid w:val="00030799"/>
    <w:rsid w:val="00030A07"/>
    <w:rsid w:val="00030AFF"/>
    <w:rsid w:val="000329DC"/>
    <w:rsid w:val="00032BF3"/>
    <w:rsid w:val="00033654"/>
    <w:rsid w:val="00033742"/>
    <w:rsid w:val="00034872"/>
    <w:rsid w:val="00034921"/>
    <w:rsid w:val="000352D0"/>
    <w:rsid w:val="000352ED"/>
    <w:rsid w:val="00035736"/>
    <w:rsid w:val="00035DC8"/>
    <w:rsid w:val="00036551"/>
    <w:rsid w:val="00036597"/>
    <w:rsid w:val="0003675A"/>
    <w:rsid w:val="00036B38"/>
    <w:rsid w:val="000373CA"/>
    <w:rsid w:val="00037A44"/>
    <w:rsid w:val="00040261"/>
    <w:rsid w:val="0004068D"/>
    <w:rsid w:val="000406E1"/>
    <w:rsid w:val="00041513"/>
    <w:rsid w:val="00041889"/>
    <w:rsid w:val="0004236A"/>
    <w:rsid w:val="00043D16"/>
    <w:rsid w:val="0004459C"/>
    <w:rsid w:val="0004478A"/>
    <w:rsid w:val="00044B5C"/>
    <w:rsid w:val="00044B7F"/>
    <w:rsid w:val="000467CE"/>
    <w:rsid w:val="00046FF9"/>
    <w:rsid w:val="000473E8"/>
    <w:rsid w:val="00047F5A"/>
    <w:rsid w:val="00050736"/>
    <w:rsid w:val="00050887"/>
    <w:rsid w:val="000512C8"/>
    <w:rsid w:val="00051397"/>
    <w:rsid w:val="0005235F"/>
    <w:rsid w:val="00052E55"/>
    <w:rsid w:val="00052EA7"/>
    <w:rsid w:val="000533E0"/>
    <w:rsid w:val="00053724"/>
    <w:rsid w:val="00053B53"/>
    <w:rsid w:val="00053FE1"/>
    <w:rsid w:val="00054463"/>
    <w:rsid w:val="00054804"/>
    <w:rsid w:val="00054909"/>
    <w:rsid w:val="00054B83"/>
    <w:rsid w:val="000553B5"/>
    <w:rsid w:val="00055527"/>
    <w:rsid w:val="00055C04"/>
    <w:rsid w:val="0005667B"/>
    <w:rsid w:val="00056899"/>
    <w:rsid w:val="00057A34"/>
    <w:rsid w:val="00060026"/>
    <w:rsid w:val="00060084"/>
    <w:rsid w:val="00060104"/>
    <w:rsid w:val="00060800"/>
    <w:rsid w:val="00060B61"/>
    <w:rsid w:val="00060C6E"/>
    <w:rsid w:val="00060F4B"/>
    <w:rsid w:val="00062B2F"/>
    <w:rsid w:val="00062FF6"/>
    <w:rsid w:val="0006442C"/>
    <w:rsid w:val="000656B5"/>
    <w:rsid w:val="00065729"/>
    <w:rsid w:val="00066048"/>
    <w:rsid w:val="0006623E"/>
    <w:rsid w:val="000667FA"/>
    <w:rsid w:val="00066954"/>
    <w:rsid w:val="00066E30"/>
    <w:rsid w:val="0006772A"/>
    <w:rsid w:val="00067BD6"/>
    <w:rsid w:val="000701F7"/>
    <w:rsid w:val="00070361"/>
    <w:rsid w:val="00070542"/>
    <w:rsid w:val="000706DD"/>
    <w:rsid w:val="00071109"/>
    <w:rsid w:val="00071964"/>
    <w:rsid w:val="00071AF9"/>
    <w:rsid w:val="00071F1B"/>
    <w:rsid w:val="00072562"/>
    <w:rsid w:val="000727BF"/>
    <w:rsid w:val="00073C30"/>
    <w:rsid w:val="00073D5E"/>
    <w:rsid w:val="0007424E"/>
    <w:rsid w:val="000743C1"/>
    <w:rsid w:val="00075119"/>
    <w:rsid w:val="000759B3"/>
    <w:rsid w:val="0007663A"/>
    <w:rsid w:val="0007689D"/>
    <w:rsid w:val="000769B4"/>
    <w:rsid w:val="00076AF5"/>
    <w:rsid w:val="00076F79"/>
    <w:rsid w:val="0008020D"/>
    <w:rsid w:val="00080B2F"/>
    <w:rsid w:val="00080C2B"/>
    <w:rsid w:val="000810EB"/>
    <w:rsid w:val="0008189B"/>
    <w:rsid w:val="00082089"/>
    <w:rsid w:val="00082420"/>
    <w:rsid w:val="00082519"/>
    <w:rsid w:val="00083E6A"/>
    <w:rsid w:val="000847C3"/>
    <w:rsid w:val="00084A98"/>
    <w:rsid w:val="00084DCA"/>
    <w:rsid w:val="00085259"/>
    <w:rsid w:val="00085BB5"/>
    <w:rsid w:val="00086676"/>
    <w:rsid w:val="00086AB0"/>
    <w:rsid w:val="00087896"/>
    <w:rsid w:val="00087BD5"/>
    <w:rsid w:val="000901DA"/>
    <w:rsid w:val="00090CFB"/>
    <w:rsid w:val="00090F0E"/>
    <w:rsid w:val="00091000"/>
    <w:rsid w:val="000915A0"/>
    <w:rsid w:val="000919D0"/>
    <w:rsid w:val="00091F94"/>
    <w:rsid w:val="000921BB"/>
    <w:rsid w:val="000921DB"/>
    <w:rsid w:val="00092685"/>
    <w:rsid w:val="00092D09"/>
    <w:rsid w:val="00093030"/>
    <w:rsid w:val="00093A46"/>
    <w:rsid w:val="00093F62"/>
    <w:rsid w:val="00095649"/>
    <w:rsid w:val="0009569C"/>
    <w:rsid w:val="00095BCB"/>
    <w:rsid w:val="00095C8F"/>
    <w:rsid w:val="000961FF"/>
    <w:rsid w:val="0009725C"/>
    <w:rsid w:val="0009760A"/>
    <w:rsid w:val="00097AEA"/>
    <w:rsid w:val="00097BD7"/>
    <w:rsid w:val="00097F27"/>
    <w:rsid w:val="000A03E7"/>
    <w:rsid w:val="000A08EC"/>
    <w:rsid w:val="000A1437"/>
    <w:rsid w:val="000A15D6"/>
    <w:rsid w:val="000A17E8"/>
    <w:rsid w:val="000A27A1"/>
    <w:rsid w:val="000A31A9"/>
    <w:rsid w:val="000A3419"/>
    <w:rsid w:val="000A3AE8"/>
    <w:rsid w:val="000A407C"/>
    <w:rsid w:val="000A4104"/>
    <w:rsid w:val="000A51AE"/>
    <w:rsid w:val="000A5F5B"/>
    <w:rsid w:val="000A5FE1"/>
    <w:rsid w:val="000A65E0"/>
    <w:rsid w:val="000B066F"/>
    <w:rsid w:val="000B1AA9"/>
    <w:rsid w:val="000B1B2A"/>
    <w:rsid w:val="000B27F4"/>
    <w:rsid w:val="000B2E1F"/>
    <w:rsid w:val="000B2F60"/>
    <w:rsid w:val="000B33CA"/>
    <w:rsid w:val="000B37ED"/>
    <w:rsid w:val="000B3C47"/>
    <w:rsid w:val="000B3EFD"/>
    <w:rsid w:val="000B4194"/>
    <w:rsid w:val="000B57FC"/>
    <w:rsid w:val="000B5EA0"/>
    <w:rsid w:val="000B677A"/>
    <w:rsid w:val="000B7262"/>
    <w:rsid w:val="000B7DBA"/>
    <w:rsid w:val="000C022D"/>
    <w:rsid w:val="000C07C0"/>
    <w:rsid w:val="000C0DF0"/>
    <w:rsid w:val="000C12A2"/>
    <w:rsid w:val="000C2CF5"/>
    <w:rsid w:val="000C2F7B"/>
    <w:rsid w:val="000C3872"/>
    <w:rsid w:val="000C4483"/>
    <w:rsid w:val="000C4685"/>
    <w:rsid w:val="000C4DE1"/>
    <w:rsid w:val="000C4EAD"/>
    <w:rsid w:val="000C5291"/>
    <w:rsid w:val="000C593A"/>
    <w:rsid w:val="000C5B88"/>
    <w:rsid w:val="000C5E24"/>
    <w:rsid w:val="000C6967"/>
    <w:rsid w:val="000C6E8E"/>
    <w:rsid w:val="000C7464"/>
    <w:rsid w:val="000C7BFA"/>
    <w:rsid w:val="000C7CD1"/>
    <w:rsid w:val="000D0731"/>
    <w:rsid w:val="000D1E86"/>
    <w:rsid w:val="000D22C8"/>
    <w:rsid w:val="000D22E0"/>
    <w:rsid w:val="000D25D0"/>
    <w:rsid w:val="000D295F"/>
    <w:rsid w:val="000D2F28"/>
    <w:rsid w:val="000D2F33"/>
    <w:rsid w:val="000D3854"/>
    <w:rsid w:val="000D3883"/>
    <w:rsid w:val="000D41B9"/>
    <w:rsid w:val="000D4552"/>
    <w:rsid w:val="000D48CD"/>
    <w:rsid w:val="000D4BB9"/>
    <w:rsid w:val="000D52CD"/>
    <w:rsid w:val="000D53B4"/>
    <w:rsid w:val="000D5A00"/>
    <w:rsid w:val="000D5C7B"/>
    <w:rsid w:val="000D67E8"/>
    <w:rsid w:val="000D6D2A"/>
    <w:rsid w:val="000D70B3"/>
    <w:rsid w:val="000E0C7A"/>
    <w:rsid w:val="000E0DE4"/>
    <w:rsid w:val="000E1574"/>
    <w:rsid w:val="000E1B71"/>
    <w:rsid w:val="000E2546"/>
    <w:rsid w:val="000E3B61"/>
    <w:rsid w:val="000E46D8"/>
    <w:rsid w:val="000E4D79"/>
    <w:rsid w:val="000E57D6"/>
    <w:rsid w:val="000E5A7C"/>
    <w:rsid w:val="000E6705"/>
    <w:rsid w:val="000E73F6"/>
    <w:rsid w:val="000E75B7"/>
    <w:rsid w:val="000E7614"/>
    <w:rsid w:val="000E7965"/>
    <w:rsid w:val="000F01C5"/>
    <w:rsid w:val="000F01D2"/>
    <w:rsid w:val="000F0459"/>
    <w:rsid w:val="000F05E7"/>
    <w:rsid w:val="000F1853"/>
    <w:rsid w:val="000F1FFF"/>
    <w:rsid w:val="000F228D"/>
    <w:rsid w:val="000F39F8"/>
    <w:rsid w:val="000F3AB9"/>
    <w:rsid w:val="000F3B5A"/>
    <w:rsid w:val="000F3FD8"/>
    <w:rsid w:val="000F419B"/>
    <w:rsid w:val="000F4837"/>
    <w:rsid w:val="000F4CF3"/>
    <w:rsid w:val="000F4F62"/>
    <w:rsid w:val="000F58D2"/>
    <w:rsid w:val="000F697A"/>
    <w:rsid w:val="000F6A97"/>
    <w:rsid w:val="000F7037"/>
    <w:rsid w:val="000F7BD0"/>
    <w:rsid w:val="00100456"/>
    <w:rsid w:val="00101109"/>
    <w:rsid w:val="00101228"/>
    <w:rsid w:val="001018C7"/>
    <w:rsid w:val="00101C33"/>
    <w:rsid w:val="00101E3F"/>
    <w:rsid w:val="00101EE0"/>
    <w:rsid w:val="001027E8"/>
    <w:rsid w:val="00103685"/>
    <w:rsid w:val="00103BD3"/>
    <w:rsid w:val="00103DD1"/>
    <w:rsid w:val="00103E55"/>
    <w:rsid w:val="001048E5"/>
    <w:rsid w:val="00104A62"/>
    <w:rsid w:val="00104EE2"/>
    <w:rsid w:val="00106425"/>
    <w:rsid w:val="001074CE"/>
    <w:rsid w:val="00107C3C"/>
    <w:rsid w:val="001104CD"/>
    <w:rsid w:val="00111537"/>
    <w:rsid w:val="0011223C"/>
    <w:rsid w:val="0011352E"/>
    <w:rsid w:val="001135C1"/>
    <w:rsid w:val="00113A5A"/>
    <w:rsid w:val="00113D42"/>
    <w:rsid w:val="001141DA"/>
    <w:rsid w:val="00114C42"/>
    <w:rsid w:val="00115172"/>
    <w:rsid w:val="00115561"/>
    <w:rsid w:val="001156BB"/>
    <w:rsid w:val="00116D51"/>
    <w:rsid w:val="00116FDE"/>
    <w:rsid w:val="0011717C"/>
    <w:rsid w:val="00117522"/>
    <w:rsid w:val="00117E56"/>
    <w:rsid w:val="001202DA"/>
    <w:rsid w:val="0012094D"/>
    <w:rsid w:val="00120F3F"/>
    <w:rsid w:val="001212E5"/>
    <w:rsid w:val="00121359"/>
    <w:rsid w:val="001218EB"/>
    <w:rsid w:val="00121BD0"/>
    <w:rsid w:val="00121FCB"/>
    <w:rsid w:val="00122437"/>
    <w:rsid w:val="00122580"/>
    <w:rsid w:val="001225FF"/>
    <w:rsid w:val="0012311C"/>
    <w:rsid w:val="001232FD"/>
    <w:rsid w:val="0012387F"/>
    <w:rsid w:val="00123D59"/>
    <w:rsid w:val="001248C0"/>
    <w:rsid w:val="0012556B"/>
    <w:rsid w:val="00125935"/>
    <w:rsid w:val="001264C0"/>
    <w:rsid w:val="00127518"/>
    <w:rsid w:val="001306B0"/>
    <w:rsid w:val="00130D66"/>
    <w:rsid w:val="00131D3A"/>
    <w:rsid w:val="00132637"/>
    <w:rsid w:val="0013318D"/>
    <w:rsid w:val="001335A4"/>
    <w:rsid w:val="0013388B"/>
    <w:rsid w:val="00133EAC"/>
    <w:rsid w:val="0013454B"/>
    <w:rsid w:val="00134A93"/>
    <w:rsid w:val="001355EF"/>
    <w:rsid w:val="00135731"/>
    <w:rsid w:val="0013573C"/>
    <w:rsid w:val="00135C9A"/>
    <w:rsid w:val="00136757"/>
    <w:rsid w:val="00136C2F"/>
    <w:rsid w:val="00140146"/>
    <w:rsid w:val="00140696"/>
    <w:rsid w:val="00140CA8"/>
    <w:rsid w:val="00140FE3"/>
    <w:rsid w:val="00141038"/>
    <w:rsid w:val="001415F9"/>
    <w:rsid w:val="00141D6D"/>
    <w:rsid w:val="00141E6A"/>
    <w:rsid w:val="00142058"/>
    <w:rsid w:val="001422F0"/>
    <w:rsid w:val="00142861"/>
    <w:rsid w:val="00142CE7"/>
    <w:rsid w:val="00142F95"/>
    <w:rsid w:val="0014355C"/>
    <w:rsid w:val="001435CE"/>
    <w:rsid w:val="00143D87"/>
    <w:rsid w:val="00144D72"/>
    <w:rsid w:val="0014587C"/>
    <w:rsid w:val="00145AF5"/>
    <w:rsid w:val="001460E4"/>
    <w:rsid w:val="001463C5"/>
    <w:rsid w:val="00146963"/>
    <w:rsid w:val="00146B02"/>
    <w:rsid w:val="001475A4"/>
    <w:rsid w:val="00147929"/>
    <w:rsid w:val="00147A99"/>
    <w:rsid w:val="00147BDE"/>
    <w:rsid w:val="00147D05"/>
    <w:rsid w:val="00150086"/>
    <w:rsid w:val="00150D5F"/>
    <w:rsid w:val="001521FE"/>
    <w:rsid w:val="00152205"/>
    <w:rsid w:val="0015224B"/>
    <w:rsid w:val="001524EB"/>
    <w:rsid w:val="00152B8F"/>
    <w:rsid w:val="00153454"/>
    <w:rsid w:val="001537C4"/>
    <w:rsid w:val="00153E01"/>
    <w:rsid w:val="001545E0"/>
    <w:rsid w:val="00154CE8"/>
    <w:rsid w:val="00155C08"/>
    <w:rsid w:val="00156C35"/>
    <w:rsid w:val="001579E3"/>
    <w:rsid w:val="00160810"/>
    <w:rsid w:val="00161C6B"/>
    <w:rsid w:val="00161F98"/>
    <w:rsid w:val="00162269"/>
    <w:rsid w:val="00162510"/>
    <w:rsid w:val="00162777"/>
    <w:rsid w:val="0016278D"/>
    <w:rsid w:val="00162DCB"/>
    <w:rsid w:val="001634DB"/>
    <w:rsid w:val="0016364A"/>
    <w:rsid w:val="00163AAB"/>
    <w:rsid w:val="00163B11"/>
    <w:rsid w:val="00163CD3"/>
    <w:rsid w:val="00164023"/>
    <w:rsid w:val="001643B9"/>
    <w:rsid w:val="0016469D"/>
    <w:rsid w:val="001649A3"/>
    <w:rsid w:val="00164CE7"/>
    <w:rsid w:val="00165B1F"/>
    <w:rsid w:val="00167034"/>
    <w:rsid w:val="001677D5"/>
    <w:rsid w:val="00167E8A"/>
    <w:rsid w:val="00171673"/>
    <w:rsid w:val="00171F66"/>
    <w:rsid w:val="00173F00"/>
    <w:rsid w:val="00174F4A"/>
    <w:rsid w:val="0017540C"/>
    <w:rsid w:val="0017564D"/>
    <w:rsid w:val="00175B71"/>
    <w:rsid w:val="00175E9E"/>
    <w:rsid w:val="0017617B"/>
    <w:rsid w:val="00176512"/>
    <w:rsid w:val="001765BF"/>
    <w:rsid w:val="0017677B"/>
    <w:rsid w:val="0017687C"/>
    <w:rsid w:val="001769C5"/>
    <w:rsid w:val="00176DBA"/>
    <w:rsid w:val="00176EDD"/>
    <w:rsid w:val="001777DC"/>
    <w:rsid w:val="00177ADD"/>
    <w:rsid w:val="00180D31"/>
    <w:rsid w:val="00181703"/>
    <w:rsid w:val="00182BF8"/>
    <w:rsid w:val="00182CF1"/>
    <w:rsid w:val="001838AB"/>
    <w:rsid w:val="0018445A"/>
    <w:rsid w:val="001845E0"/>
    <w:rsid w:val="00184BB8"/>
    <w:rsid w:val="00185304"/>
    <w:rsid w:val="001854E0"/>
    <w:rsid w:val="001858E1"/>
    <w:rsid w:val="00185CCB"/>
    <w:rsid w:val="00185D07"/>
    <w:rsid w:val="0018640E"/>
    <w:rsid w:val="00186B1C"/>
    <w:rsid w:val="00187305"/>
    <w:rsid w:val="001873CF"/>
    <w:rsid w:val="0019005C"/>
    <w:rsid w:val="00191B02"/>
    <w:rsid w:val="001928FD"/>
    <w:rsid w:val="001931C7"/>
    <w:rsid w:val="0019337A"/>
    <w:rsid w:val="00193947"/>
    <w:rsid w:val="0019440D"/>
    <w:rsid w:val="0019521F"/>
    <w:rsid w:val="0019555E"/>
    <w:rsid w:val="001955B7"/>
    <w:rsid w:val="0019692A"/>
    <w:rsid w:val="00196C35"/>
    <w:rsid w:val="00196D34"/>
    <w:rsid w:val="001970EF"/>
    <w:rsid w:val="001A00BE"/>
    <w:rsid w:val="001A0716"/>
    <w:rsid w:val="001A077B"/>
    <w:rsid w:val="001A1574"/>
    <w:rsid w:val="001A18E5"/>
    <w:rsid w:val="001A21AD"/>
    <w:rsid w:val="001A2739"/>
    <w:rsid w:val="001A2D91"/>
    <w:rsid w:val="001A2DB6"/>
    <w:rsid w:val="001A3556"/>
    <w:rsid w:val="001A40F4"/>
    <w:rsid w:val="001A4B41"/>
    <w:rsid w:val="001A4CF1"/>
    <w:rsid w:val="001A5B7E"/>
    <w:rsid w:val="001A618D"/>
    <w:rsid w:val="001A61BE"/>
    <w:rsid w:val="001A6DF2"/>
    <w:rsid w:val="001A7319"/>
    <w:rsid w:val="001A781B"/>
    <w:rsid w:val="001A7B27"/>
    <w:rsid w:val="001A7E73"/>
    <w:rsid w:val="001B058E"/>
    <w:rsid w:val="001B067D"/>
    <w:rsid w:val="001B10AA"/>
    <w:rsid w:val="001B1F25"/>
    <w:rsid w:val="001B233B"/>
    <w:rsid w:val="001B339C"/>
    <w:rsid w:val="001B4325"/>
    <w:rsid w:val="001B4446"/>
    <w:rsid w:val="001B538F"/>
    <w:rsid w:val="001B5527"/>
    <w:rsid w:val="001B7229"/>
    <w:rsid w:val="001B7CCD"/>
    <w:rsid w:val="001C048F"/>
    <w:rsid w:val="001C0A89"/>
    <w:rsid w:val="001C16D6"/>
    <w:rsid w:val="001C1725"/>
    <w:rsid w:val="001C1FF9"/>
    <w:rsid w:val="001C241E"/>
    <w:rsid w:val="001C2887"/>
    <w:rsid w:val="001C29EF"/>
    <w:rsid w:val="001C2AB2"/>
    <w:rsid w:val="001C3587"/>
    <w:rsid w:val="001C3B5E"/>
    <w:rsid w:val="001C3BEA"/>
    <w:rsid w:val="001C3D76"/>
    <w:rsid w:val="001C41CA"/>
    <w:rsid w:val="001C4230"/>
    <w:rsid w:val="001C4C5E"/>
    <w:rsid w:val="001C52DB"/>
    <w:rsid w:val="001C5591"/>
    <w:rsid w:val="001C5B5F"/>
    <w:rsid w:val="001C5BD6"/>
    <w:rsid w:val="001C6378"/>
    <w:rsid w:val="001C7C33"/>
    <w:rsid w:val="001D0193"/>
    <w:rsid w:val="001D02C4"/>
    <w:rsid w:val="001D04CA"/>
    <w:rsid w:val="001D0AAE"/>
    <w:rsid w:val="001D1862"/>
    <w:rsid w:val="001D210D"/>
    <w:rsid w:val="001D2179"/>
    <w:rsid w:val="001D2BE8"/>
    <w:rsid w:val="001D37A9"/>
    <w:rsid w:val="001D3A0B"/>
    <w:rsid w:val="001D4879"/>
    <w:rsid w:val="001D4E8E"/>
    <w:rsid w:val="001D502B"/>
    <w:rsid w:val="001D50B9"/>
    <w:rsid w:val="001D55D2"/>
    <w:rsid w:val="001D67F7"/>
    <w:rsid w:val="001D6A06"/>
    <w:rsid w:val="001D6D81"/>
    <w:rsid w:val="001D6E70"/>
    <w:rsid w:val="001D76A8"/>
    <w:rsid w:val="001D7FFB"/>
    <w:rsid w:val="001E084D"/>
    <w:rsid w:val="001E205B"/>
    <w:rsid w:val="001E212A"/>
    <w:rsid w:val="001E382C"/>
    <w:rsid w:val="001E3AC4"/>
    <w:rsid w:val="001E4216"/>
    <w:rsid w:val="001E51BB"/>
    <w:rsid w:val="001E5215"/>
    <w:rsid w:val="001E5406"/>
    <w:rsid w:val="001E7358"/>
    <w:rsid w:val="001E7BF0"/>
    <w:rsid w:val="001E7DEE"/>
    <w:rsid w:val="001E7E97"/>
    <w:rsid w:val="001F007B"/>
    <w:rsid w:val="001F050B"/>
    <w:rsid w:val="001F0B29"/>
    <w:rsid w:val="001F138C"/>
    <w:rsid w:val="001F13FC"/>
    <w:rsid w:val="001F17E8"/>
    <w:rsid w:val="001F1943"/>
    <w:rsid w:val="001F200B"/>
    <w:rsid w:val="001F230E"/>
    <w:rsid w:val="001F2E96"/>
    <w:rsid w:val="001F2EB2"/>
    <w:rsid w:val="001F335D"/>
    <w:rsid w:val="001F389E"/>
    <w:rsid w:val="001F400D"/>
    <w:rsid w:val="001F4077"/>
    <w:rsid w:val="001F4598"/>
    <w:rsid w:val="001F4723"/>
    <w:rsid w:val="001F4E01"/>
    <w:rsid w:val="001F50F6"/>
    <w:rsid w:val="001F5B49"/>
    <w:rsid w:val="001F61F3"/>
    <w:rsid w:val="001F655E"/>
    <w:rsid w:val="001F656E"/>
    <w:rsid w:val="001F66ED"/>
    <w:rsid w:val="001F6D6A"/>
    <w:rsid w:val="001F755C"/>
    <w:rsid w:val="001F7FB7"/>
    <w:rsid w:val="00200040"/>
    <w:rsid w:val="002008F4"/>
    <w:rsid w:val="0020090C"/>
    <w:rsid w:val="00200CA5"/>
    <w:rsid w:val="00201A85"/>
    <w:rsid w:val="00201C1B"/>
    <w:rsid w:val="00202236"/>
    <w:rsid w:val="00202DAC"/>
    <w:rsid w:val="00202E9E"/>
    <w:rsid w:val="00203478"/>
    <w:rsid w:val="002037CA"/>
    <w:rsid w:val="002039F6"/>
    <w:rsid w:val="00203C4A"/>
    <w:rsid w:val="00203C72"/>
    <w:rsid w:val="00203D4B"/>
    <w:rsid w:val="00203DD6"/>
    <w:rsid w:val="00203F80"/>
    <w:rsid w:val="00204038"/>
    <w:rsid w:val="00204C1C"/>
    <w:rsid w:val="00204F82"/>
    <w:rsid w:val="00205107"/>
    <w:rsid w:val="0020510C"/>
    <w:rsid w:val="002056D0"/>
    <w:rsid w:val="00205A2A"/>
    <w:rsid w:val="00205EDC"/>
    <w:rsid w:val="00205F29"/>
    <w:rsid w:val="00206749"/>
    <w:rsid w:val="00206C28"/>
    <w:rsid w:val="00207222"/>
    <w:rsid w:val="00207316"/>
    <w:rsid w:val="002073C2"/>
    <w:rsid w:val="002076EC"/>
    <w:rsid w:val="00207963"/>
    <w:rsid w:val="002101AD"/>
    <w:rsid w:val="002108B2"/>
    <w:rsid w:val="00211314"/>
    <w:rsid w:val="00211BAC"/>
    <w:rsid w:val="00212590"/>
    <w:rsid w:val="00212671"/>
    <w:rsid w:val="00212759"/>
    <w:rsid w:val="00212FE5"/>
    <w:rsid w:val="00213F29"/>
    <w:rsid w:val="002141A7"/>
    <w:rsid w:val="0021447F"/>
    <w:rsid w:val="0021469A"/>
    <w:rsid w:val="00214F68"/>
    <w:rsid w:val="00215025"/>
    <w:rsid w:val="002150AA"/>
    <w:rsid w:val="00215322"/>
    <w:rsid w:val="0021547C"/>
    <w:rsid w:val="0021585A"/>
    <w:rsid w:val="00215BF6"/>
    <w:rsid w:val="0021600A"/>
    <w:rsid w:val="002170D3"/>
    <w:rsid w:val="00217F5D"/>
    <w:rsid w:val="00217FAE"/>
    <w:rsid w:val="0022051B"/>
    <w:rsid w:val="0022078D"/>
    <w:rsid w:val="002209F0"/>
    <w:rsid w:val="00220F51"/>
    <w:rsid w:val="00221027"/>
    <w:rsid w:val="0022144C"/>
    <w:rsid w:val="002216EC"/>
    <w:rsid w:val="00222782"/>
    <w:rsid w:val="00223BC2"/>
    <w:rsid w:val="00223FB7"/>
    <w:rsid w:val="00224804"/>
    <w:rsid w:val="002255CA"/>
    <w:rsid w:val="00225678"/>
    <w:rsid w:val="00225BEA"/>
    <w:rsid w:val="00225CA2"/>
    <w:rsid w:val="00225F51"/>
    <w:rsid w:val="00226128"/>
    <w:rsid w:val="00226A6C"/>
    <w:rsid w:val="0022738E"/>
    <w:rsid w:val="00227A43"/>
    <w:rsid w:val="00227F21"/>
    <w:rsid w:val="002301C8"/>
    <w:rsid w:val="0023088F"/>
    <w:rsid w:val="00230A7E"/>
    <w:rsid w:val="00230BCC"/>
    <w:rsid w:val="00230F23"/>
    <w:rsid w:val="002328D9"/>
    <w:rsid w:val="00232C46"/>
    <w:rsid w:val="0023361C"/>
    <w:rsid w:val="00233690"/>
    <w:rsid w:val="00233C4C"/>
    <w:rsid w:val="00233CC3"/>
    <w:rsid w:val="00233FEA"/>
    <w:rsid w:val="0023459A"/>
    <w:rsid w:val="0023465F"/>
    <w:rsid w:val="002354A9"/>
    <w:rsid w:val="002358DE"/>
    <w:rsid w:val="00235E21"/>
    <w:rsid w:val="00235F81"/>
    <w:rsid w:val="002361CA"/>
    <w:rsid w:val="002363D7"/>
    <w:rsid w:val="00237AB9"/>
    <w:rsid w:val="00237C48"/>
    <w:rsid w:val="00240D17"/>
    <w:rsid w:val="0024113A"/>
    <w:rsid w:val="00241A4C"/>
    <w:rsid w:val="00241E53"/>
    <w:rsid w:val="00243632"/>
    <w:rsid w:val="002437B5"/>
    <w:rsid w:val="00243DBA"/>
    <w:rsid w:val="00243DEF"/>
    <w:rsid w:val="00243F2E"/>
    <w:rsid w:val="00244609"/>
    <w:rsid w:val="002447C9"/>
    <w:rsid w:val="002455FE"/>
    <w:rsid w:val="00245CEF"/>
    <w:rsid w:val="00246118"/>
    <w:rsid w:val="00246160"/>
    <w:rsid w:val="00246A34"/>
    <w:rsid w:val="00246A83"/>
    <w:rsid w:val="00247CD2"/>
    <w:rsid w:val="002502F8"/>
    <w:rsid w:val="0025110A"/>
    <w:rsid w:val="002515C3"/>
    <w:rsid w:val="00251787"/>
    <w:rsid w:val="002522DB"/>
    <w:rsid w:val="0025253A"/>
    <w:rsid w:val="00253026"/>
    <w:rsid w:val="002530AA"/>
    <w:rsid w:val="0025350B"/>
    <w:rsid w:val="0025372C"/>
    <w:rsid w:val="00253761"/>
    <w:rsid w:val="002543A4"/>
    <w:rsid w:val="002548E3"/>
    <w:rsid w:val="00255533"/>
    <w:rsid w:val="00255BAD"/>
    <w:rsid w:val="002566D9"/>
    <w:rsid w:val="002568D8"/>
    <w:rsid w:val="002569AC"/>
    <w:rsid w:val="00256A46"/>
    <w:rsid w:val="002604E0"/>
    <w:rsid w:val="00261498"/>
    <w:rsid w:val="00261876"/>
    <w:rsid w:val="00261D8E"/>
    <w:rsid w:val="00262443"/>
    <w:rsid w:val="00262444"/>
    <w:rsid w:val="0026281A"/>
    <w:rsid w:val="002628E8"/>
    <w:rsid w:val="00262E40"/>
    <w:rsid w:val="002637B7"/>
    <w:rsid w:val="00263EA5"/>
    <w:rsid w:val="002642C3"/>
    <w:rsid w:val="0026457B"/>
    <w:rsid w:val="002651B3"/>
    <w:rsid w:val="00265507"/>
    <w:rsid w:val="002661D4"/>
    <w:rsid w:val="002662E4"/>
    <w:rsid w:val="002662F5"/>
    <w:rsid w:val="00267346"/>
    <w:rsid w:val="002704DB"/>
    <w:rsid w:val="0027088A"/>
    <w:rsid w:val="00270A04"/>
    <w:rsid w:val="0027108C"/>
    <w:rsid w:val="0027166A"/>
    <w:rsid w:val="00271B6B"/>
    <w:rsid w:val="00272421"/>
    <w:rsid w:val="00272602"/>
    <w:rsid w:val="002736B9"/>
    <w:rsid w:val="0027385A"/>
    <w:rsid w:val="002742DD"/>
    <w:rsid w:val="0027433D"/>
    <w:rsid w:val="002756D9"/>
    <w:rsid w:val="00275C68"/>
    <w:rsid w:val="00276A1F"/>
    <w:rsid w:val="002776E0"/>
    <w:rsid w:val="002802AD"/>
    <w:rsid w:val="0028051F"/>
    <w:rsid w:val="00280BC2"/>
    <w:rsid w:val="00282E79"/>
    <w:rsid w:val="0028321D"/>
    <w:rsid w:val="00283CE3"/>
    <w:rsid w:val="002840E3"/>
    <w:rsid w:val="00284A67"/>
    <w:rsid w:val="00284B25"/>
    <w:rsid w:val="00285218"/>
    <w:rsid w:val="00285D90"/>
    <w:rsid w:val="0028688E"/>
    <w:rsid w:val="00287D99"/>
    <w:rsid w:val="00287EBB"/>
    <w:rsid w:val="00287FB7"/>
    <w:rsid w:val="002906FC"/>
    <w:rsid w:val="00290B8E"/>
    <w:rsid w:val="00290FFB"/>
    <w:rsid w:val="0029163D"/>
    <w:rsid w:val="0029223C"/>
    <w:rsid w:val="002931EB"/>
    <w:rsid w:val="0029420D"/>
    <w:rsid w:val="00294711"/>
    <w:rsid w:val="0029674F"/>
    <w:rsid w:val="00296AFD"/>
    <w:rsid w:val="00296E62"/>
    <w:rsid w:val="00297304"/>
    <w:rsid w:val="002A14E5"/>
    <w:rsid w:val="002A1708"/>
    <w:rsid w:val="002A1C65"/>
    <w:rsid w:val="002A1C68"/>
    <w:rsid w:val="002A1DE3"/>
    <w:rsid w:val="002A2F63"/>
    <w:rsid w:val="002A3193"/>
    <w:rsid w:val="002A3448"/>
    <w:rsid w:val="002A3AF0"/>
    <w:rsid w:val="002A451A"/>
    <w:rsid w:val="002A45A3"/>
    <w:rsid w:val="002A6079"/>
    <w:rsid w:val="002A68BF"/>
    <w:rsid w:val="002A6958"/>
    <w:rsid w:val="002A69E9"/>
    <w:rsid w:val="002A7364"/>
    <w:rsid w:val="002A779E"/>
    <w:rsid w:val="002A7B94"/>
    <w:rsid w:val="002B0238"/>
    <w:rsid w:val="002B0FA4"/>
    <w:rsid w:val="002B25C2"/>
    <w:rsid w:val="002B261C"/>
    <w:rsid w:val="002B2B8A"/>
    <w:rsid w:val="002B38C9"/>
    <w:rsid w:val="002B3AAD"/>
    <w:rsid w:val="002B3E62"/>
    <w:rsid w:val="002B44C7"/>
    <w:rsid w:val="002B4C33"/>
    <w:rsid w:val="002B581D"/>
    <w:rsid w:val="002B73F7"/>
    <w:rsid w:val="002B76B1"/>
    <w:rsid w:val="002B77BD"/>
    <w:rsid w:val="002B7E37"/>
    <w:rsid w:val="002C0097"/>
    <w:rsid w:val="002C0D07"/>
    <w:rsid w:val="002C1453"/>
    <w:rsid w:val="002C24D9"/>
    <w:rsid w:val="002C2A2D"/>
    <w:rsid w:val="002C2E31"/>
    <w:rsid w:val="002C31A7"/>
    <w:rsid w:val="002C3208"/>
    <w:rsid w:val="002C36E8"/>
    <w:rsid w:val="002C40AC"/>
    <w:rsid w:val="002C423D"/>
    <w:rsid w:val="002C52BE"/>
    <w:rsid w:val="002C53A6"/>
    <w:rsid w:val="002C5E3E"/>
    <w:rsid w:val="002C7073"/>
    <w:rsid w:val="002C7F0D"/>
    <w:rsid w:val="002D05C5"/>
    <w:rsid w:val="002D0C16"/>
    <w:rsid w:val="002D1492"/>
    <w:rsid w:val="002D149B"/>
    <w:rsid w:val="002D1A17"/>
    <w:rsid w:val="002D1DBD"/>
    <w:rsid w:val="002D246E"/>
    <w:rsid w:val="002D24A6"/>
    <w:rsid w:val="002D2CD2"/>
    <w:rsid w:val="002D3080"/>
    <w:rsid w:val="002D312A"/>
    <w:rsid w:val="002D343B"/>
    <w:rsid w:val="002D4069"/>
    <w:rsid w:val="002D452A"/>
    <w:rsid w:val="002D5CC2"/>
    <w:rsid w:val="002D6741"/>
    <w:rsid w:val="002D6C66"/>
    <w:rsid w:val="002D7262"/>
    <w:rsid w:val="002D787C"/>
    <w:rsid w:val="002E0574"/>
    <w:rsid w:val="002E05F4"/>
    <w:rsid w:val="002E0D68"/>
    <w:rsid w:val="002E134F"/>
    <w:rsid w:val="002E20DA"/>
    <w:rsid w:val="002E2BD5"/>
    <w:rsid w:val="002E2E42"/>
    <w:rsid w:val="002E31C1"/>
    <w:rsid w:val="002E36C8"/>
    <w:rsid w:val="002E3821"/>
    <w:rsid w:val="002E4D4D"/>
    <w:rsid w:val="002E5368"/>
    <w:rsid w:val="002E5B1E"/>
    <w:rsid w:val="002E5D9F"/>
    <w:rsid w:val="002E6053"/>
    <w:rsid w:val="002E7411"/>
    <w:rsid w:val="002E7BBF"/>
    <w:rsid w:val="002F203D"/>
    <w:rsid w:val="002F2D82"/>
    <w:rsid w:val="002F321E"/>
    <w:rsid w:val="002F39FF"/>
    <w:rsid w:val="002F4089"/>
    <w:rsid w:val="002F41AC"/>
    <w:rsid w:val="002F51BD"/>
    <w:rsid w:val="002F5C23"/>
    <w:rsid w:val="002F5CB6"/>
    <w:rsid w:val="002F62E1"/>
    <w:rsid w:val="002F654F"/>
    <w:rsid w:val="002F672A"/>
    <w:rsid w:val="002F6DE0"/>
    <w:rsid w:val="002F7DA4"/>
    <w:rsid w:val="003002A3"/>
    <w:rsid w:val="00300775"/>
    <w:rsid w:val="00301780"/>
    <w:rsid w:val="00301CB1"/>
    <w:rsid w:val="003026EF"/>
    <w:rsid w:val="00302EBE"/>
    <w:rsid w:val="00303F18"/>
    <w:rsid w:val="003044A6"/>
    <w:rsid w:val="00304854"/>
    <w:rsid w:val="00304B18"/>
    <w:rsid w:val="00305381"/>
    <w:rsid w:val="00305A15"/>
    <w:rsid w:val="00305A91"/>
    <w:rsid w:val="003060A0"/>
    <w:rsid w:val="00306239"/>
    <w:rsid w:val="003064BF"/>
    <w:rsid w:val="00307872"/>
    <w:rsid w:val="003105CB"/>
    <w:rsid w:val="00310C2A"/>
    <w:rsid w:val="00311A91"/>
    <w:rsid w:val="00311C7B"/>
    <w:rsid w:val="00312761"/>
    <w:rsid w:val="00312866"/>
    <w:rsid w:val="00312AB8"/>
    <w:rsid w:val="003132B0"/>
    <w:rsid w:val="0031377C"/>
    <w:rsid w:val="00313A64"/>
    <w:rsid w:val="00313E55"/>
    <w:rsid w:val="003144A2"/>
    <w:rsid w:val="00316419"/>
    <w:rsid w:val="003167F3"/>
    <w:rsid w:val="00316AF4"/>
    <w:rsid w:val="00316CE9"/>
    <w:rsid w:val="00320635"/>
    <w:rsid w:val="00321422"/>
    <w:rsid w:val="00322546"/>
    <w:rsid w:val="003226F0"/>
    <w:rsid w:val="003228BF"/>
    <w:rsid w:val="00322928"/>
    <w:rsid w:val="00322A75"/>
    <w:rsid w:val="00322BF6"/>
    <w:rsid w:val="00323378"/>
    <w:rsid w:val="00323449"/>
    <w:rsid w:val="003238EC"/>
    <w:rsid w:val="0032578E"/>
    <w:rsid w:val="00325919"/>
    <w:rsid w:val="00325B91"/>
    <w:rsid w:val="00327463"/>
    <w:rsid w:val="00327DAC"/>
    <w:rsid w:val="00330693"/>
    <w:rsid w:val="00330E8F"/>
    <w:rsid w:val="00331467"/>
    <w:rsid w:val="003320F0"/>
    <w:rsid w:val="00332303"/>
    <w:rsid w:val="003324D1"/>
    <w:rsid w:val="00332BD0"/>
    <w:rsid w:val="00333D6A"/>
    <w:rsid w:val="00333ED1"/>
    <w:rsid w:val="003342C7"/>
    <w:rsid w:val="003349E5"/>
    <w:rsid w:val="0033514A"/>
    <w:rsid w:val="0033586F"/>
    <w:rsid w:val="00336199"/>
    <w:rsid w:val="00336E2E"/>
    <w:rsid w:val="0033781E"/>
    <w:rsid w:val="0034044A"/>
    <w:rsid w:val="003408D3"/>
    <w:rsid w:val="00340BA2"/>
    <w:rsid w:val="003414D9"/>
    <w:rsid w:val="00341949"/>
    <w:rsid w:val="003425FF"/>
    <w:rsid w:val="00342685"/>
    <w:rsid w:val="0034297F"/>
    <w:rsid w:val="00342D0A"/>
    <w:rsid w:val="003433C9"/>
    <w:rsid w:val="0034351B"/>
    <w:rsid w:val="0034378B"/>
    <w:rsid w:val="0034465B"/>
    <w:rsid w:val="00345D8B"/>
    <w:rsid w:val="003460A0"/>
    <w:rsid w:val="003467A9"/>
    <w:rsid w:val="003467B7"/>
    <w:rsid w:val="003468A9"/>
    <w:rsid w:val="00346D78"/>
    <w:rsid w:val="00346DA8"/>
    <w:rsid w:val="0034765C"/>
    <w:rsid w:val="00347668"/>
    <w:rsid w:val="003476E7"/>
    <w:rsid w:val="00347781"/>
    <w:rsid w:val="00347A50"/>
    <w:rsid w:val="00347DDC"/>
    <w:rsid w:val="00350162"/>
    <w:rsid w:val="003501A0"/>
    <w:rsid w:val="00350328"/>
    <w:rsid w:val="00350AD7"/>
    <w:rsid w:val="00350C49"/>
    <w:rsid w:val="00351028"/>
    <w:rsid w:val="00351342"/>
    <w:rsid w:val="00351504"/>
    <w:rsid w:val="003522E6"/>
    <w:rsid w:val="0035246F"/>
    <w:rsid w:val="00352579"/>
    <w:rsid w:val="00352CAB"/>
    <w:rsid w:val="00352FC0"/>
    <w:rsid w:val="003537D7"/>
    <w:rsid w:val="00353994"/>
    <w:rsid w:val="00353A26"/>
    <w:rsid w:val="00353E66"/>
    <w:rsid w:val="003544A2"/>
    <w:rsid w:val="003545AF"/>
    <w:rsid w:val="00354C20"/>
    <w:rsid w:val="00355D55"/>
    <w:rsid w:val="00356793"/>
    <w:rsid w:val="00356960"/>
    <w:rsid w:val="00356D2D"/>
    <w:rsid w:val="00356E51"/>
    <w:rsid w:val="0035714E"/>
    <w:rsid w:val="003572B9"/>
    <w:rsid w:val="0035782A"/>
    <w:rsid w:val="00360341"/>
    <w:rsid w:val="0036065B"/>
    <w:rsid w:val="00360ABD"/>
    <w:rsid w:val="003613FC"/>
    <w:rsid w:val="0036182F"/>
    <w:rsid w:val="003619F9"/>
    <w:rsid w:val="00362B7D"/>
    <w:rsid w:val="003633D3"/>
    <w:rsid w:val="003634DB"/>
    <w:rsid w:val="00363545"/>
    <w:rsid w:val="0036359A"/>
    <w:rsid w:val="00363760"/>
    <w:rsid w:val="00363A64"/>
    <w:rsid w:val="00363ADD"/>
    <w:rsid w:val="00363F34"/>
    <w:rsid w:val="00364C7A"/>
    <w:rsid w:val="003661EA"/>
    <w:rsid w:val="00366231"/>
    <w:rsid w:val="003662FA"/>
    <w:rsid w:val="003663AC"/>
    <w:rsid w:val="00367288"/>
    <w:rsid w:val="003679E9"/>
    <w:rsid w:val="003704FF"/>
    <w:rsid w:val="00370AFE"/>
    <w:rsid w:val="00371589"/>
    <w:rsid w:val="00371A06"/>
    <w:rsid w:val="00373209"/>
    <w:rsid w:val="0037388E"/>
    <w:rsid w:val="00373C41"/>
    <w:rsid w:val="003764C9"/>
    <w:rsid w:val="00376A13"/>
    <w:rsid w:val="00377208"/>
    <w:rsid w:val="00377C6D"/>
    <w:rsid w:val="0038087D"/>
    <w:rsid w:val="00381969"/>
    <w:rsid w:val="00382314"/>
    <w:rsid w:val="00383250"/>
    <w:rsid w:val="00383AF2"/>
    <w:rsid w:val="00383E46"/>
    <w:rsid w:val="003843B9"/>
    <w:rsid w:val="00384817"/>
    <w:rsid w:val="00384841"/>
    <w:rsid w:val="00384C83"/>
    <w:rsid w:val="0038531E"/>
    <w:rsid w:val="00385396"/>
    <w:rsid w:val="003855E1"/>
    <w:rsid w:val="003861C8"/>
    <w:rsid w:val="00386306"/>
    <w:rsid w:val="0038634B"/>
    <w:rsid w:val="00386C72"/>
    <w:rsid w:val="00386FF1"/>
    <w:rsid w:val="003872EC"/>
    <w:rsid w:val="00387E1C"/>
    <w:rsid w:val="00387FCC"/>
    <w:rsid w:val="00390DD7"/>
    <w:rsid w:val="00390F3E"/>
    <w:rsid w:val="00390F73"/>
    <w:rsid w:val="00391937"/>
    <w:rsid w:val="00391E5E"/>
    <w:rsid w:val="00392A0C"/>
    <w:rsid w:val="00393142"/>
    <w:rsid w:val="003936DD"/>
    <w:rsid w:val="0039397C"/>
    <w:rsid w:val="00394535"/>
    <w:rsid w:val="003945CC"/>
    <w:rsid w:val="0039550E"/>
    <w:rsid w:val="00395B92"/>
    <w:rsid w:val="00395CBF"/>
    <w:rsid w:val="00395E80"/>
    <w:rsid w:val="00395F31"/>
    <w:rsid w:val="00395F82"/>
    <w:rsid w:val="003963C7"/>
    <w:rsid w:val="00396511"/>
    <w:rsid w:val="0039668C"/>
    <w:rsid w:val="00397103"/>
    <w:rsid w:val="003973CD"/>
    <w:rsid w:val="0039773A"/>
    <w:rsid w:val="00397760"/>
    <w:rsid w:val="00397ED5"/>
    <w:rsid w:val="00397F30"/>
    <w:rsid w:val="003A00F6"/>
    <w:rsid w:val="003A0854"/>
    <w:rsid w:val="003A21EA"/>
    <w:rsid w:val="003A249F"/>
    <w:rsid w:val="003A2F10"/>
    <w:rsid w:val="003A35E6"/>
    <w:rsid w:val="003A36E3"/>
    <w:rsid w:val="003A3A6E"/>
    <w:rsid w:val="003A44CF"/>
    <w:rsid w:val="003A4528"/>
    <w:rsid w:val="003A4CAC"/>
    <w:rsid w:val="003A4D6B"/>
    <w:rsid w:val="003A4EC9"/>
    <w:rsid w:val="003A5001"/>
    <w:rsid w:val="003A5927"/>
    <w:rsid w:val="003A6A4A"/>
    <w:rsid w:val="003A6A98"/>
    <w:rsid w:val="003A770A"/>
    <w:rsid w:val="003B0ECB"/>
    <w:rsid w:val="003B114B"/>
    <w:rsid w:val="003B12C9"/>
    <w:rsid w:val="003B12E1"/>
    <w:rsid w:val="003B1A25"/>
    <w:rsid w:val="003B1D89"/>
    <w:rsid w:val="003B25AA"/>
    <w:rsid w:val="003B33C5"/>
    <w:rsid w:val="003B3847"/>
    <w:rsid w:val="003B41C7"/>
    <w:rsid w:val="003B5817"/>
    <w:rsid w:val="003B6DB4"/>
    <w:rsid w:val="003B6F99"/>
    <w:rsid w:val="003B732E"/>
    <w:rsid w:val="003B7DE6"/>
    <w:rsid w:val="003C100F"/>
    <w:rsid w:val="003C19CB"/>
    <w:rsid w:val="003C1A9A"/>
    <w:rsid w:val="003C2262"/>
    <w:rsid w:val="003C23DC"/>
    <w:rsid w:val="003C3533"/>
    <w:rsid w:val="003C3BB8"/>
    <w:rsid w:val="003C4726"/>
    <w:rsid w:val="003C4A19"/>
    <w:rsid w:val="003C4C72"/>
    <w:rsid w:val="003C4F93"/>
    <w:rsid w:val="003C512D"/>
    <w:rsid w:val="003C5661"/>
    <w:rsid w:val="003C5EF7"/>
    <w:rsid w:val="003C7271"/>
    <w:rsid w:val="003C7C4F"/>
    <w:rsid w:val="003C7D45"/>
    <w:rsid w:val="003D0790"/>
    <w:rsid w:val="003D0B9F"/>
    <w:rsid w:val="003D2038"/>
    <w:rsid w:val="003D26FB"/>
    <w:rsid w:val="003D272B"/>
    <w:rsid w:val="003D2B1E"/>
    <w:rsid w:val="003D337B"/>
    <w:rsid w:val="003D3D06"/>
    <w:rsid w:val="003D4673"/>
    <w:rsid w:val="003D6144"/>
    <w:rsid w:val="003D68F6"/>
    <w:rsid w:val="003D6C0F"/>
    <w:rsid w:val="003D7FD2"/>
    <w:rsid w:val="003E0FE4"/>
    <w:rsid w:val="003E1469"/>
    <w:rsid w:val="003E26ED"/>
    <w:rsid w:val="003E288F"/>
    <w:rsid w:val="003E454C"/>
    <w:rsid w:val="003E496B"/>
    <w:rsid w:val="003E6177"/>
    <w:rsid w:val="003E7F90"/>
    <w:rsid w:val="003F017F"/>
    <w:rsid w:val="003F0502"/>
    <w:rsid w:val="003F1126"/>
    <w:rsid w:val="003F11C2"/>
    <w:rsid w:val="003F1F98"/>
    <w:rsid w:val="003F20C5"/>
    <w:rsid w:val="003F2251"/>
    <w:rsid w:val="003F2525"/>
    <w:rsid w:val="003F2526"/>
    <w:rsid w:val="003F2804"/>
    <w:rsid w:val="003F28D7"/>
    <w:rsid w:val="003F2934"/>
    <w:rsid w:val="003F2AF4"/>
    <w:rsid w:val="003F360C"/>
    <w:rsid w:val="003F3CD2"/>
    <w:rsid w:val="003F4C79"/>
    <w:rsid w:val="003F4FD6"/>
    <w:rsid w:val="003F538B"/>
    <w:rsid w:val="003F572E"/>
    <w:rsid w:val="003F676C"/>
    <w:rsid w:val="003F6A86"/>
    <w:rsid w:val="003F755E"/>
    <w:rsid w:val="003F7FDA"/>
    <w:rsid w:val="00400055"/>
    <w:rsid w:val="00400A27"/>
    <w:rsid w:val="00401086"/>
    <w:rsid w:val="004012AC"/>
    <w:rsid w:val="0040191B"/>
    <w:rsid w:val="00401A5F"/>
    <w:rsid w:val="004022C1"/>
    <w:rsid w:val="0040385E"/>
    <w:rsid w:val="00403BDD"/>
    <w:rsid w:val="00404618"/>
    <w:rsid w:val="00404851"/>
    <w:rsid w:val="00404F7B"/>
    <w:rsid w:val="00405878"/>
    <w:rsid w:val="00405A0C"/>
    <w:rsid w:val="00405AF8"/>
    <w:rsid w:val="00405E8A"/>
    <w:rsid w:val="00406113"/>
    <w:rsid w:val="00406172"/>
    <w:rsid w:val="00406913"/>
    <w:rsid w:val="00406EA2"/>
    <w:rsid w:val="00407276"/>
    <w:rsid w:val="004076FD"/>
    <w:rsid w:val="0040776E"/>
    <w:rsid w:val="00407B56"/>
    <w:rsid w:val="0041001A"/>
    <w:rsid w:val="0041017C"/>
    <w:rsid w:val="00410770"/>
    <w:rsid w:val="0041110B"/>
    <w:rsid w:val="00411220"/>
    <w:rsid w:val="00411738"/>
    <w:rsid w:val="00411EBD"/>
    <w:rsid w:val="0041221D"/>
    <w:rsid w:val="0041226C"/>
    <w:rsid w:val="00413076"/>
    <w:rsid w:val="00414316"/>
    <w:rsid w:val="00414B0B"/>
    <w:rsid w:val="00415519"/>
    <w:rsid w:val="00415C97"/>
    <w:rsid w:val="004160FF"/>
    <w:rsid w:val="00416174"/>
    <w:rsid w:val="004166E6"/>
    <w:rsid w:val="0041709C"/>
    <w:rsid w:val="004171A2"/>
    <w:rsid w:val="004177C8"/>
    <w:rsid w:val="00417871"/>
    <w:rsid w:val="00417994"/>
    <w:rsid w:val="00421639"/>
    <w:rsid w:val="00421BE4"/>
    <w:rsid w:val="00421EE7"/>
    <w:rsid w:val="00421F52"/>
    <w:rsid w:val="004221F7"/>
    <w:rsid w:val="00422342"/>
    <w:rsid w:val="00422725"/>
    <w:rsid w:val="00423670"/>
    <w:rsid w:val="004238CC"/>
    <w:rsid w:val="00423CEF"/>
    <w:rsid w:val="00423D66"/>
    <w:rsid w:val="00423E91"/>
    <w:rsid w:val="004249C2"/>
    <w:rsid w:val="00425187"/>
    <w:rsid w:val="0042587C"/>
    <w:rsid w:val="00425A97"/>
    <w:rsid w:val="0042692C"/>
    <w:rsid w:val="00426AB5"/>
    <w:rsid w:val="00427217"/>
    <w:rsid w:val="004307A9"/>
    <w:rsid w:val="00431344"/>
    <w:rsid w:val="00431AD8"/>
    <w:rsid w:val="00431F76"/>
    <w:rsid w:val="00432209"/>
    <w:rsid w:val="00433063"/>
    <w:rsid w:val="0043328C"/>
    <w:rsid w:val="00433A2D"/>
    <w:rsid w:val="00433B1B"/>
    <w:rsid w:val="00433DCC"/>
    <w:rsid w:val="00434B35"/>
    <w:rsid w:val="00434E6D"/>
    <w:rsid w:val="00434E85"/>
    <w:rsid w:val="004359A4"/>
    <w:rsid w:val="00435E4E"/>
    <w:rsid w:val="004360CC"/>
    <w:rsid w:val="00436F54"/>
    <w:rsid w:val="00437ACB"/>
    <w:rsid w:val="00437BB6"/>
    <w:rsid w:val="00437EB3"/>
    <w:rsid w:val="00437F9E"/>
    <w:rsid w:val="00437FCB"/>
    <w:rsid w:val="00441018"/>
    <w:rsid w:val="00441433"/>
    <w:rsid w:val="00441645"/>
    <w:rsid w:val="00441836"/>
    <w:rsid w:val="004420B5"/>
    <w:rsid w:val="0044278E"/>
    <w:rsid w:val="00442DC6"/>
    <w:rsid w:val="00442EC2"/>
    <w:rsid w:val="004434ED"/>
    <w:rsid w:val="00443506"/>
    <w:rsid w:val="0044391B"/>
    <w:rsid w:val="00443FA0"/>
    <w:rsid w:val="004445FA"/>
    <w:rsid w:val="00444949"/>
    <w:rsid w:val="00445D6A"/>
    <w:rsid w:val="00445F04"/>
    <w:rsid w:val="004469B7"/>
    <w:rsid w:val="00446EB0"/>
    <w:rsid w:val="004476E5"/>
    <w:rsid w:val="00450D74"/>
    <w:rsid w:val="00451146"/>
    <w:rsid w:val="0045115A"/>
    <w:rsid w:val="0045122E"/>
    <w:rsid w:val="004513F1"/>
    <w:rsid w:val="00451555"/>
    <w:rsid w:val="004518BD"/>
    <w:rsid w:val="004518F0"/>
    <w:rsid w:val="004520B9"/>
    <w:rsid w:val="0045240F"/>
    <w:rsid w:val="004525A0"/>
    <w:rsid w:val="00453CD2"/>
    <w:rsid w:val="00453FA1"/>
    <w:rsid w:val="00453FDB"/>
    <w:rsid w:val="004541CE"/>
    <w:rsid w:val="0045427E"/>
    <w:rsid w:val="00454AED"/>
    <w:rsid w:val="00454B88"/>
    <w:rsid w:val="00454FCA"/>
    <w:rsid w:val="00455255"/>
    <w:rsid w:val="00455B7F"/>
    <w:rsid w:val="00457145"/>
    <w:rsid w:val="00457795"/>
    <w:rsid w:val="0045787E"/>
    <w:rsid w:val="004578D6"/>
    <w:rsid w:val="00457A10"/>
    <w:rsid w:val="00457F6C"/>
    <w:rsid w:val="004601A8"/>
    <w:rsid w:val="00460772"/>
    <w:rsid w:val="004608FB"/>
    <w:rsid w:val="00460C2A"/>
    <w:rsid w:val="004613F8"/>
    <w:rsid w:val="004618EB"/>
    <w:rsid w:val="00462198"/>
    <w:rsid w:val="0046388B"/>
    <w:rsid w:val="00463947"/>
    <w:rsid w:val="00463DBB"/>
    <w:rsid w:val="00464A21"/>
    <w:rsid w:val="00464A9E"/>
    <w:rsid w:val="00465307"/>
    <w:rsid w:val="004656F2"/>
    <w:rsid w:val="00465B58"/>
    <w:rsid w:val="00466DCC"/>
    <w:rsid w:val="00467AAA"/>
    <w:rsid w:val="00467E31"/>
    <w:rsid w:val="00470502"/>
    <w:rsid w:val="004714AE"/>
    <w:rsid w:val="00471C51"/>
    <w:rsid w:val="00471EF7"/>
    <w:rsid w:val="00472B73"/>
    <w:rsid w:val="004736DE"/>
    <w:rsid w:val="00475EC1"/>
    <w:rsid w:val="00476186"/>
    <w:rsid w:val="0047687F"/>
    <w:rsid w:val="00476947"/>
    <w:rsid w:val="004800B2"/>
    <w:rsid w:val="0048034F"/>
    <w:rsid w:val="004805FD"/>
    <w:rsid w:val="004822FA"/>
    <w:rsid w:val="00482C8D"/>
    <w:rsid w:val="00482CDA"/>
    <w:rsid w:val="00483369"/>
    <w:rsid w:val="004836E8"/>
    <w:rsid w:val="004837B5"/>
    <w:rsid w:val="00483D6D"/>
    <w:rsid w:val="00483EDA"/>
    <w:rsid w:val="00484AB7"/>
    <w:rsid w:val="00484B07"/>
    <w:rsid w:val="00484BB5"/>
    <w:rsid w:val="00485F75"/>
    <w:rsid w:val="00486BE3"/>
    <w:rsid w:val="00486C5E"/>
    <w:rsid w:val="00486C8B"/>
    <w:rsid w:val="004870EE"/>
    <w:rsid w:val="00487128"/>
    <w:rsid w:val="004871E8"/>
    <w:rsid w:val="004872FD"/>
    <w:rsid w:val="00487664"/>
    <w:rsid w:val="00487B2A"/>
    <w:rsid w:val="00487CBA"/>
    <w:rsid w:val="004903F7"/>
    <w:rsid w:val="00490606"/>
    <w:rsid w:val="00490EB0"/>
    <w:rsid w:val="0049129F"/>
    <w:rsid w:val="00491336"/>
    <w:rsid w:val="00492013"/>
    <w:rsid w:val="00492038"/>
    <w:rsid w:val="0049283D"/>
    <w:rsid w:val="00492847"/>
    <w:rsid w:val="004929AA"/>
    <w:rsid w:val="00492B76"/>
    <w:rsid w:val="00493010"/>
    <w:rsid w:val="00494997"/>
    <w:rsid w:val="004951D6"/>
    <w:rsid w:val="00495E78"/>
    <w:rsid w:val="004964F7"/>
    <w:rsid w:val="004967F4"/>
    <w:rsid w:val="00496DCB"/>
    <w:rsid w:val="004970E2"/>
    <w:rsid w:val="004971D4"/>
    <w:rsid w:val="00497745"/>
    <w:rsid w:val="004A09D5"/>
    <w:rsid w:val="004A0CE0"/>
    <w:rsid w:val="004A122A"/>
    <w:rsid w:val="004A13A5"/>
    <w:rsid w:val="004A1A08"/>
    <w:rsid w:val="004A1C17"/>
    <w:rsid w:val="004A35E9"/>
    <w:rsid w:val="004A3DE6"/>
    <w:rsid w:val="004A438A"/>
    <w:rsid w:val="004A485E"/>
    <w:rsid w:val="004A4B55"/>
    <w:rsid w:val="004A4D1B"/>
    <w:rsid w:val="004A4FB0"/>
    <w:rsid w:val="004A513B"/>
    <w:rsid w:val="004A592F"/>
    <w:rsid w:val="004A5A1B"/>
    <w:rsid w:val="004A5BE2"/>
    <w:rsid w:val="004A60B6"/>
    <w:rsid w:val="004A66C2"/>
    <w:rsid w:val="004A792A"/>
    <w:rsid w:val="004B0A94"/>
    <w:rsid w:val="004B0F61"/>
    <w:rsid w:val="004B221F"/>
    <w:rsid w:val="004B33C6"/>
    <w:rsid w:val="004B350D"/>
    <w:rsid w:val="004B38D5"/>
    <w:rsid w:val="004B4E91"/>
    <w:rsid w:val="004C0784"/>
    <w:rsid w:val="004C0A1C"/>
    <w:rsid w:val="004C121E"/>
    <w:rsid w:val="004C1644"/>
    <w:rsid w:val="004C1F19"/>
    <w:rsid w:val="004C2383"/>
    <w:rsid w:val="004C26DD"/>
    <w:rsid w:val="004C289B"/>
    <w:rsid w:val="004C2959"/>
    <w:rsid w:val="004C2AAF"/>
    <w:rsid w:val="004C2F26"/>
    <w:rsid w:val="004C3536"/>
    <w:rsid w:val="004C3BE7"/>
    <w:rsid w:val="004C463A"/>
    <w:rsid w:val="004C4F9F"/>
    <w:rsid w:val="004C585E"/>
    <w:rsid w:val="004C589F"/>
    <w:rsid w:val="004C694E"/>
    <w:rsid w:val="004C7B26"/>
    <w:rsid w:val="004C7B62"/>
    <w:rsid w:val="004C7B9F"/>
    <w:rsid w:val="004D0D23"/>
    <w:rsid w:val="004D13BB"/>
    <w:rsid w:val="004D1A8C"/>
    <w:rsid w:val="004D1F26"/>
    <w:rsid w:val="004D2318"/>
    <w:rsid w:val="004D29F8"/>
    <w:rsid w:val="004D2B42"/>
    <w:rsid w:val="004D2BDC"/>
    <w:rsid w:val="004D31CC"/>
    <w:rsid w:val="004D32D1"/>
    <w:rsid w:val="004D343A"/>
    <w:rsid w:val="004D3490"/>
    <w:rsid w:val="004D5D68"/>
    <w:rsid w:val="004D65B9"/>
    <w:rsid w:val="004D65FA"/>
    <w:rsid w:val="004D6E96"/>
    <w:rsid w:val="004D70B8"/>
    <w:rsid w:val="004D748F"/>
    <w:rsid w:val="004D7C5C"/>
    <w:rsid w:val="004E0A9E"/>
    <w:rsid w:val="004E1B3A"/>
    <w:rsid w:val="004E1F47"/>
    <w:rsid w:val="004E1F4A"/>
    <w:rsid w:val="004E2789"/>
    <w:rsid w:val="004E2848"/>
    <w:rsid w:val="004E2FAA"/>
    <w:rsid w:val="004E2FFC"/>
    <w:rsid w:val="004E383C"/>
    <w:rsid w:val="004E3946"/>
    <w:rsid w:val="004E3E7A"/>
    <w:rsid w:val="004E4AC8"/>
    <w:rsid w:val="004E4D44"/>
    <w:rsid w:val="004E4F2D"/>
    <w:rsid w:val="004E50D8"/>
    <w:rsid w:val="004E59CC"/>
    <w:rsid w:val="004E5AF6"/>
    <w:rsid w:val="004E5D89"/>
    <w:rsid w:val="004E6012"/>
    <w:rsid w:val="004E644C"/>
    <w:rsid w:val="004E68AB"/>
    <w:rsid w:val="004E6933"/>
    <w:rsid w:val="004E7FC1"/>
    <w:rsid w:val="004F0428"/>
    <w:rsid w:val="004F0543"/>
    <w:rsid w:val="004F0C5F"/>
    <w:rsid w:val="004F1470"/>
    <w:rsid w:val="004F1BC9"/>
    <w:rsid w:val="004F2C65"/>
    <w:rsid w:val="004F462A"/>
    <w:rsid w:val="004F4B19"/>
    <w:rsid w:val="004F556B"/>
    <w:rsid w:val="004F59F3"/>
    <w:rsid w:val="004F5C26"/>
    <w:rsid w:val="004F5CE5"/>
    <w:rsid w:val="004F5E1F"/>
    <w:rsid w:val="004F5F3F"/>
    <w:rsid w:val="004F7A62"/>
    <w:rsid w:val="00500240"/>
    <w:rsid w:val="0050090C"/>
    <w:rsid w:val="00501184"/>
    <w:rsid w:val="005019B7"/>
    <w:rsid w:val="00501E31"/>
    <w:rsid w:val="0050200A"/>
    <w:rsid w:val="00502920"/>
    <w:rsid w:val="005031F1"/>
    <w:rsid w:val="00503351"/>
    <w:rsid w:val="0050367B"/>
    <w:rsid w:val="00503A74"/>
    <w:rsid w:val="00504184"/>
    <w:rsid w:val="00504999"/>
    <w:rsid w:val="00504AF2"/>
    <w:rsid w:val="00504C3B"/>
    <w:rsid w:val="00505A4C"/>
    <w:rsid w:val="005060F1"/>
    <w:rsid w:val="005063CB"/>
    <w:rsid w:val="00506E89"/>
    <w:rsid w:val="0050705F"/>
    <w:rsid w:val="0050739B"/>
    <w:rsid w:val="0050786D"/>
    <w:rsid w:val="00507FB5"/>
    <w:rsid w:val="0051013F"/>
    <w:rsid w:val="00511AB2"/>
    <w:rsid w:val="00511DC7"/>
    <w:rsid w:val="00511E18"/>
    <w:rsid w:val="005132C9"/>
    <w:rsid w:val="0051393A"/>
    <w:rsid w:val="005149C7"/>
    <w:rsid w:val="005152CA"/>
    <w:rsid w:val="00515587"/>
    <w:rsid w:val="00515CEA"/>
    <w:rsid w:val="00515D2E"/>
    <w:rsid w:val="0051634C"/>
    <w:rsid w:val="00516A17"/>
    <w:rsid w:val="0051791E"/>
    <w:rsid w:val="00520687"/>
    <w:rsid w:val="00521309"/>
    <w:rsid w:val="00522CA7"/>
    <w:rsid w:val="00522E87"/>
    <w:rsid w:val="005231DB"/>
    <w:rsid w:val="005236F6"/>
    <w:rsid w:val="005237B4"/>
    <w:rsid w:val="005239CC"/>
    <w:rsid w:val="005239DA"/>
    <w:rsid w:val="00523C6F"/>
    <w:rsid w:val="00524522"/>
    <w:rsid w:val="00524B99"/>
    <w:rsid w:val="00525191"/>
    <w:rsid w:val="0052586B"/>
    <w:rsid w:val="00525B0F"/>
    <w:rsid w:val="00525D68"/>
    <w:rsid w:val="00525F4D"/>
    <w:rsid w:val="00526297"/>
    <w:rsid w:val="005265B5"/>
    <w:rsid w:val="005267F3"/>
    <w:rsid w:val="00526D54"/>
    <w:rsid w:val="00526E00"/>
    <w:rsid w:val="00526F9C"/>
    <w:rsid w:val="00527190"/>
    <w:rsid w:val="0052719F"/>
    <w:rsid w:val="005271D4"/>
    <w:rsid w:val="0052758A"/>
    <w:rsid w:val="005275FF"/>
    <w:rsid w:val="005277C4"/>
    <w:rsid w:val="0053016E"/>
    <w:rsid w:val="0053080D"/>
    <w:rsid w:val="00530FC9"/>
    <w:rsid w:val="00531822"/>
    <w:rsid w:val="00531894"/>
    <w:rsid w:val="00531AB4"/>
    <w:rsid w:val="00532337"/>
    <w:rsid w:val="005323A5"/>
    <w:rsid w:val="0053241D"/>
    <w:rsid w:val="00532837"/>
    <w:rsid w:val="00532D96"/>
    <w:rsid w:val="00533F32"/>
    <w:rsid w:val="00534680"/>
    <w:rsid w:val="00534B6F"/>
    <w:rsid w:val="00534C2F"/>
    <w:rsid w:val="005361BF"/>
    <w:rsid w:val="00536D04"/>
    <w:rsid w:val="00540177"/>
    <w:rsid w:val="00540ABF"/>
    <w:rsid w:val="0054128C"/>
    <w:rsid w:val="00541763"/>
    <w:rsid w:val="0054180A"/>
    <w:rsid w:val="00541AE3"/>
    <w:rsid w:val="0054212C"/>
    <w:rsid w:val="005428B8"/>
    <w:rsid w:val="0054293D"/>
    <w:rsid w:val="00544E0A"/>
    <w:rsid w:val="00545A75"/>
    <w:rsid w:val="00545C29"/>
    <w:rsid w:val="0054634D"/>
    <w:rsid w:val="00546831"/>
    <w:rsid w:val="0054726E"/>
    <w:rsid w:val="00547FE3"/>
    <w:rsid w:val="005503E2"/>
    <w:rsid w:val="00550AFF"/>
    <w:rsid w:val="00550B16"/>
    <w:rsid w:val="0055179D"/>
    <w:rsid w:val="00551D8F"/>
    <w:rsid w:val="00553378"/>
    <w:rsid w:val="00553AB3"/>
    <w:rsid w:val="00553EEA"/>
    <w:rsid w:val="00553FEE"/>
    <w:rsid w:val="00554E8E"/>
    <w:rsid w:val="00555B03"/>
    <w:rsid w:val="00556045"/>
    <w:rsid w:val="005569C7"/>
    <w:rsid w:val="00556E20"/>
    <w:rsid w:val="00557B3E"/>
    <w:rsid w:val="00560113"/>
    <w:rsid w:val="00560669"/>
    <w:rsid w:val="00560746"/>
    <w:rsid w:val="0056161B"/>
    <w:rsid w:val="00561D49"/>
    <w:rsid w:val="00563074"/>
    <w:rsid w:val="00565084"/>
    <w:rsid w:val="00566211"/>
    <w:rsid w:val="00566F5D"/>
    <w:rsid w:val="00571074"/>
    <w:rsid w:val="00571701"/>
    <w:rsid w:val="005717DB"/>
    <w:rsid w:val="005717EE"/>
    <w:rsid w:val="0057181A"/>
    <w:rsid w:val="005719EF"/>
    <w:rsid w:val="00571B94"/>
    <w:rsid w:val="00571E55"/>
    <w:rsid w:val="00572752"/>
    <w:rsid w:val="0057297A"/>
    <w:rsid w:val="005749AD"/>
    <w:rsid w:val="00574BA2"/>
    <w:rsid w:val="005753EA"/>
    <w:rsid w:val="005754F8"/>
    <w:rsid w:val="00575D1F"/>
    <w:rsid w:val="00575FB7"/>
    <w:rsid w:val="005769CE"/>
    <w:rsid w:val="005801FE"/>
    <w:rsid w:val="0058077B"/>
    <w:rsid w:val="005812F9"/>
    <w:rsid w:val="005818BE"/>
    <w:rsid w:val="00581A52"/>
    <w:rsid w:val="00581A79"/>
    <w:rsid w:val="00581C8B"/>
    <w:rsid w:val="005826C2"/>
    <w:rsid w:val="00582983"/>
    <w:rsid w:val="00582A7A"/>
    <w:rsid w:val="00583820"/>
    <w:rsid w:val="005838A9"/>
    <w:rsid w:val="00583BB9"/>
    <w:rsid w:val="00584108"/>
    <w:rsid w:val="00584534"/>
    <w:rsid w:val="0058466A"/>
    <w:rsid w:val="00585AB0"/>
    <w:rsid w:val="00587283"/>
    <w:rsid w:val="00587410"/>
    <w:rsid w:val="00590B62"/>
    <w:rsid w:val="00591640"/>
    <w:rsid w:val="005916BE"/>
    <w:rsid w:val="00591B82"/>
    <w:rsid w:val="00591FDF"/>
    <w:rsid w:val="0059374A"/>
    <w:rsid w:val="0059381F"/>
    <w:rsid w:val="0059393B"/>
    <w:rsid w:val="00593E17"/>
    <w:rsid w:val="00594117"/>
    <w:rsid w:val="005942A1"/>
    <w:rsid w:val="00595A9C"/>
    <w:rsid w:val="00596222"/>
    <w:rsid w:val="0059623D"/>
    <w:rsid w:val="005962D0"/>
    <w:rsid w:val="00596A50"/>
    <w:rsid w:val="00596A85"/>
    <w:rsid w:val="00596DA9"/>
    <w:rsid w:val="00597093"/>
    <w:rsid w:val="005973E5"/>
    <w:rsid w:val="00597AAB"/>
    <w:rsid w:val="005A0289"/>
    <w:rsid w:val="005A0423"/>
    <w:rsid w:val="005A08B0"/>
    <w:rsid w:val="005A0954"/>
    <w:rsid w:val="005A1267"/>
    <w:rsid w:val="005A1601"/>
    <w:rsid w:val="005A16B2"/>
    <w:rsid w:val="005A1EDB"/>
    <w:rsid w:val="005A25C5"/>
    <w:rsid w:val="005A37BF"/>
    <w:rsid w:val="005A3848"/>
    <w:rsid w:val="005A3A1A"/>
    <w:rsid w:val="005A3B0F"/>
    <w:rsid w:val="005A3CC0"/>
    <w:rsid w:val="005A42FA"/>
    <w:rsid w:val="005A46F8"/>
    <w:rsid w:val="005A4B5E"/>
    <w:rsid w:val="005A4FC1"/>
    <w:rsid w:val="005A5135"/>
    <w:rsid w:val="005A7393"/>
    <w:rsid w:val="005A746F"/>
    <w:rsid w:val="005B01D3"/>
    <w:rsid w:val="005B0AD0"/>
    <w:rsid w:val="005B0B33"/>
    <w:rsid w:val="005B0B5F"/>
    <w:rsid w:val="005B0EB0"/>
    <w:rsid w:val="005B1108"/>
    <w:rsid w:val="005B1639"/>
    <w:rsid w:val="005B2202"/>
    <w:rsid w:val="005B2B9C"/>
    <w:rsid w:val="005B2F89"/>
    <w:rsid w:val="005B324B"/>
    <w:rsid w:val="005B366A"/>
    <w:rsid w:val="005B3D0F"/>
    <w:rsid w:val="005B3FBC"/>
    <w:rsid w:val="005B43B4"/>
    <w:rsid w:val="005B44CF"/>
    <w:rsid w:val="005B4CE9"/>
    <w:rsid w:val="005B5394"/>
    <w:rsid w:val="005B549A"/>
    <w:rsid w:val="005B562C"/>
    <w:rsid w:val="005B5767"/>
    <w:rsid w:val="005B5B81"/>
    <w:rsid w:val="005B6699"/>
    <w:rsid w:val="005B69CA"/>
    <w:rsid w:val="005B6F61"/>
    <w:rsid w:val="005B748B"/>
    <w:rsid w:val="005B772F"/>
    <w:rsid w:val="005C00C7"/>
    <w:rsid w:val="005C017E"/>
    <w:rsid w:val="005C0A90"/>
    <w:rsid w:val="005C0B62"/>
    <w:rsid w:val="005C0C99"/>
    <w:rsid w:val="005C3133"/>
    <w:rsid w:val="005C340C"/>
    <w:rsid w:val="005C381C"/>
    <w:rsid w:val="005C50CC"/>
    <w:rsid w:val="005C5534"/>
    <w:rsid w:val="005C59F3"/>
    <w:rsid w:val="005C5C69"/>
    <w:rsid w:val="005C6193"/>
    <w:rsid w:val="005C63D9"/>
    <w:rsid w:val="005C6A88"/>
    <w:rsid w:val="005D0B37"/>
    <w:rsid w:val="005D0E83"/>
    <w:rsid w:val="005D10FF"/>
    <w:rsid w:val="005D221F"/>
    <w:rsid w:val="005D224B"/>
    <w:rsid w:val="005D22C0"/>
    <w:rsid w:val="005D2AC4"/>
    <w:rsid w:val="005D3027"/>
    <w:rsid w:val="005D3823"/>
    <w:rsid w:val="005D398F"/>
    <w:rsid w:val="005D3E39"/>
    <w:rsid w:val="005D3E7A"/>
    <w:rsid w:val="005D402F"/>
    <w:rsid w:val="005D421F"/>
    <w:rsid w:val="005D422F"/>
    <w:rsid w:val="005D4446"/>
    <w:rsid w:val="005D48BD"/>
    <w:rsid w:val="005D5DD4"/>
    <w:rsid w:val="005D65E9"/>
    <w:rsid w:val="005D66C8"/>
    <w:rsid w:val="005D725D"/>
    <w:rsid w:val="005D7A14"/>
    <w:rsid w:val="005D7C58"/>
    <w:rsid w:val="005D7FED"/>
    <w:rsid w:val="005E00CA"/>
    <w:rsid w:val="005E11EC"/>
    <w:rsid w:val="005E1A1B"/>
    <w:rsid w:val="005E27D8"/>
    <w:rsid w:val="005E2842"/>
    <w:rsid w:val="005E3243"/>
    <w:rsid w:val="005E3C60"/>
    <w:rsid w:val="005E4674"/>
    <w:rsid w:val="005E4A90"/>
    <w:rsid w:val="005E5189"/>
    <w:rsid w:val="005E53BC"/>
    <w:rsid w:val="005E5D48"/>
    <w:rsid w:val="005E5EA2"/>
    <w:rsid w:val="005E6372"/>
    <w:rsid w:val="005E6774"/>
    <w:rsid w:val="005E6F3F"/>
    <w:rsid w:val="005F00AF"/>
    <w:rsid w:val="005F0D99"/>
    <w:rsid w:val="005F0F57"/>
    <w:rsid w:val="005F16F7"/>
    <w:rsid w:val="005F1D86"/>
    <w:rsid w:val="005F23BF"/>
    <w:rsid w:val="005F2996"/>
    <w:rsid w:val="005F3084"/>
    <w:rsid w:val="005F321A"/>
    <w:rsid w:val="005F34B5"/>
    <w:rsid w:val="005F3D43"/>
    <w:rsid w:val="005F4933"/>
    <w:rsid w:val="005F5767"/>
    <w:rsid w:val="005F590A"/>
    <w:rsid w:val="005F6636"/>
    <w:rsid w:val="005F742F"/>
    <w:rsid w:val="005F775A"/>
    <w:rsid w:val="005F77D8"/>
    <w:rsid w:val="005F7F19"/>
    <w:rsid w:val="005F7FFA"/>
    <w:rsid w:val="00600625"/>
    <w:rsid w:val="006006AE"/>
    <w:rsid w:val="006014DE"/>
    <w:rsid w:val="00601EEE"/>
    <w:rsid w:val="00602F3C"/>
    <w:rsid w:val="00603A1F"/>
    <w:rsid w:val="00603C33"/>
    <w:rsid w:val="0060448F"/>
    <w:rsid w:val="00604657"/>
    <w:rsid w:val="00605535"/>
    <w:rsid w:val="00606A11"/>
    <w:rsid w:val="00606A1B"/>
    <w:rsid w:val="006100B3"/>
    <w:rsid w:val="006102F8"/>
    <w:rsid w:val="00611446"/>
    <w:rsid w:val="00611940"/>
    <w:rsid w:val="00611C84"/>
    <w:rsid w:val="00612160"/>
    <w:rsid w:val="0061244F"/>
    <w:rsid w:val="00612A7B"/>
    <w:rsid w:val="0061316D"/>
    <w:rsid w:val="006133BC"/>
    <w:rsid w:val="006138F1"/>
    <w:rsid w:val="0061414A"/>
    <w:rsid w:val="00614215"/>
    <w:rsid w:val="006145AB"/>
    <w:rsid w:val="00614E55"/>
    <w:rsid w:val="00614E60"/>
    <w:rsid w:val="00615434"/>
    <w:rsid w:val="0061586E"/>
    <w:rsid w:val="00617062"/>
    <w:rsid w:val="006172C1"/>
    <w:rsid w:val="0061752B"/>
    <w:rsid w:val="0061759D"/>
    <w:rsid w:val="00617A03"/>
    <w:rsid w:val="00617BB6"/>
    <w:rsid w:val="00620435"/>
    <w:rsid w:val="00620A4D"/>
    <w:rsid w:val="0062102A"/>
    <w:rsid w:val="006229C7"/>
    <w:rsid w:val="00622CF8"/>
    <w:rsid w:val="00622EDC"/>
    <w:rsid w:val="0062339F"/>
    <w:rsid w:val="006236A0"/>
    <w:rsid w:val="00623E39"/>
    <w:rsid w:val="00624935"/>
    <w:rsid w:val="00624B09"/>
    <w:rsid w:val="00624EDD"/>
    <w:rsid w:val="006255BC"/>
    <w:rsid w:val="00625733"/>
    <w:rsid w:val="006258E0"/>
    <w:rsid w:val="006259E3"/>
    <w:rsid w:val="00625F5D"/>
    <w:rsid w:val="00626065"/>
    <w:rsid w:val="006261C0"/>
    <w:rsid w:val="00626871"/>
    <w:rsid w:val="00626AEC"/>
    <w:rsid w:val="006270CA"/>
    <w:rsid w:val="00627A4C"/>
    <w:rsid w:val="00627D95"/>
    <w:rsid w:val="006300B0"/>
    <w:rsid w:val="006300E9"/>
    <w:rsid w:val="00630838"/>
    <w:rsid w:val="00630C59"/>
    <w:rsid w:val="0063128E"/>
    <w:rsid w:val="006313FF"/>
    <w:rsid w:val="00631F0C"/>
    <w:rsid w:val="00632AF1"/>
    <w:rsid w:val="00633688"/>
    <w:rsid w:val="006336F1"/>
    <w:rsid w:val="00633A1F"/>
    <w:rsid w:val="00635946"/>
    <w:rsid w:val="00636037"/>
    <w:rsid w:val="0063731B"/>
    <w:rsid w:val="006374A3"/>
    <w:rsid w:val="006374A8"/>
    <w:rsid w:val="006377AD"/>
    <w:rsid w:val="00637A0D"/>
    <w:rsid w:val="00637AEE"/>
    <w:rsid w:val="00637FE5"/>
    <w:rsid w:val="0064018B"/>
    <w:rsid w:val="006402B8"/>
    <w:rsid w:val="00640502"/>
    <w:rsid w:val="00640773"/>
    <w:rsid w:val="006408A5"/>
    <w:rsid w:val="00640C2C"/>
    <w:rsid w:val="00641536"/>
    <w:rsid w:val="006416B2"/>
    <w:rsid w:val="00641852"/>
    <w:rsid w:val="0064192C"/>
    <w:rsid w:val="00641A56"/>
    <w:rsid w:val="00641A74"/>
    <w:rsid w:val="00642645"/>
    <w:rsid w:val="0064343F"/>
    <w:rsid w:val="00643D74"/>
    <w:rsid w:val="00643F6A"/>
    <w:rsid w:val="00644252"/>
    <w:rsid w:val="006445E0"/>
    <w:rsid w:val="006449DF"/>
    <w:rsid w:val="00644AA4"/>
    <w:rsid w:val="00644B7B"/>
    <w:rsid w:val="00645E5E"/>
    <w:rsid w:val="00645EA1"/>
    <w:rsid w:val="0065012E"/>
    <w:rsid w:val="00650996"/>
    <w:rsid w:val="00650FE3"/>
    <w:rsid w:val="0065118A"/>
    <w:rsid w:val="00651A30"/>
    <w:rsid w:val="00652186"/>
    <w:rsid w:val="00652B8B"/>
    <w:rsid w:val="00653546"/>
    <w:rsid w:val="0065393A"/>
    <w:rsid w:val="0065393B"/>
    <w:rsid w:val="00653BFD"/>
    <w:rsid w:val="0065477C"/>
    <w:rsid w:val="006548B9"/>
    <w:rsid w:val="00654FAB"/>
    <w:rsid w:val="00655E61"/>
    <w:rsid w:val="00656239"/>
    <w:rsid w:val="006567B5"/>
    <w:rsid w:val="006568BB"/>
    <w:rsid w:val="006568F1"/>
    <w:rsid w:val="00656D45"/>
    <w:rsid w:val="00657427"/>
    <w:rsid w:val="00657E55"/>
    <w:rsid w:val="00660222"/>
    <w:rsid w:val="006607F4"/>
    <w:rsid w:val="00660D95"/>
    <w:rsid w:val="0066111E"/>
    <w:rsid w:val="00661658"/>
    <w:rsid w:val="00661FF0"/>
    <w:rsid w:val="006622DA"/>
    <w:rsid w:val="0066246B"/>
    <w:rsid w:val="006648AA"/>
    <w:rsid w:val="00664F63"/>
    <w:rsid w:val="00665BC3"/>
    <w:rsid w:val="00666940"/>
    <w:rsid w:val="00666A72"/>
    <w:rsid w:val="00666C95"/>
    <w:rsid w:val="00666EF6"/>
    <w:rsid w:val="00667EF1"/>
    <w:rsid w:val="0067019C"/>
    <w:rsid w:val="006714F0"/>
    <w:rsid w:val="00672C47"/>
    <w:rsid w:val="00672CC8"/>
    <w:rsid w:val="00672D7C"/>
    <w:rsid w:val="00672E47"/>
    <w:rsid w:val="00673027"/>
    <w:rsid w:val="00673275"/>
    <w:rsid w:val="006739DF"/>
    <w:rsid w:val="006742C8"/>
    <w:rsid w:val="00674A06"/>
    <w:rsid w:val="00675293"/>
    <w:rsid w:val="0067581C"/>
    <w:rsid w:val="00675B79"/>
    <w:rsid w:val="00676B21"/>
    <w:rsid w:val="0067723C"/>
    <w:rsid w:val="006801B9"/>
    <w:rsid w:val="006801D1"/>
    <w:rsid w:val="00680433"/>
    <w:rsid w:val="006810EB"/>
    <w:rsid w:val="00681191"/>
    <w:rsid w:val="006813A8"/>
    <w:rsid w:val="006814DA"/>
    <w:rsid w:val="00682490"/>
    <w:rsid w:val="00682685"/>
    <w:rsid w:val="00682D87"/>
    <w:rsid w:val="00683606"/>
    <w:rsid w:val="00683991"/>
    <w:rsid w:val="00684051"/>
    <w:rsid w:val="00684953"/>
    <w:rsid w:val="00685318"/>
    <w:rsid w:val="0068575B"/>
    <w:rsid w:val="00686249"/>
    <w:rsid w:val="00687312"/>
    <w:rsid w:val="00687A9F"/>
    <w:rsid w:val="0069026B"/>
    <w:rsid w:val="00690436"/>
    <w:rsid w:val="00690674"/>
    <w:rsid w:val="00690B3A"/>
    <w:rsid w:val="00690DEF"/>
    <w:rsid w:val="006920B5"/>
    <w:rsid w:val="00692B58"/>
    <w:rsid w:val="00694428"/>
    <w:rsid w:val="00694A76"/>
    <w:rsid w:val="006952F2"/>
    <w:rsid w:val="006952FD"/>
    <w:rsid w:val="0069620C"/>
    <w:rsid w:val="00696F2B"/>
    <w:rsid w:val="006977A1"/>
    <w:rsid w:val="00697A9E"/>
    <w:rsid w:val="006A0461"/>
    <w:rsid w:val="006A088D"/>
    <w:rsid w:val="006A1207"/>
    <w:rsid w:val="006A16AD"/>
    <w:rsid w:val="006A295C"/>
    <w:rsid w:val="006A2B7E"/>
    <w:rsid w:val="006A3C1C"/>
    <w:rsid w:val="006A4CAE"/>
    <w:rsid w:val="006A5496"/>
    <w:rsid w:val="006A5E22"/>
    <w:rsid w:val="006A5FA9"/>
    <w:rsid w:val="006B1B32"/>
    <w:rsid w:val="006B1BF2"/>
    <w:rsid w:val="006B1F12"/>
    <w:rsid w:val="006B3495"/>
    <w:rsid w:val="006B42C1"/>
    <w:rsid w:val="006B663A"/>
    <w:rsid w:val="006B73BA"/>
    <w:rsid w:val="006B7722"/>
    <w:rsid w:val="006C0BBC"/>
    <w:rsid w:val="006C1690"/>
    <w:rsid w:val="006C1850"/>
    <w:rsid w:val="006C188F"/>
    <w:rsid w:val="006C1ED8"/>
    <w:rsid w:val="006C21B1"/>
    <w:rsid w:val="006C25BB"/>
    <w:rsid w:val="006C2929"/>
    <w:rsid w:val="006C3B6F"/>
    <w:rsid w:val="006C3BB3"/>
    <w:rsid w:val="006C4EBD"/>
    <w:rsid w:val="006C5570"/>
    <w:rsid w:val="006C5B94"/>
    <w:rsid w:val="006C6F62"/>
    <w:rsid w:val="006C726C"/>
    <w:rsid w:val="006C740C"/>
    <w:rsid w:val="006C7F48"/>
    <w:rsid w:val="006D014A"/>
    <w:rsid w:val="006D049B"/>
    <w:rsid w:val="006D0B85"/>
    <w:rsid w:val="006D1302"/>
    <w:rsid w:val="006D14BC"/>
    <w:rsid w:val="006D177E"/>
    <w:rsid w:val="006D18D5"/>
    <w:rsid w:val="006D1BD8"/>
    <w:rsid w:val="006D1C83"/>
    <w:rsid w:val="006D2465"/>
    <w:rsid w:val="006D2B8F"/>
    <w:rsid w:val="006D2C6D"/>
    <w:rsid w:val="006D2C98"/>
    <w:rsid w:val="006D34BC"/>
    <w:rsid w:val="006D3789"/>
    <w:rsid w:val="006D3A62"/>
    <w:rsid w:val="006D4023"/>
    <w:rsid w:val="006D449B"/>
    <w:rsid w:val="006D52CF"/>
    <w:rsid w:val="006D5527"/>
    <w:rsid w:val="006D5CE7"/>
    <w:rsid w:val="006D5E88"/>
    <w:rsid w:val="006D608B"/>
    <w:rsid w:val="006D65C7"/>
    <w:rsid w:val="006D660A"/>
    <w:rsid w:val="006D6A56"/>
    <w:rsid w:val="006D73C8"/>
    <w:rsid w:val="006D7D8E"/>
    <w:rsid w:val="006D7FC0"/>
    <w:rsid w:val="006E0033"/>
    <w:rsid w:val="006E027E"/>
    <w:rsid w:val="006E0316"/>
    <w:rsid w:val="006E07AB"/>
    <w:rsid w:val="006E0A79"/>
    <w:rsid w:val="006E0E5C"/>
    <w:rsid w:val="006E0EE5"/>
    <w:rsid w:val="006E1D2F"/>
    <w:rsid w:val="006E29C5"/>
    <w:rsid w:val="006E34D6"/>
    <w:rsid w:val="006E3C8D"/>
    <w:rsid w:val="006E45D7"/>
    <w:rsid w:val="006E4762"/>
    <w:rsid w:val="006E4D3D"/>
    <w:rsid w:val="006E5329"/>
    <w:rsid w:val="006E56F4"/>
    <w:rsid w:val="006E5A42"/>
    <w:rsid w:val="006E611F"/>
    <w:rsid w:val="006E651A"/>
    <w:rsid w:val="006E6568"/>
    <w:rsid w:val="006E69B6"/>
    <w:rsid w:val="006E71AA"/>
    <w:rsid w:val="006E7792"/>
    <w:rsid w:val="006F005C"/>
    <w:rsid w:val="006F0475"/>
    <w:rsid w:val="006F0719"/>
    <w:rsid w:val="006F16AE"/>
    <w:rsid w:val="006F1CDC"/>
    <w:rsid w:val="006F2457"/>
    <w:rsid w:val="006F2FDD"/>
    <w:rsid w:val="006F3143"/>
    <w:rsid w:val="006F3A03"/>
    <w:rsid w:val="006F4566"/>
    <w:rsid w:val="006F47D6"/>
    <w:rsid w:val="006F4A48"/>
    <w:rsid w:val="006F4F43"/>
    <w:rsid w:val="006F51A5"/>
    <w:rsid w:val="006F56D4"/>
    <w:rsid w:val="006F5BAB"/>
    <w:rsid w:val="006F658F"/>
    <w:rsid w:val="006F6894"/>
    <w:rsid w:val="006F6D98"/>
    <w:rsid w:val="006F74C0"/>
    <w:rsid w:val="006F7D55"/>
    <w:rsid w:val="00700772"/>
    <w:rsid w:val="007007ED"/>
    <w:rsid w:val="0070113C"/>
    <w:rsid w:val="007012C4"/>
    <w:rsid w:val="0070139C"/>
    <w:rsid w:val="007013CC"/>
    <w:rsid w:val="007014DE"/>
    <w:rsid w:val="00701AC2"/>
    <w:rsid w:val="00701EFC"/>
    <w:rsid w:val="00702452"/>
    <w:rsid w:val="007024F8"/>
    <w:rsid w:val="007028D7"/>
    <w:rsid w:val="0070466B"/>
    <w:rsid w:val="00706548"/>
    <w:rsid w:val="00706593"/>
    <w:rsid w:val="00706C25"/>
    <w:rsid w:val="00707248"/>
    <w:rsid w:val="00707965"/>
    <w:rsid w:val="00707C4A"/>
    <w:rsid w:val="0071059E"/>
    <w:rsid w:val="00710CBA"/>
    <w:rsid w:val="00710E53"/>
    <w:rsid w:val="00710FF4"/>
    <w:rsid w:val="00711AF1"/>
    <w:rsid w:val="00711B1E"/>
    <w:rsid w:val="007126DF"/>
    <w:rsid w:val="00713A00"/>
    <w:rsid w:val="00713AF6"/>
    <w:rsid w:val="00713BD8"/>
    <w:rsid w:val="00715623"/>
    <w:rsid w:val="00715DD4"/>
    <w:rsid w:val="00716136"/>
    <w:rsid w:val="007166FA"/>
    <w:rsid w:val="007169C6"/>
    <w:rsid w:val="00716D38"/>
    <w:rsid w:val="00717096"/>
    <w:rsid w:val="00717FE4"/>
    <w:rsid w:val="007205D2"/>
    <w:rsid w:val="00720879"/>
    <w:rsid w:val="00721247"/>
    <w:rsid w:val="00721303"/>
    <w:rsid w:val="007213FD"/>
    <w:rsid w:val="007229A3"/>
    <w:rsid w:val="00722F54"/>
    <w:rsid w:val="00723898"/>
    <w:rsid w:val="00723C04"/>
    <w:rsid w:val="00723CAA"/>
    <w:rsid w:val="00723D77"/>
    <w:rsid w:val="0072404E"/>
    <w:rsid w:val="0072410A"/>
    <w:rsid w:val="007248CB"/>
    <w:rsid w:val="00724ECB"/>
    <w:rsid w:val="00725150"/>
    <w:rsid w:val="0072521F"/>
    <w:rsid w:val="00725391"/>
    <w:rsid w:val="0072571E"/>
    <w:rsid w:val="00725FB6"/>
    <w:rsid w:val="00725FDC"/>
    <w:rsid w:val="00726F00"/>
    <w:rsid w:val="0072771B"/>
    <w:rsid w:val="00727AB5"/>
    <w:rsid w:val="00727EBC"/>
    <w:rsid w:val="00727F85"/>
    <w:rsid w:val="00730939"/>
    <w:rsid w:val="007310D7"/>
    <w:rsid w:val="007312F2"/>
    <w:rsid w:val="00731B03"/>
    <w:rsid w:val="0073344F"/>
    <w:rsid w:val="0073433D"/>
    <w:rsid w:val="00734708"/>
    <w:rsid w:val="0073474C"/>
    <w:rsid w:val="00734981"/>
    <w:rsid w:val="00735B4F"/>
    <w:rsid w:val="0073613D"/>
    <w:rsid w:val="0073670A"/>
    <w:rsid w:val="007379F9"/>
    <w:rsid w:val="00737E86"/>
    <w:rsid w:val="00737F63"/>
    <w:rsid w:val="007400A2"/>
    <w:rsid w:val="0074067E"/>
    <w:rsid w:val="007410D9"/>
    <w:rsid w:val="007416AB"/>
    <w:rsid w:val="00741BB4"/>
    <w:rsid w:val="00741E6D"/>
    <w:rsid w:val="0074252F"/>
    <w:rsid w:val="007426EF"/>
    <w:rsid w:val="00742D72"/>
    <w:rsid w:val="007448B2"/>
    <w:rsid w:val="00745A03"/>
    <w:rsid w:val="00745AF5"/>
    <w:rsid w:val="00745B89"/>
    <w:rsid w:val="00745DD5"/>
    <w:rsid w:val="007470A4"/>
    <w:rsid w:val="007477A1"/>
    <w:rsid w:val="007478E2"/>
    <w:rsid w:val="00747FAE"/>
    <w:rsid w:val="0075009F"/>
    <w:rsid w:val="00751843"/>
    <w:rsid w:val="007519D2"/>
    <w:rsid w:val="007520D0"/>
    <w:rsid w:val="0075218C"/>
    <w:rsid w:val="00752223"/>
    <w:rsid w:val="00752B97"/>
    <w:rsid w:val="00752F11"/>
    <w:rsid w:val="0075369F"/>
    <w:rsid w:val="00754884"/>
    <w:rsid w:val="00754DA0"/>
    <w:rsid w:val="0075523F"/>
    <w:rsid w:val="007555D8"/>
    <w:rsid w:val="00755C1D"/>
    <w:rsid w:val="007564E1"/>
    <w:rsid w:val="00756750"/>
    <w:rsid w:val="00756FBA"/>
    <w:rsid w:val="007573EC"/>
    <w:rsid w:val="0075766C"/>
    <w:rsid w:val="00757C4F"/>
    <w:rsid w:val="00757CF3"/>
    <w:rsid w:val="0076048C"/>
    <w:rsid w:val="007604B2"/>
    <w:rsid w:val="007608AE"/>
    <w:rsid w:val="00761CA9"/>
    <w:rsid w:val="007632EA"/>
    <w:rsid w:val="00763965"/>
    <w:rsid w:val="00763A2E"/>
    <w:rsid w:val="00763E87"/>
    <w:rsid w:val="00764061"/>
    <w:rsid w:val="0076441E"/>
    <w:rsid w:val="0076463D"/>
    <w:rsid w:val="007655A9"/>
    <w:rsid w:val="00765EDD"/>
    <w:rsid w:val="00766511"/>
    <w:rsid w:val="00766AE8"/>
    <w:rsid w:val="00766D66"/>
    <w:rsid w:val="007674D1"/>
    <w:rsid w:val="0077014A"/>
    <w:rsid w:val="00770E84"/>
    <w:rsid w:val="00770FF0"/>
    <w:rsid w:val="00771B5B"/>
    <w:rsid w:val="00772399"/>
    <w:rsid w:val="00772DA8"/>
    <w:rsid w:val="00773325"/>
    <w:rsid w:val="00773368"/>
    <w:rsid w:val="007733D8"/>
    <w:rsid w:val="00773504"/>
    <w:rsid w:val="0077357D"/>
    <w:rsid w:val="00773CED"/>
    <w:rsid w:val="00774385"/>
    <w:rsid w:val="0077478D"/>
    <w:rsid w:val="0077480A"/>
    <w:rsid w:val="00774921"/>
    <w:rsid w:val="00774E9D"/>
    <w:rsid w:val="007753C2"/>
    <w:rsid w:val="00776AEA"/>
    <w:rsid w:val="00776CAC"/>
    <w:rsid w:val="00777BE3"/>
    <w:rsid w:val="00777E49"/>
    <w:rsid w:val="007800C8"/>
    <w:rsid w:val="007805BE"/>
    <w:rsid w:val="00780E6F"/>
    <w:rsid w:val="0078156B"/>
    <w:rsid w:val="0078178C"/>
    <w:rsid w:val="00781870"/>
    <w:rsid w:val="00781EE4"/>
    <w:rsid w:val="00782AE3"/>
    <w:rsid w:val="007831B0"/>
    <w:rsid w:val="00783E65"/>
    <w:rsid w:val="00784098"/>
    <w:rsid w:val="0078466C"/>
    <w:rsid w:val="00784A05"/>
    <w:rsid w:val="00784BF9"/>
    <w:rsid w:val="00785A7D"/>
    <w:rsid w:val="007861C7"/>
    <w:rsid w:val="00786472"/>
    <w:rsid w:val="007869A4"/>
    <w:rsid w:val="00786B92"/>
    <w:rsid w:val="00786C33"/>
    <w:rsid w:val="00786CF1"/>
    <w:rsid w:val="00787293"/>
    <w:rsid w:val="00790042"/>
    <w:rsid w:val="00790FFC"/>
    <w:rsid w:val="0079154E"/>
    <w:rsid w:val="0079178F"/>
    <w:rsid w:val="00791A34"/>
    <w:rsid w:val="007923C8"/>
    <w:rsid w:val="00792DDF"/>
    <w:rsid w:val="00793412"/>
    <w:rsid w:val="007934D6"/>
    <w:rsid w:val="007937C3"/>
    <w:rsid w:val="00793E4F"/>
    <w:rsid w:val="00795204"/>
    <w:rsid w:val="00796956"/>
    <w:rsid w:val="0079696F"/>
    <w:rsid w:val="00796A5C"/>
    <w:rsid w:val="007970EE"/>
    <w:rsid w:val="0079763D"/>
    <w:rsid w:val="00797F34"/>
    <w:rsid w:val="007A01DD"/>
    <w:rsid w:val="007A0A6C"/>
    <w:rsid w:val="007A0D48"/>
    <w:rsid w:val="007A1157"/>
    <w:rsid w:val="007A2249"/>
    <w:rsid w:val="007A2B70"/>
    <w:rsid w:val="007A364E"/>
    <w:rsid w:val="007A3F6D"/>
    <w:rsid w:val="007A4147"/>
    <w:rsid w:val="007A4B86"/>
    <w:rsid w:val="007A4BFC"/>
    <w:rsid w:val="007A66D1"/>
    <w:rsid w:val="007A6929"/>
    <w:rsid w:val="007A6E1E"/>
    <w:rsid w:val="007A7060"/>
    <w:rsid w:val="007A767B"/>
    <w:rsid w:val="007B095D"/>
    <w:rsid w:val="007B0E08"/>
    <w:rsid w:val="007B1377"/>
    <w:rsid w:val="007B13E9"/>
    <w:rsid w:val="007B1C0D"/>
    <w:rsid w:val="007B3934"/>
    <w:rsid w:val="007B3A92"/>
    <w:rsid w:val="007B408F"/>
    <w:rsid w:val="007B555B"/>
    <w:rsid w:val="007B5767"/>
    <w:rsid w:val="007B5BBB"/>
    <w:rsid w:val="007B6088"/>
    <w:rsid w:val="007B60FF"/>
    <w:rsid w:val="007B62D7"/>
    <w:rsid w:val="007B6F5D"/>
    <w:rsid w:val="007B7866"/>
    <w:rsid w:val="007B7E07"/>
    <w:rsid w:val="007C1194"/>
    <w:rsid w:val="007C20E6"/>
    <w:rsid w:val="007C2165"/>
    <w:rsid w:val="007C2226"/>
    <w:rsid w:val="007C2A6F"/>
    <w:rsid w:val="007C32CF"/>
    <w:rsid w:val="007C3616"/>
    <w:rsid w:val="007C3824"/>
    <w:rsid w:val="007C3A81"/>
    <w:rsid w:val="007C3E7C"/>
    <w:rsid w:val="007C3F48"/>
    <w:rsid w:val="007C48CF"/>
    <w:rsid w:val="007C5B5A"/>
    <w:rsid w:val="007C5EAF"/>
    <w:rsid w:val="007C609C"/>
    <w:rsid w:val="007C7229"/>
    <w:rsid w:val="007C7730"/>
    <w:rsid w:val="007C7B55"/>
    <w:rsid w:val="007C7EFD"/>
    <w:rsid w:val="007D0712"/>
    <w:rsid w:val="007D0CEF"/>
    <w:rsid w:val="007D0EDE"/>
    <w:rsid w:val="007D12EE"/>
    <w:rsid w:val="007D1580"/>
    <w:rsid w:val="007D1DE3"/>
    <w:rsid w:val="007D294B"/>
    <w:rsid w:val="007D2FF6"/>
    <w:rsid w:val="007D316F"/>
    <w:rsid w:val="007D3817"/>
    <w:rsid w:val="007D3FD2"/>
    <w:rsid w:val="007D40CD"/>
    <w:rsid w:val="007D489C"/>
    <w:rsid w:val="007D55B2"/>
    <w:rsid w:val="007D5A8B"/>
    <w:rsid w:val="007D5B42"/>
    <w:rsid w:val="007D62A4"/>
    <w:rsid w:val="007D6323"/>
    <w:rsid w:val="007D66E8"/>
    <w:rsid w:val="007D6C70"/>
    <w:rsid w:val="007D708A"/>
    <w:rsid w:val="007D75DB"/>
    <w:rsid w:val="007E070F"/>
    <w:rsid w:val="007E092D"/>
    <w:rsid w:val="007E1458"/>
    <w:rsid w:val="007E21D0"/>
    <w:rsid w:val="007E25DE"/>
    <w:rsid w:val="007E2B6B"/>
    <w:rsid w:val="007E2BA6"/>
    <w:rsid w:val="007E31B7"/>
    <w:rsid w:val="007E3845"/>
    <w:rsid w:val="007E4109"/>
    <w:rsid w:val="007E493B"/>
    <w:rsid w:val="007E59EA"/>
    <w:rsid w:val="007E637A"/>
    <w:rsid w:val="007E6D00"/>
    <w:rsid w:val="007E7209"/>
    <w:rsid w:val="007E7986"/>
    <w:rsid w:val="007E7F5E"/>
    <w:rsid w:val="007F03C5"/>
    <w:rsid w:val="007F08E4"/>
    <w:rsid w:val="007F0B7C"/>
    <w:rsid w:val="007F1458"/>
    <w:rsid w:val="007F1A75"/>
    <w:rsid w:val="007F2BED"/>
    <w:rsid w:val="007F3796"/>
    <w:rsid w:val="007F47C8"/>
    <w:rsid w:val="007F4973"/>
    <w:rsid w:val="007F539D"/>
    <w:rsid w:val="007F5913"/>
    <w:rsid w:val="007F5B32"/>
    <w:rsid w:val="007F5C00"/>
    <w:rsid w:val="007F5C8C"/>
    <w:rsid w:val="007F5D69"/>
    <w:rsid w:val="007F7428"/>
    <w:rsid w:val="007F7C9A"/>
    <w:rsid w:val="00800601"/>
    <w:rsid w:val="008010BC"/>
    <w:rsid w:val="00801D90"/>
    <w:rsid w:val="008024B2"/>
    <w:rsid w:val="00802760"/>
    <w:rsid w:val="0080290B"/>
    <w:rsid w:val="00802E0B"/>
    <w:rsid w:val="00803A33"/>
    <w:rsid w:val="00803CAA"/>
    <w:rsid w:val="008042ED"/>
    <w:rsid w:val="008046D2"/>
    <w:rsid w:val="008048A9"/>
    <w:rsid w:val="008048FB"/>
    <w:rsid w:val="0080493B"/>
    <w:rsid w:val="008049B4"/>
    <w:rsid w:val="00804FC2"/>
    <w:rsid w:val="0080576D"/>
    <w:rsid w:val="008061D5"/>
    <w:rsid w:val="00806360"/>
    <w:rsid w:val="00806FBE"/>
    <w:rsid w:val="008076AC"/>
    <w:rsid w:val="00807FE2"/>
    <w:rsid w:val="008104EB"/>
    <w:rsid w:val="008114BE"/>
    <w:rsid w:val="008118C3"/>
    <w:rsid w:val="0081193A"/>
    <w:rsid w:val="008119B4"/>
    <w:rsid w:val="00811A62"/>
    <w:rsid w:val="008122A8"/>
    <w:rsid w:val="00812370"/>
    <w:rsid w:val="00812726"/>
    <w:rsid w:val="008130F6"/>
    <w:rsid w:val="00813BDB"/>
    <w:rsid w:val="008143B0"/>
    <w:rsid w:val="008148E0"/>
    <w:rsid w:val="00814C1C"/>
    <w:rsid w:val="00814CEF"/>
    <w:rsid w:val="00814D82"/>
    <w:rsid w:val="0081536B"/>
    <w:rsid w:val="00815CD4"/>
    <w:rsid w:val="0081640A"/>
    <w:rsid w:val="008177EB"/>
    <w:rsid w:val="0081787B"/>
    <w:rsid w:val="008204F8"/>
    <w:rsid w:val="008205AA"/>
    <w:rsid w:val="0082073A"/>
    <w:rsid w:val="00821411"/>
    <w:rsid w:val="00822267"/>
    <w:rsid w:val="0082274A"/>
    <w:rsid w:val="0082282F"/>
    <w:rsid w:val="00823279"/>
    <w:rsid w:val="008236C2"/>
    <w:rsid w:val="00823949"/>
    <w:rsid w:val="008239E0"/>
    <w:rsid w:val="0082409B"/>
    <w:rsid w:val="008240DD"/>
    <w:rsid w:val="00824657"/>
    <w:rsid w:val="00824C3E"/>
    <w:rsid w:val="00824C8C"/>
    <w:rsid w:val="00824D37"/>
    <w:rsid w:val="00825400"/>
    <w:rsid w:val="00825811"/>
    <w:rsid w:val="00825B31"/>
    <w:rsid w:val="00825D7B"/>
    <w:rsid w:val="00826428"/>
    <w:rsid w:val="008269A9"/>
    <w:rsid w:val="00826F98"/>
    <w:rsid w:val="00827084"/>
    <w:rsid w:val="00827495"/>
    <w:rsid w:val="0083017D"/>
    <w:rsid w:val="0083092C"/>
    <w:rsid w:val="00830EFF"/>
    <w:rsid w:val="00831303"/>
    <w:rsid w:val="0083136F"/>
    <w:rsid w:val="008315B6"/>
    <w:rsid w:val="008318BA"/>
    <w:rsid w:val="00833200"/>
    <w:rsid w:val="00833244"/>
    <w:rsid w:val="008337B2"/>
    <w:rsid w:val="008345A6"/>
    <w:rsid w:val="00834740"/>
    <w:rsid w:val="00835234"/>
    <w:rsid w:val="0083568F"/>
    <w:rsid w:val="00835A1E"/>
    <w:rsid w:val="00835E8E"/>
    <w:rsid w:val="00835FED"/>
    <w:rsid w:val="0083600C"/>
    <w:rsid w:val="008366E4"/>
    <w:rsid w:val="00836C9C"/>
    <w:rsid w:val="00836FB3"/>
    <w:rsid w:val="0083722C"/>
    <w:rsid w:val="008373AA"/>
    <w:rsid w:val="00840608"/>
    <w:rsid w:val="00840DCD"/>
    <w:rsid w:val="00840E79"/>
    <w:rsid w:val="0084114E"/>
    <w:rsid w:val="00841426"/>
    <w:rsid w:val="00841C89"/>
    <w:rsid w:val="00841D64"/>
    <w:rsid w:val="00841FCE"/>
    <w:rsid w:val="0084269F"/>
    <w:rsid w:val="00842C1D"/>
    <w:rsid w:val="00843F33"/>
    <w:rsid w:val="008446D6"/>
    <w:rsid w:val="00844BB5"/>
    <w:rsid w:val="008450FD"/>
    <w:rsid w:val="008452C4"/>
    <w:rsid w:val="00845C00"/>
    <w:rsid w:val="00845C41"/>
    <w:rsid w:val="00846500"/>
    <w:rsid w:val="00846593"/>
    <w:rsid w:val="00846869"/>
    <w:rsid w:val="00846C91"/>
    <w:rsid w:val="0084736C"/>
    <w:rsid w:val="00847976"/>
    <w:rsid w:val="00847B7F"/>
    <w:rsid w:val="00850FB5"/>
    <w:rsid w:val="00852260"/>
    <w:rsid w:val="008528D2"/>
    <w:rsid w:val="00852B69"/>
    <w:rsid w:val="00852CF0"/>
    <w:rsid w:val="008532DD"/>
    <w:rsid w:val="0085480F"/>
    <w:rsid w:val="008558B9"/>
    <w:rsid w:val="0085655E"/>
    <w:rsid w:val="00857111"/>
    <w:rsid w:val="00857F04"/>
    <w:rsid w:val="008609B0"/>
    <w:rsid w:val="00860AD3"/>
    <w:rsid w:val="00860DC8"/>
    <w:rsid w:val="00861890"/>
    <w:rsid w:val="008618B1"/>
    <w:rsid w:val="00861CFB"/>
    <w:rsid w:val="00861E36"/>
    <w:rsid w:val="00862E7B"/>
    <w:rsid w:val="00863A04"/>
    <w:rsid w:val="0086430A"/>
    <w:rsid w:val="00864A51"/>
    <w:rsid w:val="00864C05"/>
    <w:rsid w:val="00865A29"/>
    <w:rsid w:val="00865BDF"/>
    <w:rsid w:val="0086602E"/>
    <w:rsid w:val="008669EB"/>
    <w:rsid w:val="00866EAB"/>
    <w:rsid w:val="00867037"/>
    <w:rsid w:val="00867E13"/>
    <w:rsid w:val="00867EFA"/>
    <w:rsid w:val="00870109"/>
    <w:rsid w:val="0087039C"/>
    <w:rsid w:val="00870A42"/>
    <w:rsid w:val="00870D1E"/>
    <w:rsid w:val="00870E4C"/>
    <w:rsid w:val="00870FF5"/>
    <w:rsid w:val="008710F9"/>
    <w:rsid w:val="00872290"/>
    <w:rsid w:val="008726D7"/>
    <w:rsid w:val="00872BF3"/>
    <w:rsid w:val="00872C77"/>
    <w:rsid w:val="00872E0B"/>
    <w:rsid w:val="008737DC"/>
    <w:rsid w:val="00874017"/>
    <w:rsid w:val="008741CA"/>
    <w:rsid w:val="008743CF"/>
    <w:rsid w:val="00874C0F"/>
    <w:rsid w:val="00875701"/>
    <w:rsid w:val="00875964"/>
    <w:rsid w:val="00875C4B"/>
    <w:rsid w:val="008760FC"/>
    <w:rsid w:val="008765E8"/>
    <w:rsid w:val="00876A5C"/>
    <w:rsid w:val="00877BA7"/>
    <w:rsid w:val="00880166"/>
    <w:rsid w:val="00880698"/>
    <w:rsid w:val="00880810"/>
    <w:rsid w:val="00880822"/>
    <w:rsid w:val="008810ED"/>
    <w:rsid w:val="008816A5"/>
    <w:rsid w:val="00881A3F"/>
    <w:rsid w:val="00882605"/>
    <w:rsid w:val="008829FC"/>
    <w:rsid w:val="00883577"/>
    <w:rsid w:val="00883D3B"/>
    <w:rsid w:val="00883DEE"/>
    <w:rsid w:val="00884567"/>
    <w:rsid w:val="00884E1B"/>
    <w:rsid w:val="00884F13"/>
    <w:rsid w:val="00885291"/>
    <w:rsid w:val="00885F29"/>
    <w:rsid w:val="00886191"/>
    <w:rsid w:val="00886B09"/>
    <w:rsid w:val="00886CC2"/>
    <w:rsid w:val="00887034"/>
    <w:rsid w:val="00887377"/>
    <w:rsid w:val="0088762E"/>
    <w:rsid w:val="0088795A"/>
    <w:rsid w:val="00887AB2"/>
    <w:rsid w:val="00887D7A"/>
    <w:rsid w:val="008912C0"/>
    <w:rsid w:val="0089147C"/>
    <w:rsid w:val="00893369"/>
    <w:rsid w:val="0089495B"/>
    <w:rsid w:val="00894BB3"/>
    <w:rsid w:val="00895311"/>
    <w:rsid w:val="008954AD"/>
    <w:rsid w:val="00895DDE"/>
    <w:rsid w:val="008960D1"/>
    <w:rsid w:val="00896247"/>
    <w:rsid w:val="00896592"/>
    <w:rsid w:val="0089686A"/>
    <w:rsid w:val="0089708A"/>
    <w:rsid w:val="008975EC"/>
    <w:rsid w:val="00897BE6"/>
    <w:rsid w:val="00897CBE"/>
    <w:rsid w:val="008A030B"/>
    <w:rsid w:val="008A0940"/>
    <w:rsid w:val="008A0C50"/>
    <w:rsid w:val="008A1116"/>
    <w:rsid w:val="008A1498"/>
    <w:rsid w:val="008A2298"/>
    <w:rsid w:val="008A2EEE"/>
    <w:rsid w:val="008A352C"/>
    <w:rsid w:val="008A3535"/>
    <w:rsid w:val="008A377D"/>
    <w:rsid w:val="008A384E"/>
    <w:rsid w:val="008A3923"/>
    <w:rsid w:val="008A3D08"/>
    <w:rsid w:val="008A3E3C"/>
    <w:rsid w:val="008A5141"/>
    <w:rsid w:val="008A588E"/>
    <w:rsid w:val="008A5CB0"/>
    <w:rsid w:val="008A6C61"/>
    <w:rsid w:val="008A7030"/>
    <w:rsid w:val="008A72DB"/>
    <w:rsid w:val="008A7AFF"/>
    <w:rsid w:val="008A7EB2"/>
    <w:rsid w:val="008B1121"/>
    <w:rsid w:val="008B16F1"/>
    <w:rsid w:val="008B2294"/>
    <w:rsid w:val="008B2D7D"/>
    <w:rsid w:val="008B382D"/>
    <w:rsid w:val="008B3B8E"/>
    <w:rsid w:val="008B4024"/>
    <w:rsid w:val="008B4194"/>
    <w:rsid w:val="008B439E"/>
    <w:rsid w:val="008B4C59"/>
    <w:rsid w:val="008B5A21"/>
    <w:rsid w:val="008B667A"/>
    <w:rsid w:val="008B69AD"/>
    <w:rsid w:val="008B6B31"/>
    <w:rsid w:val="008B735D"/>
    <w:rsid w:val="008C2582"/>
    <w:rsid w:val="008C28A7"/>
    <w:rsid w:val="008C2AAA"/>
    <w:rsid w:val="008C2CE2"/>
    <w:rsid w:val="008C3761"/>
    <w:rsid w:val="008C40C7"/>
    <w:rsid w:val="008C418B"/>
    <w:rsid w:val="008C526A"/>
    <w:rsid w:val="008C5363"/>
    <w:rsid w:val="008C6F8A"/>
    <w:rsid w:val="008D012B"/>
    <w:rsid w:val="008D1438"/>
    <w:rsid w:val="008D172A"/>
    <w:rsid w:val="008D2012"/>
    <w:rsid w:val="008D2081"/>
    <w:rsid w:val="008D28A3"/>
    <w:rsid w:val="008D2919"/>
    <w:rsid w:val="008D30A0"/>
    <w:rsid w:val="008D31DC"/>
    <w:rsid w:val="008D33C8"/>
    <w:rsid w:val="008D41E4"/>
    <w:rsid w:val="008D446F"/>
    <w:rsid w:val="008D5847"/>
    <w:rsid w:val="008D5D0E"/>
    <w:rsid w:val="008D620A"/>
    <w:rsid w:val="008D64E5"/>
    <w:rsid w:val="008D6CCF"/>
    <w:rsid w:val="008D7AD0"/>
    <w:rsid w:val="008E0553"/>
    <w:rsid w:val="008E08ED"/>
    <w:rsid w:val="008E0DCE"/>
    <w:rsid w:val="008E0FB7"/>
    <w:rsid w:val="008E27D2"/>
    <w:rsid w:val="008E372D"/>
    <w:rsid w:val="008E3AE5"/>
    <w:rsid w:val="008E3B8A"/>
    <w:rsid w:val="008E3DC7"/>
    <w:rsid w:val="008E43B9"/>
    <w:rsid w:val="008E44ED"/>
    <w:rsid w:val="008E577A"/>
    <w:rsid w:val="008E5E7B"/>
    <w:rsid w:val="008E73E2"/>
    <w:rsid w:val="008E797C"/>
    <w:rsid w:val="008E7B6C"/>
    <w:rsid w:val="008F0EA2"/>
    <w:rsid w:val="008F100B"/>
    <w:rsid w:val="008F1CC1"/>
    <w:rsid w:val="008F1DFB"/>
    <w:rsid w:val="008F1EE7"/>
    <w:rsid w:val="008F23EE"/>
    <w:rsid w:val="008F2DED"/>
    <w:rsid w:val="008F324E"/>
    <w:rsid w:val="008F3454"/>
    <w:rsid w:val="008F3BEF"/>
    <w:rsid w:val="008F3D41"/>
    <w:rsid w:val="008F4661"/>
    <w:rsid w:val="008F4E3D"/>
    <w:rsid w:val="008F536B"/>
    <w:rsid w:val="008F5590"/>
    <w:rsid w:val="008F6537"/>
    <w:rsid w:val="008F6CBB"/>
    <w:rsid w:val="008F6DF2"/>
    <w:rsid w:val="008F7533"/>
    <w:rsid w:val="008F77C4"/>
    <w:rsid w:val="008F7ADD"/>
    <w:rsid w:val="00900521"/>
    <w:rsid w:val="00900EB7"/>
    <w:rsid w:val="00901638"/>
    <w:rsid w:val="00901BEC"/>
    <w:rsid w:val="00902180"/>
    <w:rsid w:val="00903193"/>
    <w:rsid w:val="009035D4"/>
    <w:rsid w:val="009035E0"/>
    <w:rsid w:val="00903654"/>
    <w:rsid w:val="00904411"/>
    <w:rsid w:val="00904451"/>
    <w:rsid w:val="00904D5F"/>
    <w:rsid w:val="00906510"/>
    <w:rsid w:val="009076A6"/>
    <w:rsid w:val="00907AD8"/>
    <w:rsid w:val="00910A1C"/>
    <w:rsid w:val="00910A65"/>
    <w:rsid w:val="00910C9D"/>
    <w:rsid w:val="00911027"/>
    <w:rsid w:val="0091137D"/>
    <w:rsid w:val="00911AA1"/>
    <w:rsid w:val="0091270A"/>
    <w:rsid w:val="00912B73"/>
    <w:rsid w:val="00912F7E"/>
    <w:rsid w:val="00913709"/>
    <w:rsid w:val="00913E18"/>
    <w:rsid w:val="0091558D"/>
    <w:rsid w:val="00915932"/>
    <w:rsid w:val="009160F2"/>
    <w:rsid w:val="00916A6B"/>
    <w:rsid w:val="00916DBB"/>
    <w:rsid w:val="00916E07"/>
    <w:rsid w:val="0091714B"/>
    <w:rsid w:val="0091719F"/>
    <w:rsid w:val="00917B2E"/>
    <w:rsid w:val="00920CA8"/>
    <w:rsid w:val="00920E37"/>
    <w:rsid w:val="00921A2F"/>
    <w:rsid w:val="009220D2"/>
    <w:rsid w:val="00922785"/>
    <w:rsid w:val="009228FE"/>
    <w:rsid w:val="00922C18"/>
    <w:rsid w:val="00922C38"/>
    <w:rsid w:val="00922E6E"/>
    <w:rsid w:val="009231FB"/>
    <w:rsid w:val="00923614"/>
    <w:rsid w:val="0092467E"/>
    <w:rsid w:val="00924831"/>
    <w:rsid w:val="009248AE"/>
    <w:rsid w:val="00924E90"/>
    <w:rsid w:val="00925EB7"/>
    <w:rsid w:val="009269D8"/>
    <w:rsid w:val="00926EB4"/>
    <w:rsid w:val="00930004"/>
    <w:rsid w:val="00930379"/>
    <w:rsid w:val="00930536"/>
    <w:rsid w:val="00930B16"/>
    <w:rsid w:val="00930BCB"/>
    <w:rsid w:val="009319C6"/>
    <w:rsid w:val="00931B44"/>
    <w:rsid w:val="0093261F"/>
    <w:rsid w:val="009326D1"/>
    <w:rsid w:val="00932788"/>
    <w:rsid w:val="00932AC5"/>
    <w:rsid w:val="00932EA4"/>
    <w:rsid w:val="009333F8"/>
    <w:rsid w:val="0093389B"/>
    <w:rsid w:val="009338B5"/>
    <w:rsid w:val="0093398C"/>
    <w:rsid w:val="00934388"/>
    <w:rsid w:val="00935763"/>
    <w:rsid w:val="00935D94"/>
    <w:rsid w:val="00936B26"/>
    <w:rsid w:val="00937165"/>
    <w:rsid w:val="00937AB5"/>
    <w:rsid w:val="00937B43"/>
    <w:rsid w:val="009403A1"/>
    <w:rsid w:val="00940EB9"/>
    <w:rsid w:val="00941459"/>
    <w:rsid w:val="00941C09"/>
    <w:rsid w:val="00942613"/>
    <w:rsid w:val="00942F74"/>
    <w:rsid w:val="00943C8B"/>
    <w:rsid w:val="00945183"/>
    <w:rsid w:val="00945C5A"/>
    <w:rsid w:val="00946186"/>
    <w:rsid w:val="00946580"/>
    <w:rsid w:val="0094661E"/>
    <w:rsid w:val="009469EB"/>
    <w:rsid w:val="0094787A"/>
    <w:rsid w:val="00947990"/>
    <w:rsid w:val="00947FD1"/>
    <w:rsid w:val="00950BC5"/>
    <w:rsid w:val="00951708"/>
    <w:rsid w:val="00951B68"/>
    <w:rsid w:val="00952062"/>
    <w:rsid w:val="0095219F"/>
    <w:rsid w:val="00952263"/>
    <w:rsid w:val="00952D1F"/>
    <w:rsid w:val="00952FD8"/>
    <w:rsid w:val="009534CB"/>
    <w:rsid w:val="0095474D"/>
    <w:rsid w:val="00955887"/>
    <w:rsid w:val="0095622F"/>
    <w:rsid w:val="0095715A"/>
    <w:rsid w:val="009572B5"/>
    <w:rsid w:val="009628C4"/>
    <w:rsid w:val="00963074"/>
    <w:rsid w:val="00963446"/>
    <w:rsid w:val="0096379A"/>
    <w:rsid w:val="00963E77"/>
    <w:rsid w:val="00963F92"/>
    <w:rsid w:val="00963FCC"/>
    <w:rsid w:val="0096402B"/>
    <w:rsid w:val="009661FE"/>
    <w:rsid w:val="009667BE"/>
    <w:rsid w:val="009670D4"/>
    <w:rsid w:val="00967295"/>
    <w:rsid w:val="00967ECC"/>
    <w:rsid w:val="009701BE"/>
    <w:rsid w:val="00970B27"/>
    <w:rsid w:val="0097166D"/>
    <w:rsid w:val="00972106"/>
    <w:rsid w:val="009732A8"/>
    <w:rsid w:val="00974EB6"/>
    <w:rsid w:val="0097558D"/>
    <w:rsid w:val="00975D33"/>
    <w:rsid w:val="009767B7"/>
    <w:rsid w:val="009768D4"/>
    <w:rsid w:val="0097722D"/>
    <w:rsid w:val="009779E4"/>
    <w:rsid w:val="0098028A"/>
    <w:rsid w:val="00980660"/>
    <w:rsid w:val="00982642"/>
    <w:rsid w:val="0098328A"/>
    <w:rsid w:val="0098387F"/>
    <w:rsid w:val="009844C0"/>
    <w:rsid w:val="00984802"/>
    <w:rsid w:val="00984BB8"/>
    <w:rsid w:val="00984BDB"/>
    <w:rsid w:val="00984CA3"/>
    <w:rsid w:val="0098550F"/>
    <w:rsid w:val="0098557A"/>
    <w:rsid w:val="00985795"/>
    <w:rsid w:val="00987CFE"/>
    <w:rsid w:val="0099127A"/>
    <w:rsid w:val="00991548"/>
    <w:rsid w:val="009919DA"/>
    <w:rsid w:val="00991A3F"/>
    <w:rsid w:val="00993104"/>
    <w:rsid w:val="009931D1"/>
    <w:rsid w:val="009943D8"/>
    <w:rsid w:val="0099469C"/>
    <w:rsid w:val="0099486B"/>
    <w:rsid w:val="00994CFF"/>
    <w:rsid w:val="00994E64"/>
    <w:rsid w:val="009972B6"/>
    <w:rsid w:val="00997721"/>
    <w:rsid w:val="00997C86"/>
    <w:rsid w:val="009A07EA"/>
    <w:rsid w:val="009A0A75"/>
    <w:rsid w:val="009A0B57"/>
    <w:rsid w:val="009A0CB2"/>
    <w:rsid w:val="009A0E07"/>
    <w:rsid w:val="009A132E"/>
    <w:rsid w:val="009A1343"/>
    <w:rsid w:val="009A18BA"/>
    <w:rsid w:val="009A2B1A"/>
    <w:rsid w:val="009A3292"/>
    <w:rsid w:val="009A4381"/>
    <w:rsid w:val="009A47B7"/>
    <w:rsid w:val="009A4C33"/>
    <w:rsid w:val="009A5517"/>
    <w:rsid w:val="009A5530"/>
    <w:rsid w:val="009A581B"/>
    <w:rsid w:val="009A5DE4"/>
    <w:rsid w:val="009A63EF"/>
    <w:rsid w:val="009A68AC"/>
    <w:rsid w:val="009A78AA"/>
    <w:rsid w:val="009B05F9"/>
    <w:rsid w:val="009B0D20"/>
    <w:rsid w:val="009B0F4F"/>
    <w:rsid w:val="009B27DD"/>
    <w:rsid w:val="009B2D8F"/>
    <w:rsid w:val="009B33B6"/>
    <w:rsid w:val="009B40BC"/>
    <w:rsid w:val="009B40C8"/>
    <w:rsid w:val="009B40F2"/>
    <w:rsid w:val="009B417E"/>
    <w:rsid w:val="009B4767"/>
    <w:rsid w:val="009B4E4A"/>
    <w:rsid w:val="009B5825"/>
    <w:rsid w:val="009B5CBE"/>
    <w:rsid w:val="009B5EE9"/>
    <w:rsid w:val="009B68B1"/>
    <w:rsid w:val="009B6CA8"/>
    <w:rsid w:val="009B6F29"/>
    <w:rsid w:val="009B70E7"/>
    <w:rsid w:val="009C18F8"/>
    <w:rsid w:val="009C1A07"/>
    <w:rsid w:val="009C32BA"/>
    <w:rsid w:val="009C49A6"/>
    <w:rsid w:val="009C4A61"/>
    <w:rsid w:val="009C4CED"/>
    <w:rsid w:val="009C52F6"/>
    <w:rsid w:val="009C5882"/>
    <w:rsid w:val="009D0A84"/>
    <w:rsid w:val="009D0AE9"/>
    <w:rsid w:val="009D0E2C"/>
    <w:rsid w:val="009D0F81"/>
    <w:rsid w:val="009D1003"/>
    <w:rsid w:val="009D14EE"/>
    <w:rsid w:val="009D2413"/>
    <w:rsid w:val="009D253B"/>
    <w:rsid w:val="009D2876"/>
    <w:rsid w:val="009D2A91"/>
    <w:rsid w:val="009D2E1F"/>
    <w:rsid w:val="009D3ED0"/>
    <w:rsid w:val="009D46A9"/>
    <w:rsid w:val="009D4C79"/>
    <w:rsid w:val="009D4DC4"/>
    <w:rsid w:val="009D510C"/>
    <w:rsid w:val="009D5A04"/>
    <w:rsid w:val="009D5F6C"/>
    <w:rsid w:val="009D62F4"/>
    <w:rsid w:val="009D640A"/>
    <w:rsid w:val="009D644B"/>
    <w:rsid w:val="009D6909"/>
    <w:rsid w:val="009D6A09"/>
    <w:rsid w:val="009D7010"/>
    <w:rsid w:val="009E1412"/>
    <w:rsid w:val="009E1546"/>
    <w:rsid w:val="009E16F5"/>
    <w:rsid w:val="009E1C42"/>
    <w:rsid w:val="009E1E1A"/>
    <w:rsid w:val="009E36E6"/>
    <w:rsid w:val="009E3C5D"/>
    <w:rsid w:val="009E4112"/>
    <w:rsid w:val="009E454C"/>
    <w:rsid w:val="009E5A4C"/>
    <w:rsid w:val="009E62AA"/>
    <w:rsid w:val="009E66F6"/>
    <w:rsid w:val="009E6D39"/>
    <w:rsid w:val="009E7EB3"/>
    <w:rsid w:val="009F009A"/>
    <w:rsid w:val="009F0625"/>
    <w:rsid w:val="009F097B"/>
    <w:rsid w:val="009F0EF9"/>
    <w:rsid w:val="009F0F13"/>
    <w:rsid w:val="009F100A"/>
    <w:rsid w:val="009F1536"/>
    <w:rsid w:val="009F1546"/>
    <w:rsid w:val="009F1C2F"/>
    <w:rsid w:val="009F20CD"/>
    <w:rsid w:val="009F23E4"/>
    <w:rsid w:val="009F24E0"/>
    <w:rsid w:val="009F255F"/>
    <w:rsid w:val="009F367F"/>
    <w:rsid w:val="009F3E0C"/>
    <w:rsid w:val="009F48A0"/>
    <w:rsid w:val="009F4F7E"/>
    <w:rsid w:val="009F64EA"/>
    <w:rsid w:val="009F6733"/>
    <w:rsid w:val="009F6FA7"/>
    <w:rsid w:val="009F70B2"/>
    <w:rsid w:val="009F7270"/>
    <w:rsid w:val="009F792F"/>
    <w:rsid w:val="009F7CE6"/>
    <w:rsid w:val="00A0038A"/>
    <w:rsid w:val="00A014C3"/>
    <w:rsid w:val="00A020F8"/>
    <w:rsid w:val="00A0279F"/>
    <w:rsid w:val="00A03CB7"/>
    <w:rsid w:val="00A03F87"/>
    <w:rsid w:val="00A0411C"/>
    <w:rsid w:val="00A0455C"/>
    <w:rsid w:val="00A047E5"/>
    <w:rsid w:val="00A04973"/>
    <w:rsid w:val="00A0798F"/>
    <w:rsid w:val="00A07E36"/>
    <w:rsid w:val="00A07E92"/>
    <w:rsid w:val="00A10350"/>
    <w:rsid w:val="00A108E3"/>
    <w:rsid w:val="00A111CC"/>
    <w:rsid w:val="00A11D17"/>
    <w:rsid w:val="00A134D1"/>
    <w:rsid w:val="00A14B6E"/>
    <w:rsid w:val="00A15789"/>
    <w:rsid w:val="00A15E9D"/>
    <w:rsid w:val="00A17284"/>
    <w:rsid w:val="00A17B09"/>
    <w:rsid w:val="00A17DC3"/>
    <w:rsid w:val="00A20BA1"/>
    <w:rsid w:val="00A21E13"/>
    <w:rsid w:val="00A21E35"/>
    <w:rsid w:val="00A21EAC"/>
    <w:rsid w:val="00A2200E"/>
    <w:rsid w:val="00A22464"/>
    <w:rsid w:val="00A2272C"/>
    <w:rsid w:val="00A228F8"/>
    <w:rsid w:val="00A22E88"/>
    <w:rsid w:val="00A2392F"/>
    <w:rsid w:val="00A2438B"/>
    <w:rsid w:val="00A24547"/>
    <w:rsid w:val="00A248E4"/>
    <w:rsid w:val="00A251EB"/>
    <w:rsid w:val="00A255E8"/>
    <w:rsid w:val="00A25B7F"/>
    <w:rsid w:val="00A25CB3"/>
    <w:rsid w:val="00A25CE8"/>
    <w:rsid w:val="00A25D1F"/>
    <w:rsid w:val="00A26DA6"/>
    <w:rsid w:val="00A2707C"/>
    <w:rsid w:val="00A27089"/>
    <w:rsid w:val="00A275DE"/>
    <w:rsid w:val="00A27A7F"/>
    <w:rsid w:val="00A3032A"/>
    <w:rsid w:val="00A3047F"/>
    <w:rsid w:val="00A306A0"/>
    <w:rsid w:val="00A30A98"/>
    <w:rsid w:val="00A31B3C"/>
    <w:rsid w:val="00A33263"/>
    <w:rsid w:val="00A33982"/>
    <w:rsid w:val="00A344E3"/>
    <w:rsid w:val="00A3598E"/>
    <w:rsid w:val="00A365ED"/>
    <w:rsid w:val="00A37465"/>
    <w:rsid w:val="00A37BA5"/>
    <w:rsid w:val="00A400AB"/>
    <w:rsid w:val="00A410F0"/>
    <w:rsid w:val="00A4113D"/>
    <w:rsid w:val="00A4212B"/>
    <w:rsid w:val="00A427F0"/>
    <w:rsid w:val="00A4289D"/>
    <w:rsid w:val="00A43D07"/>
    <w:rsid w:val="00A43D60"/>
    <w:rsid w:val="00A43E8B"/>
    <w:rsid w:val="00A43F73"/>
    <w:rsid w:val="00A44A14"/>
    <w:rsid w:val="00A45239"/>
    <w:rsid w:val="00A453C6"/>
    <w:rsid w:val="00A456F5"/>
    <w:rsid w:val="00A46035"/>
    <w:rsid w:val="00A460B2"/>
    <w:rsid w:val="00A461D0"/>
    <w:rsid w:val="00A46682"/>
    <w:rsid w:val="00A46C35"/>
    <w:rsid w:val="00A46DCA"/>
    <w:rsid w:val="00A47936"/>
    <w:rsid w:val="00A47BEC"/>
    <w:rsid w:val="00A47C93"/>
    <w:rsid w:val="00A502EA"/>
    <w:rsid w:val="00A50612"/>
    <w:rsid w:val="00A50B85"/>
    <w:rsid w:val="00A51192"/>
    <w:rsid w:val="00A5252E"/>
    <w:rsid w:val="00A52B3A"/>
    <w:rsid w:val="00A53439"/>
    <w:rsid w:val="00A5378A"/>
    <w:rsid w:val="00A53B38"/>
    <w:rsid w:val="00A54287"/>
    <w:rsid w:val="00A5447E"/>
    <w:rsid w:val="00A54C31"/>
    <w:rsid w:val="00A551F3"/>
    <w:rsid w:val="00A552A7"/>
    <w:rsid w:val="00A55EC4"/>
    <w:rsid w:val="00A5639A"/>
    <w:rsid w:val="00A567F3"/>
    <w:rsid w:val="00A570CC"/>
    <w:rsid w:val="00A57CE4"/>
    <w:rsid w:val="00A57D2E"/>
    <w:rsid w:val="00A57E4A"/>
    <w:rsid w:val="00A606C5"/>
    <w:rsid w:val="00A608E1"/>
    <w:rsid w:val="00A609EB"/>
    <w:rsid w:val="00A617E4"/>
    <w:rsid w:val="00A61B62"/>
    <w:rsid w:val="00A643C9"/>
    <w:rsid w:val="00A64ED2"/>
    <w:rsid w:val="00A65D12"/>
    <w:rsid w:val="00A65FD3"/>
    <w:rsid w:val="00A678BD"/>
    <w:rsid w:val="00A67B1A"/>
    <w:rsid w:val="00A70CCC"/>
    <w:rsid w:val="00A713C1"/>
    <w:rsid w:val="00A71DDF"/>
    <w:rsid w:val="00A728BD"/>
    <w:rsid w:val="00A738F8"/>
    <w:rsid w:val="00A739E4"/>
    <w:rsid w:val="00A741B1"/>
    <w:rsid w:val="00A74238"/>
    <w:rsid w:val="00A74476"/>
    <w:rsid w:val="00A74582"/>
    <w:rsid w:val="00A74830"/>
    <w:rsid w:val="00A74FF1"/>
    <w:rsid w:val="00A75655"/>
    <w:rsid w:val="00A7586B"/>
    <w:rsid w:val="00A75894"/>
    <w:rsid w:val="00A75D62"/>
    <w:rsid w:val="00A766F8"/>
    <w:rsid w:val="00A7709C"/>
    <w:rsid w:val="00A775F0"/>
    <w:rsid w:val="00A815F2"/>
    <w:rsid w:val="00A816E6"/>
    <w:rsid w:val="00A81763"/>
    <w:rsid w:val="00A82BDA"/>
    <w:rsid w:val="00A830EF"/>
    <w:rsid w:val="00A8314A"/>
    <w:rsid w:val="00A833F3"/>
    <w:rsid w:val="00A83D33"/>
    <w:rsid w:val="00A8405F"/>
    <w:rsid w:val="00A85349"/>
    <w:rsid w:val="00A856AC"/>
    <w:rsid w:val="00A85C86"/>
    <w:rsid w:val="00A860CC"/>
    <w:rsid w:val="00A86487"/>
    <w:rsid w:val="00A86C13"/>
    <w:rsid w:val="00A8766C"/>
    <w:rsid w:val="00A87C7F"/>
    <w:rsid w:val="00A87EC7"/>
    <w:rsid w:val="00A90FC5"/>
    <w:rsid w:val="00A91C7B"/>
    <w:rsid w:val="00A92328"/>
    <w:rsid w:val="00A926AE"/>
    <w:rsid w:val="00A92F64"/>
    <w:rsid w:val="00A931ED"/>
    <w:rsid w:val="00A9357F"/>
    <w:rsid w:val="00A94018"/>
    <w:rsid w:val="00A942E3"/>
    <w:rsid w:val="00A944C8"/>
    <w:rsid w:val="00A94BEC"/>
    <w:rsid w:val="00A9504C"/>
    <w:rsid w:val="00A95158"/>
    <w:rsid w:val="00A95B54"/>
    <w:rsid w:val="00A97127"/>
    <w:rsid w:val="00AA021A"/>
    <w:rsid w:val="00AA0324"/>
    <w:rsid w:val="00AA0761"/>
    <w:rsid w:val="00AA126F"/>
    <w:rsid w:val="00AA16C5"/>
    <w:rsid w:val="00AA1B1C"/>
    <w:rsid w:val="00AA1CB2"/>
    <w:rsid w:val="00AA1E47"/>
    <w:rsid w:val="00AA35D0"/>
    <w:rsid w:val="00AA3717"/>
    <w:rsid w:val="00AA40D3"/>
    <w:rsid w:val="00AA41F2"/>
    <w:rsid w:val="00AA4426"/>
    <w:rsid w:val="00AA446A"/>
    <w:rsid w:val="00AA49D9"/>
    <w:rsid w:val="00AA4C9A"/>
    <w:rsid w:val="00AA4D02"/>
    <w:rsid w:val="00AA5AAA"/>
    <w:rsid w:val="00AA670B"/>
    <w:rsid w:val="00AA6797"/>
    <w:rsid w:val="00AA7399"/>
    <w:rsid w:val="00AA74B9"/>
    <w:rsid w:val="00AA7639"/>
    <w:rsid w:val="00AB0AAF"/>
    <w:rsid w:val="00AB0AF2"/>
    <w:rsid w:val="00AB0D8D"/>
    <w:rsid w:val="00AB0F78"/>
    <w:rsid w:val="00AB105E"/>
    <w:rsid w:val="00AB21E6"/>
    <w:rsid w:val="00AB2785"/>
    <w:rsid w:val="00AB2F7F"/>
    <w:rsid w:val="00AB3217"/>
    <w:rsid w:val="00AB3775"/>
    <w:rsid w:val="00AB3D94"/>
    <w:rsid w:val="00AB41F2"/>
    <w:rsid w:val="00AB482B"/>
    <w:rsid w:val="00AB4E64"/>
    <w:rsid w:val="00AB4F2F"/>
    <w:rsid w:val="00AB59B6"/>
    <w:rsid w:val="00AB6802"/>
    <w:rsid w:val="00AB763E"/>
    <w:rsid w:val="00AC00CC"/>
    <w:rsid w:val="00AC02A2"/>
    <w:rsid w:val="00AC0674"/>
    <w:rsid w:val="00AC09C5"/>
    <w:rsid w:val="00AC0CAC"/>
    <w:rsid w:val="00AC12A9"/>
    <w:rsid w:val="00AC1F4F"/>
    <w:rsid w:val="00AC1FEB"/>
    <w:rsid w:val="00AC2285"/>
    <w:rsid w:val="00AC320B"/>
    <w:rsid w:val="00AC4AEE"/>
    <w:rsid w:val="00AC5555"/>
    <w:rsid w:val="00AC597D"/>
    <w:rsid w:val="00AC5D12"/>
    <w:rsid w:val="00AC70EC"/>
    <w:rsid w:val="00AD0A6A"/>
    <w:rsid w:val="00AD16A8"/>
    <w:rsid w:val="00AD17EB"/>
    <w:rsid w:val="00AD1ED5"/>
    <w:rsid w:val="00AD2310"/>
    <w:rsid w:val="00AD2350"/>
    <w:rsid w:val="00AD29DC"/>
    <w:rsid w:val="00AD2DFC"/>
    <w:rsid w:val="00AD326C"/>
    <w:rsid w:val="00AD3275"/>
    <w:rsid w:val="00AD38A6"/>
    <w:rsid w:val="00AD3E3C"/>
    <w:rsid w:val="00AD4B49"/>
    <w:rsid w:val="00AD4B95"/>
    <w:rsid w:val="00AD4F92"/>
    <w:rsid w:val="00AD52A4"/>
    <w:rsid w:val="00AD5C65"/>
    <w:rsid w:val="00AD5D80"/>
    <w:rsid w:val="00AD5F33"/>
    <w:rsid w:val="00AD5F7E"/>
    <w:rsid w:val="00AD70C0"/>
    <w:rsid w:val="00AD7535"/>
    <w:rsid w:val="00AD77EE"/>
    <w:rsid w:val="00AD7B48"/>
    <w:rsid w:val="00AD7CF2"/>
    <w:rsid w:val="00AD7F64"/>
    <w:rsid w:val="00AE07CA"/>
    <w:rsid w:val="00AE0BC3"/>
    <w:rsid w:val="00AE0D95"/>
    <w:rsid w:val="00AE1EF0"/>
    <w:rsid w:val="00AE1F42"/>
    <w:rsid w:val="00AE20C9"/>
    <w:rsid w:val="00AE314D"/>
    <w:rsid w:val="00AE365F"/>
    <w:rsid w:val="00AE3B93"/>
    <w:rsid w:val="00AE46D2"/>
    <w:rsid w:val="00AE4D5A"/>
    <w:rsid w:val="00AE5356"/>
    <w:rsid w:val="00AE5432"/>
    <w:rsid w:val="00AE56D8"/>
    <w:rsid w:val="00AE5955"/>
    <w:rsid w:val="00AE6260"/>
    <w:rsid w:val="00AE62E6"/>
    <w:rsid w:val="00AE7BC6"/>
    <w:rsid w:val="00AF05E7"/>
    <w:rsid w:val="00AF1178"/>
    <w:rsid w:val="00AF163E"/>
    <w:rsid w:val="00AF1F7B"/>
    <w:rsid w:val="00AF20F8"/>
    <w:rsid w:val="00AF2F3F"/>
    <w:rsid w:val="00AF33E9"/>
    <w:rsid w:val="00AF38D3"/>
    <w:rsid w:val="00AF3BD1"/>
    <w:rsid w:val="00AF404B"/>
    <w:rsid w:val="00AF4634"/>
    <w:rsid w:val="00AF5645"/>
    <w:rsid w:val="00AF57E8"/>
    <w:rsid w:val="00AF5D88"/>
    <w:rsid w:val="00AF6060"/>
    <w:rsid w:val="00AF635B"/>
    <w:rsid w:val="00AF641C"/>
    <w:rsid w:val="00AF6FA5"/>
    <w:rsid w:val="00AF7875"/>
    <w:rsid w:val="00B00614"/>
    <w:rsid w:val="00B00B41"/>
    <w:rsid w:val="00B01F34"/>
    <w:rsid w:val="00B037A2"/>
    <w:rsid w:val="00B03A1C"/>
    <w:rsid w:val="00B04EAA"/>
    <w:rsid w:val="00B05101"/>
    <w:rsid w:val="00B05CEB"/>
    <w:rsid w:val="00B061E9"/>
    <w:rsid w:val="00B0629F"/>
    <w:rsid w:val="00B06F0D"/>
    <w:rsid w:val="00B07181"/>
    <w:rsid w:val="00B07AEA"/>
    <w:rsid w:val="00B10596"/>
    <w:rsid w:val="00B105DA"/>
    <w:rsid w:val="00B10CC2"/>
    <w:rsid w:val="00B110E5"/>
    <w:rsid w:val="00B12487"/>
    <w:rsid w:val="00B126B3"/>
    <w:rsid w:val="00B12BDB"/>
    <w:rsid w:val="00B1361E"/>
    <w:rsid w:val="00B1369D"/>
    <w:rsid w:val="00B13F47"/>
    <w:rsid w:val="00B13F6C"/>
    <w:rsid w:val="00B14007"/>
    <w:rsid w:val="00B14433"/>
    <w:rsid w:val="00B14BF1"/>
    <w:rsid w:val="00B14DDB"/>
    <w:rsid w:val="00B14E1A"/>
    <w:rsid w:val="00B15523"/>
    <w:rsid w:val="00B15677"/>
    <w:rsid w:val="00B156C7"/>
    <w:rsid w:val="00B159D9"/>
    <w:rsid w:val="00B15DCF"/>
    <w:rsid w:val="00B1620A"/>
    <w:rsid w:val="00B1625E"/>
    <w:rsid w:val="00B16477"/>
    <w:rsid w:val="00B17235"/>
    <w:rsid w:val="00B17374"/>
    <w:rsid w:val="00B17477"/>
    <w:rsid w:val="00B174EE"/>
    <w:rsid w:val="00B17958"/>
    <w:rsid w:val="00B17BDA"/>
    <w:rsid w:val="00B17E94"/>
    <w:rsid w:val="00B2043F"/>
    <w:rsid w:val="00B20953"/>
    <w:rsid w:val="00B20B52"/>
    <w:rsid w:val="00B213AC"/>
    <w:rsid w:val="00B21D5B"/>
    <w:rsid w:val="00B22A70"/>
    <w:rsid w:val="00B22AEB"/>
    <w:rsid w:val="00B2300E"/>
    <w:rsid w:val="00B2349B"/>
    <w:rsid w:val="00B23857"/>
    <w:rsid w:val="00B23F73"/>
    <w:rsid w:val="00B245C0"/>
    <w:rsid w:val="00B24C84"/>
    <w:rsid w:val="00B24FE3"/>
    <w:rsid w:val="00B252E0"/>
    <w:rsid w:val="00B2534A"/>
    <w:rsid w:val="00B254A1"/>
    <w:rsid w:val="00B254CB"/>
    <w:rsid w:val="00B25DDF"/>
    <w:rsid w:val="00B26086"/>
    <w:rsid w:val="00B27648"/>
    <w:rsid w:val="00B30917"/>
    <w:rsid w:val="00B30DDC"/>
    <w:rsid w:val="00B30E3E"/>
    <w:rsid w:val="00B318F5"/>
    <w:rsid w:val="00B31B53"/>
    <w:rsid w:val="00B31E46"/>
    <w:rsid w:val="00B32307"/>
    <w:rsid w:val="00B32FF9"/>
    <w:rsid w:val="00B33267"/>
    <w:rsid w:val="00B34063"/>
    <w:rsid w:val="00B34440"/>
    <w:rsid w:val="00B34680"/>
    <w:rsid w:val="00B34806"/>
    <w:rsid w:val="00B34EF0"/>
    <w:rsid w:val="00B356C2"/>
    <w:rsid w:val="00B35CBA"/>
    <w:rsid w:val="00B35F3A"/>
    <w:rsid w:val="00B3745C"/>
    <w:rsid w:val="00B37776"/>
    <w:rsid w:val="00B37980"/>
    <w:rsid w:val="00B37DE3"/>
    <w:rsid w:val="00B40252"/>
    <w:rsid w:val="00B4093B"/>
    <w:rsid w:val="00B40DF4"/>
    <w:rsid w:val="00B42829"/>
    <w:rsid w:val="00B42932"/>
    <w:rsid w:val="00B42D16"/>
    <w:rsid w:val="00B42D65"/>
    <w:rsid w:val="00B4501C"/>
    <w:rsid w:val="00B457EA"/>
    <w:rsid w:val="00B466A4"/>
    <w:rsid w:val="00B46E91"/>
    <w:rsid w:val="00B47EC3"/>
    <w:rsid w:val="00B5234E"/>
    <w:rsid w:val="00B52F29"/>
    <w:rsid w:val="00B53788"/>
    <w:rsid w:val="00B5380A"/>
    <w:rsid w:val="00B55024"/>
    <w:rsid w:val="00B5549F"/>
    <w:rsid w:val="00B55C71"/>
    <w:rsid w:val="00B55D68"/>
    <w:rsid w:val="00B56A46"/>
    <w:rsid w:val="00B56B0F"/>
    <w:rsid w:val="00B56DF6"/>
    <w:rsid w:val="00B56F47"/>
    <w:rsid w:val="00B57518"/>
    <w:rsid w:val="00B577E3"/>
    <w:rsid w:val="00B57C31"/>
    <w:rsid w:val="00B60A8D"/>
    <w:rsid w:val="00B60DD0"/>
    <w:rsid w:val="00B6111E"/>
    <w:rsid w:val="00B61604"/>
    <w:rsid w:val="00B619DE"/>
    <w:rsid w:val="00B61A2F"/>
    <w:rsid w:val="00B6250E"/>
    <w:rsid w:val="00B62851"/>
    <w:rsid w:val="00B63B03"/>
    <w:rsid w:val="00B63C98"/>
    <w:rsid w:val="00B65B3C"/>
    <w:rsid w:val="00B66115"/>
    <w:rsid w:val="00B662F2"/>
    <w:rsid w:val="00B67B97"/>
    <w:rsid w:val="00B67C19"/>
    <w:rsid w:val="00B67F0D"/>
    <w:rsid w:val="00B70EEA"/>
    <w:rsid w:val="00B71BBC"/>
    <w:rsid w:val="00B7268A"/>
    <w:rsid w:val="00B72B0D"/>
    <w:rsid w:val="00B72D55"/>
    <w:rsid w:val="00B73FF6"/>
    <w:rsid w:val="00B74172"/>
    <w:rsid w:val="00B746B0"/>
    <w:rsid w:val="00B751AF"/>
    <w:rsid w:val="00B7612C"/>
    <w:rsid w:val="00B77A84"/>
    <w:rsid w:val="00B80703"/>
    <w:rsid w:val="00B81AF4"/>
    <w:rsid w:val="00B81E3C"/>
    <w:rsid w:val="00B83254"/>
    <w:rsid w:val="00B83BCA"/>
    <w:rsid w:val="00B83DBA"/>
    <w:rsid w:val="00B844EB"/>
    <w:rsid w:val="00B847D4"/>
    <w:rsid w:val="00B84B41"/>
    <w:rsid w:val="00B86B61"/>
    <w:rsid w:val="00B86EE2"/>
    <w:rsid w:val="00B86EFA"/>
    <w:rsid w:val="00B87034"/>
    <w:rsid w:val="00B87105"/>
    <w:rsid w:val="00B87923"/>
    <w:rsid w:val="00B90002"/>
    <w:rsid w:val="00B9032C"/>
    <w:rsid w:val="00B907D5"/>
    <w:rsid w:val="00B907F0"/>
    <w:rsid w:val="00B90E15"/>
    <w:rsid w:val="00B9174D"/>
    <w:rsid w:val="00B91A9C"/>
    <w:rsid w:val="00B921A4"/>
    <w:rsid w:val="00B921ED"/>
    <w:rsid w:val="00B92773"/>
    <w:rsid w:val="00B92F48"/>
    <w:rsid w:val="00B9474C"/>
    <w:rsid w:val="00B94AA0"/>
    <w:rsid w:val="00B94F9E"/>
    <w:rsid w:val="00B96642"/>
    <w:rsid w:val="00B96CD3"/>
    <w:rsid w:val="00BA0039"/>
    <w:rsid w:val="00BA0143"/>
    <w:rsid w:val="00BA01B8"/>
    <w:rsid w:val="00BA0BFD"/>
    <w:rsid w:val="00BA0F9B"/>
    <w:rsid w:val="00BA13F6"/>
    <w:rsid w:val="00BA2ADD"/>
    <w:rsid w:val="00BA2D07"/>
    <w:rsid w:val="00BA375F"/>
    <w:rsid w:val="00BA3BF5"/>
    <w:rsid w:val="00BA3D4C"/>
    <w:rsid w:val="00BA432A"/>
    <w:rsid w:val="00BA48FA"/>
    <w:rsid w:val="00BA518F"/>
    <w:rsid w:val="00BA5263"/>
    <w:rsid w:val="00BA5479"/>
    <w:rsid w:val="00BA5E5B"/>
    <w:rsid w:val="00BA6034"/>
    <w:rsid w:val="00BA613F"/>
    <w:rsid w:val="00BA6169"/>
    <w:rsid w:val="00BA68C0"/>
    <w:rsid w:val="00BA6940"/>
    <w:rsid w:val="00BA69AB"/>
    <w:rsid w:val="00BA6B60"/>
    <w:rsid w:val="00BA6FDD"/>
    <w:rsid w:val="00BA7374"/>
    <w:rsid w:val="00BA760F"/>
    <w:rsid w:val="00BA776A"/>
    <w:rsid w:val="00BA7A56"/>
    <w:rsid w:val="00BA7E64"/>
    <w:rsid w:val="00BB0112"/>
    <w:rsid w:val="00BB0D13"/>
    <w:rsid w:val="00BB0E0C"/>
    <w:rsid w:val="00BB1141"/>
    <w:rsid w:val="00BB15F8"/>
    <w:rsid w:val="00BB1727"/>
    <w:rsid w:val="00BB285A"/>
    <w:rsid w:val="00BB28F7"/>
    <w:rsid w:val="00BB2A77"/>
    <w:rsid w:val="00BB2C46"/>
    <w:rsid w:val="00BB35FB"/>
    <w:rsid w:val="00BB38D9"/>
    <w:rsid w:val="00BB4735"/>
    <w:rsid w:val="00BB4C9A"/>
    <w:rsid w:val="00BB5C7B"/>
    <w:rsid w:val="00BB6132"/>
    <w:rsid w:val="00BB668B"/>
    <w:rsid w:val="00BB66E6"/>
    <w:rsid w:val="00BB79DE"/>
    <w:rsid w:val="00BB7CF6"/>
    <w:rsid w:val="00BC0F9B"/>
    <w:rsid w:val="00BC1323"/>
    <w:rsid w:val="00BC18BE"/>
    <w:rsid w:val="00BC1E7B"/>
    <w:rsid w:val="00BC226D"/>
    <w:rsid w:val="00BC22DB"/>
    <w:rsid w:val="00BC28D0"/>
    <w:rsid w:val="00BC2F0E"/>
    <w:rsid w:val="00BC4225"/>
    <w:rsid w:val="00BC4810"/>
    <w:rsid w:val="00BC515E"/>
    <w:rsid w:val="00BC5764"/>
    <w:rsid w:val="00BC59EA"/>
    <w:rsid w:val="00BC6092"/>
    <w:rsid w:val="00BC6263"/>
    <w:rsid w:val="00BC69E9"/>
    <w:rsid w:val="00BC7198"/>
    <w:rsid w:val="00BC733B"/>
    <w:rsid w:val="00BC7555"/>
    <w:rsid w:val="00BD0271"/>
    <w:rsid w:val="00BD10B9"/>
    <w:rsid w:val="00BD1668"/>
    <w:rsid w:val="00BD18D8"/>
    <w:rsid w:val="00BD19C0"/>
    <w:rsid w:val="00BD1B72"/>
    <w:rsid w:val="00BD249E"/>
    <w:rsid w:val="00BD2998"/>
    <w:rsid w:val="00BD3A05"/>
    <w:rsid w:val="00BD3B2F"/>
    <w:rsid w:val="00BD3E19"/>
    <w:rsid w:val="00BD45EF"/>
    <w:rsid w:val="00BD486E"/>
    <w:rsid w:val="00BD497F"/>
    <w:rsid w:val="00BD4AB3"/>
    <w:rsid w:val="00BD4BD0"/>
    <w:rsid w:val="00BD5064"/>
    <w:rsid w:val="00BD5122"/>
    <w:rsid w:val="00BD55AB"/>
    <w:rsid w:val="00BD5689"/>
    <w:rsid w:val="00BD6453"/>
    <w:rsid w:val="00BD6499"/>
    <w:rsid w:val="00BD66A5"/>
    <w:rsid w:val="00BD6770"/>
    <w:rsid w:val="00BD67F4"/>
    <w:rsid w:val="00BD6E32"/>
    <w:rsid w:val="00BE03A8"/>
    <w:rsid w:val="00BE0441"/>
    <w:rsid w:val="00BE0EFB"/>
    <w:rsid w:val="00BE183A"/>
    <w:rsid w:val="00BE1928"/>
    <w:rsid w:val="00BE1EF5"/>
    <w:rsid w:val="00BE3DC1"/>
    <w:rsid w:val="00BE3F1C"/>
    <w:rsid w:val="00BE462A"/>
    <w:rsid w:val="00BE4B07"/>
    <w:rsid w:val="00BE4FC9"/>
    <w:rsid w:val="00BE5318"/>
    <w:rsid w:val="00BE53F9"/>
    <w:rsid w:val="00BE5551"/>
    <w:rsid w:val="00BE5D0A"/>
    <w:rsid w:val="00BE725E"/>
    <w:rsid w:val="00BE726A"/>
    <w:rsid w:val="00BE74DD"/>
    <w:rsid w:val="00BE7EC5"/>
    <w:rsid w:val="00BF01E8"/>
    <w:rsid w:val="00BF044B"/>
    <w:rsid w:val="00BF08AB"/>
    <w:rsid w:val="00BF09C8"/>
    <w:rsid w:val="00BF0C62"/>
    <w:rsid w:val="00BF1B5E"/>
    <w:rsid w:val="00BF1D80"/>
    <w:rsid w:val="00BF1EFF"/>
    <w:rsid w:val="00BF2751"/>
    <w:rsid w:val="00BF2E0F"/>
    <w:rsid w:val="00BF3391"/>
    <w:rsid w:val="00BF3916"/>
    <w:rsid w:val="00BF3EF8"/>
    <w:rsid w:val="00BF41DA"/>
    <w:rsid w:val="00BF4269"/>
    <w:rsid w:val="00BF461E"/>
    <w:rsid w:val="00BF4C1A"/>
    <w:rsid w:val="00BF541E"/>
    <w:rsid w:val="00BF5606"/>
    <w:rsid w:val="00BF5766"/>
    <w:rsid w:val="00BF5E50"/>
    <w:rsid w:val="00BF6672"/>
    <w:rsid w:val="00BF6844"/>
    <w:rsid w:val="00BF6E12"/>
    <w:rsid w:val="00BF7258"/>
    <w:rsid w:val="00BF7347"/>
    <w:rsid w:val="00BF7854"/>
    <w:rsid w:val="00BF7B7E"/>
    <w:rsid w:val="00C0028F"/>
    <w:rsid w:val="00C0053C"/>
    <w:rsid w:val="00C00742"/>
    <w:rsid w:val="00C00C14"/>
    <w:rsid w:val="00C00D6D"/>
    <w:rsid w:val="00C013FA"/>
    <w:rsid w:val="00C01D46"/>
    <w:rsid w:val="00C02573"/>
    <w:rsid w:val="00C02747"/>
    <w:rsid w:val="00C0339F"/>
    <w:rsid w:val="00C03980"/>
    <w:rsid w:val="00C03B48"/>
    <w:rsid w:val="00C03CEB"/>
    <w:rsid w:val="00C0400F"/>
    <w:rsid w:val="00C042A9"/>
    <w:rsid w:val="00C04FBD"/>
    <w:rsid w:val="00C052ED"/>
    <w:rsid w:val="00C05948"/>
    <w:rsid w:val="00C05B49"/>
    <w:rsid w:val="00C05FBC"/>
    <w:rsid w:val="00C06386"/>
    <w:rsid w:val="00C063F5"/>
    <w:rsid w:val="00C066E0"/>
    <w:rsid w:val="00C0687D"/>
    <w:rsid w:val="00C076A7"/>
    <w:rsid w:val="00C077E7"/>
    <w:rsid w:val="00C10A36"/>
    <w:rsid w:val="00C10DAB"/>
    <w:rsid w:val="00C1116B"/>
    <w:rsid w:val="00C12152"/>
    <w:rsid w:val="00C122EB"/>
    <w:rsid w:val="00C12523"/>
    <w:rsid w:val="00C12740"/>
    <w:rsid w:val="00C12A94"/>
    <w:rsid w:val="00C13993"/>
    <w:rsid w:val="00C13F63"/>
    <w:rsid w:val="00C14BEF"/>
    <w:rsid w:val="00C15005"/>
    <w:rsid w:val="00C15041"/>
    <w:rsid w:val="00C15224"/>
    <w:rsid w:val="00C16B01"/>
    <w:rsid w:val="00C16F63"/>
    <w:rsid w:val="00C1720B"/>
    <w:rsid w:val="00C17C47"/>
    <w:rsid w:val="00C17D9F"/>
    <w:rsid w:val="00C2008A"/>
    <w:rsid w:val="00C20E8D"/>
    <w:rsid w:val="00C21878"/>
    <w:rsid w:val="00C2188A"/>
    <w:rsid w:val="00C22579"/>
    <w:rsid w:val="00C22AD1"/>
    <w:rsid w:val="00C2326D"/>
    <w:rsid w:val="00C232D6"/>
    <w:rsid w:val="00C238C2"/>
    <w:rsid w:val="00C238C5"/>
    <w:rsid w:val="00C23E12"/>
    <w:rsid w:val="00C2490D"/>
    <w:rsid w:val="00C24DE8"/>
    <w:rsid w:val="00C253B6"/>
    <w:rsid w:val="00C25510"/>
    <w:rsid w:val="00C25E55"/>
    <w:rsid w:val="00C263BD"/>
    <w:rsid w:val="00C26974"/>
    <w:rsid w:val="00C26E70"/>
    <w:rsid w:val="00C273D0"/>
    <w:rsid w:val="00C275FD"/>
    <w:rsid w:val="00C27A29"/>
    <w:rsid w:val="00C27AAB"/>
    <w:rsid w:val="00C27CF0"/>
    <w:rsid w:val="00C306A9"/>
    <w:rsid w:val="00C311BC"/>
    <w:rsid w:val="00C31867"/>
    <w:rsid w:val="00C328EC"/>
    <w:rsid w:val="00C32BFE"/>
    <w:rsid w:val="00C32FBC"/>
    <w:rsid w:val="00C33C84"/>
    <w:rsid w:val="00C33D74"/>
    <w:rsid w:val="00C345BF"/>
    <w:rsid w:val="00C34DCF"/>
    <w:rsid w:val="00C35EAF"/>
    <w:rsid w:val="00C36A27"/>
    <w:rsid w:val="00C36BFE"/>
    <w:rsid w:val="00C36EBF"/>
    <w:rsid w:val="00C3781D"/>
    <w:rsid w:val="00C37D38"/>
    <w:rsid w:val="00C400B4"/>
    <w:rsid w:val="00C40E12"/>
    <w:rsid w:val="00C412BF"/>
    <w:rsid w:val="00C42183"/>
    <w:rsid w:val="00C4282C"/>
    <w:rsid w:val="00C44051"/>
    <w:rsid w:val="00C441DE"/>
    <w:rsid w:val="00C445AC"/>
    <w:rsid w:val="00C45BC2"/>
    <w:rsid w:val="00C46B78"/>
    <w:rsid w:val="00C46DEC"/>
    <w:rsid w:val="00C46FFB"/>
    <w:rsid w:val="00C47C3F"/>
    <w:rsid w:val="00C50043"/>
    <w:rsid w:val="00C508D1"/>
    <w:rsid w:val="00C50C43"/>
    <w:rsid w:val="00C518C1"/>
    <w:rsid w:val="00C51CCA"/>
    <w:rsid w:val="00C527E7"/>
    <w:rsid w:val="00C52C83"/>
    <w:rsid w:val="00C52C8C"/>
    <w:rsid w:val="00C52D24"/>
    <w:rsid w:val="00C54BEA"/>
    <w:rsid w:val="00C55336"/>
    <w:rsid w:val="00C561FE"/>
    <w:rsid w:val="00C57738"/>
    <w:rsid w:val="00C57B43"/>
    <w:rsid w:val="00C57F8A"/>
    <w:rsid w:val="00C600C1"/>
    <w:rsid w:val="00C606CE"/>
    <w:rsid w:val="00C61266"/>
    <w:rsid w:val="00C61673"/>
    <w:rsid w:val="00C61A13"/>
    <w:rsid w:val="00C61D8F"/>
    <w:rsid w:val="00C61EB5"/>
    <w:rsid w:val="00C62486"/>
    <w:rsid w:val="00C62C84"/>
    <w:rsid w:val="00C63419"/>
    <w:rsid w:val="00C64F82"/>
    <w:rsid w:val="00C6553B"/>
    <w:rsid w:val="00C65C25"/>
    <w:rsid w:val="00C65DC3"/>
    <w:rsid w:val="00C66632"/>
    <w:rsid w:val="00C67B24"/>
    <w:rsid w:val="00C703DD"/>
    <w:rsid w:val="00C7054E"/>
    <w:rsid w:val="00C71167"/>
    <w:rsid w:val="00C717F0"/>
    <w:rsid w:val="00C71B7E"/>
    <w:rsid w:val="00C72741"/>
    <w:rsid w:val="00C727F2"/>
    <w:rsid w:val="00C72C47"/>
    <w:rsid w:val="00C72CBA"/>
    <w:rsid w:val="00C73169"/>
    <w:rsid w:val="00C755A3"/>
    <w:rsid w:val="00C75865"/>
    <w:rsid w:val="00C76219"/>
    <w:rsid w:val="00C76280"/>
    <w:rsid w:val="00C76503"/>
    <w:rsid w:val="00C76EA0"/>
    <w:rsid w:val="00C76F56"/>
    <w:rsid w:val="00C77C31"/>
    <w:rsid w:val="00C806E0"/>
    <w:rsid w:val="00C80F50"/>
    <w:rsid w:val="00C81E5E"/>
    <w:rsid w:val="00C836D9"/>
    <w:rsid w:val="00C83CB2"/>
    <w:rsid w:val="00C83D8D"/>
    <w:rsid w:val="00C84461"/>
    <w:rsid w:val="00C84794"/>
    <w:rsid w:val="00C8490D"/>
    <w:rsid w:val="00C8498F"/>
    <w:rsid w:val="00C8527B"/>
    <w:rsid w:val="00C855DC"/>
    <w:rsid w:val="00C85FC0"/>
    <w:rsid w:val="00C85FFE"/>
    <w:rsid w:val="00C86034"/>
    <w:rsid w:val="00C860CF"/>
    <w:rsid w:val="00C8675C"/>
    <w:rsid w:val="00C867E9"/>
    <w:rsid w:val="00C86D64"/>
    <w:rsid w:val="00C8721C"/>
    <w:rsid w:val="00C873A6"/>
    <w:rsid w:val="00C87481"/>
    <w:rsid w:val="00C874A5"/>
    <w:rsid w:val="00C87EA5"/>
    <w:rsid w:val="00C9007B"/>
    <w:rsid w:val="00C902E0"/>
    <w:rsid w:val="00C91FCF"/>
    <w:rsid w:val="00C93BBA"/>
    <w:rsid w:val="00C94967"/>
    <w:rsid w:val="00C94A1F"/>
    <w:rsid w:val="00C95E59"/>
    <w:rsid w:val="00C967A0"/>
    <w:rsid w:val="00C974BE"/>
    <w:rsid w:val="00C9756A"/>
    <w:rsid w:val="00C97FA1"/>
    <w:rsid w:val="00CA073B"/>
    <w:rsid w:val="00CA0965"/>
    <w:rsid w:val="00CA0E15"/>
    <w:rsid w:val="00CA199D"/>
    <w:rsid w:val="00CA1A91"/>
    <w:rsid w:val="00CA1B5C"/>
    <w:rsid w:val="00CA1D8A"/>
    <w:rsid w:val="00CA1DED"/>
    <w:rsid w:val="00CA1EA2"/>
    <w:rsid w:val="00CA27A7"/>
    <w:rsid w:val="00CA27C3"/>
    <w:rsid w:val="00CA29C4"/>
    <w:rsid w:val="00CA2E87"/>
    <w:rsid w:val="00CA3013"/>
    <w:rsid w:val="00CA3BA0"/>
    <w:rsid w:val="00CA4ACD"/>
    <w:rsid w:val="00CA4BDD"/>
    <w:rsid w:val="00CA5A95"/>
    <w:rsid w:val="00CA5C03"/>
    <w:rsid w:val="00CA5D56"/>
    <w:rsid w:val="00CA5F50"/>
    <w:rsid w:val="00CA622D"/>
    <w:rsid w:val="00CA69F1"/>
    <w:rsid w:val="00CA6D38"/>
    <w:rsid w:val="00CA6F37"/>
    <w:rsid w:val="00CA7DB2"/>
    <w:rsid w:val="00CB0270"/>
    <w:rsid w:val="00CB11E7"/>
    <w:rsid w:val="00CB1692"/>
    <w:rsid w:val="00CB1AE8"/>
    <w:rsid w:val="00CB1CC5"/>
    <w:rsid w:val="00CB2351"/>
    <w:rsid w:val="00CB2A2D"/>
    <w:rsid w:val="00CB2EBF"/>
    <w:rsid w:val="00CB3368"/>
    <w:rsid w:val="00CB349B"/>
    <w:rsid w:val="00CB39D7"/>
    <w:rsid w:val="00CB3A40"/>
    <w:rsid w:val="00CB3BF9"/>
    <w:rsid w:val="00CB3EE0"/>
    <w:rsid w:val="00CB525A"/>
    <w:rsid w:val="00CB535C"/>
    <w:rsid w:val="00CB67E1"/>
    <w:rsid w:val="00CB6BA6"/>
    <w:rsid w:val="00CB6C55"/>
    <w:rsid w:val="00CB6D60"/>
    <w:rsid w:val="00CB7431"/>
    <w:rsid w:val="00CC0B3E"/>
    <w:rsid w:val="00CC0EEE"/>
    <w:rsid w:val="00CC0F7D"/>
    <w:rsid w:val="00CC18B2"/>
    <w:rsid w:val="00CC1EA3"/>
    <w:rsid w:val="00CC23AB"/>
    <w:rsid w:val="00CC25C6"/>
    <w:rsid w:val="00CC3093"/>
    <w:rsid w:val="00CC4223"/>
    <w:rsid w:val="00CC5543"/>
    <w:rsid w:val="00CC57B8"/>
    <w:rsid w:val="00CC5A62"/>
    <w:rsid w:val="00CC5AEB"/>
    <w:rsid w:val="00CC5B12"/>
    <w:rsid w:val="00CC5ED5"/>
    <w:rsid w:val="00CC5F99"/>
    <w:rsid w:val="00CC690B"/>
    <w:rsid w:val="00CC7167"/>
    <w:rsid w:val="00CC72E7"/>
    <w:rsid w:val="00CC7973"/>
    <w:rsid w:val="00CC7A13"/>
    <w:rsid w:val="00CD015F"/>
    <w:rsid w:val="00CD13F1"/>
    <w:rsid w:val="00CD1848"/>
    <w:rsid w:val="00CD1CE5"/>
    <w:rsid w:val="00CD23D7"/>
    <w:rsid w:val="00CD258B"/>
    <w:rsid w:val="00CD2A3F"/>
    <w:rsid w:val="00CD2AD7"/>
    <w:rsid w:val="00CD3C35"/>
    <w:rsid w:val="00CD3C3A"/>
    <w:rsid w:val="00CD3E02"/>
    <w:rsid w:val="00CD4780"/>
    <w:rsid w:val="00CD5E54"/>
    <w:rsid w:val="00CD64E0"/>
    <w:rsid w:val="00CD6A85"/>
    <w:rsid w:val="00CD72B4"/>
    <w:rsid w:val="00CD74A6"/>
    <w:rsid w:val="00CE01E5"/>
    <w:rsid w:val="00CE028A"/>
    <w:rsid w:val="00CE10B9"/>
    <w:rsid w:val="00CE1809"/>
    <w:rsid w:val="00CE2916"/>
    <w:rsid w:val="00CE2C43"/>
    <w:rsid w:val="00CE37EF"/>
    <w:rsid w:val="00CE3EBB"/>
    <w:rsid w:val="00CE4226"/>
    <w:rsid w:val="00CE6052"/>
    <w:rsid w:val="00CE60D4"/>
    <w:rsid w:val="00CE6511"/>
    <w:rsid w:val="00CE6B13"/>
    <w:rsid w:val="00CE6DFB"/>
    <w:rsid w:val="00CE6FF3"/>
    <w:rsid w:val="00CE77EC"/>
    <w:rsid w:val="00CE79D5"/>
    <w:rsid w:val="00CE7A9E"/>
    <w:rsid w:val="00CF1103"/>
    <w:rsid w:val="00CF171E"/>
    <w:rsid w:val="00CF18BF"/>
    <w:rsid w:val="00CF19A2"/>
    <w:rsid w:val="00CF1EC7"/>
    <w:rsid w:val="00CF2314"/>
    <w:rsid w:val="00CF243E"/>
    <w:rsid w:val="00CF258F"/>
    <w:rsid w:val="00CF2DF7"/>
    <w:rsid w:val="00CF359B"/>
    <w:rsid w:val="00CF39BF"/>
    <w:rsid w:val="00CF3A23"/>
    <w:rsid w:val="00CF3D40"/>
    <w:rsid w:val="00CF4710"/>
    <w:rsid w:val="00CF4903"/>
    <w:rsid w:val="00CF4C14"/>
    <w:rsid w:val="00CF4F75"/>
    <w:rsid w:val="00CF51DC"/>
    <w:rsid w:val="00CF5688"/>
    <w:rsid w:val="00CF5861"/>
    <w:rsid w:val="00CF586E"/>
    <w:rsid w:val="00CF5AFF"/>
    <w:rsid w:val="00CF5CC7"/>
    <w:rsid w:val="00CF5E59"/>
    <w:rsid w:val="00CF5F6D"/>
    <w:rsid w:val="00CF61F5"/>
    <w:rsid w:val="00CF6625"/>
    <w:rsid w:val="00CF6AD5"/>
    <w:rsid w:val="00CF6D6A"/>
    <w:rsid w:val="00CF6E92"/>
    <w:rsid w:val="00CF72B6"/>
    <w:rsid w:val="00CF7E30"/>
    <w:rsid w:val="00D0044C"/>
    <w:rsid w:val="00D0237C"/>
    <w:rsid w:val="00D0295C"/>
    <w:rsid w:val="00D029E7"/>
    <w:rsid w:val="00D02A01"/>
    <w:rsid w:val="00D0391F"/>
    <w:rsid w:val="00D03992"/>
    <w:rsid w:val="00D042E2"/>
    <w:rsid w:val="00D047B2"/>
    <w:rsid w:val="00D059D3"/>
    <w:rsid w:val="00D06031"/>
    <w:rsid w:val="00D06FA4"/>
    <w:rsid w:val="00D07379"/>
    <w:rsid w:val="00D0747F"/>
    <w:rsid w:val="00D10D78"/>
    <w:rsid w:val="00D115CB"/>
    <w:rsid w:val="00D11962"/>
    <w:rsid w:val="00D11D19"/>
    <w:rsid w:val="00D12591"/>
    <w:rsid w:val="00D13B1E"/>
    <w:rsid w:val="00D15B42"/>
    <w:rsid w:val="00D15B9B"/>
    <w:rsid w:val="00D15C8B"/>
    <w:rsid w:val="00D1608E"/>
    <w:rsid w:val="00D17D83"/>
    <w:rsid w:val="00D209F0"/>
    <w:rsid w:val="00D20D4D"/>
    <w:rsid w:val="00D20D94"/>
    <w:rsid w:val="00D2183D"/>
    <w:rsid w:val="00D219BB"/>
    <w:rsid w:val="00D219EC"/>
    <w:rsid w:val="00D22073"/>
    <w:rsid w:val="00D22579"/>
    <w:rsid w:val="00D2306C"/>
    <w:rsid w:val="00D23364"/>
    <w:rsid w:val="00D2461D"/>
    <w:rsid w:val="00D248AF"/>
    <w:rsid w:val="00D25D8D"/>
    <w:rsid w:val="00D2691D"/>
    <w:rsid w:val="00D26A56"/>
    <w:rsid w:val="00D26E2A"/>
    <w:rsid w:val="00D27425"/>
    <w:rsid w:val="00D31387"/>
    <w:rsid w:val="00D330CC"/>
    <w:rsid w:val="00D331B0"/>
    <w:rsid w:val="00D343DD"/>
    <w:rsid w:val="00D3534B"/>
    <w:rsid w:val="00D3687A"/>
    <w:rsid w:val="00D3690D"/>
    <w:rsid w:val="00D36F0A"/>
    <w:rsid w:val="00D37241"/>
    <w:rsid w:val="00D40D87"/>
    <w:rsid w:val="00D41028"/>
    <w:rsid w:val="00D413D3"/>
    <w:rsid w:val="00D41C8D"/>
    <w:rsid w:val="00D42960"/>
    <w:rsid w:val="00D44569"/>
    <w:rsid w:val="00D4472C"/>
    <w:rsid w:val="00D44DD3"/>
    <w:rsid w:val="00D45182"/>
    <w:rsid w:val="00D46515"/>
    <w:rsid w:val="00D4791E"/>
    <w:rsid w:val="00D47C63"/>
    <w:rsid w:val="00D51B74"/>
    <w:rsid w:val="00D51FAF"/>
    <w:rsid w:val="00D52E41"/>
    <w:rsid w:val="00D533B1"/>
    <w:rsid w:val="00D53923"/>
    <w:rsid w:val="00D53AC3"/>
    <w:rsid w:val="00D53F03"/>
    <w:rsid w:val="00D54893"/>
    <w:rsid w:val="00D54A1D"/>
    <w:rsid w:val="00D54A63"/>
    <w:rsid w:val="00D55059"/>
    <w:rsid w:val="00D55812"/>
    <w:rsid w:val="00D558CC"/>
    <w:rsid w:val="00D564A7"/>
    <w:rsid w:val="00D56D0D"/>
    <w:rsid w:val="00D57AEE"/>
    <w:rsid w:val="00D6032F"/>
    <w:rsid w:val="00D609BD"/>
    <w:rsid w:val="00D60CBE"/>
    <w:rsid w:val="00D60CCA"/>
    <w:rsid w:val="00D60F15"/>
    <w:rsid w:val="00D60F94"/>
    <w:rsid w:val="00D6177D"/>
    <w:rsid w:val="00D61963"/>
    <w:rsid w:val="00D61CFD"/>
    <w:rsid w:val="00D62463"/>
    <w:rsid w:val="00D63997"/>
    <w:rsid w:val="00D64B5C"/>
    <w:rsid w:val="00D64F1E"/>
    <w:rsid w:val="00D6555E"/>
    <w:rsid w:val="00D65DC6"/>
    <w:rsid w:val="00D662B5"/>
    <w:rsid w:val="00D6635B"/>
    <w:rsid w:val="00D66B99"/>
    <w:rsid w:val="00D66BA2"/>
    <w:rsid w:val="00D67EA3"/>
    <w:rsid w:val="00D70921"/>
    <w:rsid w:val="00D70BF1"/>
    <w:rsid w:val="00D70C97"/>
    <w:rsid w:val="00D71CD0"/>
    <w:rsid w:val="00D7212F"/>
    <w:rsid w:val="00D7328A"/>
    <w:rsid w:val="00D740C5"/>
    <w:rsid w:val="00D7493C"/>
    <w:rsid w:val="00D7541A"/>
    <w:rsid w:val="00D76275"/>
    <w:rsid w:val="00D76BC1"/>
    <w:rsid w:val="00D770A9"/>
    <w:rsid w:val="00D8065B"/>
    <w:rsid w:val="00D80C34"/>
    <w:rsid w:val="00D80EE3"/>
    <w:rsid w:val="00D81F99"/>
    <w:rsid w:val="00D82118"/>
    <w:rsid w:val="00D82458"/>
    <w:rsid w:val="00D826BC"/>
    <w:rsid w:val="00D82E06"/>
    <w:rsid w:val="00D833C7"/>
    <w:rsid w:val="00D8342B"/>
    <w:rsid w:val="00D84736"/>
    <w:rsid w:val="00D84C17"/>
    <w:rsid w:val="00D84D3B"/>
    <w:rsid w:val="00D860C4"/>
    <w:rsid w:val="00D8768B"/>
    <w:rsid w:val="00D90E04"/>
    <w:rsid w:val="00D915EB"/>
    <w:rsid w:val="00D9178F"/>
    <w:rsid w:val="00D919F5"/>
    <w:rsid w:val="00D91FF6"/>
    <w:rsid w:val="00D9229C"/>
    <w:rsid w:val="00D9241A"/>
    <w:rsid w:val="00D925B1"/>
    <w:rsid w:val="00D93A1A"/>
    <w:rsid w:val="00D93ACC"/>
    <w:rsid w:val="00D94166"/>
    <w:rsid w:val="00D94204"/>
    <w:rsid w:val="00D94ABF"/>
    <w:rsid w:val="00D95E96"/>
    <w:rsid w:val="00D96234"/>
    <w:rsid w:val="00D970A6"/>
    <w:rsid w:val="00DA02DD"/>
    <w:rsid w:val="00DA0FB6"/>
    <w:rsid w:val="00DA2F56"/>
    <w:rsid w:val="00DA3352"/>
    <w:rsid w:val="00DA3A19"/>
    <w:rsid w:val="00DA4155"/>
    <w:rsid w:val="00DA42B1"/>
    <w:rsid w:val="00DA53C2"/>
    <w:rsid w:val="00DA53ED"/>
    <w:rsid w:val="00DA571A"/>
    <w:rsid w:val="00DA66E0"/>
    <w:rsid w:val="00DA68E8"/>
    <w:rsid w:val="00DA77F7"/>
    <w:rsid w:val="00DA7AC1"/>
    <w:rsid w:val="00DB0538"/>
    <w:rsid w:val="00DB0C00"/>
    <w:rsid w:val="00DB10A9"/>
    <w:rsid w:val="00DB1186"/>
    <w:rsid w:val="00DB27E8"/>
    <w:rsid w:val="00DB28CA"/>
    <w:rsid w:val="00DB2AD7"/>
    <w:rsid w:val="00DB2D1C"/>
    <w:rsid w:val="00DB2F86"/>
    <w:rsid w:val="00DB317F"/>
    <w:rsid w:val="00DB3322"/>
    <w:rsid w:val="00DB3945"/>
    <w:rsid w:val="00DB4BF1"/>
    <w:rsid w:val="00DB4D31"/>
    <w:rsid w:val="00DB5603"/>
    <w:rsid w:val="00DB5DF6"/>
    <w:rsid w:val="00DB5EF9"/>
    <w:rsid w:val="00DB6E38"/>
    <w:rsid w:val="00DB71A4"/>
    <w:rsid w:val="00DC0421"/>
    <w:rsid w:val="00DC0791"/>
    <w:rsid w:val="00DC0EBA"/>
    <w:rsid w:val="00DC1B25"/>
    <w:rsid w:val="00DC269D"/>
    <w:rsid w:val="00DC2B48"/>
    <w:rsid w:val="00DC2D9E"/>
    <w:rsid w:val="00DC3B0A"/>
    <w:rsid w:val="00DC44EB"/>
    <w:rsid w:val="00DC4BE8"/>
    <w:rsid w:val="00DC4C6F"/>
    <w:rsid w:val="00DC51D1"/>
    <w:rsid w:val="00DC5FCD"/>
    <w:rsid w:val="00DC6C58"/>
    <w:rsid w:val="00DC7613"/>
    <w:rsid w:val="00DC7740"/>
    <w:rsid w:val="00DC77A9"/>
    <w:rsid w:val="00DC7DC7"/>
    <w:rsid w:val="00DD067B"/>
    <w:rsid w:val="00DD0AF1"/>
    <w:rsid w:val="00DD1683"/>
    <w:rsid w:val="00DD20A5"/>
    <w:rsid w:val="00DD2122"/>
    <w:rsid w:val="00DD2D1A"/>
    <w:rsid w:val="00DD3956"/>
    <w:rsid w:val="00DD3966"/>
    <w:rsid w:val="00DD3BB7"/>
    <w:rsid w:val="00DD3CCE"/>
    <w:rsid w:val="00DD3F88"/>
    <w:rsid w:val="00DD4DF1"/>
    <w:rsid w:val="00DD750D"/>
    <w:rsid w:val="00DE052A"/>
    <w:rsid w:val="00DE162E"/>
    <w:rsid w:val="00DE1B5B"/>
    <w:rsid w:val="00DE1DF7"/>
    <w:rsid w:val="00DE1EB7"/>
    <w:rsid w:val="00DE3166"/>
    <w:rsid w:val="00DE3624"/>
    <w:rsid w:val="00DE38F5"/>
    <w:rsid w:val="00DE3DD3"/>
    <w:rsid w:val="00DE48AD"/>
    <w:rsid w:val="00DE4E05"/>
    <w:rsid w:val="00DE50E0"/>
    <w:rsid w:val="00DE54C9"/>
    <w:rsid w:val="00DE593A"/>
    <w:rsid w:val="00DE6176"/>
    <w:rsid w:val="00DE68EB"/>
    <w:rsid w:val="00DE72D1"/>
    <w:rsid w:val="00DE783E"/>
    <w:rsid w:val="00DE7BBA"/>
    <w:rsid w:val="00DF0021"/>
    <w:rsid w:val="00DF02A9"/>
    <w:rsid w:val="00DF04B4"/>
    <w:rsid w:val="00DF059B"/>
    <w:rsid w:val="00DF0B81"/>
    <w:rsid w:val="00DF10A5"/>
    <w:rsid w:val="00DF282C"/>
    <w:rsid w:val="00DF2B52"/>
    <w:rsid w:val="00DF3508"/>
    <w:rsid w:val="00DF3738"/>
    <w:rsid w:val="00DF384B"/>
    <w:rsid w:val="00DF3CC8"/>
    <w:rsid w:val="00DF3DF0"/>
    <w:rsid w:val="00DF5142"/>
    <w:rsid w:val="00DF5339"/>
    <w:rsid w:val="00DF5D9D"/>
    <w:rsid w:val="00DF645B"/>
    <w:rsid w:val="00DF6495"/>
    <w:rsid w:val="00DF6532"/>
    <w:rsid w:val="00DF6DFD"/>
    <w:rsid w:val="00DF6E75"/>
    <w:rsid w:val="00DF6ECA"/>
    <w:rsid w:val="00DF79AD"/>
    <w:rsid w:val="00DF7A83"/>
    <w:rsid w:val="00DF7E75"/>
    <w:rsid w:val="00E00A18"/>
    <w:rsid w:val="00E012B4"/>
    <w:rsid w:val="00E01D9D"/>
    <w:rsid w:val="00E01F40"/>
    <w:rsid w:val="00E0218E"/>
    <w:rsid w:val="00E023A9"/>
    <w:rsid w:val="00E03A86"/>
    <w:rsid w:val="00E03CC7"/>
    <w:rsid w:val="00E03D73"/>
    <w:rsid w:val="00E0458F"/>
    <w:rsid w:val="00E04669"/>
    <w:rsid w:val="00E050C7"/>
    <w:rsid w:val="00E057B3"/>
    <w:rsid w:val="00E0583D"/>
    <w:rsid w:val="00E06DFD"/>
    <w:rsid w:val="00E06FF5"/>
    <w:rsid w:val="00E07983"/>
    <w:rsid w:val="00E07F8A"/>
    <w:rsid w:val="00E1028E"/>
    <w:rsid w:val="00E108A9"/>
    <w:rsid w:val="00E10934"/>
    <w:rsid w:val="00E10DD5"/>
    <w:rsid w:val="00E1126A"/>
    <w:rsid w:val="00E12935"/>
    <w:rsid w:val="00E12FEB"/>
    <w:rsid w:val="00E1461A"/>
    <w:rsid w:val="00E146BB"/>
    <w:rsid w:val="00E15044"/>
    <w:rsid w:val="00E1505A"/>
    <w:rsid w:val="00E16658"/>
    <w:rsid w:val="00E1742C"/>
    <w:rsid w:val="00E17683"/>
    <w:rsid w:val="00E17A8D"/>
    <w:rsid w:val="00E203EB"/>
    <w:rsid w:val="00E205AB"/>
    <w:rsid w:val="00E20C5A"/>
    <w:rsid w:val="00E21057"/>
    <w:rsid w:val="00E2164B"/>
    <w:rsid w:val="00E21A9C"/>
    <w:rsid w:val="00E2230B"/>
    <w:rsid w:val="00E22C6C"/>
    <w:rsid w:val="00E25642"/>
    <w:rsid w:val="00E26131"/>
    <w:rsid w:val="00E264F7"/>
    <w:rsid w:val="00E27383"/>
    <w:rsid w:val="00E27720"/>
    <w:rsid w:val="00E27FA3"/>
    <w:rsid w:val="00E301F0"/>
    <w:rsid w:val="00E302A6"/>
    <w:rsid w:val="00E304B2"/>
    <w:rsid w:val="00E30A0B"/>
    <w:rsid w:val="00E30AA6"/>
    <w:rsid w:val="00E31547"/>
    <w:rsid w:val="00E31A2E"/>
    <w:rsid w:val="00E31D16"/>
    <w:rsid w:val="00E32DCB"/>
    <w:rsid w:val="00E32ECA"/>
    <w:rsid w:val="00E32F88"/>
    <w:rsid w:val="00E33000"/>
    <w:rsid w:val="00E340BE"/>
    <w:rsid w:val="00E34C27"/>
    <w:rsid w:val="00E35484"/>
    <w:rsid w:val="00E35732"/>
    <w:rsid w:val="00E35EEF"/>
    <w:rsid w:val="00E36AA9"/>
    <w:rsid w:val="00E372F3"/>
    <w:rsid w:val="00E3773A"/>
    <w:rsid w:val="00E37796"/>
    <w:rsid w:val="00E37F22"/>
    <w:rsid w:val="00E405D5"/>
    <w:rsid w:val="00E40824"/>
    <w:rsid w:val="00E4092B"/>
    <w:rsid w:val="00E409EC"/>
    <w:rsid w:val="00E41ADB"/>
    <w:rsid w:val="00E42089"/>
    <w:rsid w:val="00E42BD0"/>
    <w:rsid w:val="00E42EB6"/>
    <w:rsid w:val="00E43111"/>
    <w:rsid w:val="00E435DD"/>
    <w:rsid w:val="00E43B02"/>
    <w:rsid w:val="00E44BCA"/>
    <w:rsid w:val="00E44E72"/>
    <w:rsid w:val="00E454EF"/>
    <w:rsid w:val="00E45D3C"/>
    <w:rsid w:val="00E461A7"/>
    <w:rsid w:val="00E466CB"/>
    <w:rsid w:val="00E46719"/>
    <w:rsid w:val="00E46ACA"/>
    <w:rsid w:val="00E475B5"/>
    <w:rsid w:val="00E500ED"/>
    <w:rsid w:val="00E50540"/>
    <w:rsid w:val="00E50FEE"/>
    <w:rsid w:val="00E5141E"/>
    <w:rsid w:val="00E51F4E"/>
    <w:rsid w:val="00E52C28"/>
    <w:rsid w:val="00E5300F"/>
    <w:rsid w:val="00E532DD"/>
    <w:rsid w:val="00E53715"/>
    <w:rsid w:val="00E5386A"/>
    <w:rsid w:val="00E543C9"/>
    <w:rsid w:val="00E545EA"/>
    <w:rsid w:val="00E55232"/>
    <w:rsid w:val="00E5544A"/>
    <w:rsid w:val="00E559F7"/>
    <w:rsid w:val="00E5603D"/>
    <w:rsid w:val="00E561E7"/>
    <w:rsid w:val="00E566A7"/>
    <w:rsid w:val="00E56A8F"/>
    <w:rsid w:val="00E56CC7"/>
    <w:rsid w:val="00E57D16"/>
    <w:rsid w:val="00E600E6"/>
    <w:rsid w:val="00E6044F"/>
    <w:rsid w:val="00E61466"/>
    <w:rsid w:val="00E6189B"/>
    <w:rsid w:val="00E61B80"/>
    <w:rsid w:val="00E63CC3"/>
    <w:rsid w:val="00E647B0"/>
    <w:rsid w:val="00E64C63"/>
    <w:rsid w:val="00E64E4A"/>
    <w:rsid w:val="00E64FE5"/>
    <w:rsid w:val="00E65B6C"/>
    <w:rsid w:val="00E661FB"/>
    <w:rsid w:val="00E66C72"/>
    <w:rsid w:val="00E676C5"/>
    <w:rsid w:val="00E701A5"/>
    <w:rsid w:val="00E7026F"/>
    <w:rsid w:val="00E70322"/>
    <w:rsid w:val="00E704FF"/>
    <w:rsid w:val="00E708BB"/>
    <w:rsid w:val="00E723F7"/>
    <w:rsid w:val="00E72822"/>
    <w:rsid w:val="00E72A31"/>
    <w:rsid w:val="00E72D58"/>
    <w:rsid w:val="00E73894"/>
    <w:rsid w:val="00E738CA"/>
    <w:rsid w:val="00E7393B"/>
    <w:rsid w:val="00E73D3D"/>
    <w:rsid w:val="00E73FF6"/>
    <w:rsid w:val="00E74496"/>
    <w:rsid w:val="00E755FA"/>
    <w:rsid w:val="00E758DF"/>
    <w:rsid w:val="00E76011"/>
    <w:rsid w:val="00E76557"/>
    <w:rsid w:val="00E765F5"/>
    <w:rsid w:val="00E76A9C"/>
    <w:rsid w:val="00E76F90"/>
    <w:rsid w:val="00E77071"/>
    <w:rsid w:val="00E779C4"/>
    <w:rsid w:val="00E80473"/>
    <w:rsid w:val="00E813FA"/>
    <w:rsid w:val="00E81685"/>
    <w:rsid w:val="00E81D57"/>
    <w:rsid w:val="00E81D7C"/>
    <w:rsid w:val="00E82256"/>
    <w:rsid w:val="00E8292F"/>
    <w:rsid w:val="00E82B8D"/>
    <w:rsid w:val="00E82CFA"/>
    <w:rsid w:val="00E82D7A"/>
    <w:rsid w:val="00E834BD"/>
    <w:rsid w:val="00E83546"/>
    <w:rsid w:val="00E839A1"/>
    <w:rsid w:val="00E83F27"/>
    <w:rsid w:val="00E842B7"/>
    <w:rsid w:val="00E84837"/>
    <w:rsid w:val="00E85229"/>
    <w:rsid w:val="00E8585E"/>
    <w:rsid w:val="00E87397"/>
    <w:rsid w:val="00E90316"/>
    <w:rsid w:val="00E9099B"/>
    <w:rsid w:val="00E914CD"/>
    <w:rsid w:val="00E91C45"/>
    <w:rsid w:val="00E92C0A"/>
    <w:rsid w:val="00E9338E"/>
    <w:rsid w:val="00E93481"/>
    <w:rsid w:val="00E9353E"/>
    <w:rsid w:val="00E93B2C"/>
    <w:rsid w:val="00E93B45"/>
    <w:rsid w:val="00E93BB5"/>
    <w:rsid w:val="00E93CEA"/>
    <w:rsid w:val="00E94134"/>
    <w:rsid w:val="00E943A0"/>
    <w:rsid w:val="00E944DD"/>
    <w:rsid w:val="00E949BF"/>
    <w:rsid w:val="00E95803"/>
    <w:rsid w:val="00E95FFA"/>
    <w:rsid w:val="00E96B16"/>
    <w:rsid w:val="00E96E9E"/>
    <w:rsid w:val="00E96FAE"/>
    <w:rsid w:val="00E9706D"/>
    <w:rsid w:val="00E972EF"/>
    <w:rsid w:val="00EA1D74"/>
    <w:rsid w:val="00EA20B2"/>
    <w:rsid w:val="00EA21CD"/>
    <w:rsid w:val="00EA2C76"/>
    <w:rsid w:val="00EA3109"/>
    <w:rsid w:val="00EA3D50"/>
    <w:rsid w:val="00EA40BC"/>
    <w:rsid w:val="00EA494E"/>
    <w:rsid w:val="00EA49F6"/>
    <w:rsid w:val="00EA500E"/>
    <w:rsid w:val="00EA548A"/>
    <w:rsid w:val="00EA6C3D"/>
    <w:rsid w:val="00EA7170"/>
    <w:rsid w:val="00EA7210"/>
    <w:rsid w:val="00EA72A2"/>
    <w:rsid w:val="00EA757A"/>
    <w:rsid w:val="00EA7775"/>
    <w:rsid w:val="00EA7D8A"/>
    <w:rsid w:val="00EB090B"/>
    <w:rsid w:val="00EB28E9"/>
    <w:rsid w:val="00EB2989"/>
    <w:rsid w:val="00EB3931"/>
    <w:rsid w:val="00EB4F71"/>
    <w:rsid w:val="00EB5BC4"/>
    <w:rsid w:val="00EB6527"/>
    <w:rsid w:val="00EB685D"/>
    <w:rsid w:val="00EB6996"/>
    <w:rsid w:val="00EB69BC"/>
    <w:rsid w:val="00EB7946"/>
    <w:rsid w:val="00EB7DF1"/>
    <w:rsid w:val="00EC0157"/>
    <w:rsid w:val="00EC056C"/>
    <w:rsid w:val="00EC13F8"/>
    <w:rsid w:val="00EC21E8"/>
    <w:rsid w:val="00EC27BF"/>
    <w:rsid w:val="00EC2949"/>
    <w:rsid w:val="00EC2D52"/>
    <w:rsid w:val="00EC2E2D"/>
    <w:rsid w:val="00EC2F34"/>
    <w:rsid w:val="00EC35FD"/>
    <w:rsid w:val="00EC380C"/>
    <w:rsid w:val="00EC468C"/>
    <w:rsid w:val="00EC4BBB"/>
    <w:rsid w:val="00EC51CA"/>
    <w:rsid w:val="00EC5476"/>
    <w:rsid w:val="00EC58B9"/>
    <w:rsid w:val="00EC6C51"/>
    <w:rsid w:val="00EC6C57"/>
    <w:rsid w:val="00EC70BF"/>
    <w:rsid w:val="00EC78D7"/>
    <w:rsid w:val="00EC7D5E"/>
    <w:rsid w:val="00ED04B1"/>
    <w:rsid w:val="00ED07D4"/>
    <w:rsid w:val="00ED0C5D"/>
    <w:rsid w:val="00ED10C2"/>
    <w:rsid w:val="00ED12CF"/>
    <w:rsid w:val="00ED195B"/>
    <w:rsid w:val="00ED195D"/>
    <w:rsid w:val="00ED1A2A"/>
    <w:rsid w:val="00ED1B3B"/>
    <w:rsid w:val="00ED287D"/>
    <w:rsid w:val="00ED2DB3"/>
    <w:rsid w:val="00ED4242"/>
    <w:rsid w:val="00ED4C6D"/>
    <w:rsid w:val="00ED4D4A"/>
    <w:rsid w:val="00ED526D"/>
    <w:rsid w:val="00ED6299"/>
    <w:rsid w:val="00ED6598"/>
    <w:rsid w:val="00ED65F2"/>
    <w:rsid w:val="00ED67D8"/>
    <w:rsid w:val="00ED6A08"/>
    <w:rsid w:val="00ED6A36"/>
    <w:rsid w:val="00ED6AD5"/>
    <w:rsid w:val="00ED7775"/>
    <w:rsid w:val="00ED7AAA"/>
    <w:rsid w:val="00ED7C4D"/>
    <w:rsid w:val="00ED7FC3"/>
    <w:rsid w:val="00EE0128"/>
    <w:rsid w:val="00EE07E2"/>
    <w:rsid w:val="00EE1A2E"/>
    <w:rsid w:val="00EE1E02"/>
    <w:rsid w:val="00EE1FF4"/>
    <w:rsid w:val="00EE24E4"/>
    <w:rsid w:val="00EE2911"/>
    <w:rsid w:val="00EE2A7D"/>
    <w:rsid w:val="00EE2DCA"/>
    <w:rsid w:val="00EE40C4"/>
    <w:rsid w:val="00EE472D"/>
    <w:rsid w:val="00EE5C53"/>
    <w:rsid w:val="00EE6085"/>
    <w:rsid w:val="00EE608F"/>
    <w:rsid w:val="00EE6B67"/>
    <w:rsid w:val="00EE6D3D"/>
    <w:rsid w:val="00EE6F93"/>
    <w:rsid w:val="00EE700B"/>
    <w:rsid w:val="00EE7592"/>
    <w:rsid w:val="00EF09B2"/>
    <w:rsid w:val="00EF1065"/>
    <w:rsid w:val="00EF1106"/>
    <w:rsid w:val="00EF11BD"/>
    <w:rsid w:val="00EF13F9"/>
    <w:rsid w:val="00EF1B09"/>
    <w:rsid w:val="00EF28D2"/>
    <w:rsid w:val="00EF39A3"/>
    <w:rsid w:val="00EF3FCF"/>
    <w:rsid w:val="00EF43DD"/>
    <w:rsid w:val="00EF46D7"/>
    <w:rsid w:val="00EF4740"/>
    <w:rsid w:val="00EF4FCE"/>
    <w:rsid w:val="00EF6002"/>
    <w:rsid w:val="00EF6106"/>
    <w:rsid w:val="00EF6616"/>
    <w:rsid w:val="00EF6836"/>
    <w:rsid w:val="00EF69A3"/>
    <w:rsid w:val="00EF6EEE"/>
    <w:rsid w:val="00EF7CF5"/>
    <w:rsid w:val="00F0052F"/>
    <w:rsid w:val="00F009F5"/>
    <w:rsid w:val="00F00D83"/>
    <w:rsid w:val="00F00E04"/>
    <w:rsid w:val="00F012FF"/>
    <w:rsid w:val="00F0150D"/>
    <w:rsid w:val="00F02C8E"/>
    <w:rsid w:val="00F0311F"/>
    <w:rsid w:val="00F03469"/>
    <w:rsid w:val="00F03CA3"/>
    <w:rsid w:val="00F03DD6"/>
    <w:rsid w:val="00F03FCE"/>
    <w:rsid w:val="00F04F0E"/>
    <w:rsid w:val="00F04FA9"/>
    <w:rsid w:val="00F052A7"/>
    <w:rsid w:val="00F05311"/>
    <w:rsid w:val="00F05326"/>
    <w:rsid w:val="00F0598C"/>
    <w:rsid w:val="00F067CB"/>
    <w:rsid w:val="00F06C6B"/>
    <w:rsid w:val="00F06D4B"/>
    <w:rsid w:val="00F07754"/>
    <w:rsid w:val="00F07DF6"/>
    <w:rsid w:val="00F07E76"/>
    <w:rsid w:val="00F10549"/>
    <w:rsid w:val="00F10D74"/>
    <w:rsid w:val="00F1104D"/>
    <w:rsid w:val="00F11F5F"/>
    <w:rsid w:val="00F131C0"/>
    <w:rsid w:val="00F1377D"/>
    <w:rsid w:val="00F13EC7"/>
    <w:rsid w:val="00F14CBF"/>
    <w:rsid w:val="00F14CE0"/>
    <w:rsid w:val="00F14F6E"/>
    <w:rsid w:val="00F15E3D"/>
    <w:rsid w:val="00F15F2F"/>
    <w:rsid w:val="00F16133"/>
    <w:rsid w:val="00F16363"/>
    <w:rsid w:val="00F1654B"/>
    <w:rsid w:val="00F16911"/>
    <w:rsid w:val="00F1716C"/>
    <w:rsid w:val="00F177CE"/>
    <w:rsid w:val="00F207C6"/>
    <w:rsid w:val="00F2093C"/>
    <w:rsid w:val="00F22EDC"/>
    <w:rsid w:val="00F22F97"/>
    <w:rsid w:val="00F231E1"/>
    <w:rsid w:val="00F2345D"/>
    <w:rsid w:val="00F2395E"/>
    <w:rsid w:val="00F23A2E"/>
    <w:rsid w:val="00F23B80"/>
    <w:rsid w:val="00F23BB2"/>
    <w:rsid w:val="00F2425A"/>
    <w:rsid w:val="00F251BF"/>
    <w:rsid w:val="00F256EB"/>
    <w:rsid w:val="00F277BC"/>
    <w:rsid w:val="00F277EF"/>
    <w:rsid w:val="00F27894"/>
    <w:rsid w:val="00F27967"/>
    <w:rsid w:val="00F27C2D"/>
    <w:rsid w:val="00F3068B"/>
    <w:rsid w:val="00F30C74"/>
    <w:rsid w:val="00F31EF9"/>
    <w:rsid w:val="00F3209B"/>
    <w:rsid w:val="00F32415"/>
    <w:rsid w:val="00F32488"/>
    <w:rsid w:val="00F32930"/>
    <w:rsid w:val="00F3320A"/>
    <w:rsid w:val="00F337FD"/>
    <w:rsid w:val="00F339CD"/>
    <w:rsid w:val="00F33A92"/>
    <w:rsid w:val="00F35584"/>
    <w:rsid w:val="00F37082"/>
    <w:rsid w:val="00F372C5"/>
    <w:rsid w:val="00F405C4"/>
    <w:rsid w:val="00F406A8"/>
    <w:rsid w:val="00F4081B"/>
    <w:rsid w:val="00F40858"/>
    <w:rsid w:val="00F40D6C"/>
    <w:rsid w:val="00F40F05"/>
    <w:rsid w:val="00F41865"/>
    <w:rsid w:val="00F42529"/>
    <w:rsid w:val="00F426AC"/>
    <w:rsid w:val="00F4290B"/>
    <w:rsid w:val="00F4290D"/>
    <w:rsid w:val="00F42DB1"/>
    <w:rsid w:val="00F42E38"/>
    <w:rsid w:val="00F4302E"/>
    <w:rsid w:val="00F43767"/>
    <w:rsid w:val="00F43C96"/>
    <w:rsid w:val="00F43F3F"/>
    <w:rsid w:val="00F44122"/>
    <w:rsid w:val="00F44FBE"/>
    <w:rsid w:val="00F450AD"/>
    <w:rsid w:val="00F46061"/>
    <w:rsid w:val="00F46285"/>
    <w:rsid w:val="00F46AA3"/>
    <w:rsid w:val="00F46C4E"/>
    <w:rsid w:val="00F47265"/>
    <w:rsid w:val="00F50571"/>
    <w:rsid w:val="00F50C74"/>
    <w:rsid w:val="00F5230B"/>
    <w:rsid w:val="00F5250A"/>
    <w:rsid w:val="00F52BF6"/>
    <w:rsid w:val="00F536C8"/>
    <w:rsid w:val="00F53D7A"/>
    <w:rsid w:val="00F5440D"/>
    <w:rsid w:val="00F54E49"/>
    <w:rsid w:val="00F54E5F"/>
    <w:rsid w:val="00F5530C"/>
    <w:rsid w:val="00F55821"/>
    <w:rsid w:val="00F5590F"/>
    <w:rsid w:val="00F55C74"/>
    <w:rsid w:val="00F55FE4"/>
    <w:rsid w:val="00F5616F"/>
    <w:rsid w:val="00F56B8E"/>
    <w:rsid w:val="00F56DCA"/>
    <w:rsid w:val="00F6023E"/>
    <w:rsid w:val="00F609B7"/>
    <w:rsid w:val="00F60EAC"/>
    <w:rsid w:val="00F61398"/>
    <w:rsid w:val="00F61663"/>
    <w:rsid w:val="00F61AE8"/>
    <w:rsid w:val="00F61B31"/>
    <w:rsid w:val="00F625FE"/>
    <w:rsid w:val="00F64892"/>
    <w:rsid w:val="00F64C8A"/>
    <w:rsid w:val="00F64DC9"/>
    <w:rsid w:val="00F65024"/>
    <w:rsid w:val="00F658B8"/>
    <w:rsid w:val="00F65FED"/>
    <w:rsid w:val="00F66166"/>
    <w:rsid w:val="00F6639A"/>
    <w:rsid w:val="00F678B8"/>
    <w:rsid w:val="00F67A9C"/>
    <w:rsid w:val="00F67B30"/>
    <w:rsid w:val="00F67BC5"/>
    <w:rsid w:val="00F7028D"/>
    <w:rsid w:val="00F71CE9"/>
    <w:rsid w:val="00F72198"/>
    <w:rsid w:val="00F723FD"/>
    <w:rsid w:val="00F7387B"/>
    <w:rsid w:val="00F73C6E"/>
    <w:rsid w:val="00F73EEA"/>
    <w:rsid w:val="00F7497A"/>
    <w:rsid w:val="00F7521B"/>
    <w:rsid w:val="00F758DC"/>
    <w:rsid w:val="00F75A6F"/>
    <w:rsid w:val="00F767F2"/>
    <w:rsid w:val="00F771CA"/>
    <w:rsid w:val="00F778E6"/>
    <w:rsid w:val="00F77DA3"/>
    <w:rsid w:val="00F80581"/>
    <w:rsid w:val="00F808D9"/>
    <w:rsid w:val="00F809A5"/>
    <w:rsid w:val="00F81E62"/>
    <w:rsid w:val="00F8205F"/>
    <w:rsid w:val="00F83628"/>
    <w:rsid w:val="00F841CB"/>
    <w:rsid w:val="00F841FF"/>
    <w:rsid w:val="00F84211"/>
    <w:rsid w:val="00F8431F"/>
    <w:rsid w:val="00F84358"/>
    <w:rsid w:val="00F85263"/>
    <w:rsid w:val="00F867F4"/>
    <w:rsid w:val="00F86D13"/>
    <w:rsid w:val="00F86D43"/>
    <w:rsid w:val="00F877EF"/>
    <w:rsid w:val="00F8799A"/>
    <w:rsid w:val="00F87B53"/>
    <w:rsid w:val="00F87CB5"/>
    <w:rsid w:val="00F87DF6"/>
    <w:rsid w:val="00F9061A"/>
    <w:rsid w:val="00F90B7D"/>
    <w:rsid w:val="00F90EC9"/>
    <w:rsid w:val="00F9110A"/>
    <w:rsid w:val="00F9174A"/>
    <w:rsid w:val="00F91904"/>
    <w:rsid w:val="00F91A8C"/>
    <w:rsid w:val="00F921EC"/>
    <w:rsid w:val="00F92333"/>
    <w:rsid w:val="00F92440"/>
    <w:rsid w:val="00F9394D"/>
    <w:rsid w:val="00F93E10"/>
    <w:rsid w:val="00F94042"/>
    <w:rsid w:val="00F941D6"/>
    <w:rsid w:val="00F941EE"/>
    <w:rsid w:val="00F94BC4"/>
    <w:rsid w:val="00F95682"/>
    <w:rsid w:val="00F956E9"/>
    <w:rsid w:val="00F95AED"/>
    <w:rsid w:val="00F9649C"/>
    <w:rsid w:val="00F964DF"/>
    <w:rsid w:val="00F9662E"/>
    <w:rsid w:val="00F971AC"/>
    <w:rsid w:val="00F972FB"/>
    <w:rsid w:val="00F97DA4"/>
    <w:rsid w:val="00FA1E21"/>
    <w:rsid w:val="00FA2910"/>
    <w:rsid w:val="00FA2B7D"/>
    <w:rsid w:val="00FA2C23"/>
    <w:rsid w:val="00FA36C2"/>
    <w:rsid w:val="00FA37F8"/>
    <w:rsid w:val="00FA3FBE"/>
    <w:rsid w:val="00FA4F33"/>
    <w:rsid w:val="00FA54DA"/>
    <w:rsid w:val="00FA56D0"/>
    <w:rsid w:val="00FA7D19"/>
    <w:rsid w:val="00FB0A38"/>
    <w:rsid w:val="00FB16D7"/>
    <w:rsid w:val="00FB1D49"/>
    <w:rsid w:val="00FB22D3"/>
    <w:rsid w:val="00FB23F9"/>
    <w:rsid w:val="00FB3170"/>
    <w:rsid w:val="00FB3F31"/>
    <w:rsid w:val="00FB3FBD"/>
    <w:rsid w:val="00FB4D8D"/>
    <w:rsid w:val="00FB587F"/>
    <w:rsid w:val="00FB603F"/>
    <w:rsid w:val="00FB607A"/>
    <w:rsid w:val="00FB6729"/>
    <w:rsid w:val="00FB74D6"/>
    <w:rsid w:val="00FB7774"/>
    <w:rsid w:val="00FC06E9"/>
    <w:rsid w:val="00FC0943"/>
    <w:rsid w:val="00FC1A98"/>
    <w:rsid w:val="00FC2013"/>
    <w:rsid w:val="00FC24DC"/>
    <w:rsid w:val="00FC29A6"/>
    <w:rsid w:val="00FC2B51"/>
    <w:rsid w:val="00FC3987"/>
    <w:rsid w:val="00FC3CB6"/>
    <w:rsid w:val="00FC3D24"/>
    <w:rsid w:val="00FC51A1"/>
    <w:rsid w:val="00FC536A"/>
    <w:rsid w:val="00FC53D1"/>
    <w:rsid w:val="00FC5855"/>
    <w:rsid w:val="00FC597B"/>
    <w:rsid w:val="00FC729A"/>
    <w:rsid w:val="00FC72A2"/>
    <w:rsid w:val="00FC73F0"/>
    <w:rsid w:val="00FC78CE"/>
    <w:rsid w:val="00FC7DC0"/>
    <w:rsid w:val="00FC7FB8"/>
    <w:rsid w:val="00FD04E7"/>
    <w:rsid w:val="00FD0541"/>
    <w:rsid w:val="00FD0965"/>
    <w:rsid w:val="00FD0EB7"/>
    <w:rsid w:val="00FD182E"/>
    <w:rsid w:val="00FD362C"/>
    <w:rsid w:val="00FD3B56"/>
    <w:rsid w:val="00FD409C"/>
    <w:rsid w:val="00FD4184"/>
    <w:rsid w:val="00FD4552"/>
    <w:rsid w:val="00FD49F6"/>
    <w:rsid w:val="00FD4A65"/>
    <w:rsid w:val="00FD4AE3"/>
    <w:rsid w:val="00FD5522"/>
    <w:rsid w:val="00FD6E18"/>
    <w:rsid w:val="00FD6EA7"/>
    <w:rsid w:val="00FE0FC2"/>
    <w:rsid w:val="00FE2281"/>
    <w:rsid w:val="00FE252F"/>
    <w:rsid w:val="00FE2854"/>
    <w:rsid w:val="00FE3BCE"/>
    <w:rsid w:val="00FE5372"/>
    <w:rsid w:val="00FE60C8"/>
    <w:rsid w:val="00FE69F1"/>
    <w:rsid w:val="00FE7257"/>
    <w:rsid w:val="00FE74E4"/>
    <w:rsid w:val="00FF015A"/>
    <w:rsid w:val="00FF01D9"/>
    <w:rsid w:val="00FF1242"/>
    <w:rsid w:val="00FF1344"/>
    <w:rsid w:val="00FF1768"/>
    <w:rsid w:val="00FF1928"/>
    <w:rsid w:val="00FF1995"/>
    <w:rsid w:val="00FF2377"/>
    <w:rsid w:val="00FF29B7"/>
    <w:rsid w:val="00FF2BDC"/>
    <w:rsid w:val="00FF2DA5"/>
    <w:rsid w:val="00FF3D0E"/>
    <w:rsid w:val="00FF47C1"/>
    <w:rsid w:val="00FF48D7"/>
    <w:rsid w:val="00FF4A18"/>
    <w:rsid w:val="00FF4AA2"/>
    <w:rsid w:val="00FF4BD7"/>
    <w:rsid w:val="00FF4F71"/>
    <w:rsid w:val="00FF61BD"/>
    <w:rsid w:val="00FF645D"/>
    <w:rsid w:val="00FF6584"/>
    <w:rsid w:val="00FF6EE7"/>
    <w:rsid w:val="00FF74CC"/>
    <w:rsid w:val="00FF7A1E"/>
    <w:rsid w:val="00FF7CC2"/>
    <w:rsid w:val="00FF7E8E"/>
  </w:rsids>
  <m:mathPr>
    <m:mathFont m:val="Cambria Math"/>
    <m:brkBin m:val="before"/>
    <m:brkBinSub m:val="--"/>
    <m:smallFrac m:val="0"/>
    <m:dispDef/>
    <m:lMargin m:val="0"/>
    <m:rMargin m:val="0"/>
    <m:defJc m:val="centerGroup"/>
    <m:wrapIndent m:val="1440"/>
    <m:intLim m:val="subSup"/>
    <m:naryLim m:val="undOvr"/>
  </m:mathPr>
  <w:themeFontLang w:val="fr-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AEBAE1"/>
  <w15:docId w15:val="{B6D09553-C341-4454-B3A8-08C65BE3E9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CA"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5639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A5639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5639A"/>
    <w:rPr>
      <w:rFonts w:ascii="Tahoma" w:hAnsi="Tahoma" w:cs="Tahoma"/>
      <w:sz w:val="16"/>
      <w:szCs w:val="16"/>
    </w:rPr>
  </w:style>
  <w:style w:type="paragraph" w:customStyle="1" w:styleId="EndNoteBibliographyTitle">
    <w:name w:val="EndNote Bibliography Title"/>
    <w:basedOn w:val="Normal"/>
    <w:link w:val="EndNoteBibliographyTitleCar"/>
    <w:rsid w:val="00A5639A"/>
    <w:pPr>
      <w:spacing w:after="0"/>
      <w:jc w:val="center"/>
    </w:pPr>
    <w:rPr>
      <w:rFonts w:ascii="Calibri" w:hAnsi="Calibri" w:cs="Calibri"/>
      <w:noProof/>
      <w:lang w:val="en-US"/>
    </w:rPr>
  </w:style>
  <w:style w:type="character" w:customStyle="1" w:styleId="EndNoteBibliographyTitleCar">
    <w:name w:val="EndNote Bibliography Title Car"/>
    <w:basedOn w:val="DefaultParagraphFont"/>
    <w:link w:val="EndNoteBibliographyTitle"/>
    <w:rsid w:val="00A5639A"/>
    <w:rPr>
      <w:rFonts w:ascii="Calibri" w:hAnsi="Calibri" w:cs="Calibri"/>
      <w:noProof/>
      <w:lang w:val="en-US"/>
    </w:rPr>
  </w:style>
  <w:style w:type="paragraph" w:customStyle="1" w:styleId="EndNoteBibliography">
    <w:name w:val="EndNote Bibliography"/>
    <w:basedOn w:val="Normal"/>
    <w:link w:val="EndNoteBibliographyCar"/>
    <w:rsid w:val="00A5639A"/>
    <w:pPr>
      <w:spacing w:line="240" w:lineRule="auto"/>
    </w:pPr>
    <w:rPr>
      <w:rFonts w:ascii="Calibri" w:hAnsi="Calibri" w:cs="Calibri"/>
      <w:noProof/>
      <w:lang w:val="en-US"/>
    </w:rPr>
  </w:style>
  <w:style w:type="character" w:customStyle="1" w:styleId="EndNoteBibliographyCar">
    <w:name w:val="EndNote Bibliography Car"/>
    <w:basedOn w:val="DefaultParagraphFont"/>
    <w:link w:val="EndNoteBibliography"/>
    <w:rsid w:val="00A5639A"/>
    <w:rPr>
      <w:rFonts w:ascii="Calibri" w:hAnsi="Calibri" w:cs="Calibri"/>
      <w:noProof/>
      <w:lang w:val="en-US"/>
    </w:rPr>
  </w:style>
  <w:style w:type="character" w:styleId="Hyperlink">
    <w:name w:val="Hyperlink"/>
    <w:basedOn w:val="DefaultParagraphFont"/>
    <w:uiPriority w:val="99"/>
    <w:unhideWhenUsed/>
    <w:rsid w:val="00A5639A"/>
    <w:rPr>
      <w:color w:val="0000FF" w:themeColor="hyperlink"/>
      <w:u w:val="single"/>
    </w:rPr>
  </w:style>
  <w:style w:type="table" w:styleId="LightShading">
    <w:name w:val="Light Shading"/>
    <w:basedOn w:val="TableNormal"/>
    <w:uiPriority w:val="60"/>
    <w:rsid w:val="00A5639A"/>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ListParagraph">
    <w:name w:val="List Paragraph"/>
    <w:basedOn w:val="Normal"/>
    <w:uiPriority w:val="34"/>
    <w:qFormat/>
    <w:rsid w:val="00A5639A"/>
    <w:pPr>
      <w:ind w:left="720"/>
      <w:contextualSpacing/>
    </w:pPr>
  </w:style>
  <w:style w:type="character" w:styleId="CommentReference">
    <w:name w:val="annotation reference"/>
    <w:basedOn w:val="DefaultParagraphFont"/>
    <w:uiPriority w:val="99"/>
    <w:semiHidden/>
    <w:unhideWhenUsed/>
    <w:rsid w:val="00A5639A"/>
    <w:rPr>
      <w:sz w:val="16"/>
      <w:szCs w:val="16"/>
    </w:rPr>
  </w:style>
  <w:style w:type="paragraph" w:styleId="CommentText">
    <w:name w:val="annotation text"/>
    <w:basedOn w:val="Normal"/>
    <w:link w:val="CommentTextChar"/>
    <w:uiPriority w:val="99"/>
    <w:semiHidden/>
    <w:unhideWhenUsed/>
    <w:rsid w:val="00A5639A"/>
    <w:pPr>
      <w:spacing w:line="240" w:lineRule="auto"/>
    </w:pPr>
    <w:rPr>
      <w:sz w:val="20"/>
      <w:szCs w:val="20"/>
    </w:rPr>
  </w:style>
  <w:style w:type="character" w:customStyle="1" w:styleId="CommentTextChar">
    <w:name w:val="Comment Text Char"/>
    <w:basedOn w:val="DefaultParagraphFont"/>
    <w:link w:val="CommentText"/>
    <w:uiPriority w:val="99"/>
    <w:semiHidden/>
    <w:rsid w:val="00A5639A"/>
    <w:rPr>
      <w:sz w:val="20"/>
      <w:szCs w:val="20"/>
    </w:rPr>
  </w:style>
  <w:style w:type="paragraph" w:styleId="CommentSubject">
    <w:name w:val="annotation subject"/>
    <w:basedOn w:val="CommentText"/>
    <w:next w:val="CommentText"/>
    <w:link w:val="CommentSubjectChar"/>
    <w:uiPriority w:val="99"/>
    <w:semiHidden/>
    <w:unhideWhenUsed/>
    <w:rsid w:val="00A5639A"/>
    <w:rPr>
      <w:b/>
      <w:bCs/>
    </w:rPr>
  </w:style>
  <w:style w:type="character" w:customStyle="1" w:styleId="CommentSubjectChar">
    <w:name w:val="Comment Subject Char"/>
    <w:basedOn w:val="CommentTextChar"/>
    <w:link w:val="CommentSubject"/>
    <w:uiPriority w:val="99"/>
    <w:semiHidden/>
    <w:rsid w:val="00A5639A"/>
    <w:rPr>
      <w:b/>
      <w:bCs/>
      <w:sz w:val="20"/>
      <w:szCs w:val="20"/>
    </w:rPr>
  </w:style>
  <w:style w:type="paragraph" w:styleId="NoSpacing">
    <w:name w:val="No Spacing"/>
    <w:uiPriority w:val="1"/>
    <w:qFormat/>
    <w:rsid w:val="00A5639A"/>
    <w:pPr>
      <w:spacing w:after="0" w:line="240" w:lineRule="auto"/>
    </w:pPr>
  </w:style>
  <w:style w:type="character" w:styleId="Emphasis">
    <w:name w:val="Emphasis"/>
    <w:basedOn w:val="DefaultParagraphFont"/>
    <w:uiPriority w:val="20"/>
    <w:qFormat/>
    <w:rsid w:val="00A5639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diagramColors" Target="diagrams/colors1.xml"/><Relationship Id="rId13" Type="http://schemas.openxmlformats.org/officeDocument/2006/relationships/diagramColors" Target="diagrams/colors2.xml"/><Relationship Id="rId3" Type="http://schemas.openxmlformats.org/officeDocument/2006/relationships/settings" Target="settings.xml"/><Relationship Id="rId7" Type="http://schemas.openxmlformats.org/officeDocument/2006/relationships/diagramQuickStyle" Target="diagrams/quickStyle1.xml"/><Relationship Id="rId12" Type="http://schemas.openxmlformats.org/officeDocument/2006/relationships/diagramQuickStyle" Target="diagrams/quickStyle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diagramLayout" Target="diagrams/layout1.xml"/><Relationship Id="rId11" Type="http://schemas.openxmlformats.org/officeDocument/2006/relationships/diagramLayout" Target="diagrams/layout2.xml"/><Relationship Id="rId5" Type="http://schemas.openxmlformats.org/officeDocument/2006/relationships/diagramData" Target="diagrams/data1.xml"/><Relationship Id="rId15" Type="http://schemas.openxmlformats.org/officeDocument/2006/relationships/fontTable" Target="fontTable.xml"/><Relationship Id="rId10" Type="http://schemas.openxmlformats.org/officeDocument/2006/relationships/diagramData" Target="diagrams/data2.xml"/><Relationship Id="rId4" Type="http://schemas.openxmlformats.org/officeDocument/2006/relationships/webSettings" Target="webSettings.xml"/><Relationship Id="rId9" Type="http://schemas.microsoft.com/office/2007/relationships/diagramDrawing" Target="diagrams/drawing1.xml"/><Relationship Id="rId14" Type="http://schemas.microsoft.com/office/2007/relationships/diagramDrawing" Target="diagrams/drawing2.xml"/></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CC4D41E1-B981-42D1-BF00-F1611D1A945E}" type="doc">
      <dgm:prSet loTypeId="urn:microsoft.com/office/officeart/2005/8/layout/process3" loCatId="process" qsTypeId="urn:microsoft.com/office/officeart/2005/8/quickstyle/simple1" qsCatId="simple" csTypeId="urn:microsoft.com/office/officeart/2005/8/colors/accent0_1" csCatId="mainScheme" phldr="1"/>
      <dgm:spPr/>
      <dgm:t>
        <a:bodyPr/>
        <a:lstStyle/>
        <a:p>
          <a:endParaRPr lang="fr-CA"/>
        </a:p>
      </dgm:t>
    </dgm:pt>
    <dgm:pt modelId="{9EE408B6-93A0-4974-9CF8-7DC1D58C57D7}">
      <dgm:prSet phldrT="[Texte]" custT="1"/>
      <dgm:spPr/>
      <dgm:t>
        <a:bodyPr/>
        <a:lstStyle/>
        <a:p>
          <a:r>
            <a:rPr lang="fr-CA" sz="1800">
              <a:latin typeface="Times New Roman" panose="02020603050405020304" pitchFamily="18" charset="0"/>
              <a:cs typeface="Times New Roman" panose="02020603050405020304" pitchFamily="18" charset="0"/>
            </a:rPr>
            <a:t>Fatigue de compassion</a:t>
          </a:r>
        </a:p>
      </dgm:t>
    </dgm:pt>
    <dgm:pt modelId="{E7EC20BC-A812-41D4-ADF5-690DB2C72D39}" type="parTrans" cxnId="{6E98E1C3-FC6F-4D91-AA2D-A9215CDCECC2}">
      <dgm:prSet/>
      <dgm:spPr/>
      <dgm:t>
        <a:bodyPr/>
        <a:lstStyle/>
        <a:p>
          <a:endParaRPr lang="fr-CA"/>
        </a:p>
      </dgm:t>
    </dgm:pt>
    <dgm:pt modelId="{21EF6160-B7F0-460B-9EC6-4199F2DEB647}" type="sibTrans" cxnId="{6E98E1C3-FC6F-4D91-AA2D-A9215CDCECC2}">
      <dgm:prSet/>
      <dgm:spPr/>
      <dgm:t>
        <a:bodyPr/>
        <a:lstStyle/>
        <a:p>
          <a:endParaRPr lang="fr-CA"/>
        </a:p>
      </dgm:t>
    </dgm:pt>
    <dgm:pt modelId="{15477673-85F0-42CF-8040-D79C87817419}">
      <dgm:prSet phldrT="[Texte]" custT="1"/>
      <dgm:spPr/>
      <dgm:t>
        <a:bodyPr/>
        <a:lstStyle/>
        <a:p>
          <a:r>
            <a:rPr lang="fr-CA" sz="1800">
              <a:latin typeface="Times New Roman" panose="02020603050405020304" pitchFamily="18" charset="0"/>
              <a:cs typeface="Times New Roman" panose="02020603050405020304" pitchFamily="18" charset="0"/>
            </a:rPr>
            <a:t>Fatigue de diversité</a:t>
          </a:r>
        </a:p>
      </dgm:t>
    </dgm:pt>
    <dgm:pt modelId="{6F09EBC8-C0C1-4B2F-B0AB-D302E625BEDA}" type="parTrans" cxnId="{520536D9-4B12-484D-976E-AC6EAB6F6B33}">
      <dgm:prSet/>
      <dgm:spPr/>
      <dgm:t>
        <a:bodyPr/>
        <a:lstStyle/>
        <a:p>
          <a:endParaRPr lang="fr-CA"/>
        </a:p>
      </dgm:t>
    </dgm:pt>
    <dgm:pt modelId="{D2D2DA40-F70B-4637-BD34-A0812BA6890E}" type="sibTrans" cxnId="{520536D9-4B12-484D-976E-AC6EAB6F6B33}">
      <dgm:prSet/>
      <dgm:spPr/>
      <dgm:t>
        <a:bodyPr/>
        <a:lstStyle/>
        <a:p>
          <a:endParaRPr lang="fr-CA"/>
        </a:p>
      </dgm:t>
    </dgm:pt>
    <dgm:pt modelId="{C4690DA3-ECD9-4F0F-BD2B-40C9E70292C9}">
      <dgm:prSet custT="1"/>
      <dgm:spPr/>
      <dgm:t>
        <a:bodyPr/>
        <a:lstStyle/>
        <a:p>
          <a:r>
            <a:rPr lang="fr-CA" sz="1200">
              <a:latin typeface="Times New Roman" panose="02020603050405020304" pitchFamily="18" charset="0"/>
              <a:cs typeface="Times New Roman" panose="02020603050405020304" pitchFamily="18" charset="0"/>
            </a:rPr>
            <a:t>Quand le contexte de pratique professionnelle est déjà surchargé</a:t>
          </a:r>
          <a:endParaRPr lang="fr-CA" sz="1200"/>
        </a:p>
      </dgm:t>
    </dgm:pt>
    <dgm:pt modelId="{6E48654B-2676-4349-878F-F91EA2A83382}" type="parTrans" cxnId="{65780E48-483D-4B44-9B4B-D7415D5FEDAE}">
      <dgm:prSet/>
      <dgm:spPr/>
      <dgm:t>
        <a:bodyPr/>
        <a:lstStyle/>
        <a:p>
          <a:endParaRPr lang="fr-CA"/>
        </a:p>
      </dgm:t>
    </dgm:pt>
    <dgm:pt modelId="{69E5AC63-25B1-4321-BE0A-B84B250823C6}" type="sibTrans" cxnId="{65780E48-483D-4B44-9B4B-D7415D5FEDAE}">
      <dgm:prSet/>
      <dgm:spPr/>
      <dgm:t>
        <a:bodyPr/>
        <a:lstStyle/>
        <a:p>
          <a:endParaRPr lang="fr-CA"/>
        </a:p>
      </dgm:t>
    </dgm:pt>
    <dgm:pt modelId="{18B7EF10-63D8-4272-BC53-413B2EDC5B84}">
      <dgm:prSet phldrT="[Texte]" custT="1"/>
      <dgm:spPr/>
      <dgm:t>
        <a:bodyPr/>
        <a:lstStyle/>
        <a:p>
          <a:r>
            <a:rPr lang="fr-CA" sz="1200">
              <a:latin typeface="Times New Roman" panose="02020603050405020304" pitchFamily="18" charset="0"/>
              <a:cs typeface="Times New Roman" panose="02020603050405020304" pitchFamily="18" charset="0"/>
            </a:rPr>
            <a:t>L'implantation de la compétence interculturelle ne suffit pas: les modèles de gestion sont à revoir.</a:t>
          </a:r>
        </a:p>
      </dgm:t>
    </dgm:pt>
    <dgm:pt modelId="{D55047CB-41FD-470E-B064-F545188AFA2E}" type="sibTrans" cxnId="{B14A96E0-5FEA-476E-80D9-1E8BAB46AB71}">
      <dgm:prSet/>
      <dgm:spPr/>
      <dgm:t>
        <a:bodyPr/>
        <a:lstStyle/>
        <a:p>
          <a:endParaRPr lang="fr-CA"/>
        </a:p>
      </dgm:t>
    </dgm:pt>
    <dgm:pt modelId="{2B605BF6-FB15-4BD4-BDBB-7BD55EE3BE6D}" type="parTrans" cxnId="{B14A96E0-5FEA-476E-80D9-1E8BAB46AB71}">
      <dgm:prSet/>
      <dgm:spPr/>
      <dgm:t>
        <a:bodyPr/>
        <a:lstStyle/>
        <a:p>
          <a:endParaRPr lang="fr-CA"/>
        </a:p>
      </dgm:t>
    </dgm:pt>
    <dgm:pt modelId="{FEFBFE51-923A-420F-8410-DDCC15D1D521}" type="pres">
      <dgm:prSet presAssocID="{CC4D41E1-B981-42D1-BF00-F1611D1A945E}" presName="linearFlow" presStyleCnt="0">
        <dgm:presLayoutVars>
          <dgm:dir/>
          <dgm:animLvl val="lvl"/>
          <dgm:resizeHandles val="exact"/>
        </dgm:presLayoutVars>
      </dgm:prSet>
      <dgm:spPr/>
    </dgm:pt>
    <dgm:pt modelId="{E04CE158-9D6D-4E60-95EB-052891E88BAB}" type="pres">
      <dgm:prSet presAssocID="{9EE408B6-93A0-4974-9CF8-7DC1D58C57D7}" presName="composite" presStyleCnt="0"/>
      <dgm:spPr/>
    </dgm:pt>
    <dgm:pt modelId="{33933E3F-1C4E-4D32-BCB9-3986A2749F24}" type="pres">
      <dgm:prSet presAssocID="{9EE408B6-93A0-4974-9CF8-7DC1D58C57D7}" presName="parTx" presStyleLbl="node1" presStyleIdx="0" presStyleCnt="2">
        <dgm:presLayoutVars>
          <dgm:chMax val="0"/>
          <dgm:chPref val="0"/>
          <dgm:bulletEnabled val="1"/>
        </dgm:presLayoutVars>
      </dgm:prSet>
      <dgm:spPr/>
    </dgm:pt>
    <dgm:pt modelId="{5D227E3D-9457-403A-943A-058DAFEA2B79}" type="pres">
      <dgm:prSet presAssocID="{9EE408B6-93A0-4974-9CF8-7DC1D58C57D7}" presName="parSh" presStyleLbl="node1" presStyleIdx="0" presStyleCnt="2"/>
      <dgm:spPr/>
    </dgm:pt>
    <dgm:pt modelId="{37127E57-90C6-424F-A41B-6856848E91C0}" type="pres">
      <dgm:prSet presAssocID="{9EE408B6-93A0-4974-9CF8-7DC1D58C57D7}" presName="desTx" presStyleLbl="fgAcc1" presStyleIdx="0" presStyleCnt="2">
        <dgm:presLayoutVars>
          <dgm:bulletEnabled val="1"/>
        </dgm:presLayoutVars>
      </dgm:prSet>
      <dgm:spPr/>
    </dgm:pt>
    <dgm:pt modelId="{CADD7188-82C0-442E-BD81-DAABB18813CA}" type="pres">
      <dgm:prSet presAssocID="{21EF6160-B7F0-460B-9EC6-4199F2DEB647}" presName="sibTrans" presStyleLbl="sibTrans2D1" presStyleIdx="0" presStyleCnt="1"/>
      <dgm:spPr/>
    </dgm:pt>
    <dgm:pt modelId="{74696558-EFE7-4589-9654-3BCCB93D33BA}" type="pres">
      <dgm:prSet presAssocID="{21EF6160-B7F0-460B-9EC6-4199F2DEB647}" presName="connTx" presStyleLbl="sibTrans2D1" presStyleIdx="0" presStyleCnt="1"/>
      <dgm:spPr/>
    </dgm:pt>
    <dgm:pt modelId="{F0C59E45-9A72-4BA5-9006-60FD3F43DA79}" type="pres">
      <dgm:prSet presAssocID="{15477673-85F0-42CF-8040-D79C87817419}" presName="composite" presStyleCnt="0"/>
      <dgm:spPr/>
    </dgm:pt>
    <dgm:pt modelId="{3BD4F27B-A2B4-442F-824E-0EF1940E0262}" type="pres">
      <dgm:prSet presAssocID="{15477673-85F0-42CF-8040-D79C87817419}" presName="parTx" presStyleLbl="node1" presStyleIdx="0" presStyleCnt="2">
        <dgm:presLayoutVars>
          <dgm:chMax val="0"/>
          <dgm:chPref val="0"/>
          <dgm:bulletEnabled val="1"/>
        </dgm:presLayoutVars>
      </dgm:prSet>
      <dgm:spPr/>
    </dgm:pt>
    <dgm:pt modelId="{24ACCC8C-11CA-4AC3-B6CF-CFE55EC75ADF}" type="pres">
      <dgm:prSet presAssocID="{15477673-85F0-42CF-8040-D79C87817419}" presName="parSh" presStyleLbl="node1" presStyleIdx="1" presStyleCnt="2"/>
      <dgm:spPr/>
    </dgm:pt>
    <dgm:pt modelId="{D50A4334-CA36-469B-8843-1BBA9E04A681}" type="pres">
      <dgm:prSet presAssocID="{15477673-85F0-42CF-8040-D79C87817419}" presName="desTx" presStyleLbl="fgAcc1" presStyleIdx="1" presStyleCnt="2">
        <dgm:presLayoutVars>
          <dgm:bulletEnabled val="1"/>
        </dgm:presLayoutVars>
      </dgm:prSet>
      <dgm:spPr/>
    </dgm:pt>
  </dgm:ptLst>
  <dgm:cxnLst>
    <dgm:cxn modelId="{1D20C90F-44AC-4951-B888-CEC90F479D35}" type="presOf" srcId="{21EF6160-B7F0-460B-9EC6-4199F2DEB647}" destId="{CADD7188-82C0-442E-BD81-DAABB18813CA}" srcOrd="0" destOrd="0" presId="urn:microsoft.com/office/officeart/2005/8/layout/process3"/>
    <dgm:cxn modelId="{82791328-1204-4AB8-93DD-462177135D5C}" type="presOf" srcId="{18B7EF10-63D8-4272-BC53-413B2EDC5B84}" destId="{D50A4334-CA36-469B-8843-1BBA9E04A681}" srcOrd="0" destOrd="0" presId="urn:microsoft.com/office/officeart/2005/8/layout/process3"/>
    <dgm:cxn modelId="{4FB9882D-E8A3-4D78-9468-3F8EA8CF6D58}" type="presOf" srcId="{15477673-85F0-42CF-8040-D79C87817419}" destId="{3BD4F27B-A2B4-442F-824E-0EF1940E0262}" srcOrd="0" destOrd="0" presId="urn:microsoft.com/office/officeart/2005/8/layout/process3"/>
    <dgm:cxn modelId="{E2B5BC5C-18D8-4BFF-9794-0FA5FF42DB9E}" type="presOf" srcId="{C4690DA3-ECD9-4F0F-BD2B-40C9E70292C9}" destId="{37127E57-90C6-424F-A41B-6856848E91C0}" srcOrd="0" destOrd="0" presId="urn:microsoft.com/office/officeart/2005/8/layout/process3"/>
    <dgm:cxn modelId="{65780E48-483D-4B44-9B4B-D7415D5FEDAE}" srcId="{9EE408B6-93A0-4974-9CF8-7DC1D58C57D7}" destId="{C4690DA3-ECD9-4F0F-BD2B-40C9E70292C9}" srcOrd="0" destOrd="0" parTransId="{6E48654B-2676-4349-878F-F91EA2A83382}" sibTransId="{69E5AC63-25B1-4321-BE0A-B84B250823C6}"/>
    <dgm:cxn modelId="{CB5FFE50-F325-40F0-9DE3-416C86C6B681}" type="presOf" srcId="{9EE408B6-93A0-4974-9CF8-7DC1D58C57D7}" destId="{33933E3F-1C4E-4D32-BCB9-3986A2749F24}" srcOrd="0" destOrd="0" presId="urn:microsoft.com/office/officeart/2005/8/layout/process3"/>
    <dgm:cxn modelId="{166BAA92-20E4-4B98-B246-A5BDF4F88AEC}" type="presOf" srcId="{CC4D41E1-B981-42D1-BF00-F1611D1A945E}" destId="{FEFBFE51-923A-420F-8410-DDCC15D1D521}" srcOrd="0" destOrd="0" presId="urn:microsoft.com/office/officeart/2005/8/layout/process3"/>
    <dgm:cxn modelId="{D5D56DA7-9ED1-425C-BA6A-6666B2B72906}" type="presOf" srcId="{21EF6160-B7F0-460B-9EC6-4199F2DEB647}" destId="{74696558-EFE7-4589-9654-3BCCB93D33BA}" srcOrd="1" destOrd="0" presId="urn:microsoft.com/office/officeart/2005/8/layout/process3"/>
    <dgm:cxn modelId="{6E98E1C3-FC6F-4D91-AA2D-A9215CDCECC2}" srcId="{CC4D41E1-B981-42D1-BF00-F1611D1A945E}" destId="{9EE408B6-93A0-4974-9CF8-7DC1D58C57D7}" srcOrd="0" destOrd="0" parTransId="{E7EC20BC-A812-41D4-ADF5-690DB2C72D39}" sibTransId="{21EF6160-B7F0-460B-9EC6-4199F2DEB647}"/>
    <dgm:cxn modelId="{520536D9-4B12-484D-976E-AC6EAB6F6B33}" srcId="{CC4D41E1-B981-42D1-BF00-F1611D1A945E}" destId="{15477673-85F0-42CF-8040-D79C87817419}" srcOrd="1" destOrd="0" parTransId="{6F09EBC8-C0C1-4B2F-B0AB-D302E625BEDA}" sibTransId="{D2D2DA40-F70B-4637-BD34-A0812BA6890E}"/>
    <dgm:cxn modelId="{302B8DDA-BE82-458E-94FE-0EDB28F7555C}" type="presOf" srcId="{15477673-85F0-42CF-8040-D79C87817419}" destId="{24ACCC8C-11CA-4AC3-B6CF-CFE55EC75ADF}" srcOrd="1" destOrd="0" presId="urn:microsoft.com/office/officeart/2005/8/layout/process3"/>
    <dgm:cxn modelId="{69793ADE-936A-4659-93FB-2AEB3DF2F4BA}" type="presOf" srcId="{9EE408B6-93A0-4974-9CF8-7DC1D58C57D7}" destId="{5D227E3D-9457-403A-943A-058DAFEA2B79}" srcOrd="1" destOrd="0" presId="urn:microsoft.com/office/officeart/2005/8/layout/process3"/>
    <dgm:cxn modelId="{B14A96E0-5FEA-476E-80D9-1E8BAB46AB71}" srcId="{15477673-85F0-42CF-8040-D79C87817419}" destId="{18B7EF10-63D8-4272-BC53-413B2EDC5B84}" srcOrd="0" destOrd="0" parTransId="{2B605BF6-FB15-4BD4-BDBB-7BD55EE3BE6D}" sibTransId="{D55047CB-41FD-470E-B064-F545188AFA2E}"/>
    <dgm:cxn modelId="{692E05A6-20FE-4A4C-9E74-84AE38816193}" type="presParOf" srcId="{FEFBFE51-923A-420F-8410-DDCC15D1D521}" destId="{E04CE158-9D6D-4E60-95EB-052891E88BAB}" srcOrd="0" destOrd="0" presId="urn:microsoft.com/office/officeart/2005/8/layout/process3"/>
    <dgm:cxn modelId="{D9876417-7851-4058-B3B9-573EBAE82591}" type="presParOf" srcId="{E04CE158-9D6D-4E60-95EB-052891E88BAB}" destId="{33933E3F-1C4E-4D32-BCB9-3986A2749F24}" srcOrd="0" destOrd="0" presId="urn:microsoft.com/office/officeart/2005/8/layout/process3"/>
    <dgm:cxn modelId="{B14724A5-2099-423C-9B1B-0E83FE71DCA7}" type="presParOf" srcId="{E04CE158-9D6D-4E60-95EB-052891E88BAB}" destId="{5D227E3D-9457-403A-943A-058DAFEA2B79}" srcOrd="1" destOrd="0" presId="urn:microsoft.com/office/officeart/2005/8/layout/process3"/>
    <dgm:cxn modelId="{B8F0FE8B-AEDC-4A9E-897B-A305D913B7F5}" type="presParOf" srcId="{E04CE158-9D6D-4E60-95EB-052891E88BAB}" destId="{37127E57-90C6-424F-A41B-6856848E91C0}" srcOrd="2" destOrd="0" presId="urn:microsoft.com/office/officeart/2005/8/layout/process3"/>
    <dgm:cxn modelId="{0334CDA0-7BBD-4D49-B147-BDEF7FE7B463}" type="presParOf" srcId="{FEFBFE51-923A-420F-8410-DDCC15D1D521}" destId="{CADD7188-82C0-442E-BD81-DAABB18813CA}" srcOrd="1" destOrd="0" presId="urn:microsoft.com/office/officeart/2005/8/layout/process3"/>
    <dgm:cxn modelId="{CFD7DD1E-924B-48FB-BE66-37E68B824D7D}" type="presParOf" srcId="{CADD7188-82C0-442E-BD81-DAABB18813CA}" destId="{74696558-EFE7-4589-9654-3BCCB93D33BA}" srcOrd="0" destOrd="0" presId="urn:microsoft.com/office/officeart/2005/8/layout/process3"/>
    <dgm:cxn modelId="{04FC5501-49DA-454A-97DA-B1B858FA2116}" type="presParOf" srcId="{FEFBFE51-923A-420F-8410-DDCC15D1D521}" destId="{F0C59E45-9A72-4BA5-9006-60FD3F43DA79}" srcOrd="2" destOrd="0" presId="urn:microsoft.com/office/officeart/2005/8/layout/process3"/>
    <dgm:cxn modelId="{49F8DE7D-7610-4620-AF00-347063CEF183}" type="presParOf" srcId="{F0C59E45-9A72-4BA5-9006-60FD3F43DA79}" destId="{3BD4F27B-A2B4-442F-824E-0EF1940E0262}" srcOrd="0" destOrd="0" presId="urn:microsoft.com/office/officeart/2005/8/layout/process3"/>
    <dgm:cxn modelId="{726E8D1C-E287-49BF-8786-47E5B5072CFE}" type="presParOf" srcId="{F0C59E45-9A72-4BA5-9006-60FD3F43DA79}" destId="{24ACCC8C-11CA-4AC3-B6CF-CFE55EC75ADF}" srcOrd="1" destOrd="0" presId="urn:microsoft.com/office/officeart/2005/8/layout/process3"/>
    <dgm:cxn modelId="{0764FCBC-63B3-4B42-AC6A-488DD08C8FE6}" type="presParOf" srcId="{F0C59E45-9A72-4BA5-9006-60FD3F43DA79}" destId="{D50A4334-CA36-469B-8843-1BBA9E04A681}" srcOrd="2" destOrd="0" presId="urn:microsoft.com/office/officeart/2005/8/layout/process3"/>
  </dgm:cxnLst>
  <dgm:bg/>
  <dgm:whole>
    <a:ln>
      <a:solidFill>
        <a:schemeClr val="tx1"/>
      </a:solidFill>
    </a:ln>
  </dgm:whole>
  <dgm:extLst>
    <a:ext uri="http://schemas.microsoft.com/office/drawing/2008/diagram">
      <dsp:dataModelExt xmlns:dsp="http://schemas.microsoft.com/office/drawing/2008/diagram" relId="rId9"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CC4D41E1-B981-42D1-BF00-F1611D1A945E}" type="doc">
      <dgm:prSet loTypeId="urn:microsoft.com/office/officeart/2005/8/layout/process3" loCatId="process" qsTypeId="urn:microsoft.com/office/officeart/2005/8/quickstyle/simple1" qsCatId="simple" csTypeId="urn:microsoft.com/office/officeart/2005/8/colors/accent0_1" csCatId="mainScheme" phldr="1"/>
      <dgm:spPr/>
      <dgm:t>
        <a:bodyPr/>
        <a:lstStyle/>
        <a:p>
          <a:endParaRPr lang="fr-CA"/>
        </a:p>
      </dgm:t>
    </dgm:pt>
    <dgm:pt modelId="{9EE408B6-93A0-4974-9CF8-7DC1D58C57D7}">
      <dgm:prSet phldrT="[Texte]" custT="1"/>
      <dgm:spPr/>
      <dgm:t>
        <a:bodyPr/>
        <a:lstStyle/>
        <a:p>
          <a:r>
            <a:rPr lang="fr-CA" sz="1800">
              <a:latin typeface="Times New Roman" panose="02020603050405020304" pitchFamily="18" charset="0"/>
              <a:cs typeface="Times New Roman" panose="02020603050405020304" pitchFamily="18" charset="0"/>
            </a:rPr>
            <a:t>Fatigue de diversité</a:t>
          </a:r>
        </a:p>
      </dgm:t>
    </dgm:pt>
    <dgm:pt modelId="{E7EC20BC-A812-41D4-ADF5-690DB2C72D39}" type="parTrans" cxnId="{6E98E1C3-FC6F-4D91-AA2D-A9215CDCECC2}">
      <dgm:prSet/>
      <dgm:spPr/>
      <dgm:t>
        <a:bodyPr/>
        <a:lstStyle/>
        <a:p>
          <a:endParaRPr lang="fr-CA"/>
        </a:p>
      </dgm:t>
    </dgm:pt>
    <dgm:pt modelId="{21EF6160-B7F0-460B-9EC6-4199F2DEB647}" type="sibTrans" cxnId="{6E98E1C3-FC6F-4D91-AA2D-A9215CDCECC2}">
      <dgm:prSet/>
      <dgm:spPr/>
      <dgm:t>
        <a:bodyPr/>
        <a:lstStyle/>
        <a:p>
          <a:endParaRPr lang="fr-CA"/>
        </a:p>
      </dgm:t>
    </dgm:pt>
    <dgm:pt modelId="{15477673-85F0-42CF-8040-D79C87817419}">
      <dgm:prSet phldrT="[Texte]" custT="1"/>
      <dgm:spPr/>
      <dgm:t>
        <a:bodyPr/>
        <a:lstStyle/>
        <a:p>
          <a:r>
            <a:rPr lang="fr-CA" sz="1800">
              <a:latin typeface="Times New Roman" panose="02020603050405020304" pitchFamily="18" charset="0"/>
              <a:cs typeface="Times New Roman" panose="02020603050405020304" pitchFamily="18" charset="0"/>
            </a:rPr>
            <a:t>Fatigue de compassion</a:t>
          </a:r>
        </a:p>
      </dgm:t>
    </dgm:pt>
    <dgm:pt modelId="{6F09EBC8-C0C1-4B2F-B0AB-D302E625BEDA}" type="parTrans" cxnId="{520536D9-4B12-484D-976E-AC6EAB6F6B33}">
      <dgm:prSet/>
      <dgm:spPr/>
      <dgm:t>
        <a:bodyPr/>
        <a:lstStyle/>
        <a:p>
          <a:endParaRPr lang="fr-CA"/>
        </a:p>
      </dgm:t>
    </dgm:pt>
    <dgm:pt modelId="{D2D2DA40-F70B-4637-BD34-A0812BA6890E}" type="sibTrans" cxnId="{520536D9-4B12-484D-976E-AC6EAB6F6B33}">
      <dgm:prSet/>
      <dgm:spPr/>
      <dgm:t>
        <a:bodyPr/>
        <a:lstStyle/>
        <a:p>
          <a:endParaRPr lang="fr-CA"/>
        </a:p>
      </dgm:t>
    </dgm:pt>
    <dgm:pt modelId="{C4690DA3-ECD9-4F0F-BD2B-40C9E70292C9}">
      <dgm:prSet custT="1"/>
      <dgm:spPr/>
      <dgm:t>
        <a:bodyPr/>
        <a:lstStyle/>
        <a:p>
          <a:r>
            <a:rPr lang="fr-CA" sz="1200">
              <a:latin typeface="Times New Roman" panose="02020603050405020304" pitchFamily="18" charset="0"/>
              <a:cs typeface="Times New Roman" panose="02020603050405020304" pitchFamily="18" charset="0"/>
            </a:rPr>
            <a:t>Quand le contexte de pratique professionnelle n'est pas surchargé. Les intervenants jouissent d'une relative autonomie.</a:t>
          </a:r>
          <a:endParaRPr lang="fr-CA" sz="1200"/>
        </a:p>
      </dgm:t>
    </dgm:pt>
    <dgm:pt modelId="{6E48654B-2676-4349-878F-F91EA2A83382}" type="parTrans" cxnId="{65780E48-483D-4B44-9B4B-D7415D5FEDAE}">
      <dgm:prSet/>
      <dgm:spPr/>
      <dgm:t>
        <a:bodyPr/>
        <a:lstStyle/>
        <a:p>
          <a:endParaRPr lang="fr-CA"/>
        </a:p>
      </dgm:t>
    </dgm:pt>
    <dgm:pt modelId="{69E5AC63-25B1-4321-BE0A-B84B250823C6}" type="sibTrans" cxnId="{65780E48-483D-4B44-9B4B-D7415D5FEDAE}">
      <dgm:prSet/>
      <dgm:spPr/>
      <dgm:t>
        <a:bodyPr/>
        <a:lstStyle/>
        <a:p>
          <a:endParaRPr lang="fr-CA"/>
        </a:p>
      </dgm:t>
    </dgm:pt>
    <dgm:pt modelId="{18B7EF10-63D8-4272-BC53-413B2EDC5B84}">
      <dgm:prSet phldrT="[Texte]" custT="1"/>
      <dgm:spPr/>
      <dgm:t>
        <a:bodyPr/>
        <a:lstStyle/>
        <a:p>
          <a:r>
            <a:rPr lang="fr-CA" sz="1200">
              <a:latin typeface="Times New Roman" panose="02020603050405020304" pitchFamily="18" charset="0"/>
              <a:cs typeface="Times New Roman" panose="02020603050405020304" pitchFamily="18" charset="0"/>
            </a:rPr>
            <a:t>L'implantation de la compétence interculturelle à tous les niveaux de l'organisation peut suffire si les modèles de gestion en vigueur sont assez souples et qu'ils tiennent compte de la réalité du terrain.</a:t>
          </a:r>
        </a:p>
      </dgm:t>
    </dgm:pt>
    <dgm:pt modelId="{D55047CB-41FD-470E-B064-F545188AFA2E}" type="sibTrans" cxnId="{B14A96E0-5FEA-476E-80D9-1E8BAB46AB71}">
      <dgm:prSet/>
      <dgm:spPr/>
      <dgm:t>
        <a:bodyPr/>
        <a:lstStyle/>
        <a:p>
          <a:endParaRPr lang="fr-CA"/>
        </a:p>
      </dgm:t>
    </dgm:pt>
    <dgm:pt modelId="{2B605BF6-FB15-4BD4-BDBB-7BD55EE3BE6D}" type="parTrans" cxnId="{B14A96E0-5FEA-476E-80D9-1E8BAB46AB71}">
      <dgm:prSet/>
      <dgm:spPr/>
      <dgm:t>
        <a:bodyPr/>
        <a:lstStyle/>
        <a:p>
          <a:endParaRPr lang="fr-CA"/>
        </a:p>
      </dgm:t>
    </dgm:pt>
    <dgm:pt modelId="{FEFBFE51-923A-420F-8410-DDCC15D1D521}" type="pres">
      <dgm:prSet presAssocID="{CC4D41E1-B981-42D1-BF00-F1611D1A945E}" presName="linearFlow" presStyleCnt="0">
        <dgm:presLayoutVars>
          <dgm:dir/>
          <dgm:animLvl val="lvl"/>
          <dgm:resizeHandles val="exact"/>
        </dgm:presLayoutVars>
      </dgm:prSet>
      <dgm:spPr/>
    </dgm:pt>
    <dgm:pt modelId="{E04CE158-9D6D-4E60-95EB-052891E88BAB}" type="pres">
      <dgm:prSet presAssocID="{9EE408B6-93A0-4974-9CF8-7DC1D58C57D7}" presName="composite" presStyleCnt="0"/>
      <dgm:spPr/>
    </dgm:pt>
    <dgm:pt modelId="{33933E3F-1C4E-4D32-BCB9-3986A2749F24}" type="pres">
      <dgm:prSet presAssocID="{9EE408B6-93A0-4974-9CF8-7DC1D58C57D7}" presName="parTx" presStyleLbl="node1" presStyleIdx="0" presStyleCnt="2">
        <dgm:presLayoutVars>
          <dgm:chMax val="0"/>
          <dgm:chPref val="0"/>
          <dgm:bulletEnabled val="1"/>
        </dgm:presLayoutVars>
      </dgm:prSet>
      <dgm:spPr/>
    </dgm:pt>
    <dgm:pt modelId="{5D227E3D-9457-403A-943A-058DAFEA2B79}" type="pres">
      <dgm:prSet presAssocID="{9EE408B6-93A0-4974-9CF8-7DC1D58C57D7}" presName="parSh" presStyleLbl="node1" presStyleIdx="0" presStyleCnt="2"/>
      <dgm:spPr/>
    </dgm:pt>
    <dgm:pt modelId="{37127E57-90C6-424F-A41B-6856848E91C0}" type="pres">
      <dgm:prSet presAssocID="{9EE408B6-93A0-4974-9CF8-7DC1D58C57D7}" presName="desTx" presStyleLbl="fgAcc1" presStyleIdx="0" presStyleCnt="2" custScaleX="104170" custScaleY="87082">
        <dgm:presLayoutVars>
          <dgm:bulletEnabled val="1"/>
        </dgm:presLayoutVars>
      </dgm:prSet>
      <dgm:spPr/>
    </dgm:pt>
    <dgm:pt modelId="{CADD7188-82C0-442E-BD81-DAABB18813CA}" type="pres">
      <dgm:prSet presAssocID="{21EF6160-B7F0-460B-9EC6-4199F2DEB647}" presName="sibTrans" presStyleLbl="sibTrans2D1" presStyleIdx="0" presStyleCnt="1"/>
      <dgm:spPr/>
    </dgm:pt>
    <dgm:pt modelId="{74696558-EFE7-4589-9654-3BCCB93D33BA}" type="pres">
      <dgm:prSet presAssocID="{21EF6160-B7F0-460B-9EC6-4199F2DEB647}" presName="connTx" presStyleLbl="sibTrans2D1" presStyleIdx="0" presStyleCnt="1"/>
      <dgm:spPr/>
    </dgm:pt>
    <dgm:pt modelId="{F0C59E45-9A72-4BA5-9006-60FD3F43DA79}" type="pres">
      <dgm:prSet presAssocID="{15477673-85F0-42CF-8040-D79C87817419}" presName="composite" presStyleCnt="0"/>
      <dgm:spPr/>
    </dgm:pt>
    <dgm:pt modelId="{3BD4F27B-A2B4-442F-824E-0EF1940E0262}" type="pres">
      <dgm:prSet presAssocID="{15477673-85F0-42CF-8040-D79C87817419}" presName="parTx" presStyleLbl="node1" presStyleIdx="0" presStyleCnt="2">
        <dgm:presLayoutVars>
          <dgm:chMax val="0"/>
          <dgm:chPref val="0"/>
          <dgm:bulletEnabled val="1"/>
        </dgm:presLayoutVars>
      </dgm:prSet>
      <dgm:spPr/>
    </dgm:pt>
    <dgm:pt modelId="{24ACCC8C-11CA-4AC3-B6CF-CFE55EC75ADF}" type="pres">
      <dgm:prSet presAssocID="{15477673-85F0-42CF-8040-D79C87817419}" presName="parSh" presStyleLbl="node1" presStyleIdx="1" presStyleCnt="2"/>
      <dgm:spPr/>
    </dgm:pt>
    <dgm:pt modelId="{D50A4334-CA36-469B-8843-1BBA9E04A681}" type="pres">
      <dgm:prSet presAssocID="{15477673-85F0-42CF-8040-D79C87817419}" presName="desTx" presStyleLbl="fgAcc1" presStyleIdx="1" presStyleCnt="2">
        <dgm:presLayoutVars>
          <dgm:bulletEnabled val="1"/>
        </dgm:presLayoutVars>
      </dgm:prSet>
      <dgm:spPr/>
    </dgm:pt>
  </dgm:ptLst>
  <dgm:cxnLst>
    <dgm:cxn modelId="{EBF7D111-9A64-4D30-919F-6ACAA13D340B}" type="presOf" srcId="{C4690DA3-ECD9-4F0F-BD2B-40C9E70292C9}" destId="{37127E57-90C6-424F-A41B-6856848E91C0}" srcOrd="0" destOrd="0" presId="urn:microsoft.com/office/officeart/2005/8/layout/process3"/>
    <dgm:cxn modelId="{65780E48-483D-4B44-9B4B-D7415D5FEDAE}" srcId="{9EE408B6-93A0-4974-9CF8-7DC1D58C57D7}" destId="{C4690DA3-ECD9-4F0F-BD2B-40C9E70292C9}" srcOrd="0" destOrd="0" parTransId="{6E48654B-2676-4349-878F-F91EA2A83382}" sibTransId="{69E5AC63-25B1-4321-BE0A-B84B250823C6}"/>
    <dgm:cxn modelId="{20E6C575-A529-449A-90F7-6EBD37A11200}" type="presOf" srcId="{21EF6160-B7F0-460B-9EC6-4199F2DEB647}" destId="{74696558-EFE7-4589-9654-3BCCB93D33BA}" srcOrd="1" destOrd="0" presId="urn:microsoft.com/office/officeart/2005/8/layout/process3"/>
    <dgm:cxn modelId="{9C9EDD79-39E2-4E2D-A646-05AD08C4163E}" type="presOf" srcId="{9EE408B6-93A0-4974-9CF8-7DC1D58C57D7}" destId="{5D227E3D-9457-403A-943A-058DAFEA2B79}" srcOrd="1" destOrd="0" presId="urn:microsoft.com/office/officeart/2005/8/layout/process3"/>
    <dgm:cxn modelId="{A32952A6-5D95-4493-960E-8E7F2447DA31}" type="presOf" srcId="{18B7EF10-63D8-4272-BC53-413B2EDC5B84}" destId="{D50A4334-CA36-469B-8843-1BBA9E04A681}" srcOrd="0" destOrd="0" presId="urn:microsoft.com/office/officeart/2005/8/layout/process3"/>
    <dgm:cxn modelId="{5A71F1AB-FACE-4AD7-B338-D81C87A16837}" type="presOf" srcId="{21EF6160-B7F0-460B-9EC6-4199F2DEB647}" destId="{CADD7188-82C0-442E-BD81-DAABB18813CA}" srcOrd="0" destOrd="0" presId="urn:microsoft.com/office/officeart/2005/8/layout/process3"/>
    <dgm:cxn modelId="{7BAC4BB6-4D8E-4B41-BA4E-CDF649BA49B0}" type="presOf" srcId="{15477673-85F0-42CF-8040-D79C87817419}" destId="{3BD4F27B-A2B4-442F-824E-0EF1940E0262}" srcOrd="0" destOrd="0" presId="urn:microsoft.com/office/officeart/2005/8/layout/process3"/>
    <dgm:cxn modelId="{D8D8FEB9-B108-4A3D-A3BE-288BDBC90201}" type="presOf" srcId="{CC4D41E1-B981-42D1-BF00-F1611D1A945E}" destId="{FEFBFE51-923A-420F-8410-DDCC15D1D521}" srcOrd="0" destOrd="0" presId="urn:microsoft.com/office/officeart/2005/8/layout/process3"/>
    <dgm:cxn modelId="{6E98E1C3-FC6F-4D91-AA2D-A9215CDCECC2}" srcId="{CC4D41E1-B981-42D1-BF00-F1611D1A945E}" destId="{9EE408B6-93A0-4974-9CF8-7DC1D58C57D7}" srcOrd="0" destOrd="0" parTransId="{E7EC20BC-A812-41D4-ADF5-690DB2C72D39}" sibTransId="{21EF6160-B7F0-460B-9EC6-4199F2DEB647}"/>
    <dgm:cxn modelId="{520536D9-4B12-484D-976E-AC6EAB6F6B33}" srcId="{CC4D41E1-B981-42D1-BF00-F1611D1A945E}" destId="{15477673-85F0-42CF-8040-D79C87817419}" srcOrd="1" destOrd="0" parTransId="{6F09EBC8-C0C1-4B2F-B0AB-D302E625BEDA}" sibTransId="{D2D2DA40-F70B-4637-BD34-A0812BA6890E}"/>
    <dgm:cxn modelId="{B14A96E0-5FEA-476E-80D9-1E8BAB46AB71}" srcId="{15477673-85F0-42CF-8040-D79C87817419}" destId="{18B7EF10-63D8-4272-BC53-413B2EDC5B84}" srcOrd="0" destOrd="0" parTransId="{2B605BF6-FB15-4BD4-BDBB-7BD55EE3BE6D}" sibTransId="{D55047CB-41FD-470E-B064-F545188AFA2E}"/>
    <dgm:cxn modelId="{6966F2E5-A2E2-4BC7-8B41-1201D361E80D}" type="presOf" srcId="{9EE408B6-93A0-4974-9CF8-7DC1D58C57D7}" destId="{33933E3F-1C4E-4D32-BCB9-3986A2749F24}" srcOrd="0" destOrd="0" presId="urn:microsoft.com/office/officeart/2005/8/layout/process3"/>
    <dgm:cxn modelId="{E2A53DF9-E1D7-4FAF-988E-34E577B27039}" type="presOf" srcId="{15477673-85F0-42CF-8040-D79C87817419}" destId="{24ACCC8C-11CA-4AC3-B6CF-CFE55EC75ADF}" srcOrd="1" destOrd="0" presId="urn:microsoft.com/office/officeart/2005/8/layout/process3"/>
    <dgm:cxn modelId="{8EA5DF11-053D-41CE-9E52-D264B413F3F1}" type="presParOf" srcId="{FEFBFE51-923A-420F-8410-DDCC15D1D521}" destId="{E04CE158-9D6D-4E60-95EB-052891E88BAB}" srcOrd="0" destOrd="0" presId="urn:microsoft.com/office/officeart/2005/8/layout/process3"/>
    <dgm:cxn modelId="{024AB012-F9BB-4753-9212-7D15C38511FE}" type="presParOf" srcId="{E04CE158-9D6D-4E60-95EB-052891E88BAB}" destId="{33933E3F-1C4E-4D32-BCB9-3986A2749F24}" srcOrd="0" destOrd="0" presId="urn:microsoft.com/office/officeart/2005/8/layout/process3"/>
    <dgm:cxn modelId="{42BF7DA3-8A9F-4D69-8E72-4620AEFB4233}" type="presParOf" srcId="{E04CE158-9D6D-4E60-95EB-052891E88BAB}" destId="{5D227E3D-9457-403A-943A-058DAFEA2B79}" srcOrd="1" destOrd="0" presId="urn:microsoft.com/office/officeart/2005/8/layout/process3"/>
    <dgm:cxn modelId="{9D74FAF6-907A-4FFF-A4AB-16DFB4FDED6C}" type="presParOf" srcId="{E04CE158-9D6D-4E60-95EB-052891E88BAB}" destId="{37127E57-90C6-424F-A41B-6856848E91C0}" srcOrd="2" destOrd="0" presId="urn:microsoft.com/office/officeart/2005/8/layout/process3"/>
    <dgm:cxn modelId="{2685CAB5-BD21-4986-A08A-9C817DF838C3}" type="presParOf" srcId="{FEFBFE51-923A-420F-8410-DDCC15D1D521}" destId="{CADD7188-82C0-442E-BD81-DAABB18813CA}" srcOrd="1" destOrd="0" presId="urn:microsoft.com/office/officeart/2005/8/layout/process3"/>
    <dgm:cxn modelId="{A2A8F721-2811-4F78-8507-ADDB222494B2}" type="presParOf" srcId="{CADD7188-82C0-442E-BD81-DAABB18813CA}" destId="{74696558-EFE7-4589-9654-3BCCB93D33BA}" srcOrd="0" destOrd="0" presId="urn:microsoft.com/office/officeart/2005/8/layout/process3"/>
    <dgm:cxn modelId="{31855648-B78F-4040-9EF5-A206E83BCA30}" type="presParOf" srcId="{FEFBFE51-923A-420F-8410-DDCC15D1D521}" destId="{F0C59E45-9A72-4BA5-9006-60FD3F43DA79}" srcOrd="2" destOrd="0" presId="urn:microsoft.com/office/officeart/2005/8/layout/process3"/>
    <dgm:cxn modelId="{06C79BF9-14D6-4D5D-B36E-0DE5EA7A7ACE}" type="presParOf" srcId="{F0C59E45-9A72-4BA5-9006-60FD3F43DA79}" destId="{3BD4F27B-A2B4-442F-824E-0EF1940E0262}" srcOrd="0" destOrd="0" presId="urn:microsoft.com/office/officeart/2005/8/layout/process3"/>
    <dgm:cxn modelId="{67EF6A8D-B532-49E1-89FF-778F218130D1}" type="presParOf" srcId="{F0C59E45-9A72-4BA5-9006-60FD3F43DA79}" destId="{24ACCC8C-11CA-4AC3-B6CF-CFE55EC75ADF}" srcOrd="1" destOrd="0" presId="urn:microsoft.com/office/officeart/2005/8/layout/process3"/>
    <dgm:cxn modelId="{6553FD66-BFAD-4FBC-8BC7-41F26B2148E4}" type="presParOf" srcId="{F0C59E45-9A72-4BA5-9006-60FD3F43DA79}" destId="{D50A4334-CA36-469B-8843-1BBA9E04A681}" srcOrd="2" destOrd="0" presId="urn:microsoft.com/office/officeart/2005/8/layout/process3"/>
  </dgm:cxnLst>
  <dgm:bg/>
  <dgm:whole>
    <a:ln>
      <a:solidFill>
        <a:schemeClr val="tx1"/>
      </a:solidFill>
    </a:ln>
  </dgm:whole>
  <dgm:extLst>
    <a:ext uri="http://schemas.microsoft.com/office/drawing/2008/diagram">
      <dsp:dataModelExt xmlns:dsp="http://schemas.microsoft.com/office/drawing/2008/diagram" relId="rId1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D227E3D-9457-403A-943A-058DAFEA2B79}">
      <dsp:nvSpPr>
        <dsp:cNvPr id="0" name=""/>
        <dsp:cNvSpPr/>
      </dsp:nvSpPr>
      <dsp:spPr>
        <a:xfrm>
          <a:off x="2021" y="14656"/>
          <a:ext cx="1735592" cy="1252799"/>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28016" tIns="128016" rIns="128016" bIns="68580" numCol="1" spcCol="1270" anchor="t" anchorCtr="0">
          <a:noAutofit/>
        </a:bodyPr>
        <a:lstStyle/>
        <a:p>
          <a:pPr marL="0" lvl="0" indent="0" algn="l" defTabSz="800100">
            <a:lnSpc>
              <a:spcPct val="90000"/>
            </a:lnSpc>
            <a:spcBef>
              <a:spcPct val="0"/>
            </a:spcBef>
            <a:spcAft>
              <a:spcPct val="35000"/>
            </a:spcAft>
            <a:buNone/>
          </a:pPr>
          <a:r>
            <a:rPr lang="fr-CA" sz="1800" kern="1200">
              <a:latin typeface="Times New Roman" panose="02020603050405020304" pitchFamily="18" charset="0"/>
              <a:cs typeface="Times New Roman" panose="02020603050405020304" pitchFamily="18" charset="0"/>
            </a:rPr>
            <a:t>Fatigue de compassion</a:t>
          </a:r>
        </a:p>
      </dsp:txBody>
      <dsp:txXfrm>
        <a:off x="2021" y="14656"/>
        <a:ext cx="1735592" cy="694237"/>
      </dsp:txXfrm>
    </dsp:sp>
    <dsp:sp modelId="{37127E57-90C6-424F-A41B-6856848E91C0}">
      <dsp:nvSpPr>
        <dsp:cNvPr id="0" name=""/>
        <dsp:cNvSpPr/>
      </dsp:nvSpPr>
      <dsp:spPr>
        <a:xfrm>
          <a:off x="357504" y="708893"/>
          <a:ext cx="1735592" cy="1670400"/>
        </a:xfrm>
        <a:prstGeom prst="roundRect">
          <a:avLst>
            <a:gd name="adj" fmla="val 10000"/>
          </a:avLst>
        </a:prstGeom>
        <a:solidFill>
          <a:schemeClr val="dk1">
            <a:alpha val="90000"/>
            <a:tint val="40000"/>
            <a:hueOff val="0"/>
            <a:satOff val="0"/>
            <a:lumOff val="0"/>
            <a:alphaOff val="0"/>
          </a:schemeClr>
        </a:solidFill>
        <a:ln w="25400" cap="flat" cmpd="sng" algn="ctr">
          <a:solidFill>
            <a:schemeClr val="dk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85344" tIns="85344" rIns="85344" bIns="85344" numCol="1" spcCol="1270" anchor="t" anchorCtr="0">
          <a:noAutofit/>
        </a:bodyPr>
        <a:lstStyle/>
        <a:p>
          <a:pPr marL="114300" lvl="1" indent="-114300" algn="l" defTabSz="533400">
            <a:lnSpc>
              <a:spcPct val="90000"/>
            </a:lnSpc>
            <a:spcBef>
              <a:spcPct val="0"/>
            </a:spcBef>
            <a:spcAft>
              <a:spcPct val="15000"/>
            </a:spcAft>
            <a:buChar char="•"/>
          </a:pPr>
          <a:r>
            <a:rPr lang="fr-CA" sz="1200" kern="1200">
              <a:latin typeface="Times New Roman" panose="02020603050405020304" pitchFamily="18" charset="0"/>
              <a:cs typeface="Times New Roman" panose="02020603050405020304" pitchFamily="18" charset="0"/>
            </a:rPr>
            <a:t>Quand le contexte de pratique professionnelle est déjà surchargé</a:t>
          </a:r>
          <a:endParaRPr lang="fr-CA" sz="1200" kern="1200"/>
        </a:p>
      </dsp:txBody>
      <dsp:txXfrm>
        <a:off x="406428" y="757817"/>
        <a:ext cx="1637744" cy="1572552"/>
      </dsp:txXfrm>
    </dsp:sp>
    <dsp:sp modelId="{CADD7188-82C0-442E-BD81-DAABB18813CA}">
      <dsp:nvSpPr>
        <dsp:cNvPr id="0" name=""/>
        <dsp:cNvSpPr/>
      </dsp:nvSpPr>
      <dsp:spPr>
        <a:xfrm>
          <a:off x="2000724" y="145718"/>
          <a:ext cx="557792" cy="432112"/>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800100">
            <a:lnSpc>
              <a:spcPct val="90000"/>
            </a:lnSpc>
            <a:spcBef>
              <a:spcPct val="0"/>
            </a:spcBef>
            <a:spcAft>
              <a:spcPct val="35000"/>
            </a:spcAft>
            <a:buNone/>
          </a:pPr>
          <a:endParaRPr lang="fr-CA" sz="1800" kern="1200"/>
        </a:p>
      </dsp:txBody>
      <dsp:txXfrm>
        <a:off x="2000724" y="232140"/>
        <a:ext cx="428158" cy="259268"/>
      </dsp:txXfrm>
    </dsp:sp>
    <dsp:sp modelId="{24ACCC8C-11CA-4AC3-B6CF-CFE55EC75ADF}">
      <dsp:nvSpPr>
        <dsp:cNvPr id="0" name=""/>
        <dsp:cNvSpPr/>
      </dsp:nvSpPr>
      <dsp:spPr>
        <a:xfrm>
          <a:off x="2790052" y="14656"/>
          <a:ext cx="1735592" cy="1252799"/>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28016" tIns="128016" rIns="128016" bIns="68580" numCol="1" spcCol="1270" anchor="t" anchorCtr="0">
          <a:noAutofit/>
        </a:bodyPr>
        <a:lstStyle/>
        <a:p>
          <a:pPr marL="0" lvl="0" indent="0" algn="l" defTabSz="800100">
            <a:lnSpc>
              <a:spcPct val="90000"/>
            </a:lnSpc>
            <a:spcBef>
              <a:spcPct val="0"/>
            </a:spcBef>
            <a:spcAft>
              <a:spcPct val="35000"/>
            </a:spcAft>
            <a:buNone/>
          </a:pPr>
          <a:r>
            <a:rPr lang="fr-CA" sz="1800" kern="1200">
              <a:latin typeface="Times New Roman" panose="02020603050405020304" pitchFamily="18" charset="0"/>
              <a:cs typeface="Times New Roman" panose="02020603050405020304" pitchFamily="18" charset="0"/>
            </a:rPr>
            <a:t>Fatigue de diversité</a:t>
          </a:r>
        </a:p>
      </dsp:txBody>
      <dsp:txXfrm>
        <a:off x="2790052" y="14656"/>
        <a:ext cx="1735592" cy="694237"/>
      </dsp:txXfrm>
    </dsp:sp>
    <dsp:sp modelId="{D50A4334-CA36-469B-8843-1BBA9E04A681}">
      <dsp:nvSpPr>
        <dsp:cNvPr id="0" name=""/>
        <dsp:cNvSpPr/>
      </dsp:nvSpPr>
      <dsp:spPr>
        <a:xfrm>
          <a:off x="3145535" y="708893"/>
          <a:ext cx="1735592" cy="1670400"/>
        </a:xfrm>
        <a:prstGeom prst="roundRect">
          <a:avLst>
            <a:gd name="adj" fmla="val 10000"/>
          </a:avLst>
        </a:prstGeom>
        <a:solidFill>
          <a:schemeClr val="dk1">
            <a:alpha val="90000"/>
            <a:tint val="40000"/>
            <a:hueOff val="0"/>
            <a:satOff val="0"/>
            <a:lumOff val="0"/>
            <a:alphaOff val="0"/>
          </a:schemeClr>
        </a:solidFill>
        <a:ln w="25400" cap="flat" cmpd="sng" algn="ctr">
          <a:solidFill>
            <a:schemeClr val="dk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85344" tIns="85344" rIns="85344" bIns="85344" numCol="1" spcCol="1270" anchor="t" anchorCtr="0">
          <a:noAutofit/>
        </a:bodyPr>
        <a:lstStyle/>
        <a:p>
          <a:pPr marL="114300" lvl="1" indent="-114300" algn="l" defTabSz="533400">
            <a:lnSpc>
              <a:spcPct val="90000"/>
            </a:lnSpc>
            <a:spcBef>
              <a:spcPct val="0"/>
            </a:spcBef>
            <a:spcAft>
              <a:spcPct val="15000"/>
            </a:spcAft>
            <a:buChar char="•"/>
          </a:pPr>
          <a:r>
            <a:rPr lang="fr-CA" sz="1200" kern="1200">
              <a:latin typeface="Times New Roman" panose="02020603050405020304" pitchFamily="18" charset="0"/>
              <a:cs typeface="Times New Roman" panose="02020603050405020304" pitchFamily="18" charset="0"/>
            </a:rPr>
            <a:t>L'implantation de la compétence interculturelle ne suffit pas: les modèles de gestion sont à revoir.</a:t>
          </a:r>
        </a:p>
      </dsp:txBody>
      <dsp:txXfrm>
        <a:off x="3194459" y="757817"/>
        <a:ext cx="1637744" cy="1572552"/>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D227E3D-9457-403A-943A-058DAFEA2B79}">
      <dsp:nvSpPr>
        <dsp:cNvPr id="0" name=""/>
        <dsp:cNvSpPr/>
      </dsp:nvSpPr>
      <dsp:spPr>
        <a:xfrm>
          <a:off x="830" y="62699"/>
          <a:ext cx="1927695" cy="1252799"/>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28016" tIns="128016" rIns="128016" bIns="68580" numCol="1" spcCol="1270" anchor="t" anchorCtr="0">
          <a:noAutofit/>
        </a:bodyPr>
        <a:lstStyle/>
        <a:p>
          <a:pPr marL="0" lvl="0" indent="0" algn="l" defTabSz="800100">
            <a:lnSpc>
              <a:spcPct val="90000"/>
            </a:lnSpc>
            <a:spcBef>
              <a:spcPct val="0"/>
            </a:spcBef>
            <a:spcAft>
              <a:spcPct val="35000"/>
            </a:spcAft>
            <a:buNone/>
          </a:pPr>
          <a:r>
            <a:rPr lang="fr-CA" sz="1800" kern="1200">
              <a:latin typeface="Times New Roman" panose="02020603050405020304" pitchFamily="18" charset="0"/>
              <a:cs typeface="Times New Roman" panose="02020603050405020304" pitchFamily="18" charset="0"/>
            </a:rPr>
            <a:t>Fatigue de diversité</a:t>
          </a:r>
        </a:p>
      </dsp:txBody>
      <dsp:txXfrm>
        <a:off x="830" y="62699"/>
        <a:ext cx="1927695" cy="771078"/>
      </dsp:txXfrm>
    </dsp:sp>
    <dsp:sp modelId="{37127E57-90C6-424F-A41B-6856848E91C0}">
      <dsp:nvSpPr>
        <dsp:cNvPr id="0" name=""/>
        <dsp:cNvSpPr/>
      </dsp:nvSpPr>
      <dsp:spPr>
        <a:xfrm>
          <a:off x="355466" y="955155"/>
          <a:ext cx="2008080" cy="1636444"/>
        </a:xfrm>
        <a:prstGeom prst="roundRect">
          <a:avLst>
            <a:gd name="adj" fmla="val 10000"/>
          </a:avLst>
        </a:prstGeom>
        <a:solidFill>
          <a:schemeClr val="dk1">
            <a:alpha val="90000"/>
            <a:tint val="40000"/>
            <a:hueOff val="0"/>
            <a:satOff val="0"/>
            <a:lumOff val="0"/>
            <a:alphaOff val="0"/>
          </a:schemeClr>
        </a:solidFill>
        <a:ln w="25400" cap="flat" cmpd="sng" algn="ctr">
          <a:solidFill>
            <a:schemeClr val="dk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85344" tIns="85344" rIns="85344" bIns="85344" numCol="1" spcCol="1270" anchor="t" anchorCtr="0">
          <a:noAutofit/>
        </a:bodyPr>
        <a:lstStyle/>
        <a:p>
          <a:pPr marL="114300" lvl="1" indent="-114300" algn="l" defTabSz="533400">
            <a:lnSpc>
              <a:spcPct val="90000"/>
            </a:lnSpc>
            <a:spcBef>
              <a:spcPct val="0"/>
            </a:spcBef>
            <a:spcAft>
              <a:spcPct val="15000"/>
            </a:spcAft>
            <a:buChar char="•"/>
          </a:pPr>
          <a:r>
            <a:rPr lang="fr-CA" sz="1200" kern="1200">
              <a:latin typeface="Times New Roman" panose="02020603050405020304" pitchFamily="18" charset="0"/>
              <a:cs typeface="Times New Roman" panose="02020603050405020304" pitchFamily="18" charset="0"/>
            </a:rPr>
            <a:t>Quand le contexte de pratique professionnelle n'est pas surchargé. Les intervenants jouissent d'une relative autonomie.</a:t>
          </a:r>
          <a:endParaRPr lang="fr-CA" sz="1200" kern="1200"/>
        </a:p>
      </dsp:txBody>
      <dsp:txXfrm>
        <a:off x="403396" y="1003085"/>
        <a:ext cx="1912220" cy="1540584"/>
      </dsp:txXfrm>
    </dsp:sp>
    <dsp:sp modelId="{CADD7188-82C0-442E-BD81-DAABB18813CA}">
      <dsp:nvSpPr>
        <dsp:cNvPr id="0" name=""/>
        <dsp:cNvSpPr/>
      </dsp:nvSpPr>
      <dsp:spPr>
        <a:xfrm rot="21533497">
          <a:off x="2230745" y="177573"/>
          <a:ext cx="640953" cy="479940"/>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889000">
            <a:lnSpc>
              <a:spcPct val="90000"/>
            </a:lnSpc>
            <a:spcBef>
              <a:spcPct val="0"/>
            </a:spcBef>
            <a:spcAft>
              <a:spcPct val="35000"/>
            </a:spcAft>
            <a:buNone/>
          </a:pPr>
          <a:endParaRPr lang="fr-CA" sz="2000" kern="1200"/>
        </a:p>
      </dsp:txBody>
      <dsp:txXfrm>
        <a:off x="2230758" y="274954"/>
        <a:ext cx="496971" cy="287964"/>
      </dsp:txXfrm>
    </dsp:sp>
    <dsp:sp modelId="{24ACCC8C-11CA-4AC3-B6CF-CFE55EC75ADF}">
      <dsp:nvSpPr>
        <dsp:cNvPr id="0" name=""/>
        <dsp:cNvSpPr/>
      </dsp:nvSpPr>
      <dsp:spPr>
        <a:xfrm>
          <a:off x="3137645" y="2010"/>
          <a:ext cx="1927695" cy="1252799"/>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28016" tIns="128016" rIns="128016" bIns="68580" numCol="1" spcCol="1270" anchor="t" anchorCtr="0">
          <a:noAutofit/>
        </a:bodyPr>
        <a:lstStyle/>
        <a:p>
          <a:pPr marL="0" lvl="0" indent="0" algn="l" defTabSz="800100">
            <a:lnSpc>
              <a:spcPct val="90000"/>
            </a:lnSpc>
            <a:spcBef>
              <a:spcPct val="0"/>
            </a:spcBef>
            <a:spcAft>
              <a:spcPct val="35000"/>
            </a:spcAft>
            <a:buNone/>
          </a:pPr>
          <a:r>
            <a:rPr lang="fr-CA" sz="1800" kern="1200">
              <a:latin typeface="Times New Roman" panose="02020603050405020304" pitchFamily="18" charset="0"/>
              <a:cs typeface="Times New Roman" panose="02020603050405020304" pitchFamily="18" charset="0"/>
            </a:rPr>
            <a:t>Fatigue de compassion</a:t>
          </a:r>
        </a:p>
      </dsp:txBody>
      <dsp:txXfrm>
        <a:off x="3137645" y="2010"/>
        <a:ext cx="1927695" cy="771078"/>
      </dsp:txXfrm>
    </dsp:sp>
    <dsp:sp modelId="{D50A4334-CA36-469B-8843-1BBA9E04A681}">
      <dsp:nvSpPr>
        <dsp:cNvPr id="0" name=""/>
        <dsp:cNvSpPr/>
      </dsp:nvSpPr>
      <dsp:spPr>
        <a:xfrm>
          <a:off x="3532474" y="773089"/>
          <a:ext cx="1927695" cy="1879200"/>
        </a:xfrm>
        <a:prstGeom prst="roundRect">
          <a:avLst>
            <a:gd name="adj" fmla="val 10000"/>
          </a:avLst>
        </a:prstGeom>
        <a:solidFill>
          <a:schemeClr val="dk1">
            <a:alpha val="90000"/>
            <a:tint val="40000"/>
            <a:hueOff val="0"/>
            <a:satOff val="0"/>
            <a:lumOff val="0"/>
            <a:alphaOff val="0"/>
          </a:schemeClr>
        </a:solidFill>
        <a:ln w="25400" cap="flat" cmpd="sng" algn="ctr">
          <a:solidFill>
            <a:schemeClr val="dk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85344" tIns="85344" rIns="85344" bIns="85344" numCol="1" spcCol="1270" anchor="t" anchorCtr="0">
          <a:noAutofit/>
        </a:bodyPr>
        <a:lstStyle/>
        <a:p>
          <a:pPr marL="114300" lvl="1" indent="-114300" algn="l" defTabSz="533400">
            <a:lnSpc>
              <a:spcPct val="90000"/>
            </a:lnSpc>
            <a:spcBef>
              <a:spcPct val="0"/>
            </a:spcBef>
            <a:spcAft>
              <a:spcPct val="15000"/>
            </a:spcAft>
            <a:buChar char="•"/>
          </a:pPr>
          <a:r>
            <a:rPr lang="fr-CA" sz="1200" kern="1200">
              <a:latin typeface="Times New Roman" panose="02020603050405020304" pitchFamily="18" charset="0"/>
              <a:cs typeface="Times New Roman" panose="02020603050405020304" pitchFamily="18" charset="0"/>
            </a:rPr>
            <a:t>L'implantation de la compétence interculturelle à tous les niveaux de l'organisation peut suffire si les modèles de gestion en vigueur sont assez souples et qu'ils tiennent compte de la réalité du terrain.</a:t>
          </a:r>
        </a:p>
      </dsp:txBody>
      <dsp:txXfrm>
        <a:off x="3587514" y="828129"/>
        <a:ext cx="1817615" cy="1769120"/>
      </dsp:txXfrm>
    </dsp:sp>
  </dsp:spTree>
</dsp:drawing>
</file>

<file path=word/diagrams/layout1.xml><?xml version="1.0" encoding="utf-8"?>
<dgm:layoutDef xmlns:dgm="http://schemas.openxmlformats.org/drawingml/2006/diagram" xmlns:a="http://schemas.openxmlformats.org/drawingml/2006/main" uniqueId="urn:microsoft.com/office/officeart/2005/8/layout/process3">
  <dgm:title val=""/>
  <dgm:desc val=""/>
  <dgm:catLst>
    <dgm:cat type="process" pri="2000"/>
  </dgm:catLst>
  <dgm:sampData>
    <dgm:dataModel>
      <dgm:ptLst>
        <dgm:pt modelId="0" type="doc"/>
        <dgm:pt modelId="1">
          <dgm:prSet phldr="1"/>
        </dgm:pt>
        <dgm:pt modelId="11">
          <dgm:prSet phldr="1"/>
        </dgm:pt>
        <dgm:pt modelId="2">
          <dgm:prSet phldr="1"/>
        </dgm:pt>
        <dgm:pt modelId="21">
          <dgm:prSet phldr="1"/>
        </dgm:pt>
        <dgm:pt modelId="3">
          <dgm:prSet phldr="1"/>
        </dgm:pt>
        <dgm:pt modelId="31">
          <dgm:prSet phldr="1"/>
        </dgm:pt>
      </dgm:ptLst>
      <dgm:cxnLst>
        <dgm:cxn modelId="4" srcId="0" destId="1" srcOrd="0" destOrd="0"/>
        <dgm:cxn modelId="5" srcId="0" destId="2" srcOrd="1" destOrd="0"/>
        <dgm:cxn modelId="6" srcId="0" destId="3" srcOrd="3" destOrd="0"/>
        <dgm:cxn modelId="12" srcId="1" destId="11" srcOrd="0" destOrd="0"/>
        <dgm:cxn modelId="23" srcId="2" destId="21" srcOrd="0" destOrd="0"/>
        <dgm:cxn modelId="34" srcId="3" destId="31" srcOrd="0" destOrd="0"/>
      </dgm:cxnLst>
      <dgm:bg/>
      <dgm:whole/>
    </dgm:dataModel>
  </dgm:sampData>
  <dgm:styleData>
    <dgm:dataModel>
      <dgm:ptLst>
        <dgm:pt modelId="0" type="doc"/>
        <dgm:pt modelId="1">
          <dgm:prSet phldr="1"/>
        </dgm:pt>
        <dgm:pt modelId="11">
          <dgm:prSet phldr="1"/>
        </dgm:pt>
        <dgm:pt modelId="2">
          <dgm:prSet phldr="1"/>
        </dgm:pt>
        <dgm:pt modelId="21">
          <dgm:prSet phldr="1"/>
        </dgm:pt>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rSet phldr="1"/>
        </dgm:pt>
        <dgm:pt modelId="11">
          <dgm:prSet phldr="1"/>
        </dgm:pt>
        <dgm:pt modelId="2">
          <dgm:prSet phldr="1"/>
        </dgm:pt>
        <dgm:pt modelId="21">
          <dgm:prSet phldr="1"/>
        </dgm:pt>
        <dgm:pt modelId="3">
          <dgm:prSet phldr="1"/>
        </dgm:pt>
        <dgm:pt modelId="31">
          <dgm:prSet phldr="1"/>
        </dgm:pt>
        <dgm:pt modelId="4">
          <dgm:prSet phldr="1"/>
        </dgm:pt>
        <dgm:pt modelId="41">
          <dgm:prSet phldr="1"/>
        </dgm:pt>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linearFlow">
    <dgm:varLst>
      <dgm:dir/>
      <dgm:animLvl val="lvl"/>
      <dgm:resizeHandles val="exact"/>
    </dgm:varLst>
    <dgm:choose name="Name0">
      <dgm:if name="Name1" func="var" arg="dir" op="equ" val="norm">
        <dgm:alg type="lin"/>
      </dgm:if>
      <dgm:else name="Name2">
        <dgm:alg type="lin">
          <dgm:param type="linDir" val="fromR"/>
        </dgm:alg>
      </dgm:else>
    </dgm:choose>
    <dgm:shape xmlns:r="http://schemas.openxmlformats.org/officeDocument/2006/relationships" r:blip="">
      <dgm:adjLst/>
    </dgm:shape>
    <dgm:presOf/>
    <dgm:constrLst>
      <dgm:constr type="w" for="ch" forName="composite" refType="w"/>
      <dgm:constr type="w" for="ch" ptType="sibTrans" refType="w" refFor="ch" refForName="composite" fact="0.3333"/>
      <dgm:constr type="w" for="des" forName="parTx"/>
      <dgm:constr type="h" for="des" forName="parTx" op="equ"/>
      <dgm:constr type="h" for="des" forName="parSh" op="equ"/>
      <dgm:constr type="w" for="des" forName="desTx"/>
      <dgm:constr type="h" for="des" forName="desTx" op="equ"/>
      <dgm:constr type="w" for="des" forName="parSh"/>
      <dgm:constr type="primFontSz" for="des" forName="parTx" val="65"/>
      <dgm:constr type="secFontSz" for="des" forName="desTx" refType="primFontSz" refFor="des" refForName="parTx" op="equ"/>
      <dgm:constr type="primFontSz" for="des" forName="connTx" refType="primFontSz" refFor="des" refForName="parTx" fact="0.8"/>
      <dgm:constr type="primFontSz" for="des" forName="connTx" refType="primFontSz" refFor="des" refForName="parTx" op="lte" fact="0.8"/>
      <dgm:constr type="h" for="des" forName="parTx" refType="primFontSz" refFor="des" refForName="parTx" fact="0.8"/>
      <dgm:constr type="h" for="des" forName="parSh" refType="primFontSz" refFor="des" refForName="parTx" fact="1.2"/>
      <dgm:constr type="h" for="des" forName="desTx" refType="primFontSz" refFor="des" refForName="parTx" fact="1.6"/>
      <dgm:constr type="h" for="des" forName="parSh" refType="h" refFor="des" refForName="parTx" op="lte" fact="1.5"/>
      <dgm:constr type="h" for="des" forName="parSh" refType="h" refFor="des" refForName="parTx" op="gte" fact="1.5"/>
    </dgm:constrLst>
    <dgm:ruleLst>
      <dgm:rule type="w" for="ch" forName="composite" val="0" fact="NaN" max="NaN"/>
      <dgm:rule type="primFontSz" for="des" forName="parTx" val="5" fact="NaN" max="NaN"/>
    </dgm:ruleLst>
    <dgm:forEach name="Name3" axis="ch" ptType="node">
      <dgm:layoutNode name="composite">
        <dgm:alg type="composite"/>
        <dgm:shape xmlns:r="http://schemas.openxmlformats.org/officeDocument/2006/relationships" r:blip="">
          <dgm:adjLst/>
        </dgm:shape>
        <dgm:presOf/>
        <dgm:choose name="Name4">
          <dgm:if name="Name5" func="var" arg="dir" op="equ" val="norm">
            <dgm:constrLst>
              <dgm:constr type="h" refType="w" fact="1000"/>
              <dgm:constr type="l" for="ch" forName="parTx"/>
              <dgm:constr type="w" for="ch" forName="parTx" refType="w" fact="0.83"/>
              <dgm:constr type="t" for="ch" forName="parTx"/>
              <dgm:constr type="l" for="ch" forName="parSh"/>
              <dgm:constr type="w" for="ch" forName="parSh" refType="w" refFor="ch" refForName="parTx"/>
              <dgm:constr type="t" for="ch" forName="parSh"/>
              <dgm:constr type="l" for="ch" forName="desTx" refType="w" fact="0.17"/>
              <dgm:constr type="w" for="ch" forName="desTx" refType="w" refFor="ch" refForName="parTx"/>
              <dgm:constr type="t" for="ch" forName="desTx" refType="h" refFor="ch" refForName="parTx"/>
            </dgm:constrLst>
          </dgm:if>
          <dgm:else name="Name6">
            <dgm:constrLst>
              <dgm:constr type="h" refType="w" fact="1000"/>
              <dgm:constr type="l" for="ch" forName="parTx" refType="w" fact="0.17"/>
              <dgm:constr type="w" for="ch" forName="parTx" refType="w" fact="0.83"/>
              <dgm:constr type="t" for="ch" forName="parTx"/>
              <dgm:constr type="l" for="ch" forName="parSh" refType="w" fact="0.15"/>
              <dgm:constr type="w" for="ch" forName="parSh" refType="w" refFor="ch" refForName="parTx"/>
              <dgm:constr type="t" for="ch" forName="parSh"/>
              <dgm:constr type="l" for="ch" forName="desTx"/>
              <dgm:constr type="w" for="ch" forName="desTx" refType="w" refFor="ch" refForName="parTx"/>
              <dgm:constr type="t" for="ch" forName="desTx" refType="h" refFor="ch" refForName="parTx"/>
            </dgm:constrLst>
          </dgm:else>
        </dgm:choose>
        <dgm:ruleLst>
          <dgm:rule type="h" val="INF" fact="NaN" max="NaN"/>
        </dgm:ruleLst>
        <dgm:layoutNode name="parTx">
          <dgm:varLst>
            <dgm:chMax val="0"/>
            <dgm:chPref val="0"/>
            <dgm:bulletEnabled val="1"/>
          </dgm:varLst>
          <dgm:alg type="tx">
            <dgm:param type="parTxLTRAlign" val="l"/>
            <dgm:param type="parTxRTLAlign" val="r"/>
            <dgm:param type="txAnchorVert" val="t"/>
          </dgm:alg>
          <dgm:shape xmlns:r="http://schemas.openxmlformats.org/officeDocument/2006/relationships" type="rect" r:blip="" zOrderOff="1" hideGeom="1">
            <dgm:adjLst>
              <dgm:adj idx="1" val="0.1"/>
            </dgm:adjLst>
          </dgm:shape>
          <dgm:presOf axis="self" ptType="node"/>
          <dgm:constrLst>
            <dgm:constr type="h" refType="w" op="lte" fact="0.4"/>
            <dgm:constr type="bMarg" refType="primFontSz" fact="0.3"/>
            <dgm:constr type="h"/>
          </dgm:constrLst>
          <dgm:ruleLst>
            <dgm:rule type="h" val="INF" fact="NaN" max="NaN"/>
          </dgm:ruleLst>
        </dgm:layoutNode>
        <dgm:layoutNode name="parSh">
          <dgm:alg type="sp"/>
          <dgm:shape xmlns:r="http://schemas.openxmlformats.org/officeDocument/2006/relationships" type="roundRect" r:blip="">
            <dgm:adjLst>
              <dgm:adj idx="1" val="0.1"/>
            </dgm:adjLst>
          </dgm:shape>
          <dgm:presOf axis="self" ptType="node"/>
          <dgm:constrLst>
            <dgm:constr type="h"/>
          </dgm:constrLst>
          <dgm:ruleLst/>
        </dgm:layoutNode>
        <dgm:layoutNode name="desTx" styleLbl="fgAcc1">
          <dgm:varLst>
            <dgm:bulletEnabled val="1"/>
          </dgm:varLst>
          <dgm:alg type="tx">
            <dgm:param type="stBulletLvl" val="1"/>
          </dgm:alg>
          <dgm:shape xmlns:r="http://schemas.openxmlformats.org/officeDocument/2006/relationships" type="roundRect" r:blip="">
            <dgm:adjLst>
              <dgm:adj idx="1" val="0.1"/>
            </dgm:adjLst>
          </dgm:shape>
          <dgm:presOf axis="des" ptType="node"/>
          <dgm:constrLst>
            <dgm:constr type="secFontSz" val="65"/>
            <dgm:constr type="primFontSz" refType="secFontSz"/>
            <dgm:constr type="h"/>
          </dgm:constrLst>
          <dgm:ruleLst>
            <dgm:rule type="h" val="INF" fact="NaN" max="NaN"/>
          </dgm:ruleLst>
        </dgm:layoutNode>
      </dgm:layoutNode>
      <dgm:forEach name="sibTransForEach" axis="followSib" ptType="sibTrans" cnt="1">
        <dgm:layoutNode name="sibTrans">
          <dgm:alg type="conn">
            <dgm:param type="begPts" val="auto"/>
            <dgm:param type="endPts" val="auto"/>
            <dgm:param type="srcNode" val="parTx"/>
            <dgm:param type="dstNode" val="parTx"/>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Tx">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process3">
  <dgm:title val=""/>
  <dgm:desc val=""/>
  <dgm:catLst>
    <dgm:cat type="process" pri="2000"/>
  </dgm:catLst>
  <dgm:sampData>
    <dgm:dataModel>
      <dgm:ptLst>
        <dgm:pt modelId="0" type="doc"/>
        <dgm:pt modelId="1">
          <dgm:prSet phldr="1"/>
        </dgm:pt>
        <dgm:pt modelId="11">
          <dgm:prSet phldr="1"/>
        </dgm:pt>
        <dgm:pt modelId="2">
          <dgm:prSet phldr="1"/>
        </dgm:pt>
        <dgm:pt modelId="21">
          <dgm:prSet phldr="1"/>
        </dgm:pt>
        <dgm:pt modelId="3">
          <dgm:prSet phldr="1"/>
        </dgm:pt>
        <dgm:pt modelId="31">
          <dgm:prSet phldr="1"/>
        </dgm:pt>
      </dgm:ptLst>
      <dgm:cxnLst>
        <dgm:cxn modelId="4" srcId="0" destId="1" srcOrd="0" destOrd="0"/>
        <dgm:cxn modelId="5" srcId="0" destId="2" srcOrd="1" destOrd="0"/>
        <dgm:cxn modelId="6" srcId="0" destId="3" srcOrd="3" destOrd="0"/>
        <dgm:cxn modelId="12" srcId="1" destId="11" srcOrd="0" destOrd="0"/>
        <dgm:cxn modelId="23" srcId="2" destId="21" srcOrd="0" destOrd="0"/>
        <dgm:cxn modelId="34" srcId="3" destId="31" srcOrd="0" destOrd="0"/>
      </dgm:cxnLst>
      <dgm:bg/>
      <dgm:whole/>
    </dgm:dataModel>
  </dgm:sampData>
  <dgm:styleData>
    <dgm:dataModel>
      <dgm:ptLst>
        <dgm:pt modelId="0" type="doc"/>
        <dgm:pt modelId="1">
          <dgm:prSet phldr="1"/>
        </dgm:pt>
        <dgm:pt modelId="11">
          <dgm:prSet phldr="1"/>
        </dgm:pt>
        <dgm:pt modelId="2">
          <dgm:prSet phldr="1"/>
        </dgm:pt>
        <dgm:pt modelId="21">
          <dgm:prSet phldr="1"/>
        </dgm:pt>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rSet phldr="1"/>
        </dgm:pt>
        <dgm:pt modelId="11">
          <dgm:prSet phldr="1"/>
        </dgm:pt>
        <dgm:pt modelId="2">
          <dgm:prSet phldr="1"/>
        </dgm:pt>
        <dgm:pt modelId="21">
          <dgm:prSet phldr="1"/>
        </dgm:pt>
        <dgm:pt modelId="3">
          <dgm:prSet phldr="1"/>
        </dgm:pt>
        <dgm:pt modelId="31">
          <dgm:prSet phldr="1"/>
        </dgm:pt>
        <dgm:pt modelId="4">
          <dgm:prSet phldr="1"/>
        </dgm:pt>
        <dgm:pt modelId="41">
          <dgm:prSet phldr="1"/>
        </dgm:pt>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linearFlow">
    <dgm:varLst>
      <dgm:dir/>
      <dgm:animLvl val="lvl"/>
      <dgm:resizeHandles val="exact"/>
    </dgm:varLst>
    <dgm:choose name="Name0">
      <dgm:if name="Name1" func="var" arg="dir" op="equ" val="norm">
        <dgm:alg type="lin"/>
      </dgm:if>
      <dgm:else name="Name2">
        <dgm:alg type="lin">
          <dgm:param type="linDir" val="fromR"/>
        </dgm:alg>
      </dgm:else>
    </dgm:choose>
    <dgm:shape xmlns:r="http://schemas.openxmlformats.org/officeDocument/2006/relationships" r:blip="">
      <dgm:adjLst/>
    </dgm:shape>
    <dgm:presOf/>
    <dgm:constrLst>
      <dgm:constr type="w" for="ch" forName="composite" refType="w"/>
      <dgm:constr type="w" for="ch" ptType="sibTrans" refType="w" refFor="ch" refForName="composite" fact="0.3333"/>
      <dgm:constr type="w" for="des" forName="parTx"/>
      <dgm:constr type="h" for="des" forName="parTx" op="equ"/>
      <dgm:constr type="h" for="des" forName="parSh" op="equ"/>
      <dgm:constr type="w" for="des" forName="desTx"/>
      <dgm:constr type="h" for="des" forName="desTx" op="equ"/>
      <dgm:constr type="w" for="des" forName="parSh"/>
      <dgm:constr type="primFontSz" for="des" forName="parTx" val="65"/>
      <dgm:constr type="secFontSz" for="des" forName="desTx" refType="primFontSz" refFor="des" refForName="parTx" op="equ"/>
      <dgm:constr type="primFontSz" for="des" forName="connTx" refType="primFontSz" refFor="des" refForName="parTx" fact="0.8"/>
      <dgm:constr type="primFontSz" for="des" forName="connTx" refType="primFontSz" refFor="des" refForName="parTx" op="lte" fact="0.8"/>
      <dgm:constr type="h" for="des" forName="parTx" refType="primFontSz" refFor="des" refForName="parTx" fact="0.8"/>
      <dgm:constr type="h" for="des" forName="parSh" refType="primFontSz" refFor="des" refForName="parTx" fact="1.2"/>
      <dgm:constr type="h" for="des" forName="desTx" refType="primFontSz" refFor="des" refForName="parTx" fact="1.6"/>
      <dgm:constr type="h" for="des" forName="parSh" refType="h" refFor="des" refForName="parTx" op="lte" fact="1.5"/>
      <dgm:constr type="h" for="des" forName="parSh" refType="h" refFor="des" refForName="parTx" op="gte" fact="1.5"/>
    </dgm:constrLst>
    <dgm:ruleLst>
      <dgm:rule type="w" for="ch" forName="composite" val="0" fact="NaN" max="NaN"/>
      <dgm:rule type="primFontSz" for="des" forName="parTx" val="5" fact="NaN" max="NaN"/>
    </dgm:ruleLst>
    <dgm:forEach name="Name3" axis="ch" ptType="node">
      <dgm:layoutNode name="composite">
        <dgm:alg type="composite"/>
        <dgm:shape xmlns:r="http://schemas.openxmlformats.org/officeDocument/2006/relationships" r:blip="">
          <dgm:adjLst/>
        </dgm:shape>
        <dgm:presOf/>
        <dgm:choose name="Name4">
          <dgm:if name="Name5" func="var" arg="dir" op="equ" val="norm">
            <dgm:constrLst>
              <dgm:constr type="h" refType="w" fact="1000"/>
              <dgm:constr type="l" for="ch" forName="parTx"/>
              <dgm:constr type="w" for="ch" forName="parTx" refType="w" fact="0.83"/>
              <dgm:constr type="t" for="ch" forName="parTx"/>
              <dgm:constr type="l" for="ch" forName="parSh"/>
              <dgm:constr type="w" for="ch" forName="parSh" refType="w" refFor="ch" refForName="parTx"/>
              <dgm:constr type="t" for="ch" forName="parSh"/>
              <dgm:constr type="l" for="ch" forName="desTx" refType="w" fact="0.17"/>
              <dgm:constr type="w" for="ch" forName="desTx" refType="w" refFor="ch" refForName="parTx"/>
              <dgm:constr type="t" for="ch" forName="desTx" refType="h" refFor="ch" refForName="parTx"/>
            </dgm:constrLst>
          </dgm:if>
          <dgm:else name="Name6">
            <dgm:constrLst>
              <dgm:constr type="h" refType="w" fact="1000"/>
              <dgm:constr type="l" for="ch" forName="parTx" refType="w" fact="0.17"/>
              <dgm:constr type="w" for="ch" forName="parTx" refType="w" fact="0.83"/>
              <dgm:constr type="t" for="ch" forName="parTx"/>
              <dgm:constr type="l" for="ch" forName="parSh" refType="w" fact="0.15"/>
              <dgm:constr type="w" for="ch" forName="parSh" refType="w" refFor="ch" refForName="parTx"/>
              <dgm:constr type="t" for="ch" forName="parSh"/>
              <dgm:constr type="l" for="ch" forName="desTx"/>
              <dgm:constr type="w" for="ch" forName="desTx" refType="w" refFor="ch" refForName="parTx"/>
              <dgm:constr type="t" for="ch" forName="desTx" refType="h" refFor="ch" refForName="parTx"/>
            </dgm:constrLst>
          </dgm:else>
        </dgm:choose>
        <dgm:ruleLst>
          <dgm:rule type="h" val="INF" fact="NaN" max="NaN"/>
        </dgm:ruleLst>
        <dgm:layoutNode name="parTx">
          <dgm:varLst>
            <dgm:chMax val="0"/>
            <dgm:chPref val="0"/>
            <dgm:bulletEnabled val="1"/>
          </dgm:varLst>
          <dgm:alg type="tx">
            <dgm:param type="parTxLTRAlign" val="l"/>
            <dgm:param type="parTxRTLAlign" val="r"/>
            <dgm:param type="txAnchorVert" val="t"/>
          </dgm:alg>
          <dgm:shape xmlns:r="http://schemas.openxmlformats.org/officeDocument/2006/relationships" type="rect" r:blip="" zOrderOff="1" hideGeom="1">
            <dgm:adjLst>
              <dgm:adj idx="1" val="0.1"/>
            </dgm:adjLst>
          </dgm:shape>
          <dgm:presOf axis="self" ptType="node"/>
          <dgm:constrLst>
            <dgm:constr type="h" refType="w" op="lte" fact="0.4"/>
            <dgm:constr type="bMarg" refType="primFontSz" fact="0.3"/>
            <dgm:constr type="h"/>
          </dgm:constrLst>
          <dgm:ruleLst>
            <dgm:rule type="h" val="INF" fact="NaN" max="NaN"/>
          </dgm:ruleLst>
        </dgm:layoutNode>
        <dgm:layoutNode name="parSh">
          <dgm:alg type="sp"/>
          <dgm:shape xmlns:r="http://schemas.openxmlformats.org/officeDocument/2006/relationships" type="roundRect" r:blip="">
            <dgm:adjLst>
              <dgm:adj idx="1" val="0.1"/>
            </dgm:adjLst>
          </dgm:shape>
          <dgm:presOf axis="self" ptType="node"/>
          <dgm:constrLst>
            <dgm:constr type="h"/>
          </dgm:constrLst>
          <dgm:ruleLst/>
        </dgm:layoutNode>
        <dgm:layoutNode name="desTx" styleLbl="fgAcc1">
          <dgm:varLst>
            <dgm:bulletEnabled val="1"/>
          </dgm:varLst>
          <dgm:alg type="tx">
            <dgm:param type="stBulletLvl" val="1"/>
          </dgm:alg>
          <dgm:shape xmlns:r="http://schemas.openxmlformats.org/officeDocument/2006/relationships" type="roundRect" r:blip="">
            <dgm:adjLst>
              <dgm:adj idx="1" val="0.1"/>
            </dgm:adjLst>
          </dgm:shape>
          <dgm:presOf axis="des" ptType="node"/>
          <dgm:constrLst>
            <dgm:constr type="secFontSz" val="65"/>
            <dgm:constr type="primFontSz" refType="secFontSz"/>
            <dgm:constr type="h"/>
          </dgm:constrLst>
          <dgm:ruleLst>
            <dgm:rule type="h" val="INF" fact="NaN" max="NaN"/>
          </dgm:ruleLst>
        </dgm:layoutNode>
      </dgm:layoutNode>
      <dgm:forEach name="sibTransForEach" axis="followSib" ptType="sibTrans" cnt="1">
        <dgm:layoutNode name="sibTrans">
          <dgm:alg type="conn">
            <dgm:param type="begPts" val="auto"/>
            <dgm:param type="endPts" val="auto"/>
            <dgm:param type="srcNode" val="parTx"/>
            <dgm:param type="dstNode" val="parTx"/>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Tx">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24</Pages>
  <Words>7289</Words>
  <Characters>41550</Characters>
  <Application>Microsoft Office Word</Application>
  <DocSecurity>4</DocSecurity>
  <Lines>346</Lines>
  <Paragraphs>97</Paragraphs>
  <ScaleCrop>false</ScaleCrop>
  <HeadingPairs>
    <vt:vector size="2" baseType="variant">
      <vt:variant>
        <vt:lpstr>Titre</vt:lpstr>
      </vt:variant>
      <vt:variant>
        <vt:i4>1</vt:i4>
      </vt:variant>
    </vt:vector>
  </HeadingPairs>
  <TitlesOfParts>
    <vt:vector size="1" baseType="lpstr">
      <vt:lpstr/>
    </vt:vector>
  </TitlesOfParts>
  <Company>IRSST</Company>
  <LinksUpToDate>false</LinksUpToDate>
  <CharactersWithSpaces>48742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Daniel Côté</dc:creator>
  <cp:lastModifiedBy>Monique Lefebvre</cp:lastModifiedBy>
  <cp:revision>2</cp:revision>
  <dcterms:created xsi:type="dcterms:W3CDTF">2022-09-29T16:09:00Z</dcterms:created>
  <dcterms:modified xsi:type="dcterms:W3CDTF">2022-09-29T16:09:00Z</dcterms:modified>
</cp:coreProperties>
</file>