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CC07C5" w14:textId="77777777" w:rsidR="00CA222A" w:rsidRPr="00FC5FCC" w:rsidRDefault="00CA222A" w:rsidP="00DF3C36">
      <w:pPr>
        <w:pStyle w:val="Default"/>
        <w:spacing w:line="360" w:lineRule="auto"/>
        <w:jc w:val="center"/>
        <w:rPr>
          <w:b/>
          <w:bCs/>
        </w:rPr>
      </w:pPr>
      <w:r w:rsidRPr="00FC5FCC">
        <w:rPr>
          <w:b/>
          <w:bCs/>
        </w:rPr>
        <w:t>UNIVERSITY OF OTTAWA</w:t>
      </w:r>
    </w:p>
    <w:p w14:paraId="6152E2C3" w14:textId="77777777" w:rsidR="00CA222A" w:rsidRPr="00FC5FCC" w:rsidRDefault="00CA222A" w:rsidP="00DF3C36">
      <w:pPr>
        <w:pStyle w:val="Default"/>
        <w:spacing w:line="360" w:lineRule="auto"/>
        <w:jc w:val="center"/>
        <w:rPr>
          <w:b/>
          <w:bCs/>
        </w:rPr>
      </w:pPr>
      <w:r w:rsidRPr="00FC5FCC">
        <w:rPr>
          <w:b/>
          <w:bCs/>
        </w:rPr>
        <w:t>DEPARTMENT OF SOCIAL SCIENCES</w:t>
      </w:r>
    </w:p>
    <w:p w14:paraId="43D236A5" w14:textId="77777777" w:rsidR="00CA222A" w:rsidRPr="00FC5FCC" w:rsidRDefault="00CA222A" w:rsidP="00DF3C36">
      <w:pPr>
        <w:pStyle w:val="Default"/>
        <w:spacing w:line="360" w:lineRule="auto"/>
        <w:jc w:val="center"/>
      </w:pPr>
    </w:p>
    <w:p w14:paraId="72872FAE" w14:textId="77777777" w:rsidR="00CA222A" w:rsidRPr="00FC5FCC" w:rsidRDefault="00CA222A" w:rsidP="00DF3C36">
      <w:pPr>
        <w:pStyle w:val="Default"/>
        <w:spacing w:line="360" w:lineRule="auto"/>
        <w:jc w:val="center"/>
      </w:pPr>
    </w:p>
    <w:p w14:paraId="473D1AF3" w14:textId="77777777" w:rsidR="00CA222A" w:rsidRPr="00FC5FCC" w:rsidRDefault="00CA222A" w:rsidP="00DF3C36">
      <w:pPr>
        <w:pStyle w:val="Default"/>
        <w:spacing w:line="360" w:lineRule="auto"/>
        <w:jc w:val="center"/>
      </w:pPr>
    </w:p>
    <w:p w14:paraId="0E3FB61F" w14:textId="06BB0146" w:rsidR="00CA222A" w:rsidRPr="00FC5FCC" w:rsidRDefault="00CA222A" w:rsidP="00DF3C36">
      <w:pPr>
        <w:pStyle w:val="Default"/>
        <w:spacing w:line="360" w:lineRule="auto"/>
        <w:jc w:val="center"/>
        <w:rPr>
          <w:b/>
          <w:bCs/>
        </w:rPr>
      </w:pPr>
      <w:r w:rsidRPr="00FC5FCC">
        <w:rPr>
          <w:b/>
          <w:bCs/>
        </w:rPr>
        <w:t>M.A. IN SOCIOLOGY</w:t>
      </w:r>
    </w:p>
    <w:p w14:paraId="3D3A6E92" w14:textId="4F2C88F6" w:rsidR="00CA222A" w:rsidRPr="00FC5FCC" w:rsidRDefault="00CA222A" w:rsidP="00DF3C36">
      <w:pPr>
        <w:pStyle w:val="Default"/>
        <w:spacing w:line="360" w:lineRule="auto"/>
        <w:jc w:val="center"/>
        <w:rPr>
          <w:b/>
          <w:bCs/>
        </w:rPr>
      </w:pPr>
      <w:r w:rsidRPr="00FC5FCC">
        <w:rPr>
          <w:b/>
          <w:bCs/>
        </w:rPr>
        <w:t>MAJOR RESEARCH PAPER (MRP)</w:t>
      </w:r>
    </w:p>
    <w:p w14:paraId="05B0B06F" w14:textId="77777777" w:rsidR="00CA222A" w:rsidRPr="00FC5FCC" w:rsidRDefault="00CA222A" w:rsidP="00DF3C36">
      <w:pPr>
        <w:pStyle w:val="Default"/>
        <w:spacing w:line="360" w:lineRule="auto"/>
        <w:jc w:val="center"/>
      </w:pPr>
    </w:p>
    <w:p w14:paraId="666D3A2F" w14:textId="77777777" w:rsidR="00CA222A" w:rsidRPr="00FC5FCC" w:rsidRDefault="00CA222A" w:rsidP="00DF3C36">
      <w:pPr>
        <w:pStyle w:val="Default"/>
        <w:spacing w:line="360" w:lineRule="auto"/>
        <w:jc w:val="center"/>
      </w:pPr>
    </w:p>
    <w:p w14:paraId="075E0F32" w14:textId="0C80C9EA" w:rsidR="00CA222A" w:rsidRPr="00FC5FCC" w:rsidRDefault="00CA222A" w:rsidP="00DF3C36">
      <w:pPr>
        <w:pStyle w:val="Default"/>
        <w:spacing w:line="360" w:lineRule="auto"/>
        <w:jc w:val="center"/>
        <w:rPr>
          <w:b/>
          <w:bCs/>
        </w:rPr>
      </w:pPr>
      <w:r w:rsidRPr="00FC5FCC">
        <w:rPr>
          <w:b/>
          <w:bCs/>
        </w:rPr>
        <w:t>TOPIC:</w:t>
      </w:r>
    </w:p>
    <w:p w14:paraId="3E7996C7" w14:textId="7A8F177C" w:rsidR="00CA222A" w:rsidRPr="00FC5FCC" w:rsidRDefault="00CA222A" w:rsidP="00DF3C36">
      <w:pPr>
        <w:pStyle w:val="Default"/>
        <w:spacing w:line="360" w:lineRule="auto"/>
        <w:jc w:val="center"/>
        <w:rPr>
          <w:b/>
          <w:bCs/>
        </w:rPr>
      </w:pPr>
      <w:r w:rsidRPr="00FC5FCC">
        <w:rPr>
          <w:b/>
          <w:bCs/>
        </w:rPr>
        <w:t>RURAL-URBAN MIGRATION IN GHANA: FACTORS INFLUENCING FEMALE MIGRANT (KAYAYEI), USING THE LIFE COURSE PERSPECTIVE</w:t>
      </w:r>
    </w:p>
    <w:p w14:paraId="599A312D" w14:textId="77777777" w:rsidR="00CA222A" w:rsidRPr="00FC5FCC" w:rsidRDefault="00CA222A" w:rsidP="00DF3C36">
      <w:pPr>
        <w:pStyle w:val="Default"/>
        <w:spacing w:line="360" w:lineRule="auto"/>
        <w:jc w:val="center"/>
      </w:pPr>
    </w:p>
    <w:p w14:paraId="0B5D5FDF" w14:textId="77777777" w:rsidR="00CA222A" w:rsidRPr="00FC5FCC" w:rsidRDefault="00CA222A" w:rsidP="00DF3C36">
      <w:pPr>
        <w:pStyle w:val="Default"/>
        <w:spacing w:line="360" w:lineRule="auto"/>
        <w:jc w:val="center"/>
      </w:pPr>
    </w:p>
    <w:p w14:paraId="18339D4B" w14:textId="77777777" w:rsidR="00CA222A" w:rsidRPr="00FC5FCC" w:rsidRDefault="00CA222A" w:rsidP="00DF3C36">
      <w:pPr>
        <w:pStyle w:val="Default"/>
        <w:spacing w:line="360" w:lineRule="auto"/>
        <w:jc w:val="center"/>
      </w:pPr>
    </w:p>
    <w:p w14:paraId="0F261154" w14:textId="77777777" w:rsidR="00CA222A" w:rsidRPr="00FC5FCC" w:rsidRDefault="00CA222A" w:rsidP="00DF3C36">
      <w:pPr>
        <w:pStyle w:val="Default"/>
        <w:spacing w:line="360" w:lineRule="auto"/>
        <w:jc w:val="center"/>
        <w:rPr>
          <w:b/>
          <w:bCs/>
        </w:rPr>
      </w:pPr>
      <w:r w:rsidRPr="00FC5FCC">
        <w:rPr>
          <w:b/>
          <w:bCs/>
        </w:rPr>
        <w:t>BY:</w:t>
      </w:r>
    </w:p>
    <w:p w14:paraId="42737724" w14:textId="77777777" w:rsidR="00CA222A" w:rsidRPr="00FC5FCC" w:rsidRDefault="00CA222A" w:rsidP="00DF3C36">
      <w:pPr>
        <w:pStyle w:val="Default"/>
        <w:spacing w:line="360" w:lineRule="auto"/>
        <w:jc w:val="center"/>
        <w:rPr>
          <w:b/>
          <w:bCs/>
        </w:rPr>
      </w:pPr>
      <w:r w:rsidRPr="00FC5FCC">
        <w:rPr>
          <w:b/>
          <w:bCs/>
        </w:rPr>
        <w:t>KAMARA OSMAN FAISAL</w:t>
      </w:r>
    </w:p>
    <w:p w14:paraId="62AE7FAF" w14:textId="77777777" w:rsidR="00CA222A" w:rsidRPr="00FC5FCC" w:rsidRDefault="00CA222A" w:rsidP="00DF3C36">
      <w:pPr>
        <w:pStyle w:val="Default"/>
        <w:spacing w:line="360" w:lineRule="auto"/>
        <w:jc w:val="center"/>
        <w:rPr>
          <w:b/>
          <w:bCs/>
        </w:rPr>
      </w:pPr>
      <w:r w:rsidRPr="00FC5FCC">
        <w:rPr>
          <w:b/>
          <w:bCs/>
        </w:rPr>
        <w:t>(STUDENT ID: 300113722)</w:t>
      </w:r>
    </w:p>
    <w:p w14:paraId="5B655415" w14:textId="77777777" w:rsidR="00CA222A" w:rsidRPr="00FC5FCC" w:rsidRDefault="00CA222A" w:rsidP="00DF3C36">
      <w:pPr>
        <w:pStyle w:val="Default"/>
        <w:spacing w:line="360" w:lineRule="auto"/>
        <w:jc w:val="center"/>
        <w:rPr>
          <w:b/>
          <w:bCs/>
        </w:rPr>
      </w:pPr>
      <w:r w:rsidRPr="00FC5FCC">
        <w:rPr>
          <w:b/>
          <w:bCs/>
        </w:rPr>
        <w:t>SUPERVISOR:</w:t>
      </w:r>
    </w:p>
    <w:p w14:paraId="59579EF7" w14:textId="6CE83A21" w:rsidR="00CA222A" w:rsidRPr="00FC5FCC" w:rsidRDefault="00CA222A" w:rsidP="00DF3C36">
      <w:pPr>
        <w:pStyle w:val="Default"/>
        <w:spacing w:line="360" w:lineRule="auto"/>
        <w:jc w:val="center"/>
        <w:rPr>
          <w:b/>
          <w:bCs/>
        </w:rPr>
      </w:pPr>
      <w:r w:rsidRPr="00FC5FCC">
        <w:rPr>
          <w:b/>
          <w:bCs/>
        </w:rPr>
        <w:t>PROFESSOR WILLOW SCOBIE</w:t>
      </w:r>
    </w:p>
    <w:p w14:paraId="240B059E" w14:textId="77A0D2F4" w:rsidR="00934FCB" w:rsidRPr="00FC5FCC" w:rsidRDefault="00934FCB" w:rsidP="00DF3C36">
      <w:pPr>
        <w:pStyle w:val="Default"/>
        <w:spacing w:line="360" w:lineRule="auto"/>
        <w:jc w:val="center"/>
        <w:rPr>
          <w:b/>
          <w:bCs/>
        </w:rPr>
      </w:pPr>
      <w:r w:rsidRPr="00FC5FCC">
        <w:rPr>
          <w:b/>
          <w:bCs/>
        </w:rPr>
        <w:t>EVALUATOR:</w:t>
      </w:r>
    </w:p>
    <w:p w14:paraId="6FC9C629" w14:textId="34C453E3" w:rsidR="00934FCB" w:rsidRPr="00FC5FCC" w:rsidRDefault="00934FCB" w:rsidP="00DF3C36">
      <w:pPr>
        <w:pStyle w:val="Default"/>
        <w:spacing w:line="360" w:lineRule="auto"/>
        <w:jc w:val="center"/>
        <w:rPr>
          <w:b/>
          <w:bCs/>
        </w:rPr>
      </w:pPr>
      <w:r w:rsidRPr="00FC5FCC">
        <w:rPr>
          <w:b/>
          <w:bCs/>
        </w:rPr>
        <w:t xml:space="preserve">PROFESSOR </w:t>
      </w:r>
      <w:r w:rsidR="002B46D2" w:rsidRPr="00FC5FCC">
        <w:rPr>
          <w:b/>
          <w:bCs/>
        </w:rPr>
        <w:t xml:space="preserve">LOES </w:t>
      </w:r>
      <w:r w:rsidRPr="00FC5FCC">
        <w:rPr>
          <w:b/>
          <w:bCs/>
        </w:rPr>
        <w:t>K</w:t>
      </w:r>
      <w:r w:rsidR="002B46D2" w:rsidRPr="00FC5FCC">
        <w:rPr>
          <w:b/>
          <w:bCs/>
        </w:rPr>
        <w:t xml:space="preserve">NAAPEN </w:t>
      </w:r>
    </w:p>
    <w:p w14:paraId="117A54CE" w14:textId="77777777" w:rsidR="00CA222A" w:rsidRPr="00FC5FCC" w:rsidRDefault="00CA222A" w:rsidP="00DF3C36">
      <w:pPr>
        <w:pStyle w:val="Default"/>
        <w:spacing w:line="360" w:lineRule="auto"/>
        <w:jc w:val="center"/>
      </w:pPr>
    </w:p>
    <w:p w14:paraId="1D142BF8" w14:textId="77777777" w:rsidR="00CA222A" w:rsidRPr="00FC5FCC" w:rsidRDefault="00CA222A" w:rsidP="00DF3C36">
      <w:pPr>
        <w:pStyle w:val="Default"/>
        <w:spacing w:line="360" w:lineRule="auto"/>
        <w:jc w:val="center"/>
      </w:pPr>
    </w:p>
    <w:p w14:paraId="29E7875C" w14:textId="77777777" w:rsidR="00CA222A" w:rsidRPr="00FC5FCC" w:rsidRDefault="00CA222A" w:rsidP="00DF3C36">
      <w:pPr>
        <w:pStyle w:val="Default"/>
        <w:spacing w:line="360" w:lineRule="auto"/>
        <w:jc w:val="center"/>
      </w:pPr>
    </w:p>
    <w:p w14:paraId="3240AC17" w14:textId="6F95C5E5" w:rsidR="00CA222A" w:rsidRPr="00FC5FCC" w:rsidRDefault="00CA222A" w:rsidP="00DF3C36">
      <w:pPr>
        <w:pStyle w:val="Default"/>
        <w:spacing w:line="360" w:lineRule="auto"/>
        <w:jc w:val="center"/>
        <w:rPr>
          <w:b/>
          <w:bCs/>
        </w:rPr>
      </w:pPr>
      <w:r w:rsidRPr="00FC5FCC">
        <w:rPr>
          <w:b/>
          <w:bCs/>
        </w:rPr>
        <w:t>APRIL 202</w:t>
      </w:r>
      <w:r w:rsidR="00D300DE" w:rsidRPr="00FC5FCC">
        <w:rPr>
          <w:b/>
          <w:bCs/>
        </w:rPr>
        <w:t>1</w:t>
      </w:r>
      <w:r w:rsidRPr="00FC5FCC">
        <w:rPr>
          <w:b/>
          <w:bCs/>
        </w:rPr>
        <w:t>.</w:t>
      </w:r>
    </w:p>
    <w:p w14:paraId="7616B5C2" w14:textId="77777777" w:rsidR="00CA222A" w:rsidRPr="00FC5FCC" w:rsidRDefault="00CA222A" w:rsidP="00DF3C36">
      <w:pPr>
        <w:pStyle w:val="Default"/>
        <w:spacing w:line="360" w:lineRule="auto"/>
        <w:jc w:val="center"/>
      </w:pPr>
    </w:p>
    <w:sdt>
      <w:sdtPr>
        <w:rPr>
          <w:rFonts w:ascii="Times New Roman" w:hAnsi="Times New Roman" w:cs="Times New Roman"/>
          <w:sz w:val="24"/>
          <w:szCs w:val="24"/>
        </w:rPr>
        <w:id w:val="2140758136"/>
        <w:docPartObj>
          <w:docPartGallery w:val="Cover Pages"/>
          <w:docPartUnique/>
        </w:docPartObj>
      </w:sdtPr>
      <w:sdtEndPr>
        <w:rPr>
          <w:b/>
        </w:rPr>
      </w:sdtEndPr>
      <w:sdtContent>
        <w:p w14:paraId="6047D7A6" w14:textId="77777777" w:rsidR="00CA222A" w:rsidRPr="00FC5FCC" w:rsidRDefault="00CA222A" w:rsidP="00DF3C36">
          <w:pPr>
            <w:jc w:val="center"/>
            <w:rPr>
              <w:rFonts w:ascii="Times New Roman" w:hAnsi="Times New Roman" w:cs="Times New Roman"/>
              <w:sz w:val="24"/>
              <w:szCs w:val="24"/>
            </w:rPr>
          </w:pPr>
        </w:p>
        <w:p w14:paraId="491DA371" w14:textId="77777777" w:rsidR="000A2B52" w:rsidRPr="00FC5FCC" w:rsidRDefault="000A2B52" w:rsidP="00DF3C36">
          <w:pPr>
            <w:jc w:val="center"/>
            <w:rPr>
              <w:rFonts w:ascii="Times New Roman" w:hAnsi="Times New Roman" w:cs="Times New Roman"/>
              <w:b/>
              <w:sz w:val="24"/>
              <w:szCs w:val="24"/>
            </w:rPr>
            <w:sectPr w:rsidR="000A2B52" w:rsidRPr="00FC5FCC" w:rsidSect="000A2B52">
              <w:footerReference w:type="default" r:id="rId8"/>
              <w:pgSz w:w="12240" w:h="15840"/>
              <w:pgMar w:top="1440" w:right="1440" w:bottom="1440" w:left="1440" w:header="708" w:footer="708" w:gutter="0"/>
              <w:pgNumType w:fmt="lowerRoman"/>
              <w:cols w:space="708"/>
              <w:titlePg/>
              <w:docGrid w:linePitch="360"/>
            </w:sectPr>
          </w:pPr>
        </w:p>
        <w:p w14:paraId="1162825F" w14:textId="2174B47C" w:rsidR="00A902C0" w:rsidRPr="00FC5FCC" w:rsidRDefault="00A902C0" w:rsidP="00DF3C36">
          <w:pPr>
            <w:jc w:val="center"/>
            <w:rPr>
              <w:rFonts w:ascii="Times New Roman" w:hAnsi="Times New Roman" w:cs="Times New Roman"/>
              <w:b/>
              <w:sz w:val="24"/>
              <w:szCs w:val="24"/>
            </w:rPr>
          </w:pPr>
        </w:p>
        <w:p w14:paraId="1D9C1D37" w14:textId="77777777" w:rsidR="00871227" w:rsidRPr="00FC5FCC" w:rsidRDefault="00871227" w:rsidP="00DF3C36">
          <w:pPr>
            <w:pStyle w:val="TOCHeading"/>
            <w:jc w:val="center"/>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1217432562"/>
            <w:docPartObj>
              <w:docPartGallery w:val="Table of Contents"/>
              <w:docPartUnique/>
            </w:docPartObj>
          </w:sdtPr>
          <w:sdtEndPr>
            <w:rPr>
              <w:b/>
              <w:bCs/>
              <w:noProof/>
            </w:rPr>
          </w:sdtEndPr>
          <w:sdtContent>
            <w:p w14:paraId="4A1E55D7" w14:textId="59C7A954" w:rsidR="00980BE6" w:rsidRPr="00FC5FCC" w:rsidRDefault="00980BE6" w:rsidP="00DF3C36">
              <w:pPr>
                <w:pStyle w:val="TOCHeading"/>
                <w:jc w:val="center"/>
                <w:rPr>
                  <w:rFonts w:ascii="Times New Roman" w:hAnsi="Times New Roman" w:cs="Times New Roman"/>
                </w:rPr>
              </w:pPr>
              <w:r w:rsidRPr="00FC5FCC">
                <w:rPr>
                  <w:rFonts w:ascii="Times New Roman" w:hAnsi="Times New Roman" w:cs="Times New Roman"/>
                </w:rPr>
                <w:t>Contents</w:t>
              </w:r>
            </w:p>
            <w:p w14:paraId="6158F34B" w14:textId="2BFDF9D6" w:rsidR="00980BE6" w:rsidRPr="00FC5FCC" w:rsidRDefault="00980BE6" w:rsidP="00DF3C36">
              <w:pPr>
                <w:pStyle w:val="TOC1"/>
                <w:tabs>
                  <w:tab w:val="right" w:leader="dot" w:pos="9350"/>
                </w:tabs>
                <w:jc w:val="center"/>
                <w:rPr>
                  <w:rFonts w:ascii="Times New Roman" w:eastAsiaTheme="minorEastAsia" w:hAnsi="Times New Roman" w:cs="Times New Roman"/>
                  <w:noProof/>
                  <w:sz w:val="24"/>
                  <w:szCs w:val="24"/>
                  <w:lang w:val="en-CA" w:eastAsia="en-CA"/>
                </w:rPr>
              </w:pPr>
              <w:r w:rsidRPr="00FC5FCC">
                <w:rPr>
                  <w:rFonts w:ascii="Times New Roman" w:hAnsi="Times New Roman" w:cs="Times New Roman"/>
                  <w:sz w:val="24"/>
                  <w:szCs w:val="24"/>
                </w:rPr>
                <w:fldChar w:fldCharType="begin"/>
              </w:r>
              <w:r w:rsidRPr="00FC5FCC">
                <w:rPr>
                  <w:rFonts w:ascii="Times New Roman" w:hAnsi="Times New Roman" w:cs="Times New Roman"/>
                  <w:sz w:val="24"/>
                  <w:szCs w:val="24"/>
                </w:rPr>
                <w:instrText xml:space="preserve"> TOC \o "1-3" \h \z \u </w:instrText>
              </w:r>
              <w:r w:rsidRPr="00FC5FCC">
                <w:rPr>
                  <w:rFonts w:ascii="Times New Roman" w:hAnsi="Times New Roman" w:cs="Times New Roman"/>
                  <w:sz w:val="24"/>
                  <w:szCs w:val="24"/>
                </w:rPr>
                <w:fldChar w:fldCharType="separate"/>
              </w:r>
              <w:hyperlink w:anchor="_Toc67826394" w:history="1">
                <w:r w:rsidRPr="00FC5FCC">
                  <w:rPr>
                    <w:rStyle w:val="Hyperlink"/>
                    <w:rFonts w:ascii="Times New Roman" w:hAnsi="Times New Roman" w:cs="Times New Roman"/>
                    <w:noProof/>
                    <w:sz w:val="24"/>
                    <w:szCs w:val="24"/>
                  </w:rPr>
                  <w:t>CHAPTER 1</w:t>
                </w:r>
                <w:r w:rsidRPr="00FC5FCC">
                  <w:rPr>
                    <w:rFonts w:ascii="Times New Roman" w:hAnsi="Times New Roman" w:cs="Times New Roman"/>
                    <w:noProof/>
                    <w:webHidden/>
                    <w:sz w:val="24"/>
                    <w:szCs w:val="24"/>
                  </w:rPr>
                  <w:tab/>
                </w:r>
                <w:r w:rsidRPr="00FC5FCC">
                  <w:rPr>
                    <w:rFonts w:ascii="Times New Roman" w:hAnsi="Times New Roman" w:cs="Times New Roman"/>
                    <w:noProof/>
                    <w:webHidden/>
                    <w:sz w:val="24"/>
                    <w:szCs w:val="24"/>
                  </w:rPr>
                  <w:fldChar w:fldCharType="begin"/>
                </w:r>
                <w:r w:rsidRPr="00FC5FCC">
                  <w:rPr>
                    <w:rFonts w:ascii="Times New Roman" w:hAnsi="Times New Roman" w:cs="Times New Roman"/>
                    <w:noProof/>
                    <w:webHidden/>
                    <w:sz w:val="24"/>
                    <w:szCs w:val="24"/>
                  </w:rPr>
                  <w:instrText xml:space="preserve"> PAGEREF _Toc67826394 \h </w:instrText>
                </w:r>
                <w:r w:rsidRPr="00FC5FCC">
                  <w:rPr>
                    <w:rFonts w:ascii="Times New Roman" w:hAnsi="Times New Roman" w:cs="Times New Roman"/>
                    <w:noProof/>
                    <w:webHidden/>
                    <w:sz w:val="24"/>
                    <w:szCs w:val="24"/>
                  </w:rPr>
                </w:r>
                <w:r w:rsidRPr="00FC5FCC">
                  <w:rPr>
                    <w:rFonts w:ascii="Times New Roman" w:hAnsi="Times New Roman" w:cs="Times New Roman"/>
                    <w:noProof/>
                    <w:webHidden/>
                    <w:sz w:val="24"/>
                    <w:szCs w:val="24"/>
                  </w:rPr>
                  <w:fldChar w:fldCharType="separate"/>
                </w:r>
                <w:r w:rsidRPr="00FC5FCC">
                  <w:rPr>
                    <w:rFonts w:ascii="Times New Roman" w:hAnsi="Times New Roman" w:cs="Times New Roman"/>
                    <w:noProof/>
                    <w:webHidden/>
                    <w:sz w:val="24"/>
                    <w:szCs w:val="24"/>
                  </w:rPr>
                  <w:t>10</w:t>
                </w:r>
                <w:r w:rsidRPr="00FC5FCC">
                  <w:rPr>
                    <w:rFonts w:ascii="Times New Roman" w:hAnsi="Times New Roman" w:cs="Times New Roman"/>
                    <w:noProof/>
                    <w:webHidden/>
                    <w:sz w:val="24"/>
                    <w:szCs w:val="24"/>
                  </w:rPr>
                  <w:fldChar w:fldCharType="end"/>
                </w:r>
              </w:hyperlink>
            </w:p>
            <w:p w14:paraId="2C7A5D30" w14:textId="680D5F2F"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395" w:history="1">
                <w:r w:rsidR="00980BE6" w:rsidRPr="00FC5FCC">
                  <w:rPr>
                    <w:rStyle w:val="Hyperlink"/>
                    <w:rFonts w:ascii="Times New Roman" w:eastAsia="Times New Roman" w:hAnsi="Times New Roman" w:cs="Times New Roman"/>
                    <w:noProof/>
                    <w:sz w:val="24"/>
                    <w:szCs w:val="24"/>
                    <w:lang w:val="en-CA" w:eastAsia="en-CA"/>
                  </w:rPr>
                  <w:t>Introduction</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_Toc67826395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10</w:t>
                </w:r>
                <w:r w:rsidR="00980BE6" w:rsidRPr="00FC5FCC">
                  <w:rPr>
                    <w:rFonts w:ascii="Times New Roman" w:hAnsi="Times New Roman" w:cs="Times New Roman"/>
                    <w:noProof/>
                    <w:webHidden/>
                    <w:sz w:val="24"/>
                    <w:szCs w:val="24"/>
                  </w:rPr>
                  <w:fldChar w:fldCharType="end"/>
                </w:r>
              </w:hyperlink>
            </w:p>
            <w:p w14:paraId="6D55C537" w14:textId="56F2A1B7"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396" w:history="1">
                <w:r w:rsidR="00980BE6" w:rsidRPr="00FC5FCC">
                  <w:rPr>
                    <w:rStyle w:val="Hyperlink"/>
                    <w:rFonts w:ascii="Times New Roman" w:hAnsi="Times New Roman" w:cs="Times New Roman"/>
                    <w:noProof/>
                    <w:sz w:val="24"/>
                    <w:szCs w:val="24"/>
                  </w:rPr>
                  <w:t>Overview and Background</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_Toc67826396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14</w:t>
                </w:r>
                <w:r w:rsidR="00980BE6" w:rsidRPr="00FC5FCC">
                  <w:rPr>
                    <w:rFonts w:ascii="Times New Roman" w:hAnsi="Times New Roman" w:cs="Times New Roman"/>
                    <w:noProof/>
                    <w:webHidden/>
                    <w:sz w:val="24"/>
                    <w:szCs w:val="24"/>
                  </w:rPr>
                  <w:fldChar w:fldCharType="end"/>
                </w:r>
              </w:hyperlink>
            </w:p>
            <w:p w14:paraId="0E7BB376" w14:textId="7192799A"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397" w:history="1">
                <w:r w:rsidR="00980BE6" w:rsidRPr="00FC5FCC">
                  <w:rPr>
                    <w:rStyle w:val="Hyperlink"/>
                    <w:rFonts w:ascii="Times New Roman" w:hAnsi="Times New Roman" w:cs="Times New Roman"/>
                    <w:noProof/>
                    <w:sz w:val="24"/>
                    <w:szCs w:val="24"/>
                  </w:rPr>
                  <w:t>Gender and migration dynamics</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_Toc67826397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14</w:t>
                </w:r>
                <w:r w:rsidR="00980BE6" w:rsidRPr="00FC5FCC">
                  <w:rPr>
                    <w:rFonts w:ascii="Times New Roman" w:hAnsi="Times New Roman" w:cs="Times New Roman"/>
                    <w:noProof/>
                    <w:webHidden/>
                    <w:sz w:val="24"/>
                    <w:szCs w:val="24"/>
                  </w:rPr>
                  <w:fldChar w:fldCharType="end"/>
                </w:r>
              </w:hyperlink>
            </w:p>
            <w:p w14:paraId="3AA07FAC" w14:textId="3B6144C1"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398" w:history="1">
                <w:r w:rsidR="00980BE6" w:rsidRPr="00FC5FCC">
                  <w:rPr>
                    <w:rStyle w:val="Hyperlink"/>
                    <w:rFonts w:ascii="Times New Roman" w:hAnsi="Times New Roman" w:cs="Times New Roman"/>
                    <w:noProof/>
                    <w:sz w:val="24"/>
                    <w:szCs w:val="24"/>
                  </w:rPr>
                  <w:t>Rural Household Socio-economic dynamics and life course</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_Toc67826398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15</w:t>
                </w:r>
                <w:r w:rsidR="00980BE6" w:rsidRPr="00FC5FCC">
                  <w:rPr>
                    <w:rFonts w:ascii="Times New Roman" w:hAnsi="Times New Roman" w:cs="Times New Roman"/>
                    <w:noProof/>
                    <w:webHidden/>
                    <w:sz w:val="24"/>
                    <w:szCs w:val="24"/>
                  </w:rPr>
                  <w:fldChar w:fldCharType="end"/>
                </w:r>
              </w:hyperlink>
            </w:p>
            <w:p w14:paraId="3A4EC01A" w14:textId="273A2B75"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399" w:history="1">
                <w:r w:rsidR="00980BE6" w:rsidRPr="00FC5FCC">
                  <w:rPr>
                    <w:rStyle w:val="Hyperlink"/>
                    <w:rFonts w:ascii="Times New Roman" w:eastAsia="Times New Roman" w:hAnsi="Times New Roman" w:cs="Times New Roman"/>
                    <w:noProof/>
                    <w:sz w:val="24"/>
                    <w:szCs w:val="24"/>
                    <w:lang w:eastAsia="en-CA"/>
                  </w:rPr>
                  <w:t>The Ghanaian context</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_Toc67826399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17</w:t>
                </w:r>
                <w:r w:rsidR="00980BE6" w:rsidRPr="00FC5FCC">
                  <w:rPr>
                    <w:rFonts w:ascii="Times New Roman" w:hAnsi="Times New Roman" w:cs="Times New Roman"/>
                    <w:noProof/>
                    <w:webHidden/>
                    <w:sz w:val="24"/>
                    <w:szCs w:val="24"/>
                  </w:rPr>
                  <w:fldChar w:fldCharType="end"/>
                </w:r>
              </w:hyperlink>
            </w:p>
            <w:p w14:paraId="7A2C7E62" w14:textId="74B9EC28"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00" w:history="1">
                <w:r w:rsidR="00980BE6" w:rsidRPr="00FC5FCC">
                  <w:rPr>
                    <w:rStyle w:val="Hyperlink"/>
                    <w:rFonts w:ascii="Times New Roman" w:eastAsia="Times New Roman" w:hAnsi="Times New Roman" w:cs="Times New Roman"/>
                    <w:noProof/>
                    <w:sz w:val="24"/>
                    <w:szCs w:val="24"/>
                    <w:lang w:eastAsia="en-CA"/>
                  </w:rPr>
                  <w:t>Problem Statement</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_Toc67826400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19</w:t>
                </w:r>
                <w:r w:rsidR="00980BE6" w:rsidRPr="00FC5FCC">
                  <w:rPr>
                    <w:rFonts w:ascii="Times New Roman" w:hAnsi="Times New Roman" w:cs="Times New Roman"/>
                    <w:noProof/>
                    <w:webHidden/>
                    <w:sz w:val="24"/>
                    <w:szCs w:val="24"/>
                  </w:rPr>
                  <w:fldChar w:fldCharType="end"/>
                </w:r>
              </w:hyperlink>
            </w:p>
            <w:p w14:paraId="17F966BF" w14:textId="4FDCF5E4"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01" w:history="1">
                <w:r w:rsidR="00980BE6" w:rsidRPr="00FC5FCC">
                  <w:rPr>
                    <w:rStyle w:val="Hyperlink"/>
                    <w:rFonts w:ascii="Times New Roman" w:hAnsi="Times New Roman" w:cs="Times New Roman"/>
                    <w:noProof/>
                    <w:sz w:val="24"/>
                    <w:szCs w:val="24"/>
                  </w:rPr>
                  <w:t>The Scope of the Study</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_Toc67826401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20</w:t>
                </w:r>
                <w:r w:rsidR="00980BE6" w:rsidRPr="00FC5FCC">
                  <w:rPr>
                    <w:rFonts w:ascii="Times New Roman" w:hAnsi="Times New Roman" w:cs="Times New Roman"/>
                    <w:noProof/>
                    <w:webHidden/>
                    <w:sz w:val="24"/>
                    <w:szCs w:val="24"/>
                  </w:rPr>
                  <w:fldChar w:fldCharType="end"/>
                </w:r>
              </w:hyperlink>
            </w:p>
            <w:p w14:paraId="55E76BA7" w14:textId="3D3F8021"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02" w:history="1">
                <w:r w:rsidR="00980BE6" w:rsidRPr="00FC5FCC">
                  <w:rPr>
                    <w:rStyle w:val="Hyperlink"/>
                    <w:rFonts w:ascii="Times New Roman" w:hAnsi="Times New Roman" w:cs="Times New Roman"/>
                    <w:noProof/>
                    <w:sz w:val="24"/>
                    <w:szCs w:val="24"/>
                  </w:rPr>
                  <w:t>CHAPTER 2</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_Toc67826402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21</w:t>
                </w:r>
                <w:r w:rsidR="00980BE6" w:rsidRPr="00FC5FCC">
                  <w:rPr>
                    <w:rFonts w:ascii="Times New Roman" w:hAnsi="Times New Roman" w:cs="Times New Roman"/>
                    <w:noProof/>
                    <w:webHidden/>
                    <w:sz w:val="24"/>
                    <w:szCs w:val="24"/>
                  </w:rPr>
                  <w:fldChar w:fldCharType="end"/>
                </w:r>
              </w:hyperlink>
            </w:p>
            <w:p w14:paraId="2A19BD56" w14:textId="5701AF39"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03" w:history="1">
                <w:r w:rsidR="00980BE6" w:rsidRPr="00FC5FCC">
                  <w:rPr>
                    <w:rStyle w:val="Hyperlink"/>
                    <w:rFonts w:ascii="Times New Roman" w:hAnsi="Times New Roman" w:cs="Times New Roman"/>
                    <w:noProof/>
                    <w:sz w:val="24"/>
                    <w:szCs w:val="24"/>
                  </w:rPr>
                  <w:t>DEFINING THE ISSUES (Concepts and Terminologies of the study)</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_Toc67826403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21</w:t>
                </w:r>
                <w:r w:rsidR="00980BE6" w:rsidRPr="00FC5FCC">
                  <w:rPr>
                    <w:rFonts w:ascii="Times New Roman" w:hAnsi="Times New Roman" w:cs="Times New Roman"/>
                    <w:noProof/>
                    <w:webHidden/>
                    <w:sz w:val="24"/>
                    <w:szCs w:val="24"/>
                  </w:rPr>
                  <w:fldChar w:fldCharType="end"/>
                </w:r>
              </w:hyperlink>
            </w:p>
            <w:p w14:paraId="388153A6" w14:textId="47E59C88"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04" w:history="1">
                <w:r w:rsidR="00980BE6" w:rsidRPr="00FC5FCC">
                  <w:rPr>
                    <w:rStyle w:val="Hyperlink"/>
                    <w:rFonts w:ascii="Times New Roman" w:eastAsia="Times New Roman" w:hAnsi="Times New Roman" w:cs="Times New Roman"/>
                    <w:noProof/>
                    <w:sz w:val="24"/>
                    <w:szCs w:val="24"/>
                    <w:lang w:eastAsia="en-CA"/>
                  </w:rPr>
                  <w:t>CASE STUDY: What it means to be a ‘Kayayei’ girl</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_Toc67826404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21</w:t>
                </w:r>
                <w:r w:rsidR="00980BE6" w:rsidRPr="00FC5FCC">
                  <w:rPr>
                    <w:rFonts w:ascii="Times New Roman" w:hAnsi="Times New Roman" w:cs="Times New Roman"/>
                    <w:noProof/>
                    <w:webHidden/>
                    <w:sz w:val="24"/>
                    <w:szCs w:val="24"/>
                  </w:rPr>
                  <w:fldChar w:fldCharType="end"/>
                </w:r>
              </w:hyperlink>
            </w:p>
            <w:p w14:paraId="5472E51D" w14:textId="3527BE6B"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05" w:history="1">
                <w:r w:rsidR="00980BE6" w:rsidRPr="00FC5FCC">
                  <w:rPr>
                    <w:rStyle w:val="Hyperlink"/>
                    <w:rFonts w:ascii="Times New Roman" w:hAnsi="Times New Roman" w:cs="Times New Roman"/>
                    <w:noProof/>
                    <w:sz w:val="24"/>
                    <w:szCs w:val="24"/>
                  </w:rPr>
                  <w:t>Rural</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_Toc67826405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24</w:t>
                </w:r>
                <w:r w:rsidR="00980BE6" w:rsidRPr="00FC5FCC">
                  <w:rPr>
                    <w:rFonts w:ascii="Times New Roman" w:hAnsi="Times New Roman" w:cs="Times New Roman"/>
                    <w:noProof/>
                    <w:webHidden/>
                    <w:sz w:val="24"/>
                    <w:szCs w:val="24"/>
                  </w:rPr>
                  <w:fldChar w:fldCharType="end"/>
                </w:r>
              </w:hyperlink>
            </w:p>
            <w:p w14:paraId="56CC7342" w14:textId="4FF6F2B7"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06" w:history="1">
                <w:r w:rsidR="00980BE6" w:rsidRPr="00FC5FCC">
                  <w:rPr>
                    <w:rStyle w:val="Hyperlink"/>
                    <w:rFonts w:ascii="Times New Roman" w:eastAsia="Times New Roman" w:hAnsi="Times New Roman" w:cs="Times New Roman"/>
                    <w:noProof/>
                    <w:sz w:val="24"/>
                    <w:szCs w:val="24"/>
                    <w:lang w:eastAsia="en-CA"/>
                  </w:rPr>
                  <w:t>Rural Development</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_Toc67826406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25</w:t>
                </w:r>
                <w:r w:rsidR="00980BE6" w:rsidRPr="00FC5FCC">
                  <w:rPr>
                    <w:rFonts w:ascii="Times New Roman" w:hAnsi="Times New Roman" w:cs="Times New Roman"/>
                    <w:noProof/>
                    <w:webHidden/>
                    <w:sz w:val="24"/>
                    <w:szCs w:val="24"/>
                  </w:rPr>
                  <w:fldChar w:fldCharType="end"/>
                </w:r>
              </w:hyperlink>
            </w:p>
            <w:p w14:paraId="7C6E9020" w14:textId="1EFC8351"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07" w:history="1">
                <w:r w:rsidR="00980BE6" w:rsidRPr="00FC5FCC">
                  <w:rPr>
                    <w:rStyle w:val="Hyperlink"/>
                    <w:rFonts w:ascii="Times New Roman" w:hAnsi="Times New Roman" w:cs="Times New Roman"/>
                    <w:noProof/>
                    <w:sz w:val="24"/>
                    <w:szCs w:val="24"/>
                  </w:rPr>
                  <w:t>CHAPTER 3</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_Toc67826407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28</w:t>
                </w:r>
                <w:r w:rsidR="00980BE6" w:rsidRPr="00FC5FCC">
                  <w:rPr>
                    <w:rFonts w:ascii="Times New Roman" w:hAnsi="Times New Roman" w:cs="Times New Roman"/>
                    <w:noProof/>
                    <w:webHidden/>
                    <w:sz w:val="24"/>
                    <w:szCs w:val="24"/>
                  </w:rPr>
                  <w:fldChar w:fldCharType="end"/>
                </w:r>
              </w:hyperlink>
            </w:p>
            <w:p w14:paraId="389C2412" w14:textId="09129C4F"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408" w:history="1">
                <w:r w:rsidR="00980BE6" w:rsidRPr="00FC5FCC">
                  <w:rPr>
                    <w:rStyle w:val="Hyperlink"/>
                    <w:rFonts w:ascii="Times New Roman" w:hAnsi="Times New Roman" w:cs="Times New Roman"/>
                    <w:noProof/>
                    <w:sz w:val="24"/>
                    <w:szCs w:val="24"/>
                  </w:rPr>
                  <w:t>Historical Context</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_Toc67826408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28</w:t>
                </w:r>
                <w:r w:rsidR="00980BE6" w:rsidRPr="00FC5FCC">
                  <w:rPr>
                    <w:rFonts w:ascii="Times New Roman" w:hAnsi="Times New Roman" w:cs="Times New Roman"/>
                    <w:noProof/>
                    <w:webHidden/>
                    <w:sz w:val="24"/>
                    <w:szCs w:val="24"/>
                  </w:rPr>
                  <w:fldChar w:fldCharType="end"/>
                </w:r>
              </w:hyperlink>
            </w:p>
            <w:p w14:paraId="59209789" w14:textId="45AF9878"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09" w:history="1">
                <w:r w:rsidR="00980BE6" w:rsidRPr="00FC5FCC">
                  <w:rPr>
                    <w:rStyle w:val="Hyperlink"/>
                    <w:rFonts w:ascii="Times New Roman" w:eastAsia="Times New Roman" w:hAnsi="Times New Roman" w:cs="Times New Roman"/>
                    <w:noProof/>
                    <w:sz w:val="24"/>
                    <w:szCs w:val="24"/>
                    <w:lang w:eastAsia="en-CA"/>
                  </w:rPr>
                  <w:t>Introduction.</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_Toc67826409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28</w:t>
                </w:r>
                <w:r w:rsidR="00980BE6" w:rsidRPr="00FC5FCC">
                  <w:rPr>
                    <w:rFonts w:ascii="Times New Roman" w:hAnsi="Times New Roman" w:cs="Times New Roman"/>
                    <w:noProof/>
                    <w:webHidden/>
                    <w:sz w:val="24"/>
                    <w:szCs w:val="24"/>
                  </w:rPr>
                  <w:fldChar w:fldCharType="end"/>
                </w:r>
              </w:hyperlink>
            </w:p>
            <w:p w14:paraId="52624A2B" w14:textId="6D06DB87"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10" w:history="1">
                <w:r w:rsidR="00980BE6" w:rsidRPr="00FC5FCC">
                  <w:rPr>
                    <w:rStyle w:val="Hyperlink"/>
                    <w:rFonts w:ascii="Times New Roman" w:eastAsia="Times New Roman" w:hAnsi="Times New Roman" w:cs="Times New Roman"/>
                    <w:noProof/>
                    <w:sz w:val="24"/>
                    <w:szCs w:val="24"/>
                    <w:lang w:eastAsia="en-CA"/>
                  </w:rPr>
                  <w:t>Socio-economic development</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_Toc67826410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30</w:t>
                </w:r>
                <w:r w:rsidR="00980BE6" w:rsidRPr="00FC5FCC">
                  <w:rPr>
                    <w:rFonts w:ascii="Times New Roman" w:hAnsi="Times New Roman" w:cs="Times New Roman"/>
                    <w:noProof/>
                    <w:webHidden/>
                    <w:sz w:val="24"/>
                    <w:szCs w:val="24"/>
                  </w:rPr>
                  <w:fldChar w:fldCharType="end"/>
                </w:r>
              </w:hyperlink>
            </w:p>
            <w:p w14:paraId="1FC446F0" w14:textId="77AB7B3D"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11" w:history="1">
                <w:r w:rsidR="00980BE6" w:rsidRPr="00FC5FCC">
                  <w:rPr>
                    <w:rStyle w:val="Hyperlink"/>
                    <w:rFonts w:ascii="Times New Roman" w:hAnsi="Times New Roman" w:cs="Times New Roman"/>
                    <w:noProof/>
                    <w:sz w:val="24"/>
                    <w:szCs w:val="24"/>
                  </w:rPr>
                  <w:t>Educational development</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_Toc67826411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32</w:t>
                </w:r>
                <w:r w:rsidR="00980BE6" w:rsidRPr="00FC5FCC">
                  <w:rPr>
                    <w:rFonts w:ascii="Times New Roman" w:hAnsi="Times New Roman" w:cs="Times New Roman"/>
                    <w:noProof/>
                    <w:webHidden/>
                    <w:sz w:val="24"/>
                    <w:szCs w:val="24"/>
                  </w:rPr>
                  <w:fldChar w:fldCharType="end"/>
                </w:r>
              </w:hyperlink>
            </w:p>
            <w:p w14:paraId="47E22D91" w14:textId="3E50FD8B"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12" w:history="1">
                <w:r w:rsidR="00980BE6" w:rsidRPr="00FC5FCC">
                  <w:rPr>
                    <w:rStyle w:val="Hyperlink"/>
                    <w:rFonts w:ascii="Times New Roman" w:hAnsi="Times New Roman" w:cs="Times New Roman"/>
                    <w:noProof/>
                    <w:sz w:val="24"/>
                    <w:szCs w:val="24"/>
                  </w:rPr>
                  <w:t>CHAPTER 4</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_Toc67826412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36</w:t>
                </w:r>
                <w:r w:rsidR="00980BE6" w:rsidRPr="00FC5FCC">
                  <w:rPr>
                    <w:rFonts w:ascii="Times New Roman" w:hAnsi="Times New Roman" w:cs="Times New Roman"/>
                    <w:noProof/>
                    <w:webHidden/>
                    <w:sz w:val="24"/>
                    <w:szCs w:val="24"/>
                  </w:rPr>
                  <w:fldChar w:fldCharType="end"/>
                </w:r>
              </w:hyperlink>
            </w:p>
            <w:p w14:paraId="4AFAFF59" w14:textId="4C1E5211"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413" w:history="1">
                <w:r w:rsidR="00980BE6" w:rsidRPr="00FC5FCC">
                  <w:rPr>
                    <w:rStyle w:val="Hyperlink"/>
                    <w:rFonts w:ascii="Times New Roman" w:hAnsi="Times New Roman" w:cs="Times New Roman"/>
                    <w:noProof/>
                    <w:sz w:val="24"/>
                    <w:szCs w:val="24"/>
                  </w:rPr>
                  <w:t>INFLUENTIAL FACTORS</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_Toc67826413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36</w:t>
                </w:r>
                <w:r w:rsidR="00980BE6" w:rsidRPr="00FC5FCC">
                  <w:rPr>
                    <w:rFonts w:ascii="Times New Roman" w:hAnsi="Times New Roman" w:cs="Times New Roman"/>
                    <w:noProof/>
                    <w:webHidden/>
                    <w:sz w:val="24"/>
                    <w:szCs w:val="24"/>
                  </w:rPr>
                  <w:fldChar w:fldCharType="end"/>
                </w:r>
              </w:hyperlink>
            </w:p>
            <w:p w14:paraId="1A22D3D9" w14:textId="73CB32A5"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14" w:history="1">
                <w:r w:rsidR="00980BE6" w:rsidRPr="00FC5FCC">
                  <w:rPr>
                    <w:rStyle w:val="Hyperlink"/>
                    <w:rFonts w:ascii="Times New Roman" w:hAnsi="Times New Roman" w:cs="Times New Roman"/>
                    <w:noProof/>
                    <w:sz w:val="24"/>
                    <w:szCs w:val="24"/>
                  </w:rPr>
                  <w:t>Factors that influence rural demographic change in rural North</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_Toc67826414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36</w:t>
                </w:r>
                <w:r w:rsidR="00980BE6" w:rsidRPr="00FC5FCC">
                  <w:rPr>
                    <w:rFonts w:ascii="Times New Roman" w:hAnsi="Times New Roman" w:cs="Times New Roman"/>
                    <w:noProof/>
                    <w:webHidden/>
                    <w:sz w:val="24"/>
                    <w:szCs w:val="24"/>
                  </w:rPr>
                  <w:fldChar w:fldCharType="end"/>
                </w:r>
              </w:hyperlink>
            </w:p>
            <w:p w14:paraId="4525EF7E" w14:textId="374962F7"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15" w:history="1">
                <w:r w:rsidR="00980BE6" w:rsidRPr="00FC5FCC">
                  <w:rPr>
                    <w:rStyle w:val="Hyperlink"/>
                    <w:rFonts w:ascii="Times New Roman" w:hAnsi="Times New Roman" w:cs="Times New Roman"/>
                    <w:noProof/>
                    <w:sz w:val="24"/>
                    <w:szCs w:val="24"/>
                  </w:rPr>
                  <w:t>Environmental circumstance (Climate change) and migration nexus</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_Toc67826415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38</w:t>
                </w:r>
                <w:r w:rsidR="00980BE6" w:rsidRPr="00FC5FCC">
                  <w:rPr>
                    <w:rFonts w:ascii="Times New Roman" w:hAnsi="Times New Roman" w:cs="Times New Roman"/>
                    <w:noProof/>
                    <w:webHidden/>
                    <w:sz w:val="24"/>
                    <w:szCs w:val="24"/>
                  </w:rPr>
                  <w:fldChar w:fldCharType="end"/>
                </w:r>
              </w:hyperlink>
            </w:p>
            <w:p w14:paraId="5B618F6F" w14:textId="1190FFE7"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16" w:history="1">
                <w:r w:rsidR="00980BE6" w:rsidRPr="00FC5FCC">
                  <w:rPr>
                    <w:rStyle w:val="Hyperlink"/>
                    <w:rFonts w:ascii="Times New Roman" w:hAnsi="Times New Roman" w:cs="Times New Roman"/>
                    <w:noProof/>
                    <w:sz w:val="24"/>
                    <w:szCs w:val="24"/>
                  </w:rPr>
                  <w:t>The process of economic restructuring (rural poverty)</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_Toc67826416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40</w:t>
                </w:r>
                <w:r w:rsidR="00980BE6" w:rsidRPr="00FC5FCC">
                  <w:rPr>
                    <w:rFonts w:ascii="Times New Roman" w:hAnsi="Times New Roman" w:cs="Times New Roman"/>
                    <w:noProof/>
                    <w:webHidden/>
                    <w:sz w:val="24"/>
                    <w:szCs w:val="24"/>
                  </w:rPr>
                  <w:fldChar w:fldCharType="end"/>
                </w:r>
              </w:hyperlink>
            </w:p>
            <w:p w14:paraId="48C88D49" w14:textId="0A3EC755"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17" w:history="1">
                <w:r w:rsidR="00980BE6" w:rsidRPr="00FC5FCC">
                  <w:rPr>
                    <w:rStyle w:val="Hyperlink"/>
                    <w:rFonts w:ascii="Times New Roman" w:hAnsi="Times New Roman" w:cs="Times New Roman"/>
                    <w:noProof/>
                    <w:sz w:val="24"/>
                    <w:szCs w:val="24"/>
                  </w:rPr>
                  <w:t>Social structures (policies and structural disparities)</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_Toc67826417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43</w:t>
                </w:r>
                <w:r w:rsidR="00980BE6" w:rsidRPr="00FC5FCC">
                  <w:rPr>
                    <w:rFonts w:ascii="Times New Roman" w:hAnsi="Times New Roman" w:cs="Times New Roman"/>
                    <w:noProof/>
                    <w:webHidden/>
                    <w:sz w:val="24"/>
                    <w:szCs w:val="24"/>
                  </w:rPr>
                  <w:fldChar w:fldCharType="end"/>
                </w:r>
              </w:hyperlink>
            </w:p>
            <w:p w14:paraId="50E0FBF1" w14:textId="6AB939FB"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18" w:history="1">
                <w:r w:rsidR="00980BE6" w:rsidRPr="00FC5FCC">
                  <w:rPr>
                    <w:rStyle w:val="Hyperlink"/>
                    <w:rFonts w:ascii="Times New Roman" w:hAnsi="Times New Roman" w:cs="Times New Roman"/>
                    <w:noProof/>
                    <w:sz w:val="24"/>
                    <w:szCs w:val="24"/>
                  </w:rPr>
                  <w:t>CHAPTER 5</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_Toc67826418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45</w:t>
                </w:r>
                <w:r w:rsidR="00980BE6" w:rsidRPr="00FC5FCC">
                  <w:rPr>
                    <w:rFonts w:ascii="Times New Roman" w:hAnsi="Times New Roman" w:cs="Times New Roman"/>
                    <w:noProof/>
                    <w:webHidden/>
                    <w:sz w:val="24"/>
                    <w:szCs w:val="24"/>
                  </w:rPr>
                  <w:fldChar w:fldCharType="end"/>
                </w:r>
              </w:hyperlink>
            </w:p>
            <w:p w14:paraId="622E1EE5" w14:textId="649E9324"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419" w:history="1">
                <w:r w:rsidR="00980BE6" w:rsidRPr="00FC5FCC">
                  <w:rPr>
                    <w:rStyle w:val="Hyperlink"/>
                    <w:rFonts w:ascii="Times New Roman" w:hAnsi="Times New Roman" w:cs="Times New Roman"/>
                    <w:noProof/>
                    <w:sz w:val="24"/>
                    <w:szCs w:val="24"/>
                  </w:rPr>
                  <w:t>THEORITICAL FRAMEWORK</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_Toc67826419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45</w:t>
                </w:r>
                <w:r w:rsidR="00980BE6" w:rsidRPr="00FC5FCC">
                  <w:rPr>
                    <w:rFonts w:ascii="Times New Roman" w:hAnsi="Times New Roman" w:cs="Times New Roman"/>
                    <w:noProof/>
                    <w:webHidden/>
                    <w:sz w:val="24"/>
                    <w:szCs w:val="24"/>
                  </w:rPr>
                  <w:fldChar w:fldCharType="end"/>
                </w:r>
              </w:hyperlink>
            </w:p>
            <w:p w14:paraId="1E6428EF" w14:textId="7DB05D81"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20" w:history="1">
                <w:r w:rsidR="00980BE6" w:rsidRPr="00FC5FCC">
                  <w:rPr>
                    <w:rStyle w:val="Hyperlink"/>
                    <w:rFonts w:ascii="Times New Roman" w:hAnsi="Times New Roman" w:cs="Times New Roman"/>
                    <w:noProof/>
                    <w:sz w:val="24"/>
                    <w:szCs w:val="24"/>
                  </w:rPr>
                  <w:t>Introduction</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_Toc67826420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45</w:t>
                </w:r>
                <w:r w:rsidR="00980BE6" w:rsidRPr="00FC5FCC">
                  <w:rPr>
                    <w:rFonts w:ascii="Times New Roman" w:hAnsi="Times New Roman" w:cs="Times New Roman"/>
                    <w:noProof/>
                    <w:webHidden/>
                    <w:sz w:val="24"/>
                    <w:szCs w:val="24"/>
                  </w:rPr>
                  <w:fldChar w:fldCharType="end"/>
                </w:r>
              </w:hyperlink>
            </w:p>
            <w:p w14:paraId="03832854" w14:textId="474E5B38"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21" w:history="1">
                <w:r w:rsidR="00980BE6" w:rsidRPr="00FC5FCC">
                  <w:rPr>
                    <w:rStyle w:val="Hyperlink"/>
                    <w:rFonts w:ascii="Times New Roman" w:hAnsi="Times New Roman" w:cs="Times New Roman"/>
                    <w:noProof/>
                    <w:sz w:val="24"/>
                    <w:szCs w:val="24"/>
                  </w:rPr>
                  <w:t>Life Course Perspective (Theory)</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_Toc67826421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46</w:t>
                </w:r>
                <w:r w:rsidR="00980BE6" w:rsidRPr="00FC5FCC">
                  <w:rPr>
                    <w:rFonts w:ascii="Times New Roman" w:hAnsi="Times New Roman" w:cs="Times New Roman"/>
                    <w:noProof/>
                    <w:webHidden/>
                    <w:sz w:val="24"/>
                    <w:szCs w:val="24"/>
                  </w:rPr>
                  <w:fldChar w:fldCharType="end"/>
                </w:r>
              </w:hyperlink>
            </w:p>
            <w:p w14:paraId="59AEC746" w14:textId="6D00BDED"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22" w:history="1">
                <w:r w:rsidR="00980BE6" w:rsidRPr="00FC5FCC">
                  <w:rPr>
                    <w:rStyle w:val="Hyperlink"/>
                    <w:rFonts w:ascii="Times New Roman" w:hAnsi="Times New Roman" w:cs="Times New Roman"/>
                    <w:noProof/>
                    <w:sz w:val="24"/>
                    <w:szCs w:val="24"/>
                  </w:rPr>
                  <w:t>Principle of linked lives, Historical Time and Place, Human Agency</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_Toc67826422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48</w:t>
                </w:r>
                <w:r w:rsidR="00980BE6" w:rsidRPr="00FC5FCC">
                  <w:rPr>
                    <w:rFonts w:ascii="Times New Roman" w:hAnsi="Times New Roman" w:cs="Times New Roman"/>
                    <w:noProof/>
                    <w:webHidden/>
                    <w:sz w:val="24"/>
                    <w:szCs w:val="24"/>
                  </w:rPr>
                  <w:fldChar w:fldCharType="end"/>
                </w:r>
              </w:hyperlink>
            </w:p>
            <w:p w14:paraId="211FC171" w14:textId="03A8C525"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23" w:history="1">
                <w:r w:rsidR="00980BE6" w:rsidRPr="00FC5FCC">
                  <w:rPr>
                    <w:rStyle w:val="Hyperlink"/>
                    <w:rFonts w:ascii="Times New Roman" w:hAnsi="Times New Roman" w:cs="Times New Roman"/>
                    <w:noProof/>
                    <w:sz w:val="24"/>
                    <w:szCs w:val="24"/>
                  </w:rPr>
                  <w:t>CHAPTER 6</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_Toc67826423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51</w:t>
                </w:r>
                <w:r w:rsidR="00980BE6" w:rsidRPr="00FC5FCC">
                  <w:rPr>
                    <w:rFonts w:ascii="Times New Roman" w:hAnsi="Times New Roman" w:cs="Times New Roman"/>
                    <w:noProof/>
                    <w:webHidden/>
                    <w:sz w:val="24"/>
                    <w:szCs w:val="24"/>
                  </w:rPr>
                  <w:fldChar w:fldCharType="end"/>
                </w:r>
              </w:hyperlink>
            </w:p>
            <w:p w14:paraId="5A4CCCF0" w14:textId="748C50C6"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424" w:history="1">
                <w:r w:rsidR="00980BE6" w:rsidRPr="00FC5FCC">
                  <w:rPr>
                    <w:rStyle w:val="Hyperlink"/>
                    <w:rFonts w:ascii="Times New Roman" w:hAnsi="Times New Roman" w:cs="Times New Roman"/>
                    <w:noProof/>
                    <w:sz w:val="24"/>
                    <w:szCs w:val="24"/>
                  </w:rPr>
                  <w:t>METHODOLOGY</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_Toc67826424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51</w:t>
                </w:r>
                <w:r w:rsidR="00980BE6" w:rsidRPr="00FC5FCC">
                  <w:rPr>
                    <w:rFonts w:ascii="Times New Roman" w:hAnsi="Times New Roman" w:cs="Times New Roman"/>
                    <w:noProof/>
                    <w:webHidden/>
                    <w:sz w:val="24"/>
                    <w:szCs w:val="24"/>
                  </w:rPr>
                  <w:fldChar w:fldCharType="end"/>
                </w:r>
              </w:hyperlink>
            </w:p>
            <w:p w14:paraId="4F5EF891" w14:textId="76C9250D"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25" w:history="1">
                <w:r w:rsidR="00980BE6" w:rsidRPr="00FC5FCC">
                  <w:rPr>
                    <w:rStyle w:val="Hyperlink"/>
                    <w:rFonts w:ascii="Times New Roman" w:hAnsi="Times New Roman" w:cs="Times New Roman"/>
                    <w:noProof/>
                    <w:sz w:val="24"/>
                    <w:szCs w:val="24"/>
                  </w:rPr>
                  <w:t>Data</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_Toc67826425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51</w:t>
                </w:r>
                <w:r w:rsidR="00980BE6" w:rsidRPr="00FC5FCC">
                  <w:rPr>
                    <w:rFonts w:ascii="Times New Roman" w:hAnsi="Times New Roman" w:cs="Times New Roman"/>
                    <w:noProof/>
                    <w:webHidden/>
                    <w:sz w:val="24"/>
                    <w:szCs w:val="24"/>
                  </w:rPr>
                  <w:fldChar w:fldCharType="end"/>
                </w:r>
              </w:hyperlink>
            </w:p>
            <w:p w14:paraId="0972A34D" w14:textId="4F2314C4"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26" w:history="1">
                <w:r w:rsidR="00980BE6" w:rsidRPr="00FC5FCC">
                  <w:rPr>
                    <w:rStyle w:val="Hyperlink"/>
                    <w:rFonts w:ascii="Times New Roman" w:hAnsi="Times New Roman" w:cs="Times New Roman"/>
                    <w:noProof/>
                    <w:sz w:val="24"/>
                    <w:szCs w:val="24"/>
                  </w:rPr>
                  <w:t>Study Sample</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_Toc67826426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52</w:t>
                </w:r>
                <w:r w:rsidR="00980BE6" w:rsidRPr="00FC5FCC">
                  <w:rPr>
                    <w:rFonts w:ascii="Times New Roman" w:hAnsi="Times New Roman" w:cs="Times New Roman"/>
                    <w:noProof/>
                    <w:webHidden/>
                    <w:sz w:val="24"/>
                    <w:szCs w:val="24"/>
                  </w:rPr>
                  <w:fldChar w:fldCharType="end"/>
                </w:r>
              </w:hyperlink>
            </w:p>
            <w:p w14:paraId="0DEF8589" w14:textId="09CA8129"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27" w:history="1">
                <w:r w:rsidR="00980BE6" w:rsidRPr="00FC5FCC">
                  <w:rPr>
                    <w:rStyle w:val="Hyperlink"/>
                    <w:rFonts w:ascii="Times New Roman" w:hAnsi="Times New Roman" w:cs="Times New Roman"/>
                    <w:noProof/>
                    <w:sz w:val="24"/>
                    <w:szCs w:val="24"/>
                  </w:rPr>
                  <w:t>CHAPTER 6</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_Toc67826427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53</w:t>
                </w:r>
                <w:r w:rsidR="00980BE6" w:rsidRPr="00FC5FCC">
                  <w:rPr>
                    <w:rFonts w:ascii="Times New Roman" w:hAnsi="Times New Roman" w:cs="Times New Roman"/>
                    <w:noProof/>
                    <w:webHidden/>
                    <w:sz w:val="24"/>
                    <w:szCs w:val="24"/>
                  </w:rPr>
                  <w:fldChar w:fldCharType="end"/>
                </w:r>
              </w:hyperlink>
            </w:p>
            <w:p w14:paraId="38E293F7" w14:textId="14B079DA"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428" w:history="1">
                <w:r w:rsidR="00980BE6" w:rsidRPr="00FC5FCC">
                  <w:rPr>
                    <w:rStyle w:val="Hyperlink"/>
                    <w:rFonts w:ascii="Times New Roman" w:hAnsi="Times New Roman" w:cs="Times New Roman"/>
                    <w:noProof/>
                    <w:sz w:val="24"/>
                    <w:szCs w:val="24"/>
                  </w:rPr>
                  <w:t>FINDINGS AND ANALYSIS</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_Toc67826428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53</w:t>
                </w:r>
                <w:r w:rsidR="00980BE6" w:rsidRPr="00FC5FCC">
                  <w:rPr>
                    <w:rFonts w:ascii="Times New Roman" w:hAnsi="Times New Roman" w:cs="Times New Roman"/>
                    <w:noProof/>
                    <w:webHidden/>
                    <w:sz w:val="24"/>
                    <w:szCs w:val="24"/>
                  </w:rPr>
                  <w:fldChar w:fldCharType="end"/>
                </w:r>
              </w:hyperlink>
            </w:p>
            <w:p w14:paraId="6753313C" w14:textId="49F4106C"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29" w:history="1">
                <w:r w:rsidR="00980BE6" w:rsidRPr="00FC5FCC">
                  <w:rPr>
                    <w:rStyle w:val="Hyperlink"/>
                    <w:rFonts w:ascii="Times New Roman" w:hAnsi="Times New Roman" w:cs="Times New Roman"/>
                    <w:noProof/>
                    <w:sz w:val="24"/>
                    <w:szCs w:val="24"/>
                  </w:rPr>
                  <w:t>Table 1. Background Characteristics of Respondents</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_Toc67826429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53</w:t>
                </w:r>
                <w:r w:rsidR="00980BE6" w:rsidRPr="00FC5FCC">
                  <w:rPr>
                    <w:rFonts w:ascii="Times New Roman" w:hAnsi="Times New Roman" w:cs="Times New Roman"/>
                    <w:noProof/>
                    <w:webHidden/>
                    <w:sz w:val="24"/>
                    <w:szCs w:val="24"/>
                  </w:rPr>
                  <w:fldChar w:fldCharType="end"/>
                </w:r>
              </w:hyperlink>
            </w:p>
            <w:p w14:paraId="7D94C813" w14:textId="6C55BF8C"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30" w:history="1">
                <w:r w:rsidR="00980BE6" w:rsidRPr="00FC5FCC">
                  <w:rPr>
                    <w:rStyle w:val="Hyperlink"/>
                    <w:rFonts w:ascii="Times New Roman" w:hAnsi="Times New Roman" w:cs="Times New Roman"/>
                    <w:noProof/>
                    <w:sz w:val="24"/>
                    <w:szCs w:val="24"/>
                  </w:rPr>
                  <w:t>Age, Educational, Marital Status, Length of Stay and Job Category as Head Porter As illustrated in Table 1.</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_Toc67826430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55</w:t>
                </w:r>
                <w:r w:rsidR="00980BE6" w:rsidRPr="00FC5FCC">
                  <w:rPr>
                    <w:rFonts w:ascii="Times New Roman" w:hAnsi="Times New Roman" w:cs="Times New Roman"/>
                    <w:noProof/>
                    <w:webHidden/>
                    <w:sz w:val="24"/>
                    <w:szCs w:val="24"/>
                  </w:rPr>
                  <w:fldChar w:fldCharType="end"/>
                </w:r>
              </w:hyperlink>
            </w:p>
            <w:p w14:paraId="4FCC75B7" w14:textId="2C190D15"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31" w:history="1">
                <w:r w:rsidR="00980BE6" w:rsidRPr="00FC5FCC">
                  <w:rPr>
                    <w:rStyle w:val="Hyperlink"/>
                    <w:rFonts w:ascii="Times New Roman" w:hAnsi="Times New Roman" w:cs="Times New Roman"/>
                    <w:noProof/>
                    <w:sz w:val="24"/>
                    <w:szCs w:val="24"/>
                  </w:rPr>
                  <w:t>Figure 2. Summarizes the Adolescents’ Aspirations for Migrating</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_Toc67826431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56</w:t>
                </w:r>
                <w:r w:rsidR="00980BE6" w:rsidRPr="00FC5FCC">
                  <w:rPr>
                    <w:rFonts w:ascii="Times New Roman" w:hAnsi="Times New Roman" w:cs="Times New Roman"/>
                    <w:noProof/>
                    <w:webHidden/>
                    <w:sz w:val="24"/>
                    <w:szCs w:val="24"/>
                  </w:rPr>
                  <w:fldChar w:fldCharType="end"/>
                </w:r>
              </w:hyperlink>
            </w:p>
            <w:p w14:paraId="71CCCE36" w14:textId="01F46903" w:rsidR="00980BE6" w:rsidRPr="00FC5FCC" w:rsidRDefault="003C745C" w:rsidP="00DF3C36">
              <w:pPr>
                <w:pStyle w:val="TOC1"/>
                <w:tabs>
                  <w:tab w:val="right" w:leader="dot" w:pos="9350"/>
                </w:tabs>
                <w:jc w:val="center"/>
                <w:rPr>
                  <w:rFonts w:ascii="Times New Roman" w:eastAsiaTheme="minorEastAsia" w:hAnsi="Times New Roman" w:cs="Times New Roman"/>
                  <w:noProof/>
                  <w:sz w:val="24"/>
                  <w:szCs w:val="24"/>
                  <w:lang w:val="en-CA" w:eastAsia="en-CA"/>
                </w:rPr>
              </w:pPr>
              <w:hyperlink w:anchor="_Toc67826432" w:history="1">
                <w:r w:rsidR="00980BE6" w:rsidRPr="00FC5FCC">
                  <w:rPr>
                    <w:rStyle w:val="Hyperlink"/>
                    <w:rFonts w:ascii="Times New Roman" w:hAnsi="Times New Roman" w:cs="Times New Roman"/>
                    <w:noProof/>
                    <w:sz w:val="24"/>
                    <w:szCs w:val="24"/>
                  </w:rPr>
                  <w:t>CHAPTER 7</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_Toc67826432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58</w:t>
                </w:r>
                <w:r w:rsidR="00980BE6" w:rsidRPr="00FC5FCC">
                  <w:rPr>
                    <w:rFonts w:ascii="Times New Roman" w:hAnsi="Times New Roman" w:cs="Times New Roman"/>
                    <w:noProof/>
                    <w:webHidden/>
                    <w:sz w:val="24"/>
                    <w:szCs w:val="24"/>
                  </w:rPr>
                  <w:fldChar w:fldCharType="end"/>
                </w:r>
              </w:hyperlink>
            </w:p>
            <w:p w14:paraId="590FDA90" w14:textId="6F40A883" w:rsidR="00980BE6" w:rsidRPr="00FC5FCC" w:rsidRDefault="003C745C" w:rsidP="00DF3C36">
              <w:pPr>
                <w:pStyle w:val="TOC2"/>
                <w:tabs>
                  <w:tab w:val="right" w:leader="dot" w:pos="9350"/>
                </w:tabs>
                <w:jc w:val="center"/>
                <w:rPr>
                  <w:rFonts w:ascii="Times New Roman" w:eastAsiaTheme="minorEastAsia" w:hAnsi="Times New Roman" w:cs="Times New Roman"/>
                  <w:noProof/>
                  <w:sz w:val="24"/>
                  <w:szCs w:val="24"/>
                  <w:lang w:val="en-CA" w:eastAsia="en-CA"/>
                </w:rPr>
              </w:pPr>
              <w:hyperlink w:anchor="_Toc67826433" w:history="1">
                <w:r w:rsidR="00980BE6" w:rsidRPr="00FC5FCC">
                  <w:rPr>
                    <w:rStyle w:val="Hyperlink"/>
                    <w:rFonts w:ascii="Times New Roman" w:hAnsi="Times New Roman" w:cs="Times New Roman"/>
                    <w:noProof/>
                    <w:sz w:val="24"/>
                    <w:szCs w:val="24"/>
                  </w:rPr>
                  <w:t>LIMITATION AND CONCLUSION</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_Toc67826433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58</w:t>
                </w:r>
                <w:r w:rsidR="00980BE6" w:rsidRPr="00FC5FCC">
                  <w:rPr>
                    <w:rFonts w:ascii="Times New Roman" w:hAnsi="Times New Roman" w:cs="Times New Roman"/>
                    <w:noProof/>
                    <w:webHidden/>
                    <w:sz w:val="24"/>
                    <w:szCs w:val="24"/>
                  </w:rPr>
                  <w:fldChar w:fldCharType="end"/>
                </w:r>
              </w:hyperlink>
            </w:p>
            <w:p w14:paraId="5040A459" w14:textId="784EEA22"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34" w:history="1">
                <w:r w:rsidR="00980BE6" w:rsidRPr="00FC5FCC">
                  <w:rPr>
                    <w:rStyle w:val="Hyperlink"/>
                    <w:rFonts w:ascii="Times New Roman" w:hAnsi="Times New Roman" w:cs="Times New Roman"/>
                    <w:noProof/>
                    <w:sz w:val="24"/>
                    <w:szCs w:val="24"/>
                  </w:rPr>
                  <w:t>Limitation</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_Toc67826434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58</w:t>
                </w:r>
                <w:r w:rsidR="00980BE6" w:rsidRPr="00FC5FCC">
                  <w:rPr>
                    <w:rFonts w:ascii="Times New Roman" w:hAnsi="Times New Roman" w:cs="Times New Roman"/>
                    <w:noProof/>
                    <w:webHidden/>
                    <w:sz w:val="24"/>
                    <w:szCs w:val="24"/>
                  </w:rPr>
                  <w:fldChar w:fldCharType="end"/>
                </w:r>
              </w:hyperlink>
            </w:p>
            <w:p w14:paraId="5AEDC299" w14:textId="028E56E6"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35" w:history="1">
                <w:r w:rsidR="00980BE6" w:rsidRPr="00FC5FCC">
                  <w:rPr>
                    <w:rStyle w:val="Hyperlink"/>
                    <w:rFonts w:ascii="Times New Roman" w:hAnsi="Times New Roman" w:cs="Times New Roman"/>
                    <w:noProof/>
                    <w:sz w:val="24"/>
                    <w:szCs w:val="24"/>
                  </w:rPr>
                  <w:t>Conclusion</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_Toc67826435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59</w:t>
                </w:r>
                <w:r w:rsidR="00980BE6" w:rsidRPr="00FC5FCC">
                  <w:rPr>
                    <w:rFonts w:ascii="Times New Roman" w:hAnsi="Times New Roman" w:cs="Times New Roman"/>
                    <w:noProof/>
                    <w:webHidden/>
                    <w:sz w:val="24"/>
                    <w:szCs w:val="24"/>
                  </w:rPr>
                  <w:fldChar w:fldCharType="end"/>
                </w:r>
              </w:hyperlink>
            </w:p>
            <w:p w14:paraId="6E4F405F" w14:textId="3A4D8C71" w:rsidR="00980BE6" w:rsidRPr="00FC5FCC" w:rsidRDefault="003C745C" w:rsidP="00DF3C36">
              <w:pPr>
                <w:pStyle w:val="TOC3"/>
                <w:tabs>
                  <w:tab w:val="right" w:leader="dot" w:pos="9350"/>
                </w:tabs>
                <w:jc w:val="center"/>
                <w:rPr>
                  <w:rFonts w:ascii="Times New Roman" w:eastAsiaTheme="minorEastAsia" w:hAnsi="Times New Roman" w:cs="Times New Roman"/>
                  <w:noProof/>
                  <w:sz w:val="24"/>
                  <w:szCs w:val="24"/>
                  <w:lang w:val="en-CA" w:eastAsia="en-CA"/>
                </w:rPr>
              </w:pPr>
              <w:hyperlink w:anchor="_Toc67826436" w:history="1">
                <w:r w:rsidR="00980BE6" w:rsidRPr="00FC5FCC">
                  <w:rPr>
                    <w:rStyle w:val="Hyperlink"/>
                    <w:rFonts w:ascii="Times New Roman" w:hAnsi="Times New Roman" w:cs="Times New Roman"/>
                    <w:noProof/>
                    <w:sz w:val="24"/>
                    <w:szCs w:val="24"/>
                  </w:rPr>
                  <w:t>REFERENCE</w:t>
                </w:r>
                <w:r w:rsidR="00980BE6" w:rsidRPr="00FC5FCC">
                  <w:rPr>
                    <w:rFonts w:ascii="Times New Roman" w:hAnsi="Times New Roman" w:cs="Times New Roman"/>
                    <w:noProof/>
                    <w:webHidden/>
                    <w:sz w:val="24"/>
                    <w:szCs w:val="24"/>
                  </w:rPr>
                  <w:tab/>
                </w:r>
                <w:r w:rsidR="00980BE6" w:rsidRPr="00FC5FCC">
                  <w:rPr>
                    <w:rFonts w:ascii="Times New Roman" w:hAnsi="Times New Roman" w:cs="Times New Roman"/>
                    <w:noProof/>
                    <w:webHidden/>
                    <w:sz w:val="24"/>
                    <w:szCs w:val="24"/>
                  </w:rPr>
                  <w:fldChar w:fldCharType="begin"/>
                </w:r>
                <w:r w:rsidR="00980BE6" w:rsidRPr="00FC5FCC">
                  <w:rPr>
                    <w:rFonts w:ascii="Times New Roman" w:hAnsi="Times New Roman" w:cs="Times New Roman"/>
                    <w:noProof/>
                    <w:webHidden/>
                    <w:sz w:val="24"/>
                    <w:szCs w:val="24"/>
                  </w:rPr>
                  <w:instrText xml:space="preserve"> PAGEREF _Toc67826436 \h </w:instrText>
                </w:r>
                <w:r w:rsidR="00980BE6" w:rsidRPr="00FC5FCC">
                  <w:rPr>
                    <w:rFonts w:ascii="Times New Roman" w:hAnsi="Times New Roman" w:cs="Times New Roman"/>
                    <w:noProof/>
                    <w:webHidden/>
                    <w:sz w:val="24"/>
                    <w:szCs w:val="24"/>
                  </w:rPr>
                </w:r>
                <w:r w:rsidR="00980BE6" w:rsidRPr="00FC5FCC">
                  <w:rPr>
                    <w:rFonts w:ascii="Times New Roman" w:hAnsi="Times New Roman" w:cs="Times New Roman"/>
                    <w:noProof/>
                    <w:webHidden/>
                    <w:sz w:val="24"/>
                    <w:szCs w:val="24"/>
                  </w:rPr>
                  <w:fldChar w:fldCharType="separate"/>
                </w:r>
                <w:r w:rsidR="00980BE6" w:rsidRPr="00FC5FCC">
                  <w:rPr>
                    <w:rFonts w:ascii="Times New Roman" w:hAnsi="Times New Roman" w:cs="Times New Roman"/>
                    <w:noProof/>
                    <w:webHidden/>
                    <w:sz w:val="24"/>
                    <w:szCs w:val="24"/>
                  </w:rPr>
                  <w:t>60</w:t>
                </w:r>
                <w:r w:rsidR="00980BE6" w:rsidRPr="00FC5FCC">
                  <w:rPr>
                    <w:rFonts w:ascii="Times New Roman" w:hAnsi="Times New Roman" w:cs="Times New Roman"/>
                    <w:noProof/>
                    <w:webHidden/>
                    <w:sz w:val="24"/>
                    <w:szCs w:val="24"/>
                  </w:rPr>
                  <w:fldChar w:fldCharType="end"/>
                </w:r>
              </w:hyperlink>
            </w:p>
            <w:p w14:paraId="69D4C028" w14:textId="690776F3" w:rsidR="00980BE6" w:rsidRPr="00FC5FCC" w:rsidRDefault="00980BE6" w:rsidP="00DF3C36">
              <w:pPr>
                <w:jc w:val="center"/>
                <w:rPr>
                  <w:rFonts w:ascii="Times New Roman" w:hAnsi="Times New Roman" w:cs="Times New Roman"/>
                  <w:sz w:val="24"/>
                  <w:szCs w:val="24"/>
                </w:rPr>
                <w:sectPr w:rsidR="00980BE6" w:rsidRPr="00FC5FCC" w:rsidSect="000A2B52">
                  <w:footerReference w:type="default" r:id="rId9"/>
                  <w:pgSz w:w="12240" w:h="15840"/>
                  <w:pgMar w:top="1440" w:right="1440" w:bottom="1440" w:left="1440" w:header="708" w:footer="708" w:gutter="0"/>
                  <w:pgNumType w:fmt="lowerRoman" w:start="1"/>
                  <w:cols w:space="708"/>
                  <w:docGrid w:linePitch="360"/>
                </w:sectPr>
              </w:pPr>
              <w:r w:rsidRPr="00FC5FCC">
                <w:rPr>
                  <w:rFonts w:ascii="Times New Roman" w:hAnsi="Times New Roman" w:cs="Times New Roman"/>
                  <w:b/>
                  <w:bCs/>
                  <w:noProof/>
                  <w:sz w:val="24"/>
                  <w:szCs w:val="24"/>
                </w:rPr>
                <w:fldChar w:fldCharType="end"/>
              </w:r>
            </w:p>
          </w:sdtContent>
        </w:sdt>
        <w:p w14:paraId="351FF246" w14:textId="259E489D" w:rsidR="00DF3C36" w:rsidRPr="00FC5FCC" w:rsidRDefault="003C745C" w:rsidP="00DF3C36">
          <w:pPr>
            <w:tabs>
              <w:tab w:val="left" w:pos="2535"/>
            </w:tabs>
            <w:jc w:val="center"/>
            <w:rPr>
              <w:rFonts w:ascii="Times New Roman" w:hAnsi="Times New Roman" w:cs="Times New Roman"/>
              <w:b/>
              <w:sz w:val="24"/>
              <w:szCs w:val="24"/>
            </w:rPr>
          </w:pPr>
        </w:p>
      </w:sdtContent>
    </w:sdt>
    <w:p w14:paraId="613CA861" w14:textId="55D70677" w:rsidR="000F6B7E" w:rsidRPr="00FC5FCC" w:rsidRDefault="000F6B7E" w:rsidP="002823D3">
      <w:pPr>
        <w:tabs>
          <w:tab w:val="left" w:pos="2535"/>
        </w:tabs>
        <w:jc w:val="center"/>
        <w:rPr>
          <w:rFonts w:ascii="Times New Roman" w:hAnsi="Times New Roman" w:cs="Times New Roman"/>
          <w:b/>
          <w:sz w:val="24"/>
          <w:szCs w:val="24"/>
        </w:rPr>
      </w:pPr>
      <w:r w:rsidRPr="00FC5FCC">
        <w:rPr>
          <w:rFonts w:ascii="Times New Roman" w:hAnsi="Times New Roman" w:cs="Times New Roman"/>
          <w:b/>
          <w:bCs/>
          <w:sz w:val="24"/>
          <w:szCs w:val="24"/>
        </w:rPr>
        <w:t>Acknowledgement</w:t>
      </w:r>
    </w:p>
    <w:p w14:paraId="6F147DA8" w14:textId="0B52CDC8" w:rsidR="000F6B7E" w:rsidRPr="00FC5FCC" w:rsidRDefault="000F6B7E"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I wish to express my deepest gratitude to my </w:t>
      </w:r>
      <w:r w:rsidR="00F33F76" w:rsidRPr="00FC5FCC">
        <w:rPr>
          <w:rFonts w:ascii="Times New Roman" w:hAnsi="Times New Roman" w:cs="Times New Roman"/>
          <w:sz w:val="24"/>
          <w:szCs w:val="24"/>
        </w:rPr>
        <w:t>re</w:t>
      </w:r>
      <w:r w:rsidRPr="00FC5FCC">
        <w:rPr>
          <w:rFonts w:ascii="Times New Roman" w:hAnsi="Times New Roman" w:cs="Times New Roman"/>
          <w:sz w:val="24"/>
          <w:szCs w:val="24"/>
        </w:rPr>
        <w:t xml:space="preserve">search supervisor, Dr. Willow Scobie, for all her advice, patients, time, and valuable and constructive suggestions towards the development of this paper. Dr. Willow has been a great professor who has helped supervised my writing and a great teacher who has helped me in my university's academic journey. My special thanks go to my family for their immeasurable support throughout my studies at the University of Ottawa, especially my father, who has sacrificed a lot to see me complete my master's degree. My sincere gratitude goes to the few friends I made at the university for their friendly support and words of encouragement as colleague in the same pursuit for academic excellence.  </w:t>
      </w:r>
    </w:p>
    <w:p w14:paraId="7980E777" w14:textId="77777777" w:rsidR="000F6B7E" w:rsidRPr="00FC5FCC" w:rsidRDefault="000F6B7E" w:rsidP="00DF3C36">
      <w:pPr>
        <w:jc w:val="both"/>
        <w:rPr>
          <w:rFonts w:ascii="Times New Roman" w:hAnsi="Times New Roman" w:cs="Times New Roman"/>
          <w:sz w:val="24"/>
          <w:szCs w:val="24"/>
        </w:rPr>
      </w:pPr>
    </w:p>
    <w:p w14:paraId="3C0CF89D" w14:textId="77777777" w:rsidR="000F6B7E" w:rsidRPr="00FC5FCC" w:rsidRDefault="000F6B7E" w:rsidP="00DF3C36">
      <w:pPr>
        <w:pStyle w:val="NormalWeb"/>
        <w:spacing w:before="0" w:beforeAutospacing="0" w:after="0" w:afterAutospacing="0" w:line="480" w:lineRule="auto"/>
        <w:jc w:val="both"/>
        <w:rPr>
          <w:rStyle w:val="Strong"/>
          <w:color w:val="0E101A"/>
        </w:rPr>
      </w:pPr>
    </w:p>
    <w:p w14:paraId="41BC164D" w14:textId="77777777" w:rsidR="00A731A5" w:rsidRPr="00FC5FCC" w:rsidRDefault="00A731A5" w:rsidP="00DF3C36">
      <w:pPr>
        <w:pStyle w:val="NormalWeb"/>
        <w:spacing w:before="0" w:beforeAutospacing="0" w:after="0" w:afterAutospacing="0" w:line="480" w:lineRule="auto"/>
        <w:jc w:val="both"/>
        <w:rPr>
          <w:rStyle w:val="Strong"/>
          <w:color w:val="0E101A"/>
        </w:rPr>
      </w:pPr>
    </w:p>
    <w:p w14:paraId="37B57E32"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34547A8B"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71110F17"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7162868D"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43EC0358"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1F238664"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3C13FF50"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50E9FBDE"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6036B09D"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196B68B4" w14:textId="77777777" w:rsidR="00734733" w:rsidRPr="00FC5FCC" w:rsidRDefault="00734733" w:rsidP="00DF3C36">
      <w:pPr>
        <w:pStyle w:val="NormalWeb"/>
        <w:spacing w:before="0" w:beforeAutospacing="0" w:after="0" w:afterAutospacing="0" w:line="480" w:lineRule="auto"/>
        <w:jc w:val="both"/>
        <w:rPr>
          <w:rStyle w:val="Strong"/>
          <w:color w:val="0E101A"/>
        </w:rPr>
      </w:pPr>
    </w:p>
    <w:p w14:paraId="29BFDDA5" w14:textId="77777777" w:rsidR="00A60DA2" w:rsidRPr="00FC5FCC" w:rsidRDefault="00A60DA2" w:rsidP="00A60DA2">
      <w:pPr>
        <w:pStyle w:val="NormalWeb"/>
        <w:spacing w:before="0" w:beforeAutospacing="0" w:after="0" w:afterAutospacing="0" w:line="480" w:lineRule="auto"/>
        <w:rPr>
          <w:rStyle w:val="Strong"/>
          <w:color w:val="0E101A"/>
        </w:rPr>
      </w:pPr>
    </w:p>
    <w:p w14:paraId="1CB2DA02" w14:textId="40A6CC26" w:rsidR="009F31E0" w:rsidRPr="00FC5FCC" w:rsidRDefault="009F31E0" w:rsidP="00A60DA2">
      <w:pPr>
        <w:pStyle w:val="NormalWeb"/>
        <w:spacing w:before="0" w:beforeAutospacing="0" w:after="0" w:afterAutospacing="0" w:line="480" w:lineRule="auto"/>
        <w:jc w:val="center"/>
        <w:rPr>
          <w:rStyle w:val="Strong"/>
          <w:color w:val="0E101A"/>
        </w:rPr>
      </w:pPr>
      <w:r w:rsidRPr="00FC5FCC">
        <w:rPr>
          <w:rStyle w:val="Strong"/>
          <w:color w:val="0E101A"/>
        </w:rPr>
        <w:lastRenderedPageBreak/>
        <w:t>A</w:t>
      </w:r>
      <w:r w:rsidR="002823D3" w:rsidRPr="00FC5FCC">
        <w:rPr>
          <w:rStyle w:val="Strong"/>
          <w:color w:val="0E101A"/>
        </w:rPr>
        <w:t>bstract</w:t>
      </w:r>
    </w:p>
    <w:p w14:paraId="7655C843" w14:textId="1F389DC3" w:rsidR="00CD33C7" w:rsidRPr="00FC5FCC" w:rsidRDefault="00A731A5" w:rsidP="00DF3C36">
      <w:pPr>
        <w:pStyle w:val="NormalWeb"/>
        <w:spacing w:before="0" w:beforeAutospacing="0" w:after="0" w:afterAutospacing="0" w:line="480" w:lineRule="auto"/>
        <w:jc w:val="both"/>
        <w:rPr>
          <w:color w:val="0E101A"/>
        </w:rPr>
      </w:pPr>
      <w:r w:rsidRPr="00FC5FCC">
        <w:rPr>
          <w:color w:val="0E101A"/>
        </w:rPr>
        <w:t>Rural-urban migration among adolescent girls (Kayayei) in Ghana has attracted a lot of public, government and non-governmental organizations (NGO's) as well as scholarly concerns regarding the unique issues of the phenomenon in the country. Despite the growing concerns of the 'Kayayei' among scholars and researchers, socio-economic livelihood, the push and pull factors,</w:t>
      </w:r>
      <w:r w:rsidR="00FC48C0" w:rsidRPr="00FC5FCC">
        <w:rPr>
          <w:color w:val="0E101A"/>
        </w:rPr>
        <w:t xml:space="preserve"> </w:t>
      </w:r>
      <w:r w:rsidRPr="00FC5FCC">
        <w:rPr>
          <w:color w:val="0E101A"/>
        </w:rPr>
        <w:t xml:space="preserve">social theory and social structure have been used to examine adolescent girls' migration issues in Ghana's urban cities. This paper aims to understand the scale and nature of the demographic changes and the interconnections between urban development, socio-economic, political (institutional) and historical antecedent processes contributing to </w:t>
      </w:r>
      <w:r w:rsidR="00FC48C0" w:rsidRPr="00FC5FCC">
        <w:rPr>
          <w:color w:val="0E101A"/>
        </w:rPr>
        <w:t>adolescents’</w:t>
      </w:r>
      <w:r w:rsidRPr="00FC5FCC">
        <w:rPr>
          <w:color w:val="0E101A"/>
        </w:rPr>
        <w:t xml:space="preserve"> </w:t>
      </w:r>
      <w:r w:rsidR="00FC48C0" w:rsidRPr="00FC5FCC">
        <w:rPr>
          <w:color w:val="0E101A"/>
        </w:rPr>
        <w:t>girl’s</w:t>
      </w:r>
      <w:r w:rsidRPr="00FC5FCC">
        <w:rPr>
          <w:color w:val="0E101A"/>
        </w:rPr>
        <w:t xml:space="preserve"> </w:t>
      </w:r>
      <w:r w:rsidR="004D18F0" w:rsidRPr="00FC5FCC">
        <w:rPr>
          <w:color w:val="0E101A"/>
        </w:rPr>
        <w:t>migration in</w:t>
      </w:r>
      <w:r w:rsidRPr="00FC5FCC">
        <w:rPr>
          <w:color w:val="0E101A"/>
        </w:rPr>
        <w:t xml:space="preserve"> Ghana affecting</w:t>
      </w:r>
      <w:r w:rsidR="00B7673D" w:rsidRPr="00FC5FCC">
        <w:rPr>
          <w:color w:val="0E101A"/>
        </w:rPr>
        <w:t xml:space="preserve"> the</w:t>
      </w:r>
      <w:r w:rsidRPr="00FC5FCC">
        <w:rPr>
          <w:color w:val="0E101A"/>
        </w:rPr>
        <w:t xml:space="preserve"> life course </w:t>
      </w:r>
      <w:r w:rsidR="00B7673D" w:rsidRPr="00FC5FCC">
        <w:rPr>
          <w:color w:val="0E101A"/>
        </w:rPr>
        <w:t xml:space="preserve">of adolescents' </w:t>
      </w:r>
      <w:r w:rsidRPr="00FC5FCC">
        <w:rPr>
          <w:color w:val="0E101A"/>
        </w:rPr>
        <w:t xml:space="preserve">girls in the migratory landscape. This paper is theoretical and explanatory oriented in nature. The article explores the dynamics of rural-urban migration, offering a clear rationale for the migration of rural adolescent girls' </w:t>
      </w:r>
      <w:r w:rsidR="00E16728" w:rsidRPr="00FC5FCC">
        <w:rPr>
          <w:color w:val="0E101A"/>
        </w:rPr>
        <w:t>‘</w:t>
      </w:r>
      <w:r w:rsidRPr="00FC5FCC">
        <w:rPr>
          <w:color w:val="0E101A"/>
        </w:rPr>
        <w:t xml:space="preserve">Kayayei' in Ghana. The paper begins with a brief introduction of neoliberal policies (economic reforms) that have led to excessive urbanization, bringing about demography changes in developing countries and affecting the rural agricultural economy and household socio-economic composition. The paper attempts to draw a link between urbanization, historical regional development, and the new economic structuring (economic reforms) in Ghana's national economic space. Theoretically, the paper reviews the life course literature to critically appraise and examine the closely related dynamism of adolescent migratory patterns and economic reforms, environmental and institutional changes in developing countries like Ghana. Using </w:t>
      </w:r>
      <w:r w:rsidR="00BD605C" w:rsidRPr="00FC5FCC">
        <w:rPr>
          <w:color w:val="0E101A"/>
        </w:rPr>
        <w:t xml:space="preserve">literature </w:t>
      </w:r>
      <w:r w:rsidR="003D7ACC" w:rsidRPr="00FC5FCC">
        <w:rPr>
          <w:color w:val="0E101A"/>
        </w:rPr>
        <w:t xml:space="preserve">review </w:t>
      </w:r>
      <w:r w:rsidRPr="00FC5FCC">
        <w:rPr>
          <w:color w:val="0E101A"/>
        </w:rPr>
        <w:t xml:space="preserve">data </w:t>
      </w:r>
      <w:r w:rsidR="00BD605C" w:rsidRPr="00FC5FCC">
        <w:rPr>
          <w:color w:val="0E101A"/>
        </w:rPr>
        <w:t xml:space="preserve">source </w:t>
      </w:r>
      <w:r w:rsidRPr="00FC5FCC">
        <w:rPr>
          <w:color w:val="0E101A"/>
        </w:rPr>
        <w:t>(Alatinga, 2019), the finding suggests that adolescent girls who migrate to the urban cit</w:t>
      </w:r>
      <w:r w:rsidR="00FC48C0" w:rsidRPr="00FC5FCC">
        <w:rPr>
          <w:color w:val="0E101A"/>
        </w:rPr>
        <w:t>ies</w:t>
      </w:r>
      <w:r w:rsidRPr="00FC5FCC">
        <w:rPr>
          <w:color w:val="0E101A"/>
        </w:rPr>
        <w:t xml:space="preserve"> are overwhelmed by the predominance absence of alternative off-farm source of income and infrastructural development, which hinders educational attainment in rural communities.</w:t>
      </w:r>
    </w:p>
    <w:p w14:paraId="6DE1CE0E" w14:textId="77777777" w:rsidR="000A2B52" w:rsidRPr="00FC5FCC" w:rsidRDefault="000A2B52" w:rsidP="00B54C41">
      <w:pPr>
        <w:pStyle w:val="NormalWeb"/>
        <w:spacing w:before="0" w:beforeAutospacing="0" w:after="0" w:afterAutospacing="0" w:line="480" w:lineRule="auto"/>
        <w:jc w:val="center"/>
        <w:rPr>
          <w:color w:val="0E101A"/>
        </w:rPr>
      </w:pPr>
      <w:bookmarkStart w:id="0" w:name="_Toc67824469"/>
      <w:bookmarkStart w:id="1" w:name="_Toc67825648"/>
      <w:bookmarkStart w:id="2" w:name="_Toc67826394"/>
    </w:p>
    <w:p w14:paraId="04D96F32" w14:textId="77777777" w:rsidR="00934FCB" w:rsidRPr="00FC5FCC" w:rsidRDefault="00934FCB" w:rsidP="00B54C41">
      <w:pPr>
        <w:pStyle w:val="NormalWeb"/>
        <w:spacing w:before="0" w:beforeAutospacing="0" w:after="0" w:afterAutospacing="0" w:line="480" w:lineRule="auto"/>
        <w:jc w:val="center"/>
        <w:rPr>
          <w:color w:val="0E101A"/>
        </w:rPr>
      </w:pPr>
    </w:p>
    <w:p w14:paraId="0DEB5831" w14:textId="7BE5ACBE" w:rsidR="00934FCB" w:rsidRPr="00FC5FCC" w:rsidRDefault="00934FCB" w:rsidP="00934FCB">
      <w:pPr>
        <w:pStyle w:val="NormalWeb"/>
        <w:spacing w:before="0" w:beforeAutospacing="0" w:after="0" w:afterAutospacing="0" w:line="480" w:lineRule="auto"/>
        <w:rPr>
          <w:color w:val="0E101A"/>
        </w:rPr>
        <w:sectPr w:rsidR="00934FCB" w:rsidRPr="00FC5FCC" w:rsidSect="000A2B52">
          <w:footerReference w:type="default" r:id="rId10"/>
          <w:pgSz w:w="12240" w:h="15840"/>
          <w:pgMar w:top="1440" w:right="1440" w:bottom="1440" w:left="1440" w:header="708" w:footer="708" w:gutter="0"/>
          <w:pgNumType w:fmt="lowerRoman"/>
          <w:cols w:space="708"/>
          <w:docGrid w:linePitch="360"/>
        </w:sectPr>
      </w:pPr>
      <w:r w:rsidRPr="00FC5FCC">
        <w:rPr>
          <w:color w:val="0E101A"/>
        </w:rPr>
        <w:t xml:space="preserve">Keywords:   Kayayei, </w:t>
      </w:r>
      <w:r w:rsidR="00EC215D" w:rsidRPr="00FC5FCC">
        <w:rPr>
          <w:color w:val="0E101A"/>
        </w:rPr>
        <w:t xml:space="preserve">Neoliberal </w:t>
      </w:r>
      <w:r w:rsidR="00D4770A" w:rsidRPr="00FC5FCC">
        <w:rPr>
          <w:color w:val="0E101A"/>
        </w:rPr>
        <w:t>Policies,</w:t>
      </w:r>
      <w:r w:rsidRPr="00FC5FCC">
        <w:rPr>
          <w:color w:val="0E101A"/>
        </w:rPr>
        <w:t xml:space="preserve"> Agricultural Economy, Life Course, </w:t>
      </w:r>
      <w:r w:rsidR="005D435A" w:rsidRPr="00FC5FCC">
        <w:rPr>
          <w:color w:val="0E101A"/>
        </w:rPr>
        <w:t>Adolescent,</w:t>
      </w:r>
      <w:r w:rsidRPr="00FC5FCC">
        <w:rPr>
          <w:color w:val="0E101A"/>
        </w:rPr>
        <w:t xml:space="preserve"> Rural-Urban Migration</w:t>
      </w:r>
    </w:p>
    <w:p w14:paraId="687A209B" w14:textId="7B4E8258" w:rsidR="00CD33C7" w:rsidRPr="00FC5FCC" w:rsidRDefault="00CD33C7" w:rsidP="00B54C41">
      <w:pPr>
        <w:pStyle w:val="NormalWeb"/>
        <w:spacing w:before="0" w:beforeAutospacing="0" w:after="0" w:afterAutospacing="0" w:line="480" w:lineRule="auto"/>
        <w:jc w:val="center"/>
        <w:rPr>
          <w:color w:val="0E101A"/>
        </w:rPr>
      </w:pPr>
      <w:r w:rsidRPr="00FC5FCC">
        <w:lastRenderedPageBreak/>
        <w:t>CHAPTER 1</w:t>
      </w:r>
      <w:bookmarkEnd w:id="0"/>
      <w:bookmarkEnd w:id="1"/>
      <w:bookmarkEnd w:id="2"/>
    </w:p>
    <w:p w14:paraId="3041B6B2" w14:textId="77777777" w:rsidR="00CD33C7" w:rsidRPr="00FC5FCC" w:rsidRDefault="00CD33C7" w:rsidP="00DF3C36">
      <w:pPr>
        <w:pStyle w:val="Heading2"/>
        <w:jc w:val="both"/>
        <w:rPr>
          <w:rFonts w:ascii="Times New Roman" w:eastAsia="Times New Roman" w:hAnsi="Times New Roman" w:cs="Times New Roman"/>
          <w:sz w:val="28"/>
          <w:szCs w:val="28"/>
          <w:lang w:val="en-CA" w:eastAsia="en-CA"/>
        </w:rPr>
      </w:pPr>
      <w:bookmarkStart w:id="3" w:name="_Toc67826395"/>
      <w:r w:rsidRPr="00FC5FCC">
        <w:rPr>
          <w:rFonts w:ascii="Times New Roman" w:eastAsia="Times New Roman" w:hAnsi="Times New Roman" w:cs="Times New Roman"/>
          <w:sz w:val="28"/>
          <w:szCs w:val="28"/>
          <w:lang w:val="en-CA" w:eastAsia="en-CA"/>
        </w:rPr>
        <w:t>Introduction</w:t>
      </w:r>
      <w:bookmarkEnd w:id="3"/>
      <w:r w:rsidRPr="00FC5FCC">
        <w:rPr>
          <w:rFonts w:ascii="Times New Roman" w:eastAsia="Times New Roman" w:hAnsi="Times New Roman" w:cs="Times New Roman"/>
          <w:sz w:val="28"/>
          <w:szCs w:val="28"/>
          <w:lang w:val="en-CA" w:eastAsia="en-CA"/>
        </w:rPr>
        <w:t> </w:t>
      </w:r>
    </w:p>
    <w:p w14:paraId="640AA314" w14:textId="77777777" w:rsidR="00CD33C7" w:rsidRPr="00FC5FCC" w:rsidRDefault="00CD33C7" w:rsidP="00DF3C36">
      <w:pPr>
        <w:spacing w:after="0" w:line="480" w:lineRule="auto"/>
        <w:jc w:val="both"/>
        <w:rPr>
          <w:rFonts w:ascii="Times New Roman" w:eastAsia="Times New Roman" w:hAnsi="Times New Roman" w:cs="Times New Roman"/>
          <w:color w:val="0E101A"/>
          <w:sz w:val="24"/>
          <w:szCs w:val="24"/>
          <w:lang w:val="en-CA" w:eastAsia="en-CA"/>
        </w:rPr>
      </w:pPr>
    </w:p>
    <w:p w14:paraId="071F1CFF" w14:textId="32F691AF" w:rsidR="00CD33C7" w:rsidRPr="00FC5FCC" w:rsidRDefault="00CD33C7"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Across the world, the implementation of neoliberal policies associated with economic privatization, globalization, and policy reforms to reduce government spending is gradually catching up with African countries, with its resultant effects on rural-urban migration and rural agricultural economy. Major economic reforms have become crucial drivers for diversified and structural changes in rural financial household settlements, dominated by subsistence agriculture towards a more industrial and service sector economy. Whiles neo-liberalization is taking control of today's world, it again gives rise to urbanization in most developing countries, accounting for massive rural-urban migration. According to Karaliotas, (2017, p.1557), urban infrastructures are the primary terrain through which the processes of neoliberalism is unfolding. This new terrain includes essential information and communication facilities, transportation systems, sophisticated and modern healthcare facilities, advanced teaching and learning institutions and significant industry growth. These structures offer an ideal entry point for analyzing "the co-evolution of cities and technical networks in a global context" (McFarlane &amp; Rutherford, 2008, p. 365). The net effect of urban infrastructural development is creating modern cities accompanied by population growth. The transformation of institutional structures such as education, market reforms and the networks of government agencies' power relations and policies are shaping and becomes central to changes and geographies' overexpansion. Graham and Marvin (2001, p. 175-195) have asserted that the privatization of urban infrastructure networks is a key to neoliberal orthodoxy promoted throughout the globe over the past four decades.</w:t>
      </w:r>
    </w:p>
    <w:p w14:paraId="1C0C852D" w14:textId="08942728" w:rsidR="00CB2376" w:rsidRPr="00FC5FCC" w:rsidRDefault="00CB2376"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 xml:space="preserve">As a result of urbanization, government and city agencies have developed policies and programs that enforce structural and economic reforms. Urban politics emerge as a discursive and material </w:t>
      </w:r>
      <w:r w:rsidRPr="00FC5FCC">
        <w:rPr>
          <w:rFonts w:ascii="Times New Roman" w:eastAsia="Times New Roman" w:hAnsi="Times New Roman" w:cs="Times New Roman"/>
          <w:color w:val="0E101A"/>
          <w:sz w:val="24"/>
          <w:szCs w:val="24"/>
          <w:lang w:val="en-CA" w:eastAsia="en-CA"/>
        </w:rPr>
        <w:lastRenderedPageBreak/>
        <w:t xml:space="preserve">terrain through which political projects, rationalities and imaginaries are articulated, new governances and the accumulation of new regimes forges, and uneven power relations are being reproduced and contested (Graham and Marvn, 2001). "Within the framework of neoliberal policies, cities infrastructural privatization is produced and transformed together (McFarlane &amp;Rutherford,2008, p.364)", thereby creating unbalanced development between cities and rural communities. Urbanization opens up new ways to explore how neo-liberalization is institutionalizing in particular urban contexts (Dikec¸, 2006, p.59-81)" with an eclectic blend of failure and crisis, regulatory experimentation, and policy transfer across places, territories and scales" (Peck et al., 2013,p.1091). </w:t>
      </w:r>
    </w:p>
    <w:p w14:paraId="6974D3CF" w14:textId="5D860FF3" w:rsidR="0080139D" w:rsidRPr="00FC5FCC" w:rsidRDefault="00CB2376"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As with neoliberalism, urbanizations share characteristics with modernization and industrialization. Thus, a better understanding of the mechanism and dynamics of urbanization requires a focus on the process of rural and urban population change (He, 2012). Changes in rural-urban populations provide a vital tool through which urbanization and industrialization arise. These changes create massive problems for both societies and economies, potentially leading to unemployment, household stress, and social dislocations (He, 2012). Modernization as a discourse seeks to narrate all aspects of life (political, economic, cultural, etc.) along the dichotomy between the "old" and the "modern" bring about social change and altering individual biographies.</w:t>
      </w:r>
    </w:p>
    <w:p w14:paraId="2DE256E8" w14:textId="3A34210C" w:rsidR="00C259D5" w:rsidRPr="00FC5FCC" w:rsidRDefault="00C259D5"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In recent years, Ghana has witnessed rapid population growth in its urban cities. For instance, the 201</w:t>
      </w:r>
      <w:r w:rsidR="002423B7" w:rsidRPr="00FC5FCC">
        <w:rPr>
          <w:rFonts w:ascii="Times New Roman" w:eastAsia="Times New Roman" w:hAnsi="Times New Roman" w:cs="Times New Roman"/>
          <w:color w:val="0E101A"/>
          <w:sz w:val="24"/>
          <w:szCs w:val="24"/>
          <w:lang w:val="en-CA" w:eastAsia="en-CA"/>
        </w:rPr>
        <w:t>0</w:t>
      </w:r>
      <w:r w:rsidRPr="00FC5FCC">
        <w:rPr>
          <w:rFonts w:ascii="Times New Roman" w:eastAsia="Times New Roman" w:hAnsi="Times New Roman" w:cs="Times New Roman"/>
          <w:color w:val="0E101A"/>
          <w:sz w:val="24"/>
          <w:szCs w:val="24"/>
          <w:lang w:val="en-CA" w:eastAsia="en-CA"/>
        </w:rPr>
        <w:t xml:space="preserve"> Ghana Statistical Service (GSS</w:t>
      </w:r>
      <w:r w:rsidR="00D4770A" w:rsidRPr="00FC5FCC">
        <w:rPr>
          <w:rFonts w:ascii="Times New Roman" w:eastAsia="Times New Roman" w:hAnsi="Times New Roman" w:cs="Times New Roman"/>
          <w:color w:val="0E101A"/>
          <w:sz w:val="24"/>
          <w:szCs w:val="24"/>
          <w:lang w:val="en-CA" w:eastAsia="en-CA"/>
        </w:rPr>
        <w:t>, 2012</w:t>
      </w:r>
      <w:r w:rsidRPr="00FC5FCC">
        <w:rPr>
          <w:rFonts w:ascii="Times New Roman" w:eastAsia="Times New Roman" w:hAnsi="Times New Roman" w:cs="Times New Roman"/>
          <w:color w:val="0E101A"/>
          <w:sz w:val="24"/>
          <w:szCs w:val="24"/>
          <w:lang w:val="en-CA" w:eastAsia="en-CA"/>
        </w:rPr>
        <w:t xml:space="preserve">) Report has shown that Ghana has moved from a more rural population to an urban one. More than half (50.9%) of the country's population reported residing in urban localities in 2010. From the national population censuses, the proportion of urban population rose from as low as 23 percent in 1960 through to 29 percent and 32 percent respectively in 1984 and 2000 to its 2010 record of almost 51 percent cited in Ghana Statistical </w:t>
      </w:r>
      <w:r w:rsidRPr="00FC5FCC">
        <w:rPr>
          <w:rFonts w:ascii="Times New Roman" w:eastAsia="Times New Roman" w:hAnsi="Times New Roman" w:cs="Times New Roman"/>
          <w:color w:val="0E101A"/>
          <w:sz w:val="24"/>
          <w:szCs w:val="24"/>
          <w:lang w:val="en-CA" w:eastAsia="en-CA"/>
        </w:rPr>
        <w:lastRenderedPageBreak/>
        <w:t>Services (GSS, 201</w:t>
      </w:r>
      <w:r w:rsidR="00910E28" w:rsidRPr="00FC5FCC">
        <w:rPr>
          <w:rFonts w:ascii="Times New Roman" w:eastAsia="Times New Roman" w:hAnsi="Times New Roman" w:cs="Times New Roman"/>
          <w:color w:val="0E101A"/>
          <w:sz w:val="24"/>
          <w:szCs w:val="24"/>
          <w:lang w:val="en-CA" w:eastAsia="en-CA"/>
        </w:rPr>
        <w:t>2</w:t>
      </w:r>
      <w:r w:rsidRPr="00FC5FCC">
        <w:rPr>
          <w:rFonts w:ascii="Times New Roman" w:eastAsia="Times New Roman" w:hAnsi="Times New Roman" w:cs="Times New Roman"/>
          <w:color w:val="0E101A"/>
          <w:sz w:val="24"/>
          <w:szCs w:val="24"/>
          <w:lang w:val="en-CA" w:eastAsia="en-CA"/>
        </w:rPr>
        <w:t xml:space="preserve">). This data shows that the country has a history of more rapid urban migration growth than its rural population, reflecting a population shift from rural communities to metropolitan cities in Ghana. As a replicant effect of urbanization in Ghana, there has been a significant proportion of rural-urban migration growth from poor rural regions to some of the fastest-growing industrial and urbanized areas. Rural-urban migration has become a typical household, individual and family's survival strategy to cope with the socio-economic difficulties and other unfavourable conditions (Awumbila and Schandorf (2008). Consequently, rural-urban migration in Ghana, comprising the country's Northern regions, populaces moving to the more industrialized or growing economic areas in the Southern part of the country. Particularly, Accra and Kumasi have become the destination of rural migrants from the Northern part of the country because of the endemic poverty, environmental degradations, and other prevalent conditions affecting rural livelihood and family households. </w:t>
      </w:r>
    </w:p>
    <w:p w14:paraId="54845FC6" w14:textId="77777777" w:rsidR="00C259D5" w:rsidRPr="00FC5FCC" w:rsidRDefault="00C259D5"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 xml:space="preserve">The movement of rural folks to urban areas is facilitated by the nature of fast-growing industries, infrastructural development, and a robust economy. Ghana, as a middle-income-earning country, has developed a strong economy over the past years. According to the Round 5 Afro-barometer survey in (2011-2013), policymakers in Ghana have expressed a robust economy with the general improvement in the national economy and Ghanaians' well-being after discovering refined oil in 2007. Consequently, the commercial production of oil in December 2010 shows a more significant transformation in the national economy, infrastructural development, industrial growth, and improved living conditions (Armah-Attoh et al., 2014). The discovery of oil and gas in the Ellembelle District of the Western region at Atuabo has potentially shifted Ghana's economy from predominantly agriculture to more of export and industrialized economy. Again, Ghana's domestic economy revolves around services, which accounts for 50% of the Gross Domestic Product (GDP) </w:t>
      </w:r>
      <w:r w:rsidRPr="00FC5FCC">
        <w:rPr>
          <w:rFonts w:ascii="Times New Roman" w:eastAsia="Times New Roman" w:hAnsi="Times New Roman" w:cs="Times New Roman"/>
          <w:color w:val="0E101A"/>
          <w:sz w:val="24"/>
          <w:szCs w:val="24"/>
          <w:lang w:val="en-CA" w:eastAsia="en-CA"/>
        </w:rPr>
        <w:lastRenderedPageBreak/>
        <w:t xml:space="preserve">and employs 28% of the workforce. Besides industrialization associated with natural minerals and oil and gas petroleum, other industrial development in Ghana remains basic. They are often associated with plastics such as chairs, plastic bags, razors, and pens. However, this good economic news is offset by growing income inequality between rural households and urban areas and across Ghana's administrative regions, contributing to its rural-urban migration. </w:t>
      </w:r>
    </w:p>
    <w:p w14:paraId="7B1EB790" w14:textId="755B0698" w:rsidR="00C259D5" w:rsidRPr="00FC5FCC" w:rsidRDefault="00C259D5"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Ghana is a developing country, and urbanization is a crucial driver for rapid development, poverty eradication, and resilient economic growth. Urbanization creates a circulatory system designed to move people and material products while promoting public infrastructural development and essential economic growth. The urban population growth in Ghana reflects an expansion in the demographic composition and landscape expansion, creating socio-economic disparities between rural and metropolitan cities, affecting rural household economic livelihood. However, these condition changes rustic household financial arrangements, household demography, and rural populaces' life course towards a more labour-intensive market economy in Ghana's urban cities. This observation suggests that people in metropolitan cities are far better than their counterparts in rural communities, which has helped facilitate rural-urban migration in Ghana, giving rise to a new rural-urban phenomenon migration among adolescent girls. It is imperative to understand that various factors account for rural-urban migration in Ghana, including natural resources availability and utilization and policies that directly influence population re-distribution in Ghana.</w:t>
      </w:r>
    </w:p>
    <w:p w14:paraId="630C08E2" w14:textId="77777777" w:rsidR="00782360" w:rsidRPr="00FC5FCC" w:rsidRDefault="00782360" w:rsidP="00DF3C36">
      <w:pPr>
        <w:pStyle w:val="Heading2"/>
        <w:jc w:val="both"/>
        <w:rPr>
          <w:rFonts w:ascii="Times New Roman" w:hAnsi="Times New Roman" w:cs="Times New Roman"/>
          <w:sz w:val="28"/>
          <w:szCs w:val="28"/>
        </w:rPr>
      </w:pPr>
      <w:bookmarkStart w:id="4" w:name="_Toc67824470"/>
      <w:bookmarkStart w:id="5" w:name="_Toc67825649"/>
      <w:bookmarkStart w:id="6" w:name="_Toc67826396"/>
      <w:r w:rsidRPr="00FC5FCC">
        <w:rPr>
          <w:rFonts w:ascii="Times New Roman" w:hAnsi="Times New Roman" w:cs="Times New Roman"/>
          <w:sz w:val="28"/>
          <w:szCs w:val="28"/>
        </w:rPr>
        <w:t>Overview and Background</w:t>
      </w:r>
      <w:bookmarkEnd w:id="4"/>
      <w:bookmarkEnd w:id="5"/>
      <w:bookmarkEnd w:id="6"/>
      <w:r w:rsidRPr="00FC5FCC">
        <w:rPr>
          <w:rFonts w:ascii="Times New Roman" w:hAnsi="Times New Roman" w:cs="Times New Roman"/>
          <w:sz w:val="28"/>
          <w:szCs w:val="28"/>
        </w:rPr>
        <w:t> </w:t>
      </w:r>
    </w:p>
    <w:p w14:paraId="68AD6467" w14:textId="77777777" w:rsidR="00B54C41" w:rsidRPr="00FC5FCC" w:rsidRDefault="00B54C41" w:rsidP="00DF3C36">
      <w:pPr>
        <w:pStyle w:val="Heading3"/>
        <w:jc w:val="both"/>
        <w:rPr>
          <w:rFonts w:ascii="Times New Roman" w:hAnsi="Times New Roman" w:cs="Times New Roman"/>
          <w:b/>
          <w:bCs/>
        </w:rPr>
      </w:pPr>
      <w:bookmarkStart w:id="7" w:name="_Toc67824471"/>
      <w:bookmarkStart w:id="8" w:name="_Toc67825650"/>
      <w:bookmarkStart w:id="9" w:name="_Toc67826397"/>
    </w:p>
    <w:p w14:paraId="5FBDA050" w14:textId="5368706A" w:rsidR="00782360" w:rsidRPr="00FC5FCC" w:rsidRDefault="00782360" w:rsidP="00DF3C36">
      <w:pPr>
        <w:pStyle w:val="Heading3"/>
        <w:jc w:val="both"/>
        <w:rPr>
          <w:rFonts w:ascii="Times New Roman" w:hAnsi="Times New Roman" w:cs="Times New Roman"/>
          <w:b/>
          <w:bCs/>
        </w:rPr>
      </w:pPr>
      <w:r w:rsidRPr="00FC5FCC">
        <w:rPr>
          <w:rFonts w:ascii="Times New Roman" w:hAnsi="Times New Roman" w:cs="Times New Roman"/>
          <w:b/>
          <w:bCs/>
        </w:rPr>
        <w:t>Gender and migration dynamics</w:t>
      </w:r>
      <w:bookmarkEnd w:id="7"/>
      <w:bookmarkEnd w:id="8"/>
      <w:bookmarkEnd w:id="9"/>
      <w:r w:rsidRPr="00FC5FCC">
        <w:rPr>
          <w:rFonts w:ascii="Times New Roman" w:hAnsi="Times New Roman" w:cs="Times New Roman"/>
          <w:b/>
          <w:bCs/>
        </w:rPr>
        <w:t> </w:t>
      </w:r>
    </w:p>
    <w:p w14:paraId="793B7B57" w14:textId="77777777" w:rsidR="00B54C41" w:rsidRPr="00FC5FCC" w:rsidRDefault="00B54C41" w:rsidP="00DF3C36">
      <w:pPr>
        <w:spacing w:after="0" w:line="480" w:lineRule="auto"/>
        <w:jc w:val="both"/>
        <w:rPr>
          <w:rFonts w:ascii="Times New Roman" w:eastAsia="Times New Roman" w:hAnsi="Times New Roman" w:cs="Times New Roman"/>
          <w:color w:val="0E101A"/>
          <w:sz w:val="24"/>
          <w:szCs w:val="24"/>
          <w:lang w:eastAsia="en-CA"/>
        </w:rPr>
      </w:pPr>
    </w:p>
    <w:p w14:paraId="11DE1E6B" w14:textId="5EF1B1B6" w:rsidR="00C259D5" w:rsidRPr="00FC5FCC" w:rsidRDefault="00C259D5"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There exists a substantial and evolving nexus between gender issues and migration, especially rural-urban migration. Empirically, such gender dynamics offer more detailed and complex variations between gender power hierarchies and gender roles in migration. Thus, the individual </w:t>
      </w:r>
      <w:r w:rsidRPr="00FC5FCC">
        <w:rPr>
          <w:rFonts w:ascii="Times New Roman" w:eastAsia="Times New Roman" w:hAnsi="Times New Roman" w:cs="Times New Roman"/>
          <w:color w:val="0E101A"/>
          <w:sz w:val="24"/>
          <w:szCs w:val="24"/>
          <w:lang w:eastAsia="en-CA"/>
        </w:rPr>
        <w:lastRenderedPageBreak/>
        <w:t xml:space="preserve">decision to migrate reflects in their gender roles and gender power hierarchies within a household. However, fewer studies on migration have examined the differences in gender choices of mobility by both men and women across the life course (age cohorts) and among a variety of origins and destinations (Bigombe &amp; Khadiagala, (2004). Typically, a women's reason or choice of migration in a household is far more distinct from men. The gender roles and power hierarchies between men and women in a particular society or home determine the migration patterns, especially in Sub-Saharan African countries. Within migration literature in developing countries, women are more likely to move for "family" reasons than education or work-related, while men are more likely to migrate for economic reasons. Simultaneously, men's marital status and childbearing behaviours rarely directly relate to their migration pattern (Reed et al., 2010). However, a women's ability to join the labour forces will affect childbearing, domestic obligations, and social support of dependent care for family members, which becomes a critical aspect of their life course. Quite notable in African regions, gender dynamics and cultural expectations shape and influence a household's migration patterns. The traditional cultural expectations in most African or developing countries, such as family heritage, marriage, and childbearing, significantly influence and determines gender participation in migration. In such a cultural context, women are restricted from moving because of the above reasons combined with community social norms and values. </w:t>
      </w:r>
    </w:p>
    <w:p w14:paraId="09F63453" w14:textId="7FF903CB" w:rsidR="00782360" w:rsidRPr="00FC5FCC" w:rsidRDefault="00C259D5"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Conversely, migration affects all aspects of gender-based market segmentation and gender structures of labour opportunities (Guo M. et al., 2012). The "new economics of labour migration" (Stark and Bloom 1985, p.78) stresses migration as a general livelihood strategy for the household and the individual. With the rising effect of market reforms, migration dynamics, gender variation, and cultural expectations influence individual migration </w:t>
      </w:r>
      <w:r w:rsidR="006735FC" w:rsidRPr="00FC5FCC">
        <w:rPr>
          <w:rFonts w:ascii="Times New Roman" w:eastAsia="Times New Roman" w:hAnsi="Times New Roman" w:cs="Times New Roman"/>
          <w:color w:val="0E101A"/>
          <w:sz w:val="24"/>
          <w:szCs w:val="24"/>
          <w:lang w:eastAsia="en-CA"/>
        </w:rPr>
        <w:t>behaviors</w:t>
      </w:r>
      <w:r w:rsidRPr="00FC5FCC">
        <w:rPr>
          <w:rFonts w:ascii="Times New Roman" w:eastAsia="Times New Roman" w:hAnsi="Times New Roman" w:cs="Times New Roman"/>
          <w:color w:val="0E101A"/>
          <w:sz w:val="24"/>
          <w:szCs w:val="24"/>
          <w:lang w:eastAsia="en-CA"/>
        </w:rPr>
        <w:t xml:space="preserve">, risk, and consequences of a household's particular mobility type. Moreover, developing countries are moving towards a more </w:t>
      </w:r>
      <w:r w:rsidRPr="00FC5FCC">
        <w:rPr>
          <w:rFonts w:ascii="Times New Roman" w:eastAsia="Times New Roman" w:hAnsi="Times New Roman" w:cs="Times New Roman"/>
          <w:color w:val="0E101A"/>
          <w:sz w:val="24"/>
          <w:szCs w:val="24"/>
          <w:lang w:eastAsia="en-CA"/>
        </w:rPr>
        <w:lastRenderedPageBreak/>
        <w:t>structural economic transformation, bringing about demographical changes, and altering gender migration dynamics. The extensive empirical studies on migration tend to focus on men; however, with the growing adaption of major economic structures, market reforms, and household (family) composition, women become increasingly part of the labour migration streams in many developing countries.</w:t>
      </w:r>
    </w:p>
    <w:p w14:paraId="20B66FE6" w14:textId="77777777" w:rsidR="00D546DA" w:rsidRPr="00FC5FCC" w:rsidRDefault="00D546DA" w:rsidP="00DF3C36">
      <w:pPr>
        <w:pStyle w:val="Heading3"/>
        <w:jc w:val="both"/>
        <w:rPr>
          <w:rFonts w:ascii="Times New Roman" w:hAnsi="Times New Roman" w:cs="Times New Roman"/>
        </w:rPr>
      </w:pPr>
      <w:bookmarkStart w:id="10" w:name="_Toc67824472"/>
      <w:bookmarkStart w:id="11" w:name="_Toc67825651"/>
      <w:bookmarkStart w:id="12" w:name="_Toc67826398"/>
    </w:p>
    <w:p w14:paraId="45420E4C" w14:textId="3547DB57" w:rsidR="00782360" w:rsidRPr="00FC5FCC" w:rsidRDefault="00782360" w:rsidP="00DF3C36">
      <w:pPr>
        <w:pStyle w:val="Heading3"/>
        <w:jc w:val="both"/>
        <w:rPr>
          <w:rFonts w:ascii="Times New Roman" w:hAnsi="Times New Roman" w:cs="Times New Roman"/>
          <w:b/>
          <w:bCs/>
        </w:rPr>
      </w:pPr>
      <w:r w:rsidRPr="00FC5FCC">
        <w:rPr>
          <w:rFonts w:ascii="Times New Roman" w:hAnsi="Times New Roman" w:cs="Times New Roman"/>
          <w:b/>
          <w:bCs/>
        </w:rPr>
        <w:t>Rural Household Socio-economic dynamics and life course</w:t>
      </w:r>
      <w:bookmarkEnd w:id="10"/>
      <w:bookmarkEnd w:id="11"/>
      <w:bookmarkEnd w:id="12"/>
      <w:r w:rsidRPr="00FC5FCC">
        <w:rPr>
          <w:rFonts w:ascii="Times New Roman" w:hAnsi="Times New Roman" w:cs="Times New Roman"/>
          <w:b/>
          <w:bCs/>
        </w:rPr>
        <w:t> </w:t>
      </w:r>
    </w:p>
    <w:p w14:paraId="298D8584" w14:textId="77777777" w:rsidR="00D546DA" w:rsidRPr="00FC5FCC" w:rsidRDefault="00D546DA" w:rsidP="00DF3C36">
      <w:pPr>
        <w:spacing w:after="0" w:line="480" w:lineRule="auto"/>
        <w:jc w:val="both"/>
        <w:rPr>
          <w:rFonts w:ascii="Times New Roman" w:eastAsia="Times New Roman" w:hAnsi="Times New Roman" w:cs="Times New Roman"/>
          <w:color w:val="0E101A"/>
          <w:sz w:val="24"/>
          <w:szCs w:val="24"/>
          <w:lang w:eastAsia="en-CA"/>
        </w:rPr>
      </w:pPr>
    </w:p>
    <w:p w14:paraId="6A23E9F2" w14:textId="6A5BAD3D" w:rsidR="00B17AA1" w:rsidRPr="00FC5FCC" w:rsidRDefault="00B17AA1"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The fostering of widespread variations in socioeconomic structures, culture, and demographical expansion in developing countries has adversely impacted households and individual life choices. Households are described as a family unit of "production" and "consumption," thus members undertaking coordinated efforts to maximize economic well-being and to minimize the risk of the household (Chen &amp; Korinek, 2010). In emerging economic transformation in the 21st Century, households have been profoundly affected by structural changes in the family's socioeconomic condition and transforming member life choices. However, while these structural changes have opened new venues for economies to strive and present new opportunities (job creation or employment), these changes create losses: the loss of tradition, jobs, and significant relationships among families</w:t>
      </w:r>
      <w:r w:rsidR="006735FC" w:rsidRPr="00FC5FCC">
        <w:rPr>
          <w:rFonts w:ascii="Times New Roman" w:eastAsia="Times New Roman" w:hAnsi="Times New Roman" w:cs="Times New Roman"/>
          <w:color w:val="0E101A"/>
          <w:sz w:val="24"/>
          <w:szCs w:val="24"/>
          <w:lang w:eastAsia="en-CA"/>
        </w:rPr>
        <w:t xml:space="preserve"> (Adepoju, A. 2008). </w:t>
      </w:r>
      <w:r w:rsidRPr="00FC5FCC">
        <w:rPr>
          <w:rFonts w:ascii="Times New Roman" w:eastAsia="Times New Roman" w:hAnsi="Times New Roman" w:cs="Times New Roman"/>
          <w:color w:val="0E101A"/>
          <w:sz w:val="24"/>
          <w:szCs w:val="24"/>
          <w:lang w:eastAsia="en-CA"/>
        </w:rPr>
        <w:t>These changes are not distributed equally between and within societies in developing or emerging economic countries. For instance, in major emerging economic countries in Sub-Saharan Africa, some regions or areas are witnessing extremely rapid societal transformation</w:t>
      </w:r>
      <w:r w:rsidR="006735FC" w:rsidRPr="00FC5FCC">
        <w:rPr>
          <w:rFonts w:ascii="Times New Roman" w:eastAsia="Times New Roman" w:hAnsi="Times New Roman" w:cs="Times New Roman"/>
          <w:color w:val="0E101A"/>
          <w:sz w:val="24"/>
          <w:szCs w:val="24"/>
          <w:lang w:eastAsia="en-CA"/>
        </w:rPr>
        <w:t xml:space="preserve"> (</w:t>
      </w:r>
      <w:bookmarkStart w:id="13" w:name="_Hlk69942766"/>
      <w:r w:rsidR="006735FC" w:rsidRPr="00FC5FCC">
        <w:rPr>
          <w:rFonts w:ascii="Times New Roman" w:eastAsia="Times New Roman" w:hAnsi="Times New Roman" w:cs="Times New Roman"/>
          <w:color w:val="0E101A"/>
          <w:sz w:val="24"/>
          <w:szCs w:val="24"/>
          <w:lang w:eastAsia="en-CA"/>
        </w:rPr>
        <w:t>Adepoju, A. 2008</w:t>
      </w:r>
      <w:bookmarkEnd w:id="13"/>
      <w:r w:rsidR="006735FC" w:rsidRPr="00FC5FCC">
        <w:rPr>
          <w:rFonts w:ascii="Times New Roman" w:eastAsia="Times New Roman" w:hAnsi="Times New Roman" w:cs="Times New Roman"/>
          <w:color w:val="0E101A"/>
          <w:sz w:val="24"/>
          <w:szCs w:val="24"/>
          <w:lang w:eastAsia="en-CA"/>
        </w:rPr>
        <w:t>)</w:t>
      </w:r>
      <w:r w:rsidRPr="00FC5FCC">
        <w:rPr>
          <w:rFonts w:ascii="Times New Roman" w:eastAsia="Times New Roman" w:hAnsi="Times New Roman" w:cs="Times New Roman"/>
          <w:color w:val="0E101A"/>
          <w:sz w:val="24"/>
          <w:szCs w:val="24"/>
          <w:lang w:eastAsia="en-CA"/>
        </w:rPr>
        <w:t xml:space="preserve"> whiles altering the economic fortunes of other regions. The broader terrain of such structural changes in socio-political and economic environments provides the context for understanding most African family structures.</w:t>
      </w:r>
    </w:p>
    <w:p w14:paraId="7ED2CA9E" w14:textId="50E80B8C" w:rsidR="00B17AA1" w:rsidRPr="00FC5FCC" w:rsidRDefault="00B17AA1"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lastRenderedPageBreak/>
        <w:t xml:space="preserve">Consequently, new opportunities have arisen from considerable socioeconomic changes that continue to alter the family's structure away from traditional life patterns to new ones generated by expanding health care, employment, and migration (Chen &amp; Korinek, 2010). It recognized that rural households are systematically exposed to these new economic constraints, requiring readjustment decisions or </w:t>
      </w:r>
      <w:r w:rsidR="00D22848" w:rsidRPr="00FC5FCC">
        <w:rPr>
          <w:rFonts w:ascii="Times New Roman" w:eastAsia="Times New Roman" w:hAnsi="Times New Roman" w:cs="Times New Roman"/>
          <w:color w:val="0E101A"/>
          <w:sz w:val="24"/>
          <w:szCs w:val="24"/>
          <w:lang w:eastAsia="en-CA"/>
        </w:rPr>
        <w:t>behaviors</w:t>
      </w:r>
      <w:r w:rsidRPr="00FC5FCC">
        <w:rPr>
          <w:rFonts w:ascii="Times New Roman" w:eastAsia="Times New Roman" w:hAnsi="Times New Roman" w:cs="Times New Roman"/>
          <w:color w:val="0E101A"/>
          <w:sz w:val="24"/>
          <w:szCs w:val="24"/>
          <w:lang w:eastAsia="en-CA"/>
        </w:rPr>
        <w:t xml:space="preserve"> of the individual to understand these systematic changes (De Janvry &amp;Sadoulet (2010), especially in developing countries. </w:t>
      </w:r>
    </w:p>
    <w:p w14:paraId="351283BB" w14:textId="72A47D6D" w:rsidR="00782360" w:rsidRPr="00FC5FCC" w:rsidRDefault="00B17AA1"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The context of urbanization in developing countries forces government and state agencies to implement policies that enforce structural and economic reforms. Urbanization increases the residential population and expands off-farm businesses and industries, potentially increasing the cost-effectiveness of farming (Iheke &amp; lhuoma, 2016). Rapid population growth implies increase demand for urban land; hence government and state agencies implement policies that seek to provide available land for real-estate (residential) and industries growth. The massive demand for land negatively impacts agricultural performance bringing about food insecurity, which is often more extensive than the absolute amount of land involved (Francis et al., 2013). Conversely, economic reforms in developing countries affect rural development and rural households' general well-being. Rural development in this context focuses on the rural agricultural economy, mainly subsistence agriculture. However, the farm economy is becoming a territorial concept, dealing with spatial differences in problems, perspectives, opportunities, and options (Hill 2008). The regional composition within this new terrain of changing environment in developing countries creates spatial economic differences, especially amongst household settlers dominated by subsistence agriculture. It seems self-evident that these environmental changes are for the betterment of all. However, changes that do not ensure the household as a basic social unit and all individuals who are part of it share in this betterment affect such household functioning </w:t>
      </w:r>
      <w:r w:rsidRPr="00FC5FCC">
        <w:rPr>
          <w:rFonts w:ascii="Times New Roman" w:eastAsia="Times New Roman" w:hAnsi="Times New Roman" w:cs="Times New Roman"/>
          <w:color w:val="0E101A"/>
          <w:sz w:val="24"/>
          <w:szCs w:val="24"/>
          <w:lang w:eastAsia="en-CA"/>
        </w:rPr>
        <w:lastRenderedPageBreak/>
        <w:t>(Mabogunje, 2015). Meanwhile, the household income composition in every country and region may vary according to the potentiality of the labour skills, life choices or options (life course) producing a different income generation outcome.</w:t>
      </w:r>
    </w:p>
    <w:p w14:paraId="2617E9F9" w14:textId="77777777" w:rsidR="008A1272" w:rsidRPr="00FC5FCC" w:rsidRDefault="008A1272" w:rsidP="00DF3C36">
      <w:pPr>
        <w:pStyle w:val="Heading3"/>
        <w:jc w:val="both"/>
        <w:rPr>
          <w:rFonts w:ascii="Times New Roman" w:eastAsia="Times New Roman" w:hAnsi="Times New Roman" w:cs="Times New Roman"/>
          <w:b/>
          <w:bCs/>
          <w:lang w:eastAsia="en-CA"/>
        </w:rPr>
      </w:pPr>
      <w:bookmarkStart w:id="14" w:name="_Toc67825652"/>
      <w:bookmarkStart w:id="15" w:name="_Toc67826399"/>
    </w:p>
    <w:p w14:paraId="225464B8" w14:textId="4069636C" w:rsidR="00782360" w:rsidRPr="00FC5FCC" w:rsidRDefault="00782360" w:rsidP="00DF3C36">
      <w:pPr>
        <w:pStyle w:val="Heading3"/>
        <w:jc w:val="both"/>
        <w:rPr>
          <w:rFonts w:ascii="Times New Roman" w:eastAsia="Times New Roman" w:hAnsi="Times New Roman" w:cs="Times New Roman"/>
          <w:b/>
          <w:bCs/>
          <w:lang w:eastAsia="en-CA"/>
        </w:rPr>
      </w:pPr>
      <w:r w:rsidRPr="00FC5FCC">
        <w:rPr>
          <w:rFonts w:ascii="Times New Roman" w:eastAsia="Times New Roman" w:hAnsi="Times New Roman" w:cs="Times New Roman"/>
          <w:b/>
          <w:bCs/>
          <w:lang w:eastAsia="en-CA"/>
        </w:rPr>
        <w:t>The Ghanaian context</w:t>
      </w:r>
      <w:bookmarkEnd w:id="14"/>
      <w:bookmarkEnd w:id="15"/>
      <w:r w:rsidRPr="00FC5FCC">
        <w:rPr>
          <w:rFonts w:ascii="Times New Roman" w:eastAsia="Times New Roman" w:hAnsi="Times New Roman" w:cs="Times New Roman"/>
          <w:b/>
          <w:bCs/>
          <w:lang w:eastAsia="en-CA"/>
        </w:rPr>
        <w:t> </w:t>
      </w:r>
    </w:p>
    <w:p w14:paraId="52D13EF7" w14:textId="77777777" w:rsidR="008A1272" w:rsidRPr="00FC5FCC" w:rsidRDefault="008A1272" w:rsidP="00DF3C36">
      <w:pPr>
        <w:spacing w:after="0" w:line="480" w:lineRule="auto"/>
        <w:jc w:val="both"/>
        <w:rPr>
          <w:rFonts w:ascii="Times New Roman" w:eastAsia="Times New Roman" w:hAnsi="Times New Roman" w:cs="Times New Roman"/>
          <w:color w:val="0E101A"/>
          <w:sz w:val="24"/>
          <w:szCs w:val="24"/>
          <w:lang w:eastAsia="en-CA"/>
        </w:rPr>
      </w:pPr>
    </w:p>
    <w:p w14:paraId="73B541FC" w14:textId="38DC7C53" w:rsidR="002A4018" w:rsidRPr="00FC5FCC" w:rsidRDefault="002A4018"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Ghana is considered one of the countries at the forefront of demographic change in sub-Saharan Africa. The study on rural-urban migration relates to gender dynamics and other life cycle processes. The country's migration population has shifted from predominantly male to predominantly female (Awumbila </w:t>
      </w:r>
      <w:r w:rsidR="00893390" w:rsidRPr="00FC5FCC">
        <w:rPr>
          <w:rFonts w:ascii="Times New Roman" w:eastAsia="Times New Roman" w:hAnsi="Times New Roman" w:cs="Times New Roman"/>
          <w:color w:val="0E101A"/>
          <w:sz w:val="24"/>
          <w:szCs w:val="24"/>
          <w:lang w:eastAsia="en-CA"/>
        </w:rPr>
        <w:t>&amp; Schandorf</w:t>
      </w:r>
      <w:r w:rsidRPr="00FC5FCC">
        <w:rPr>
          <w:rFonts w:ascii="Times New Roman" w:eastAsia="Times New Roman" w:hAnsi="Times New Roman" w:cs="Times New Roman"/>
          <w:color w:val="0E101A"/>
          <w:sz w:val="24"/>
          <w:szCs w:val="24"/>
          <w:lang w:eastAsia="en-CA"/>
        </w:rPr>
        <w:t xml:space="preserve"> 2008; Kwankye et al., 2009), including an increasing number of adolescent girls (Awumbila and Ardayfio-Schandorf, 2008). The migratory flow is partly attributed to the demographic or environmental change in both economic and market reforms. These new changes have created requisite economic growth and industrial prospect, which present alternative job opportunities and new employment in the urban cities (GSS, 201</w:t>
      </w:r>
      <w:r w:rsidR="00893390" w:rsidRPr="00FC5FCC">
        <w:rPr>
          <w:rFonts w:ascii="Times New Roman" w:eastAsia="Times New Roman" w:hAnsi="Times New Roman" w:cs="Times New Roman"/>
          <w:color w:val="0E101A"/>
          <w:sz w:val="24"/>
          <w:szCs w:val="24"/>
          <w:lang w:eastAsia="en-CA"/>
        </w:rPr>
        <w:t>2</w:t>
      </w:r>
      <w:r w:rsidRPr="00FC5FCC">
        <w:rPr>
          <w:rFonts w:ascii="Times New Roman" w:eastAsia="Times New Roman" w:hAnsi="Times New Roman" w:cs="Times New Roman"/>
          <w:color w:val="0E101A"/>
          <w:sz w:val="24"/>
          <w:szCs w:val="24"/>
          <w:lang w:eastAsia="en-CA"/>
        </w:rPr>
        <w:t>).</w:t>
      </w:r>
    </w:p>
    <w:p w14:paraId="0BB156B6" w14:textId="1DE8C2FD" w:rsidR="002A4018" w:rsidRPr="00FC5FCC" w:rsidRDefault="002A4018" w:rsidP="009F5C42">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Conversely, these new changes promote migration and urbanization conditions, negatively affecting rural agricultural production and rural household economic prospects. Similarly, migrant adolescent girls seek employment opportunities in the service sector (informal economy) in such changing times in Ghana's big cities with little or no education. For adolescents’ girls with no robust social and financial support networks, this migratory journey can jeopardize their physical and mental and psychological health, putting them at risk of sexual victimization and economic exploitation (Bermudez et al. 2018). Consequently, with the resultant effect on rural households' livelihood, migrant adolescent girls seek new employment opportunities in the service sector (informal economy) in such changing times in Ghana's big cities with little or no education. These teenage girls predominantly work as head-load carriers or head porters, popularly referred to as </w:t>
      </w:r>
      <w:r w:rsidRPr="00FC5FCC">
        <w:rPr>
          <w:rFonts w:ascii="Times New Roman" w:eastAsia="Times New Roman" w:hAnsi="Times New Roman" w:cs="Times New Roman"/>
          <w:color w:val="0E101A"/>
          <w:sz w:val="24"/>
          <w:szCs w:val="24"/>
          <w:lang w:eastAsia="en-CA"/>
        </w:rPr>
        <w:lastRenderedPageBreak/>
        <w:t>'Kayayei' in the local language. They provide non-formal services to shoppers by carrying purchase items on their heads to shopper cars for small fees (CAD 1-2) in the markets and the main street in and around the big cities, including Accra, Kumasi (Kwankye</w:t>
      </w:r>
      <w:r w:rsidR="009F5C42" w:rsidRPr="00FC5FCC">
        <w:rPr>
          <w:rFonts w:ascii="Times New Roman" w:eastAsia="Times New Roman" w:hAnsi="Times New Roman" w:cs="Times New Roman"/>
          <w:color w:val="0E101A"/>
          <w:sz w:val="24"/>
          <w:szCs w:val="24"/>
          <w:lang w:eastAsia="en-CA"/>
        </w:rPr>
        <w:t xml:space="preserve"> et al</w:t>
      </w:r>
      <w:r w:rsidRPr="00FC5FCC">
        <w:rPr>
          <w:rFonts w:ascii="Times New Roman" w:eastAsia="Times New Roman" w:hAnsi="Times New Roman" w:cs="Times New Roman"/>
          <w:color w:val="0E101A"/>
          <w:sz w:val="24"/>
          <w:szCs w:val="24"/>
          <w:lang w:eastAsia="en-CA"/>
        </w:rPr>
        <w:t>, 20</w:t>
      </w:r>
      <w:r w:rsidR="009F5C42" w:rsidRPr="00FC5FCC">
        <w:rPr>
          <w:rFonts w:ascii="Times New Roman" w:eastAsia="Times New Roman" w:hAnsi="Times New Roman" w:cs="Times New Roman"/>
          <w:color w:val="0E101A"/>
          <w:sz w:val="24"/>
          <w:szCs w:val="24"/>
          <w:lang w:eastAsia="en-CA"/>
        </w:rPr>
        <w:t>09)</w:t>
      </w:r>
      <w:r w:rsidRPr="00FC5FCC">
        <w:rPr>
          <w:rFonts w:ascii="Times New Roman" w:eastAsia="Times New Roman" w:hAnsi="Times New Roman" w:cs="Times New Roman"/>
          <w:color w:val="0E101A"/>
          <w:sz w:val="24"/>
          <w:szCs w:val="24"/>
          <w:lang w:eastAsia="en-CA"/>
        </w:rPr>
        <w:t xml:space="preserve">. While Kayayei is associated with adverse developmental outcomes for those adolescent girls, economic insecurity and the variation in poverty between urban and rural areas incentivize their out-migration compelling them to seek opportunity in rapidly growing urban centers and their peripheries (Amuzu et al., 2010). </w:t>
      </w:r>
    </w:p>
    <w:p w14:paraId="270D5FBB" w14:textId="40C0FF98" w:rsidR="002A4018" w:rsidRPr="00FC5FCC" w:rsidRDefault="002A4018"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Separated from school and living outside of family care, the female adolescent who engages in 'Kayayei' faces a multitude of risks, including musculoskeletal injury (Geere et al., 2010), sexual abuse, HIV and other sexually transmitted infections, and early pregnancy (Boateng and Korang-Okrah, 2013). These adolescent girls' increasing drive to meet their daily needs and improve their livelihood and their families results in their migration from their sociocultural comfort places, abrupted education, breaking their family ties, and searching for life-enhancing opportunities (Owusu</w:t>
      </w:r>
      <w:r w:rsidR="009B4E4D" w:rsidRPr="00FC5FCC">
        <w:rPr>
          <w:rFonts w:ascii="Times New Roman" w:eastAsia="Times New Roman" w:hAnsi="Times New Roman" w:cs="Times New Roman"/>
          <w:color w:val="0E101A"/>
          <w:sz w:val="24"/>
          <w:szCs w:val="24"/>
          <w:lang w:eastAsia="en-CA"/>
        </w:rPr>
        <w:t xml:space="preserve"> et al, </w:t>
      </w:r>
      <w:r w:rsidRPr="00FC5FCC">
        <w:rPr>
          <w:rFonts w:ascii="Times New Roman" w:eastAsia="Times New Roman" w:hAnsi="Times New Roman" w:cs="Times New Roman"/>
          <w:color w:val="0E101A"/>
          <w:sz w:val="24"/>
          <w:szCs w:val="24"/>
          <w:lang w:eastAsia="en-CA"/>
        </w:rPr>
        <w:t>2012). Although many kinds of research on the phenomenon of 'Kayayei' in Ghana, the linkage between gender, migration, and the life experiences (life course) of these adolescent girls have been under study.</w:t>
      </w:r>
    </w:p>
    <w:p w14:paraId="00BC7086" w14:textId="77777777" w:rsidR="002A4018" w:rsidRPr="00FC5FCC" w:rsidRDefault="002A4018" w:rsidP="00DF3C36">
      <w:pPr>
        <w:spacing w:after="0" w:line="480" w:lineRule="auto"/>
        <w:jc w:val="both"/>
        <w:rPr>
          <w:rFonts w:ascii="Times New Roman" w:eastAsia="Times New Roman" w:hAnsi="Times New Roman" w:cs="Times New Roman"/>
          <w:b/>
          <w:bCs/>
          <w:color w:val="0E101A"/>
          <w:sz w:val="24"/>
          <w:szCs w:val="24"/>
          <w:lang w:eastAsia="en-CA"/>
        </w:rPr>
      </w:pPr>
      <w:bookmarkStart w:id="16" w:name="_Hlk64731703"/>
    </w:p>
    <w:p w14:paraId="799545FA" w14:textId="5930DF75" w:rsidR="00871AD0" w:rsidRPr="00FC5FCC" w:rsidRDefault="00871AD0" w:rsidP="00DF3C36">
      <w:pPr>
        <w:pStyle w:val="Heading3"/>
        <w:jc w:val="both"/>
        <w:rPr>
          <w:rFonts w:ascii="Times New Roman" w:eastAsia="Times New Roman" w:hAnsi="Times New Roman" w:cs="Times New Roman"/>
          <w:b/>
          <w:bCs/>
          <w:lang w:eastAsia="en-CA"/>
        </w:rPr>
      </w:pPr>
      <w:bookmarkStart w:id="17" w:name="_Toc67825653"/>
      <w:bookmarkStart w:id="18" w:name="_Toc67826400"/>
      <w:r w:rsidRPr="00FC5FCC">
        <w:rPr>
          <w:rFonts w:ascii="Times New Roman" w:eastAsia="Times New Roman" w:hAnsi="Times New Roman" w:cs="Times New Roman"/>
          <w:b/>
          <w:bCs/>
          <w:lang w:eastAsia="en-CA"/>
        </w:rPr>
        <w:t>Problem Statement</w:t>
      </w:r>
      <w:bookmarkEnd w:id="17"/>
      <w:bookmarkEnd w:id="18"/>
    </w:p>
    <w:p w14:paraId="41989576" w14:textId="77777777" w:rsidR="00F00F78" w:rsidRPr="00FC5FCC" w:rsidRDefault="00F00F78" w:rsidP="00DF3C36">
      <w:pPr>
        <w:spacing w:after="0" w:line="480" w:lineRule="auto"/>
        <w:jc w:val="both"/>
        <w:rPr>
          <w:rFonts w:ascii="Times New Roman" w:eastAsia="Times New Roman" w:hAnsi="Times New Roman" w:cs="Times New Roman"/>
          <w:color w:val="0E101A"/>
          <w:sz w:val="24"/>
          <w:szCs w:val="24"/>
          <w:lang w:eastAsia="en-CA"/>
        </w:rPr>
      </w:pPr>
    </w:p>
    <w:p w14:paraId="52BB9D34" w14:textId="037C6A25" w:rsidR="005633C5" w:rsidRPr="00FC5FCC" w:rsidRDefault="005633C5"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Beyond this empirical evidence, the kayayei phenomenon has attracted a lot of public and government concerns as well as Non-Governmental Organizations (NGO's). The activities of Kayayei are a characteristic of women (adolescent females) migrating from rural communities to urban cities of Ghana, usually between the ages of 10 to 45 years. Theoretical frameworks such as livelihood, development theories, the push and pull factors developed by Lee (1966), and social </w:t>
      </w:r>
      <w:r w:rsidRPr="00FC5FCC">
        <w:rPr>
          <w:rFonts w:ascii="Times New Roman" w:eastAsia="Times New Roman" w:hAnsi="Times New Roman" w:cs="Times New Roman"/>
          <w:color w:val="0E101A"/>
          <w:sz w:val="24"/>
          <w:szCs w:val="24"/>
          <w:lang w:eastAsia="en-CA"/>
        </w:rPr>
        <w:lastRenderedPageBreak/>
        <w:t>theory and social structure developed by Merton (1968) have been employed in many studies to examine the kayayei phenomenon in the country. Empirical evidence (Opare, 2003; Awumbila, and Ardayfio-Schandorf, 2008; Kwankye et al., 2009</w:t>
      </w:r>
      <w:r w:rsidR="00BC2F28"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Despite this growing body of literature to address the various factors accounting for this phenomenon, very little research has examined the kayayei situation related to rural household characteristics, the life course (individual decision), socio-economic and demographic determinate migration among rural adolescent girls. Hence, this paper investigates the relationship between rural households' characteristics, the life course, and migration nexus among adolescent girls in Ghana. The research question in two folds explores: how the socio-economic and demographic change factors influence household gender migrations and how educational attainment, family (marriage), and employment entry relates to life choices in migration patterns? Against this background, this paper focus on the dynamics of rural-urban migration of adolescent girls within the 'Kayayei' context in Ghana.</w:t>
      </w:r>
    </w:p>
    <w:p w14:paraId="5F96EFA5" w14:textId="77777777" w:rsidR="00460B4F" w:rsidRPr="00FC5FCC" w:rsidRDefault="00460B4F" w:rsidP="00DF3C36">
      <w:pPr>
        <w:pStyle w:val="Heading3"/>
        <w:jc w:val="both"/>
        <w:rPr>
          <w:rFonts w:ascii="Times New Roman" w:hAnsi="Times New Roman" w:cs="Times New Roman"/>
          <w:b/>
          <w:bCs/>
        </w:rPr>
      </w:pPr>
      <w:bookmarkStart w:id="19" w:name="_Toc67825654"/>
      <w:bookmarkStart w:id="20" w:name="_Toc67826401"/>
    </w:p>
    <w:p w14:paraId="5D1D3143" w14:textId="01637548" w:rsidR="00D63493" w:rsidRPr="00FC5FCC" w:rsidRDefault="00D63493" w:rsidP="00DF3C36">
      <w:pPr>
        <w:pStyle w:val="Heading3"/>
        <w:jc w:val="both"/>
        <w:rPr>
          <w:rFonts w:ascii="Times New Roman" w:hAnsi="Times New Roman" w:cs="Times New Roman"/>
          <w:b/>
          <w:bCs/>
        </w:rPr>
      </w:pPr>
      <w:r w:rsidRPr="00FC5FCC">
        <w:rPr>
          <w:rFonts w:ascii="Times New Roman" w:hAnsi="Times New Roman" w:cs="Times New Roman"/>
          <w:b/>
          <w:bCs/>
        </w:rPr>
        <w:t>The Scope of the Study</w:t>
      </w:r>
      <w:bookmarkEnd w:id="19"/>
      <w:bookmarkEnd w:id="20"/>
    </w:p>
    <w:p w14:paraId="2299CD3E" w14:textId="77777777" w:rsidR="00460B4F" w:rsidRPr="00FC5FCC" w:rsidRDefault="00460B4F" w:rsidP="00DF3C36">
      <w:pPr>
        <w:spacing w:after="0" w:line="480" w:lineRule="auto"/>
        <w:jc w:val="both"/>
        <w:rPr>
          <w:rFonts w:ascii="Times New Roman" w:eastAsia="Times New Roman" w:hAnsi="Times New Roman" w:cs="Times New Roman"/>
          <w:color w:val="0E101A"/>
          <w:sz w:val="24"/>
          <w:szCs w:val="24"/>
          <w:lang w:eastAsia="en-CA"/>
        </w:rPr>
      </w:pPr>
    </w:p>
    <w:p w14:paraId="48AAE6E7" w14:textId="36C0EEE6" w:rsidR="004D1F9A" w:rsidRPr="00FC5FCC" w:rsidRDefault="004D1F9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This research scope is viewed in geographical space, units of analysis, and conceptual framework. The study explores the phenomenon of kayayei (adolescents' girls) migrating from the rural communities to urban cities in Ghana as unskilled labour in the informal economy within Ghana's geographical space. In this context, employment services do not require formal education or any labour skills. The female head porters are chosen as a case study because they constitute a significant group raising questions about rural household income characteristics, individual life course (life choices) and migration. Given the circumstances that these adolescent girls negotiate their lived experiences through several decisions and actions impacting their development within a given structural opportunity and constraints raises questions about their income characteristics, </w:t>
      </w:r>
      <w:r w:rsidRPr="00FC5FCC">
        <w:rPr>
          <w:rFonts w:ascii="Times New Roman" w:eastAsia="Times New Roman" w:hAnsi="Times New Roman" w:cs="Times New Roman"/>
          <w:color w:val="0E101A"/>
          <w:sz w:val="24"/>
          <w:szCs w:val="24"/>
          <w:lang w:eastAsia="en-CA"/>
        </w:rPr>
        <w:lastRenderedPageBreak/>
        <w:t>their choice to exist from their family and the impact of such decision on the family as well as entering a new environment. Thus, this study objective is to investigate the relationship between rural household characteristics, the life course and migration among adolescent girls in Ghana. For example, how does the socio-economic and demographic change in Ghana influence household gender migration (teenage girls)? Second, how does education attainment, family (marriage), and employment entry relate to life choices in migrating patterns? Again, the kayayei phenomenon is chosen considering the research literature gap examining the impact of kayayei activities on individuals' significant life choices and actions (human agency), the principles of linked lives and historical time and place (Elder, &amp; Johnson 2002). A life-course perspective "involves a contextual, processual and dynamic approach to the study of change in the lives of an individual family member over time, and families as social units as they change over a historical period" (Bengtson and Allen 1993,p.469).</w:t>
      </w:r>
    </w:p>
    <w:p w14:paraId="5F6902E8" w14:textId="1E90690D" w:rsidR="004D1F9A" w:rsidRPr="00FC5FCC" w:rsidRDefault="004D1F9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Conversely, the life course takes the perspective of trajectories with sequences of family and work roles (Elder &amp; Johnson 200</w:t>
      </w:r>
      <w:r w:rsidR="0025719F" w:rsidRPr="00FC5FCC">
        <w:rPr>
          <w:rFonts w:ascii="Times New Roman" w:eastAsia="Times New Roman" w:hAnsi="Times New Roman" w:cs="Times New Roman"/>
          <w:color w:val="0E101A"/>
          <w:sz w:val="24"/>
          <w:szCs w:val="24"/>
          <w:lang w:eastAsia="en-CA"/>
        </w:rPr>
        <w:t>2</w:t>
      </w:r>
      <w:r w:rsidRPr="00FC5FCC">
        <w:rPr>
          <w:rFonts w:ascii="Times New Roman" w:eastAsia="Times New Roman" w:hAnsi="Times New Roman" w:cs="Times New Roman"/>
          <w:color w:val="0E101A"/>
          <w:sz w:val="24"/>
          <w:szCs w:val="24"/>
          <w:lang w:eastAsia="en-CA"/>
        </w:rPr>
        <w:t xml:space="preserve">). Adopting the life course perspective for this study points to human agency; (individual life choices and action), families, schools, organizations, occupational system, labour law, public welfare) as well as social roles (based on traditional gender norms), Zacher and Froidevaux, (2018). It makes it logical to study a homogeneous population (Kayayei) and resonate with the same characteristics with the life course perspective to analyze changing context of lives and their consequences for specific human development. The study will employ a set of empirical data from secondary sources relating to rural-urban migrant adolescent female experiences. </w:t>
      </w:r>
      <w:r w:rsidR="00395E9D" w:rsidRPr="00FC5FCC">
        <w:rPr>
          <w:rFonts w:ascii="Times New Roman" w:eastAsia="Times New Roman" w:hAnsi="Times New Roman" w:cs="Times New Roman"/>
          <w:color w:val="0E101A"/>
          <w:sz w:val="24"/>
          <w:szCs w:val="24"/>
          <w:lang w:eastAsia="en-CA"/>
        </w:rPr>
        <w:t xml:space="preserve">Review literature data source (Alatinga, 2019) </w:t>
      </w:r>
      <w:r w:rsidRPr="00FC5FCC">
        <w:rPr>
          <w:rFonts w:ascii="Times New Roman" w:eastAsia="Times New Roman" w:hAnsi="Times New Roman" w:cs="Times New Roman"/>
          <w:color w:val="0E101A"/>
          <w:sz w:val="24"/>
          <w:szCs w:val="24"/>
          <w:lang w:eastAsia="en-CA"/>
        </w:rPr>
        <w:t>will help to appraise and critically establish links between gender, migration, and the life experiences (life course) of these teenage girls focusing on the absence of infrastructural development with rural communities in Ghana</w:t>
      </w:r>
      <w:r w:rsidR="00395E9D" w:rsidRPr="00FC5FCC">
        <w:rPr>
          <w:rFonts w:ascii="Times New Roman" w:eastAsia="Times New Roman" w:hAnsi="Times New Roman" w:cs="Times New Roman"/>
          <w:color w:val="0E101A"/>
          <w:sz w:val="24"/>
          <w:szCs w:val="24"/>
          <w:lang w:eastAsia="en-CA"/>
        </w:rPr>
        <w:t>.</w:t>
      </w:r>
      <w:r w:rsidRPr="00FC5FCC">
        <w:rPr>
          <w:rFonts w:ascii="Times New Roman" w:eastAsia="Times New Roman" w:hAnsi="Times New Roman" w:cs="Times New Roman"/>
          <w:color w:val="0E101A"/>
          <w:sz w:val="24"/>
          <w:szCs w:val="24"/>
          <w:lang w:eastAsia="en-CA"/>
        </w:rPr>
        <w:t xml:space="preserve"> </w:t>
      </w:r>
    </w:p>
    <w:p w14:paraId="28F2033A" w14:textId="77777777" w:rsidR="004D1F9A" w:rsidRPr="00FC5FCC" w:rsidRDefault="004D1F9A" w:rsidP="00DF3C36">
      <w:pPr>
        <w:spacing w:after="0" w:line="480" w:lineRule="auto"/>
        <w:jc w:val="both"/>
        <w:rPr>
          <w:rFonts w:ascii="Times New Roman" w:eastAsia="Times New Roman" w:hAnsi="Times New Roman" w:cs="Times New Roman"/>
          <w:color w:val="0E101A"/>
          <w:sz w:val="24"/>
          <w:szCs w:val="24"/>
          <w:lang w:eastAsia="en-CA"/>
        </w:rPr>
      </w:pPr>
    </w:p>
    <w:p w14:paraId="6B78AD3D" w14:textId="77777777" w:rsidR="00D63493" w:rsidRPr="00FC5FCC" w:rsidRDefault="00D63493" w:rsidP="00DF3C36">
      <w:pPr>
        <w:spacing w:after="0" w:line="480" w:lineRule="auto"/>
        <w:jc w:val="both"/>
        <w:rPr>
          <w:rFonts w:ascii="Times New Roman" w:eastAsia="Times New Roman" w:hAnsi="Times New Roman" w:cs="Times New Roman"/>
          <w:color w:val="0E101A"/>
          <w:sz w:val="24"/>
          <w:szCs w:val="24"/>
          <w:lang w:eastAsia="en-CA"/>
        </w:rPr>
      </w:pPr>
    </w:p>
    <w:p w14:paraId="750990BE" w14:textId="7FD49458" w:rsidR="00D63493" w:rsidRPr="00FC5FCC" w:rsidRDefault="00D63493" w:rsidP="00FC108C">
      <w:pPr>
        <w:pStyle w:val="Heading1"/>
        <w:jc w:val="center"/>
        <w:rPr>
          <w:rFonts w:ascii="Times New Roman" w:hAnsi="Times New Roman" w:cs="Times New Roman"/>
          <w:sz w:val="24"/>
          <w:szCs w:val="24"/>
        </w:rPr>
      </w:pPr>
      <w:bookmarkStart w:id="21" w:name="_Toc67824473"/>
      <w:bookmarkStart w:id="22" w:name="_Toc67825655"/>
      <w:bookmarkStart w:id="23" w:name="_Toc67826402"/>
      <w:r w:rsidRPr="00FC5FCC">
        <w:rPr>
          <w:rFonts w:ascii="Times New Roman" w:hAnsi="Times New Roman" w:cs="Times New Roman"/>
          <w:sz w:val="24"/>
          <w:szCs w:val="24"/>
        </w:rPr>
        <w:t>CH</w:t>
      </w:r>
      <w:r w:rsidR="004D1F9A" w:rsidRPr="00FC5FCC">
        <w:rPr>
          <w:rFonts w:ascii="Times New Roman" w:hAnsi="Times New Roman" w:cs="Times New Roman"/>
          <w:sz w:val="24"/>
          <w:szCs w:val="24"/>
        </w:rPr>
        <w:t>A</w:t>
      </w:r>
      <w:r w:rsidRPr="00FC5FCC">
        <w:rPr>
          <w:rFonts w:ascii="Times New Roman" w:hAnsi="Times New Roman" w:cs="Times New Roman"/>
          <w:sz w:val="24"/>
          <w:szCs w:val="24"/>
        </w:rPr>
        <w:t>PTER 2</w:t>
      </w:r>
      <w:bookmarkEnd w:id="21"/>
      <w:bookmarkEnd w:id="22"/>
      <w:bookmarkEnd w:id="23"/>
    </w:p>
    <w:p w14:paraId="3AAA7D56" w14:textId="6743B830" w:rsidR="00D63493" w:rsidRPr="00FC5FCC" w:rsidRDefault="003D30FF" w:rsidP="00DF3C36">
      <w:pPr>
        <w:pStyle w:val="Heading1"/>
        <w:jc w:val="both"/>
        <w:rPr>
          <w:rFonts w:ascii="Times New Roman" w:eastAsia="Times New Roman" w:hAnsi="Times New Roman" w:cs="Times New Roman"/>
          <w:b/>
          <w:bCs/>
          <w:color w:val="0E101A"/>
          <w:sz w:val="24"/>
          <w:szCs w:val="24"/>
          <w:lang w:eastAsia="en-CA"/>
        </w:rPr>
      </w:pPr>
      <w:bookmarkStart w:id="24" w:name="_Toc67826403"/>
      <w:r w:rsidRPr="00FC5FCC">
        <w:rPr>
          <w:rFonts w:ascii="Times New Roman" w:hAnsi="Times New Roman" w:cs="Times New Roman"/>
          <w:b/>
          <w:bCs/>
          <w:sz w:val="24"/>
          <w:szCs w:val="24"/>
        </w:rPr>
        <w:t>DEFINING THE ISSUES (Concepts and Terminologies of the study)</w:t>
      </w:r>
      <w:bookmarkEnd w:id="24"/>
    </w:p>
    <w:p w14:paraId="062AE182" w14:textId="77777777" w:rsidR="003D30FF" w:rsidRPr="00FC5FCC" w:rsidRDefault="003D30FF" w:rsidP="00DF3C36">
      <w:pPr>
        <w:spacing w:after="0" w:line="480" w:lineRule="auto"/>
        <w:jc w:val="both"/>
        <w:rPr>
          <w:rFonts w:ascii="Times New Roman" w:eastAsia="Times New Roman" w:hAnsi="Times New Roman" w:cs="Times New Roman"/>
          <w:b/>
          <w:bCs/>
          <w:color w:val="0E101A"/>
          <w:sz w:val="24"/>
          <w:szCs w:val="24"/>
          <w:lang w:eastAsia="en-CA"/>
        </w:rPr>
      </w:pPr>
    </w:p>
    <w:p w14:paraId="1A0184F1" w14:textId="77777777" w:rsidR="00E8687C" w:rsidRPr="00FC5FCC" w:rsidRDefault="003D30FF" w:rsidP="00DF3C36">
      <w:pPr>
        <w:pStyle w:val="Heading3"/>
        <w:jc w:val="both"/>
        <w:rPr>
          <w:rFonts w:ascii="Times New Roman" w:eastAsia="Times New Roman" w:hAnsi="Times New Roman" w:cs="Times New Roman"/>
          <w:b/>
          <w:bCs/>
          <w:lang w:eastAsia="en-CA"/>
        </w:rPr>
      </w:pPr>
      <w:bookmarkStart w:id="25" w:name="_Toc67826404"/>
      <w:r w:rsidRPr="00FC5FCC">
        <w:rPr>
          <w:rFonts w:ascii="Times New Roman" w:eastAsia="Times New Roman" w:hAnsi="Times New Roman" w:cs="Times New Roman"/>
          <w:b/>
          <w:bCs/>
          <w:lang w:eastAsia="en-CA"/>
        </w:rPr>
        <w:t>C</w:t>
      </w:r>
      <w:r w:rsidR="004D1F9A" w:rsidRPr="00FC5FCC">
        <w:rPr>
          <w:rFonts w:ascii="Times New Roman" w:eastAsia="Times New Roman" w:hAnsi="Times New Roman" w:cs="Times New Roman"/>
          <w:b/>
          <w:bCs/>
          <w:lang w:eastAsia="en-CA"/>
        </w:rPr>
        <w:t>ASE STUDY</w:t>
      </w:r>
      <w:r w:rsidRPr="00FC5FCC">
        <w:rPr>
          <w:rFonts w:ascii="Times New Roman" w:eastAsia="Times New Roman" w:hAnsi="Times New Roman" w:cs="Times New Roman"/>
          <w:b/>
          <w:bCs/>
          <w:lang w:eastAsia="en-CA"/>
        </w:rPr>
        <w:t>: What it means to be a ‘Kayayei’ girl</w:t>
      </w:r>
      <w:bookmarkEnd w:id="25"/>
      <w:r w:rsidRPr="00FC5FCC">
        <w:rPr>
          <w:rFonts w:ascii="Times New Roman" w:eastAsia="Times New Roman" w:hAnsi="Times New Roman" w:cs="Times New Roman"/>
          <w:b/>
          <w:bCs/>
          <w:lang w:eastAsia="en-CA"/>
        </w:rPr>
        <w:t xml:space="preserve"> </w:t>
      </w:r>
    </w:p>
    <w:p w14:paraId="62AAE7A9" w14:textId="77777777" w:rsidR="0056225C" w:rsidRPr="00FC5FCC" w:rsidRDefault="0056225C" w:rsidP="00DF3C36">
      <w:pPr>
        <w:spacing w:after="0" w:line="480" w:lineRule="auto"/>
        <w:jc w:val="both"/>
        <w:rPr>
          <w:rFonts w:ascii="Times New Roman" w:eastAsia="Times New Roman" w:hAnsi="Times New Roman" w:cs="Times New Roman"/>
          <w:color w:val="0E101A"/>
          <w:sz w:val="24"/>
          <w:szCs w:val="24"/>
          <w:lang w:val="en-CA" w:eastAsia="en-CA"/>
        </w:rPr>
      </w:pPr>
    </w:p>
    <w:p w14:paraId="7E55D580" w14:textId="509E4431" w:rsidR="00E8687C" w:rsidRPr="00FC5FCC" w:rsidRDefault="00E8687C"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val="en-CA" w:eastAsia="en-CA"/>
        </w:rPr>
        <w:t>Over the past years, Ghana has witnessed a growing influx of adolescent girls and young women who engage in the head porterage, also known as 'Kayayei.' In Ghanaian society, the word "Kayayei" is a local word that means head-porters or head-carriers. </w:t>
      </w:r>
      <w:r w:rsidRPr="00FC5FCC">
        <w:rPr>
          <w:rFonts w:ascii="Times New Roman" w:eastAsia="Times New Roman" w:hAnsi="Times New Roman" w:cs="Times New Roman"/>
          <w:b/>
          <w:bCs/>
          <w:color w:val="0E101A"/>
          <w:sz w:val="24"/>
          <w:szCs w:val="24"/>
          <w:lang w:val="en-CA" w:eastAsia="en-CA"/>
        </w:rPr>
        <w:t>'</w:t>
      </w:r>
      <w:r w:rsidRPr="00FC5FCC">
        <w:rPr>
          <w:rFonts w:ascii="Times New Roman" w:eastAsia="Times New Roman" w:hAnsi="Times New Roman" w:cs="Times New Roman"/>
          <w:color w:val="0E101A"/>
          <w:sz w:val="24"/>
          <w:szCs w:val="24"/>
          <w:lang w:val="en-CA" w:eastAsia="en-CA"/>
        </w:rPr>
        <w:t>Kayayei is a Ga-Hausa term that stands for a female head porter. 'Kaya' in the Hausa language means 'Load,' and 'Yie' is a Ga word that means girls. 'Yoo' stands for a girl in the same Ga parlance, the official language for the indigenes of Accra, 'Kayayei' (singular kayayoo) is a group of girls and middle-aged women usually between the ages of 10 and 45, predominantly from the five Northern Regions of Ghana, and even from neighbouring countries, Burkina Faso and sometimes Togo (Samuel and Abdul Majeed, 2018) into Ghana informal economy (unskilled labour) for their economic livelihood for survival in the urban cities. This group of adolescent women usually migrates from low rural socio-economic backgrounds in Ghana with little educational attainment to urban areas (Osei-Boateng, 2013). Therefore, a Kayayoo carries goods on the head for shoppers and traders in and around commercial centers for nominal fees (Ahlvin, 2012). The kayayoo are often the unskilled human labour force and come from underdeveloped and deprived rural areas of northern Ghana searching for jobs in southern Ghana cities (Ahlvin, 2012).</w:t>
      </w:r>
    </w:p>
    <w:p w14:paraId="3DEC982B" w14:textId="1B4C3CBD" w:rsidR="00E8687C" w:rsidRPr="00FC5FCC" w:rsidRDefault="00E8687C"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 xml:space="preserve">Each year, adolescent girls from the Northern part of Ghana travel to the big cities of Kumasi in the south and Accra in the Coastal zones as they are the preferred urban cities that attract the </w:t>
      </w:r>
      <w:r w:rsidRPr="00FC5FCC">
        <w:rPr>
          <w:rFonts w:ascii="Times New Roman" w:eastAsia="Times New Roman" w:hAnsi="Times New Roman" w:cs="Times New Roman"/>
          <w:color w:val="0E101A"/>
          <w:sz w:val="24"/>
          <w:szCs w:val="24"/>
          <w:lang w:val="en-CA" w:eastAsia="en-CA"/>
        </w:rPr>
        <w:lastRenderedPageBreak/>
        <w:t xml:space="preserve">services of the 'Kayayei' as a business venture. These girls usually leave the rural communities to the metropolitan cities for employment and engage in the informal economy 'Kayayei' to earn their livelihood. In the last couple of years, northern Ghana has experienced unpredictable rainfalls due to environmental degradation. There have also been several issues of drought and infertile soil due to excessive farming in that part of the country (James, 2003). Economic insecurity due to weak social safety nets, inequitable distribution of resources, and cultural values emphasizing familial obligation and cooperation among rural households are forcing many adolescent girls to migrate to the big cities (Samuel, Abdul Majeed, 2018). As young as the ages of 10, adolescents' girls working as kayayei are placed in the most vulnerable position in the Ghanaian labour market, influencing their school attendance, family life (marriage) and wage employment opportunities. These conditions are critical to these adolescents' well-being in their new dwelling place in the urban cities, especially concerning their life events and transition to adulthood. It is undeniable that, given enough employment opportunities, income, personal fulfilment, more equitable distribution of resources, wealth and so on, most people would choose to stay close to their loved ones and their culture (Opare, 2003). Many of the 'Kayayei' girls are from poor rural communities in the northern part of the country face poor living conditions, including changes in household income and education, which influences their decision to travel to the urban cities in the south. These conditions affect their life trajectories and life course, denying many of them the opportunity to experience adolescent life experiences while transitioning into adulthood. Whiles, there is no exact figure of the number of 'Kayayei' in Ghana, a study conducted by (PDGFUP 2011) estimated that there were about 15 000 'Kayayei' girls in Accra, and similarly, researcher Baah (2007) in his study also found about 23,000 Kayayei girls living in Kumasi. Rural migrants, particularly females, are attracted to urban areas mainly due to the perceived employment opportunities, higher </w:t>
      </w:r>
      <w:r w:rsidRPr="00FC5FCC">
        <w:rPr>
          <w:rFonts w:ascii="Times New Roman" w:eastAsia="Times New Roman" w:hAnsi="Times New Roman" w:cs="Times New Roman"/>
          <w:color w:val="0E101A"/>
          <w:sz w:val="24"/>
          <w:szCs w:val="24"/>
          <w:lang w:val="en-CA" w:eastAsia="en-CA"/>
        </w:rPr>
        <w:lastRenderedPageBreak/>
        <w:t>earnings, and better social services (Hilson</w:t>
      </w:r>
      <w:r w:rsidR="00D900F2" w:rsidRPr="00FC5FCC">
        <w:rPr>
          <w:rFonts w:ascii="Times New Roman" w:eastAsia="Times New Roman" w:hAnsi="Times New Roman" w:cs="Times New Roman"/>
          <w:color w:val="0E101A"/>
          <w:sz w:val="24"/>
          <w:szCs w:val="24"/>
          <w:lang w:val="en-CA" w:eastAsia="en-CA"/>
        </w:rPr>
        <w:t xml:space="preserve">, </w:t>
      </w:r>
      <w:r w:rsidRPr="00FC5FCC">
        <w:rPr>
          <w:rFonts w:ascii="Times New Roman" w:eastAsia="Times New Roman" w:hAnsi="Times New Roman" w:cs="Times New Roman"/>
          <w:color w:val="0E101A"/>
          <w:sz w:val="24"/>
          <w:szCs w:val="24"/>
          <w:lang w:val="en-CA" w:eastAsia="en-CA"/>
        </w:rPr>
        <w:t>2013). This migration suggests that the social development disparities and the absence of structural opportunities for rural households make it difficult for members to achieve their goals and aspiration.</w:t>
      </w:r>
    </w:p>
    <w:p w14:paraId="38968F73" w14:textId="61D821E6" w:rsidR="00E8687C" w:rsidRPr="00FC5FCC" w:rsidRDefault="00E8687C" w:rsidP="00DF3C36">
      <w:pPr>
        <w:spacing w:after="0" w:line="480" w:lineRule="auto"/>
        <w:jc w:val="both"/>
        <w:rPr>
          <w:rFonts w:ascii="Times New Roman" w:eastAsia="Times New Roman" w:hAnsi="Times New Roman" w:cs="Times New Roman"/>
          <w:color w:val="0E101A"/>
          <w:sz w:val="24"/>
          <w:szCs w:val="24"/>
          <w:lang w:val="en-CA" w:eastAsia="en-CA"/>
        </w:rPr>
      </w:pPr>
      <w:r w:rsidRPr="00FC5FCC">
        <w:rPr>
          <w:rFonts w:ascii="Times New Roman" w:eastAsia="Times New Roman" w:hAnsi="Times New Roman" w:cs="Times New Roman"/>
          <w:color w:val="0E101A"/>
          <w:sz w:val="24"/>
          <w:szCs w:val="24"/>
          <w:lang w:val="en-CA" w:eastAsia="en-CA"/>
        </w:rPr>
        <w:t>Consequently, the wide gap of educational attainment potentially creates an unbalanced knowledge economy (wage employment or salary employment) among rural households influences individual decision to migrate to the urban cities. Kayayei has focused primarily on their vulnerability and lack of social protection, which poses significant economic, social, political, and cultural challenges (Heintz and Pickbourn 2012). Adolescent girls who migrate from the rural north to the urban south in Ghana to pursue various livelihood portfolios in the informal economy have been a subject of intense research over the past 15 years. The avalanche of scholarly work on these groups, to the best of my knowledge, has focused mainly on the risks associated with their livelihood strategies and the dangers and the abusive situation they find themselves in. (Awumbila and Ardayfio-Schandorf 2008).</w:t>
      </w:r>
    </w:p>
    <w:p w14:paraId="1D53055B" w14:textId="31C7012D" w:rsidR="003D30FF" w:rsidRPr="00FC5FCC" w:rsidRDefault="003D30FF" w:rsidP="00DF3C36">
      <w:pPr>
        <w:spacing w:line="480" w:lineRule="auto"/>
        <w:jc w:val="both"/>
        <w:rPr>
          <w:rFonts w:ascii="Times New Roman" w:hAnsi="Times New Roman" w:cs="Times New Roman"/>
          <w:sz w:val="24"/>
          <w:szCs w:val="24"/>
        </w:rPr>
      </w:pPr>
    </w:p>
    <w:p w14:paraId="18D34EB7" w14:textId="77777777" w:rsidR="005A6812" w:rsidRPr="00FC5FCC" w:rsidRDefault="005A6812" w:rsidP="00DF3C36">
      <w:pPr>
        <w:pStyle w:val="Heading3"/>
        <w:jc w:val="both"/>
        <w:rPr>
          <w:rStyle w:val="Strong"/>
          <w:rFonts w:ascii="Times New Roman" w:hAnsi="Times New Roman" w:cs="Times New Roman"/>
        </w:rPr>
      </w:pPr>
      <w:bookmarkStart w:id="26" w:name="_Toc67825656"/>
      <w:bookmarkStart w:id="27" w:name="_Toc67826405"/>
      <w:r w:rsidRPr="00FC5FCC">
        <w:rPr>
          <w:rStyle w:val="Strong"/>
          <w:rFonts w:ascii="Times New Roman" w:hAnsi="Times New Roman" w:cs="Times New Roman"/>
        </w:rPr>
        <w:t>Rural</w:t>
      </w:r>
      <w:bookmarkEnd w:id="26"/>
      <w:bookmarkEnd w:id="27"/>
    </w:p>
    <w:p w14:paraId="18CFDA44" w14:textId="518632C2" w:rsidR="0042322A" w:rsidRPr="00FC5FCC" w:rsidRDefault="0042322A" w:rsidP="00DF3C36">
      <w:pPr>
        <w:pStyle w:val="NormalWeb"/>
        <w:spacing w:after="0" w:line="480" w:lineRule="auto"/>
        <w:jc w:val="both"/>
        <w:rPr>
          <w:color w:val="0E101A"/>
        </w:rPr>
      </w:pPr>
      <w:bookmarkStart w:id="28" w:name="_Hlk64319537"/>
      <w:r w:rsidRPr="00FC5FCC">
        <w:rPr>
          <w:color w:val="0E101A"/>
        </w:rPr>
        <w:t xml:space="preserve">Rural communities are usually large and isolated areas of an open country with low population density. A fewer population implies a more occasional and unattained level of human development for personal fulfillment and the achievement of the individuals' goals and aspirations. Based on population, in Ghana, localities with fewer than 5,000 persons are classified as rural (GSS, 2012). The concept of "rural" depicts locations or demography representing underdeveloped and underprivileged and high poverty level and thin population groups. Rural communities in Ghana are considered underdeveloped and have the highest household poverty level (Nukpezah &amp;Blankson, 2017). The economic composition of rural communities in Ghana is mainly </w:t>
      </w:r>
      <w:r w:rsidRPr="00FC5FCC">
        <w:rPr>
          <w:color w:val="0E101A"/>
        </w:rPr>
        <w:lastRenderedPageBreak/>
        <w:t>agriculture, hunting, fishing, weaving, and mining. However, agriculture remains the predominant economic prospect of rural households. The agriculture sector continues to be the most significant contributor, with 35.9% of the country's total Gross Domestic Product (GDP) (Affum-Osei et al., 2019), maintaining its historically dominant position in the country's economic structure. In a similar context, researchers doubt that "the agricultural sector's capacity alone continues to sustain the livelihood of a farm household in some part of the rural north (Bacho, 2004, p. 31-36). However, the accompanying effects of environmental degradation, rapid population growth, slow spread of technology and low public investment in agriculture accounts for the increasing inability of the farm sector to sustain rural livelihood (Government of Ghana, 1997) cited in Dary &amp;Kuunibe (2012). Conversely, in Ghana, rural households face precarious living, exposing them to adverse contingencies, making them risk managers (Dary &amp;Kuunibe, 2012).</w:t>
      </w:r>
    </w:p>
    <w:p w14:paraId="7215570D" w14:textId="266BEFC4" w:rsidR="005A6812" w:rsidRPr="00FC5FCC" w:rsidRDefault="0042322A" w:rsidP="00DF3C36">
      <w:pPr>
        <w:pStyle w:val="NormalWeb"/>
        <w:spacing w:after="0" w:line="480" w:lineRule="auto"/>
        <w:jc w:val="both"/>
        <w:rPr>
          <w:color w:val="0E101A"/>
        </w:rPr>
      </w:pPr>
      <w:r w:rsidRPr="00FC5FCC">
        <w:rPr>
          <w:color w:val="0E101A"/>
        </w:rPr>
        <w:t xml:space="preserve">Rural households in Ghana are the poorest and lack access to quality education and socio-economic development. They have the least access to the benefits such as healthcare, employment and empowerment benefits, low housing and sanitation compared to the level of development and better access to living conditions of the urban cities. Researchers have studied rural-urban migration as a phenomenon that has been practiced in West Africa for many years now. Still, minimal efforts are made to explore how this movement impacts adolescent girls' life choices migration pattern, especially in Ghana. Various western researchers have researched the effects of poverty and the role of structure and agency in the life course leading to the transformation of the individual through different life events, including emerging adulthood (Berzin and Marco 2010, Arnett 2004). In Ghana, many young men and women move away from their homes and families from the northern part of the country to the southern region, searching for better living conditions. These young folks move in search of better jobs to earn enough and to support their families. While </w:t>
      </w:r>
      <w:r w:rsidRPr="00FC5FCC">
        <w:rPr>
          <w:color w:val="0E101A"/>
        </w:rPr>
        <w:lastRenderedPageBreak/>
        <w:t xml:space="preserve">this may be classified as migratory dynamics and processes, they exert specific forces on the individual's physical, mental, and psychological development in their future outcomes. Meanwhile, when communities have lower population density, it is meant to be deficient in infrastructural development, thereby influencing populace biographies.   </w:t>
      </w:r>
    </w:p>
    <w:p w14:paraId="16C9BC1D" w14:textId="09B57C8E" w:rsidR="005A6812" w:rsidRPr="00FC5FCC" w:rsidRDefault="005A6812" w:rsidP="00DF3C36">
      <w:pPr>
        <w:pStyle w:val="Heading3"/>
        <w:jc w:val="both"/>
        <w:rPr>
          <w:rFonts w:ascii="Times New Roman" w:eastAsia="Times New Roman" w:hAnsi="Times New Roman" w:cs="Times New Roman"/>
          <w:b/>
          <w:bCs/>
          <w:lang w:eastAsia="en-CA"/>
        </w:rPr>
      </w:pPr>
      <w:bookmarkStart w:id="29" w:name="_Toc67825657"/>
      <w:bookmarkStart w:id="30" w:name="_Toc67826406"/>
      <w:r w:rsidRPr="00FC5FCC">
        <w:rPr>
          <w:rFonts w:ascii="Times New Roman" w:eastAsia="Times New Roman" w:hAnsi="Times New Roman" w:cs="Times New Roman"/>
          <w:b/>
          <w:bCs/>
          <w:lang w:eastAsia="en-CA"/>
        </w:rPr>
        <w:t>Rural Development</w:t>
      </w:r>
      <w:bookmarkEnd w:id="29"/>
      <w:bookmarkEnd w:id="30"/>
      <w:r w:rsidRPr="00FC5FCC">
        <w:rPr>
          <w:rFonts w:ascii="Times New Roman" w:eastAsia="Times New Roman" w:hAnsi="Times New Roman" w:cs="Times New Roman"/>
          <w:b/>
          <w:bCs/>
          <w:lang w:eastAsia="en-CA"/>
        </w:rPr>
        <w:t> </w:t>
      </w:r>
    </w:p>
    <w:p w14:paraId="2F79DCC9" w14:textId="77777777" w:rsidR="0056225C" w:rsidRPr="00FC5FCC" w:rsidRDefault="0056225C" w:rsidP="00DF3C36">
      <w:pPr>
        <w:spacing w:after="0" w:line="480" w:lineRule="auto"/>
        <w:jc w:val="both"/>
        <w:rPr>
          <w:rFonts w:ascii="Times New Roman" w:eastAsia="Times New Roman" w:hAnsi="Times New Roman" w:cs="Times New Roman"/>
          <w:color w:val="0E101A"/>
          <w:sz w:val="24"/>
          <w:szCs w:val="24"/>
          <w:lang w:eastAsia="en-CA"/>
        </w:rPr>
      </w:pPr>
    </w:p>
    <w:p w14:paraId="412A744D" w14:textId="59D36CCC" w:rsidR="0042322A" w:rsidRPr="00FC5FCC" w:rsidRDefault="0042322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The United Nations Development Program (UNDP) (1996, p.49) defined Human development "as a process of enlarging people's choices and building human capabilities (the range of things people can be and do). Development enables peoples to live a long and healthy life, have access to knowledge, have a decent standard of living, participate in their community's life, and the decisions that affect their lives. The attainment of rural community development describes the actions and initiatives to improve living standards in non-urban </w:t>
      </w:r>
      <w:r w:rsidR="0081700C" w:rsidRPr="00FC5FCC">
        <w:rPr>
          <w:rFonts w:ascii="Times New Roman" w:eastAsia="Times New Roman" w:hAnsi="Times New Roman" w:cs="Times New Roman"/>
          <w:color w:val="0E101A"/>
          <w:sz w:val="24"/>
          <w:szCs w:val="24"/>
          <w:lang w:eastAsia="en-CA"/>
        </w:rPr>
        <w:t>neighborhoods</w:t>
      </w:r>
      <w:r w:rsidRPr="00FC5FCC">
        <w:rPr>
          <w:rFonts w:ascii="Times New Roman" w:eastAsia="Times New Roman" w:hAnsi="Times New Roman" w:cs="Times New Roman"/>
          <w:color w:val="0E101A"/>
          <w:sz w:val="24"/>
          <w:szCs w:val="24"/>
          <w:lang w:eastAsia="en-CA"/>
        </w:rPr>
        <w:t>, countryside, and remote villages. In the early development works of literature, income per capita conventionally is used as a measure of development to improve well-being (Nayak</w:t>
      </w:r>
      <w:r w:rsidR="00183159" w:rsidRPr="00FC5FCC">
        <w:rPr>
          <w:rFonts w:ascii="Times New Roman" w:eastAsia="Times New Roman" w:hAnsi="Times New Roman" w:cs="Times New Roman"/>
          <w:color w:val="0E101A"/>
          <w:sz w:val="24"/>
          <w:szCs w:val="24"/>
          <w:lang w:eastAsia="en-CA"/>
        </w:rPr>
        <w:t>,</w:t>
      </w:r>
      <w:r w:rsidRPr="00FC5FCC">
        <w:rPr>
          <w:rFonts w:ascii="Times New Roman" w:eastAsia="Times New Roman" w:hAnsi="Times New Roman" w:cs="Times New Roman"/>
          <w:color w:val="0E101A"/>
          <w:sz w:val="24"/>
          <w:szCs w:val="24"/>
          <w:lang w:eastAsia="en-CA"/>
        </w:rPr>
        <w:t xml:space="preserve"> 2013) directly. While economic advancement has become a key policy target and a dependent variable for development in the more developed world, the economic approach leads to growth in financial terms with its benefits not impacting the well-being of many (World Bank, 20</w:t>
      </w:r>
      <w:r w:rsidR="00BF5B93" w:rsidRPr="00FC5FCC">
        <w:rPr>
          <w:rFonts w:ascii="Times New Roman" w:eastAsia="Times New Roman" w:hAnsi="Times New Roman" w:cs="Times New Roman"/>
          <w:color w:val="0E101A"/>
          <w:sz w:val="24"/>
          <w:szCs w:val="24"/>
          <w:lang w:eastAsia="en-CA"/>
        </w:rPr>
        <w:t>2</w:t>
      </w:r>
      <w:r w:rsidR="00183159" w:rsidRPr="00FC5FCC">
        <w:rPr>
          <w:rFonts w:ascii="Times New Roman" w:eastAsia="Times New Roman" w:hAnsi="Times New Roman" w:cs="Times New Roman"/>
          <w:color w:val="0E101A"/>
          <w:sz w:val="24"/>
          <w:szCs w:val="24"/>
          <w:lang w:eastAsia="en-CA"/>
        </w:rPr>
        <w:t>1</w:t>
      </w:r>
      <w:r w:rsidRPr="00FC5FCC">
        <w:rPr>
          <w:rFonts w:ascii="Times New Roman" w:eastAsia="Times New Roman" w:hAnsi="Times New Roman" w:cs="Times New Roman"/>
          <w:color w:val="0E101A"/>
          <w:sz w:val="24"/>
          <w:szCs w:val="24"/>
          <w:lang w:eastAsia="en-CA"/>
        </w:rPr>
        <w:t>).</w:t>
      </w:r>
    </w:p>
    <w:p w14:paraId="14BC9766" w14:textId="28E33BCE" w:rsidR="0042322A" w:rsidRPr="00FC5FCC" w:rsidRDefault="0042322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Notwithstanding the potential roles of technological growth, public policy investments (economic privatization), and globalization as indexes to measure economic advancement in this study, a widely accessible level of material and non-material well-being of the individual is another kind of economic advancement. Hence economic progress must eradicate poverty and undernutrition: increase life expectancy; increase access to good sanitation, portable drinking water, adequate health services; increase access to education, and create jobs (Lucas, 1988). Therefore, in Ghana's </w:t>
      </w:r>
      <w:r w:rsidRPr="00FC5FCC">
        <w:rPr>
          <w:rFonts w:ascii="Times New Roman" w:eastAsia="Times New Roman" w:hAnsi="Times New Roman" w:cs="Times New Roman"/>
          <w:color w:val="0E101A"/>
          <w:sz w:val="24"/>
          <w:szCs w:val="24"/>
          <w:lang w:eastAsia="en-CA"/>
        </w:rPr>
        <w:lastRenderedPageBreak/>
        <w:t>context, it is imperative to access economic advancement by looking at the adverse changes and effects on households. The notion of the economy in the 21 centuries largely ignores the socio-cultural, political, and environmental aspects of development but instead focuses on power struggles of opposing ideologies and mode of governance among economic giant nation's and states destabilizing and creating economic unrest in developing countries (</w:t>
      </w:r>
      <w:r w:rsidR="00A85A2F" w:rsidRPr="00FC5FCC">
        <w:rPr>
          <w:rFonts w:ascii="Times New Roman" w:eastAsia="Times New Roman" w:hAnsi="Times New Roman" w:cs="Times New Roman"/>
          <w:color w:val="0E101A"/>
          <w:sz w:val="24"/>
          <w:szCs w:val="24"/>
          <w:lang w:eastAsia="en-CA"/>
        </w:rPr>
        <w:t>Soflied</w:t>
      </w:r>
      <w:r w:rsidR="00101B62" w:rsidRPr="00FC5FCC">
        <w:rPr>
          <w:rFonts w:ascii="Times New Roman" w:eastAsia="Times New Roman" w:hAnsi="Times New Roman" w:cs="Times New Roman"/>
          <w:color w:val="0E101A"/>
          <w:sz w:val="24"/>
          <w:szCs w:val="24"/>
          <w:lang w:eastAsia="en-CA"/>
        </w:rPr>
        <w:t>, T</w:t>
      </w:r>
      <w:r w:rsidR="00A85A2F" w:rsidRPr="00FC5FCC">
        <w:rPr>
          <w:rFonts w:ascii="Times New Roman" w:eastAsia="Times New Roman" w:hAnsi="Times New Roman" w:cs="Times New Roman"/>
          <w:color w:val="0E101A"/>
          <w:sz w:val="24"/>
          <w:szCs w:val="24"/>
          <w:lang w:eastAsia="en-CA"/>
        </w:rPr>
        <w:t xml:space="preserve"> &amp; Li</w:t>
      </w:r>
      <w:r w:rsidRPr="00FC5FCC">
        <w:rPr>
          <w:rFonts w:ascii="Times New Roman" w:eastAsia="Times New Roman" w:hAnsi="Times New Roman" w:cs="Times New Roman"/>
          <w:color w:val="0E101A"/>
          <w:sz w:val="24"/>
          <w:szCs w:val="24"/>
          <w:lang w:eastAsia="en-CA"/>
        </w:rPr>
        <w:t>, "n.d"). For example, China's economic growth is taking on greater responsibility and leadership position in the international community with its aim of becoming the world's largest and leading technologically innovative nation (</w:t>
      </w:r>
      <w:r w:rsidR="00101B62" w:rsidRPr="00FC5FCC">
        <w:rPr>
          <w:rFonts w:ascii="Times New Roman" w:eastAsia="Times New Roman" w:hAnsi="Times New Roman" w:cs="Times New Roman"/>
          <w:color w:val="0E101A"/>
          <w:sz w:val="24"/>
          <w:szCs w:val="24"/>
          <w:lang w:eastAsia="en-CA"/>
        </w:rPr>
        <w:t>Soflied, T &amp; Li,</w:t>
      </w:r>
      <w:r w:rsidRPr="00FC5FCC">
        <w:rPr>
          <w:rFonts w:ascii="Times New Roman" w:eastAsia="Times New Roman" w:hAnsi="Times New Roman" w:cs="Times New Roman"/>
          <w:color w:val="0E101A"/>
          <w:sz w:val="24"/>
          <w:szCs w:val="24"/>
          <w:lang w:eastAsia="en-CA"/>
        </w:rPr>
        <w:t>, p. 2 "n.d"). China's new position has interrupted the status quo and stability of the US economy and technological supremacy. It could potentially affect the economy of the international community around the world. This situation has helped researcher shift their focus from economic development to the basic needs approach development, which focuses on human well-being (food, shelter, clothing, social services, the standard of health, etc.) rather than a national economy state. Rural communities are mostly characterized by a lower ratio of inhabitants to open space. In Ghana, rural communities predominantly engage in agricultural activities and are regarded as the most prominent sector of the Ghanaian economy. The farm sector is again considered to be the primary sector for food production and raw materials. Following the emergencies of the implementation of neoliberal policies associated with economic privatization, globalization, and the implementation of policy reforms, development has been redefined to reduce or eliminate poverty, inequality, and unemployment within the context of a growing economy (Todaro &amp; Smith, 2003). As part of political structural adjustment, the transformation in the agricultural production system (non-farm labour opportunities), many African nations have moved toward debt relief packages provided by an international financial institution (Steel &amp;Lindert</w:t>
      </w:r>
      <w:r w:rsidR="00183159" w:rsidRPr="00FC5FCC">
        <w:rPr>
          <w:rFonts w:ascii="Times New Roman" w:eastAsia="Times New Roman" w:hAnsi="Times New Roman" w:cs="Times New Roman"/>
          <w:color w:val="0E101A"/>
          <w:sz w:val="24"/>
          <w:szCs w:val="24"/>
          <w:lang w:eastAsia="en-CA"/>
        </w:rPr>
        <w:t xml:space="preserve"> et al,</w:t>
      </w:r>
      <w:r w:rsidRPr="00FC5FCC">
        <w:rPr>
          <w:rFonts w:ascii="Times New Roman" w:eastAsia="Times New Roman" w:hAnsi="Times New Roman" w:cs="Times New Roman"/>
          <w:color w:val="0E101A"/>
          <w:sz w:val="24"/>
          <w:szCs w:val="24"/>
          <w:lang w:eastAsia="en-CA"/>
        </w:rPr>
        <w:t xml:space="preserve"> 2017). This condition is facilitated by </w:t>
      </w:r>
      <w:r w:rsidRPr="00FC5FCC">
        <w:rPr>
          <w:rFonts w:ascii="Times New Roman" w:eastAsia="Times New Roman" w:hAnsi="Times New Roman" w:cs="Times New Roman"/>
          <w:color w:val="0E101A"/>
          <w:sz w:val="24"/>
          <w:szCs w:val="24"/>
          <w:lang w:eastAsia="en-CA"/>
        </w:rPr>
        <w:lastRenderedPageBreak/>
        <w:t xml:space="preserve">neo-liberal organizations (World Bank, IMF, and Western Government) policy agendas towards ending world hunger, promoting gender equality and education, and job creation in many developing countries. </w:t>
      </w:r>
    </w:p>
    <w:p w14:paraId="1C87A86A" w14:textId="3A29B76F" w:rsidR="00EA066A" w:rsidRPr="00FC5FCC" w:rsidRDefault="0042322A" w:rsidP="00EA066A">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In a similar context, rural communities and traditional societies have become developed by transferring technology and new cultural practices from western and more developed countries or institutions (Servaes, 2004). This transfer of technology or adoption to new cultural practices could be an example of credit cards and loans to support individuals and serving as a means of empowerment to the sense of mastery and self-esteem amongst young adults</w:t>
      </w:r>
      <w:r w:rsidR="00B46165"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The Millennium Development Goals (MDG's), otherwise known as the Sustainable Development Goals (SDGs) set by members of the United Nations, is a great example to cite as the "the transfer of new cultural practices" in developing societies. The Millennium Development Goals have been adopted by governments of developing countries on the eighth set of common goals to cut extreme poverty, hunger, diseases, and literacy by 2015. In developing countries, especially in Ghana, the MDG's are anchored and mainstreamed into national development plans; thus, Ghana Poverty Reduction Strategy (GPRS 1) 2003-2005, the Growth and Poverty Reduction Strategy (GPRS II) 2006-2009, and the Ghana Shared Growth Development (GSGD) 2010-2013. Despite the significant achievement in some areas of the MDG's, the country still falls short in attaining the whole development level of eradicating rural poverty, extreme hunger, and literacy by the stipulated year. The sixth Ghana Living Standards Survey (GLSS 6) reveals that the proportion of people living in poverty declined from 51.7 percent in 1990 to 24.2 percent in 2013 (GSS, 201</w:t>
      </w:r>
      <w:r w:rsidR="00E07EB0" w:rsidRPr="00FC5FCC">
        <w:rPr>
          <w:rFonts w:ascii="Times New Roman" w:eastAsia="Times New Roman" w:hAnsi="Times New Roman" w:cs="Times New Roman"/>
          <w:color w:val="0E101A"/>
          <w:sz w:val="24"/>
          <w:szCs w:val="24"/>
          <w:lang w:eastAsia="en-CA"/>
        </w:rPr>
        <w:t>2</w:t>
      </w:r>
      <w:r w:rsidRPr="00FC5FCC">
        <w:rPr>
          <w:rFonts w:ascii="Times New Roman" w:eastAsia="Times New Roman" w:hAnsi="Times New Roman" w:cs="Times New Roman"/>
          <w:color w:val="0E101A"/>
          <w:sz w:val="24"/>
          <w:szCs w:val="24"/>
          <w:lang w:eastAsia="en-CA"/>
        </w:rPr>
        <w:t xml:space="preserve">). Despite the strides made, many rural communities in the northern part of Ghana is experiencing a high rural poverty level associated with low agricultural productivity, dependence on erratic rains and low soil fertility, seasonal hunger and systematic malnutrition, demographic pressure on natural resources, </w:t>
      </w:r>
      <w:r w:rsidRPr="00FC5FCC">
        <w:rPr>
          <w:rFonts w:ascii="Times New Roman" w:eastAsia="Times New Roman" w:hAnsi="Times New Roman" w:cs="Times New Roman"/>
          <w:color w:val="0E101A"/>
          <w:sz w:val="24"/>
          <w:szCs w:val="24"/>
          <w:lang w:eastAsia="en-CA"/>
        </w:rPr>
        <w:lastRenderedPageBreak/>
        <w:t>extensive production system and sub-optimal use of water resources limited availability of marketing outlets, and difficult access to primary markets in the south and abroad.</w:t>
      </w:r>
      <w:bookmarkStart w:id="31" w:name="_Toc67825658"/>
      <w:bookmarkStart w:id="32" w:name="_Toc67826407"/>
    </w:p>
    <w:p w14:paraId="1A5CE5C7" w14:textId="77777777" w:rsidR="00EA066A" w:rsidRPr="00FC5FCC" w:rsidRDefault="00EA066A" w:rsidP="00EA066A">
      <w:pPr>
        <w:spacing w:after="0" w:line="480" w:lineRule="auto"/>
        <w:jc w:val="both"/>
        <w:rPr>
          <w:rFonts w:ascii="Times New Roman" w:eastAsia="Times New Roman" w:hAnsi="Times New Roman" w:cs="Times New Roman"/>
          <w:color w:val="0E101A"/>
          <w:sz w:val="24"/>
          <w:szCs w:val="24"/>
          <w:lang w:eastAsia="en-CA"/>
        </w:rPr>
      </w:pPr>
    </w:p>
    <w:p w14:paraId="704C67D8" w14:textId="77777777" w:rsidR="00EA066A" w:rsidRPr="00FC5FCC" w:rsidRDefault="00EA066A" w:rsidP="00EA066A">
      <w:pPr>
        <w:spacing w:after="0" w:line="480" w:lineRule="auto"/>
        <w:jc w:val="both"/>
        <w:rPr>
          <w:rFonts w:ascii="Times New Roman" w:eastAsia="Times New Roman" w:hAnsi="Times New Roman" w:cs="Times New Roman"/>
          <w:color w:val="0E101A"/>
          <w:sz w:val="24"/>
          <w:szCs w:val="24"/>
          <w:lang w:eastAsia="en-CA"/>
        </w:rPr>
      </w:pPr>
    </w:p>
    <w:p w14:paraId="1F818C91" w14:textId="77777777" w:rsidR="00EA066A" w:rsidRPr="00FC5FCC" w:rsidRDefault="00EA066A" w:rsidP="00EA066A">
      <w:pPr>
        <w:spacing w:after="0" w:line="480" w:lineRule="auto"/>
        <w:jc w:val="both"/>
        <w:rPr>
          <w:rFonts w:ascii="Times New Roman" w:eastAsia="Times New Roman" w:hAnsi="Times New Roman" w:cs="Times New Roman"/>
          <w:color w:val="0E101A"/>
          <w:sz w:val="24"/>
          <w:szCs w:val="24"/>
          <w:lang w:eastAsia="en-CA"/>
        </w:rPr>
      </w:pPr>
    </w:p>
    <w:p w14:paraId="4B0392B2" w14:textId="3E38AE3F" w:rsidR="005A6812" w:rsidRPr="00FC5FCC" w:rsidRDefault="005A6812" w:rsidP="00EA066A">
      <w:pPr>
        <w:spacing w:after="0" w:line="480" w:lineRule="auto"/>
        <w:jc w:val="center"/>
        <w:rPr>
          <w:rFonts w:ascii="Times New Roman" w:eastAsia="Times New Roman" w:hAnsi="Times New Roman" w:cs="Times New Roman"/>
          <w:color w:val="0E101A"/>
          <w:sz w:val="24"/>
          <w:szCs w:val="24"/>
          <w:lang w:eastAsia="en-CA"/>
        </w:rPr>
      </w:pPr>
      <w:r w:rsidRPr="00FC5FCC">
        <w:rPr>
          <w:rFonts w:ascii="Times New Roman" w:hAnsi="Times New Roman" w:cs="Times New Roman"/>
          <w:sz w:val="24"/>
          <w:szCs w:val="24"/>
        </w:rPr>
        <w:t>CH</w:t>
      </w:r>
      <w:r w:rsidR="00394456" w:rsidRPr="00FC5FCC">
        <w:rPr>
          <w:rFonts w:ascii="Times New Roman" w:hAnsi="Times New Roman" w:cs="Times New Roman"/>
          <w:sz w:val="24"/>
          <w:szCs w:val="24"/>
        </w:rPr>
        <w:t>A</w:t>
      </w:r>
      <w:r w:rsidRPr="00FC5FCC">
        <w:rPr>
          <w:rFonts w:ascii="Times New Roman" w:hAnsi="Times New Roman" w:cs="Times New Roman"/>
          <w:sz w:val="24"/>
          <w:szCs w:val="24"/>
        </w:rPr>
        <w:t>PTER 3</w:t>
      </w:r>
      <w:bookmarkEnd w:id="31"/>
      <w:bookmarkEnd w:id="32"/>
    </w:p>
    <w:p w14:paraId="19442D37" w14:textId="0C912E7E" w:rsidR="005A6812" w:rsidRPr="00FC5FCC" w:rsidRDefault="005A6812" w:rsidP="00EA066A">
      <w:pPr>
        <w:pStyle w:val="Heading2"/>
        <w:jc w:val="center"/>
        <w:rPr>
          <w:rFonts w:ascii="Times New Roman" w:hAnsi="Times New Roman" w:cs="Times New Roman"/>
          <w:sz w:val="28"/>
          <w:szCs w:val="28"/>
        </w:rPr>
      </w:pPr>
      <w:bookmarkStart w:id="33" w:name="_Toc67825659"/>
      <w:bookmarkStart w:id="34" w:name="_Toc67826408"/>
      <w:r w:rsidRPr="00FC5FCC">
        <w:rPr>
          <w:rFonts w:ascii="Times New Roman" w:hAnsi="Times New Roman" w:cs="Times New Roman"/>
          <w:sz w:val="28"/>
          <w:szCs w:val="28"/>
        </w:rPr>
        <w:t>Historical Context</w:t>
      </w:r>
      <w:bookmarkEnd w:id="33"/>
      <w:bookmarkEnd w:id="34"/>
    </w:p>
    <w:p w14:paraId="1C5924B3" w14:textId="77777777" w:rsidR="005A6812" w:rsidRPr="00FC5FCC" w:rsidRDefault="005A6812" w:rsidP="00DF3C36">
      <w:pPr>
        <w:pStyle w:val="Heading3"/>
        <w:jc w:val="both"/>
        <w:rPr>
          <w:rFonts w:ascii="Times New Roman" w:eastAsia="Times New Roman" w:hAnsi="Times New Roman" w:cs="Times New Roman"/>
          <w:lang w:eastAsia="en-CA"/>
        </w:rPr>
      </w:pPr>
      <w:bookmarkStart w:id="35" w:name="_Toc67826409"/>
      <w:r w:rsidRPr="00FC5FCC">
        <w:rPr>
          <w:rFonts w:ascii="Times New Roman" w:eastAsia="Times New Roman" w:hAnsi="Times New Roman" w:cs="Times New Roman"/>
          <w:sz w:val="28"/>
          <w:szCs w:val="28"/>
          <w:lang w:eastAsia="en-CA"/>
        </w:rPr>
        <w:t>Introduction</w:t>
      </w:r>
      <w:r w:rsidRPr="00FC5FCC">
        <w:rPr>
          <w:rFonts w:ascii="Times New Roman" w:eastAsia="Times New Roman" w:hAnsi="Times New Roman" w:cs="Times New Roman"/>
          <w:lang w:eastAsia="en-CA"/>
        </w:rPr>
        <w:t>.</w:t>
      </w:r>
      <w:bookmarkEnd w:id="35"/>
    </w:p>
    <w:p w14:paraId="266B0526" w14:textId="77777777" w:rsidR="00EA066A" w:rsidRPr="00FC5FCC" w:rsidRDefault="00EA066A" w:rsidP="00DF3C36">
      <w:pPr>
        <w:spacing w:after="0" w:line="480" w:lineRule="auto"/>
        <w:jc w:val="both"/>
        <w:rPr>
          <w:rFonts w:ascii="Times New Roman" w:eastAsia="Times New Roman" w:hAnsi="Times New Roman" w:cs="Times New Roman"/>
          <w:color w:val="0E101A"/>
          <w:sz w:val="24"/>
          <w:szCs w:val="24"/>
          <w:lang w:eastAsia="en-CA"/>
        </w:rPr>
      </w:pPr>
    </w:p>
    <w:p w14:paraId="22E19DE1" w14:textId="54C492D2"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Historically, the British administration of its formal colony 'Gold Coast,' now Ghana, during the 20th century marked significant progress in political, social, economic, and educational development. However, research has pointed out the significant regional development disparities. Scholars have suggested the need to think of Ghana as comprising of just "two broad regions" (Boateng et al., 1990:29), the North and South. The uneven regional development pattern has been studied due to colonial policies and strategies, which have created uneven development between the North and South. After Ghana attained independence in 1957 through its fourth republic in 1993, and the potential role of politics and power relations are redressing and reinforcing the regional spatial divide (Abdulai</w:t>
      </w:r>
      <w:r w:rsidR="00B46165"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 xml:space="preserve">2012). Conditions of geographical variations of resources have accounted for regional spatial development. Uneven regional development in Ghana is skewed in </w:t>
      </w:r>
      <w:r w:rsidR="00F11217" w:rsidRPr="00FC5FCC">
        <w:rPr>
          <w:rFonts w:ascii="Times New Roman" w:eastAsia="Times New Roman" w:hAnsi="Times New Roman" w:cs="Times New Roman"/>
          <w:color w:val="0E101A"/>
          <w:sz w:val="24"/>
          <w:szCs w:val="24"/>
          <w:lang w:eastAsia="en-CA"/>
        </w:rPr>
        <w:t>favor</w:t>
      </w:r>
      <w:r w:rsidRPr="00FC5FCC">
        <w:rPr>
          <w:rFonts w:ascii="Times New Roman" w:eastAsia="Times New Roman" w:hAnsi="Times New Roman" w:cs="Times New Roman"/>
          <w:color w:val="0E101A"/>
          <w:sz w:val="24"/>
          <w:szCs w:val="24"/>
          <w:lang w:eastAsia="en-CA"/>
        </w:rPr>
        <w:t xml:space="preserve"> of the growth of cash crops (cocoa), timber, gold mining and even the national administration of government are benefited by the coast (Accra and Sekondi-Takoradi), South (Kumasi), whiles the North lacks in those investments. According to (Adarkwa 2012), two main structures became evident in the country's spatial economy. A </w:t>
      </w:r>
      <w:r w:rsidR="00F11217" w:rsidRPr="00FC5FCC">
        <w:rPr>
          <w:rFonts w:ascii="Times New Roman" w:eastAsia="Times New Roman" w:hAnsi="Times New Roman" w:cs="Times New Roman"/>
          <w:color w:val="0E101A"/>
          <w:sz w:val="24"/>
          <w:szCs w:val="24"/>
          <w:lang w:eastAsia="en-CA"/>
        </w:rPr>
        <w:t>center</w:t>
      </w:r>
      <w:r w:rsidRPr="00FC5FCC">
        <w:rPr>
          <w:rFonts w:ascii="Times New Roman" w:eastAsia="Times New Roman" w:hAnsi="Times New Roman" w:cs="Times New Roman"/>
          <w:color w:val="0E101A"/>
          <w:sz w:val="24"/>
          <w:szCs w:val="24"/>
          <w:lang w:eastAsia="en-CA"/>
        </w:rPr>
        <w:t xml:space="preserve">-periphery form emerged under which the </w:t>
      </w:r>
      <w:r w:rsidR="00F11217" w:rsidRPr="00FC5FCC">
        <w:rPr>
          <w:rFonts w:ascii="Times New Roman" w:eastAsia="Times New Roman" w:hAnsi="Times New Roman" w:cs="Times New Roman"/>
          <w:color w:val="0E101A"/>
          <w:sz w:val="24"/>
          <w:szCs w:val="24"/>
          <w:lang w:eastAsia="en-CA"/>
        </w:rPr>
        <w:t>center</w:t>
      </w:r>
      <w:r w:rsidRPr="00FC5FCC">
        <w:rPr>
          <w:rFonts w:ascii="Times New Roman" w:eastAsia="Times New Roman" w:hAnsi="Times New Roman" w:cs="Times New Roman"/>
          <w:color w:val="0E101A"/>
          <w:sz w:val="24"/>
          <w:szCs w:val="24"/>
          <w:lang w:eastAsia="en-CA"/>
        </w:rPr>
        <w:t xml:space="preserve"> consisted of a forest belt where raw materials were concentrated with Kumasi as the </w:t>
      </w:r>
      <w:r w:rsidR="00F11217" w:rsidRPr="00FC5FCC">
        <w:rPr>
          <w:rFonts w:ascii="Times New Roman" w:eastAsia="Times New Roman" w:hAnsi="Times New Roman" w:cs="Times New Roman"/>
          <w:color w:val="0E101A"/>
          <w:sz w:val="24"/>
          <w:szCs w:val="24"/>
          <w:lang w:eastAsia="en-CA"/>
        </w:rPr>
        <w:t>center</w:t>
      </w:r>
      <w:r w:rsidRPr="00FC5FCC">
        <w:rPr>
          <w:rFonts w:ascii="Times New Roman" w:eastAsia="Times New Roman" w:hAnsi="Times New Roman" w:cs="Times New Roman"/>
          <w:color w:val="0E101A"/>
          <w:sz w:val="24"/>
          <w:szCs w:val="24"/>
          <w:lang w:eastAsia="en-CA"/>
        </w:rPr>
        <w:t xml:space="preserve"> of this </w:t>
      </w:r>
      <w:r w:rsidRPr="00FC5FCC">
        <w:rPr>
          <w:rFonts w:ascii="Times New Roman" w:eastAsia="Times New Roman" w:hAnsi="Times New Roman" w:cs="Times New Roman"/>
          <w:color w:val="0E101A"/>
          <w:sz w:val="24"/>
          <w:szCs w:val="24"/>
          <w:lang w:eastAsia="en-CA"/>
        </w:rPr>
        <w:lastRenderedPageBreak/>
        <w:t xml:space="preserve">system. The second type of growth region consisted of Sekondi-Takoradi and Accra becoming the most important centres. Thus, these three towns, Accra, Kumasi, and Sekondi-Takoradi, monopolized much of the country's modern social infrastructure (Songsore, 1989). According to the Population and Housing Census (PHC 2010), this situation has deepened the development gap between the southern, coastal, and northern regions in </w:t>
      </w:r>
      <w:r w:rsidR="00AC11BC" w:rsidRPr="00FC5FCC">
        <w:rPr>
          <w:rFonts w:ascii="Times New Roman" w:eastAsia="Times New Roman" w:hAnsi="Times New Roman" w:cs="Times New Roman"/>
          <w:color w:val="0E101A"/>
          <w:sz w:val="24"/>
          <w:szCs w:val="24"/>
          <w:lang w:eastAsia="en-CA"/>
        </w:rPr>
        <w:t>Ghana. This</w:t>
      </w:r>
      <w:r w:rsidRPr="00FC5FCC">
        <w:rPr>
          <w:rFonts w:ascii="Times New Roman" w:eastAsia="Times New Roman" w:hAnsi="Times New Roman" w:cs="Times New Roman"/>
          <w:color w:val="0E101A"/>
          <w:sz w:val="24"/>
          <w:szCs w:val="24"/>
          <w:lang w:eastAsia="en-CA"/>
        </w:rPr>
        <w:t xml:space="preserve"> partly accounts for the North's underdevelopment and least urbanized nature, which had persisted. Besides, subsequent governments' political elites and power relations have focused their efforts on developing the forest and coastal areas of the South, whiles the North still lacks significant development. In effect, the North received very little investment in necessary social infrastructure, educational facilities, and manufacturing industries (Brukum,1998). Hence, uneven attainment of development in the north part of the country explains the north-south migration, affecting the lives (biography) of the rural populace, in considerable detail, be traced to the historical influences of colonialism (Abdul-Korah, 2008). The North received very little investment in necessary social infrastructure, educational facilities, and manufacturing. Also, as policies pursued by subsequent governments focused their efforts on developing the forest and coastal areas of the South, the North still functions as a reservoir of unskilled </w:t>
      </w:r>
      <w:r w:rsidR="00F11217" w:rsidRPr="00FC5FCC">
        <w:rPr>
          <w:rFonts w:ascii="Times New Roman" w:eastAsia="Times New Roman" w:hAnsi="Times New Roman" w:cs="Times New Roman"/>
          <w:color w:val="0E101A"/>
          <w:sz w:val="24"/>
          <w:szCs w:val="24"/>
          <w:lang w:eastAsia="en-CA"/>
        </w:rPr>
        <w:t>labor</w:t>
      </w:r>
      <w:r w:rsidRPr="00FC5FCC">
        <w:rPr>
          <w:rFonts w:ascii="Times New Roman" w:eastAsia="Times New Roman" w:hAnsi="Times New Roman" w:cs="Times New Roman"/>
          <w:color w:val="0E101A"/>
          <w:sz w:val="24"/>
          <w:szCs w:val="24"/>
          <w:lang w:eastAsia="en-CA"/>
        </w:rPr>
        <w:t xml:space="preserve"> (Boateng and Korang-Okrah, 2013). Considering the presence of many forms of inequalities in Ghana, including persistently high levels of gender and urban-rural inequalities (GSS, 20</w:t>
      </w:r>
      <w:r w:rsidR="00AC11BC" w:rsidRPr="00FC5FCC">
        <w:rPr>
          <w:rFonts w:ascii="Times New Roman" w:eastAsia="Times New Roman" w:hAnsi="Times New Roman" w:cs="Times New Roman"/>
          <w:color w:val="0E101A"/>
          <w:sz w:val="24"/>
          <w:szCs w:val="24"/>
          <w:lang w:eastAsia="en-CA"/>
        </w:rPr>
        <w:t>12</w:t>
      </w:r>
      <w:r w:rsidRPr="00FC5FCC">
        <w:rPr>
          <w:rFonts w:ascii="Times New Roman" w:eastAsia="Times New Roman" w:hAnsi="Times New Roman" w:cs="Times New Roman"/>
          <w:color w:val="0E101A"/>
          <w:sz w:val="24"/>
          <w:szCs w:val="24"/>
          <w:lang w:eastAsia="en-CA"/>
        </w:rPr>
        <w:t xml:space="preserve">.p 9), a rationale is also required to pay attention to the North-South inequalities in this paper and how this condition has an impact on individual biographers coming from the North. Aside from the development disparities between the North and South built on colonial policies, strategies, and the reoccurring power relation of institutions such as education and socio-economic condition, the socio-cultural constraints of various ethnic groups in Ghana </w:t>
      </w:r>
      <w:r w:rsidRPr="00FC5FCC">
        <w:rPr>
          <w:rFonts w:ascii="Times New Roman" w:eastAsia="Times New Roman" w:hAnsi="Times New Roman" w:cs="Times New Roman"/>
          <w:color w:val="0E101A"/>
          <w:sz w:val="24"/>
          <w:szCs w:val="24"/>
          <w:lang w:eastAsia="en-CA"/>
        </w:rPr>
        <w:lastRenderedPageBreak/>
        <w:t>further deepen this gap and forming multiple demographic life experiences amongst rural-urban migrant women's (kayayei) in the cities of Ghana. </w:t>
      </w:r>
    </w:p>
    <w:p w14:paraId="447272B7" w14:textId="77777777"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p>
    <w:p w14:paraId="75A7B63C" w14:textId="77777777"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p>
    <w:p w14:paraId="3E07213F" w14:textId="77777777" w:rsidR="005A6812" w:rsidRPr="00FC5FCC" w:rsidRDefault="005A6812" w:rsidP="00DF3C36">
      <w:pPr>
        <w:pStyle w:val="Heading3"/>
        <w:jc w:val="both"/>
        <w:rPr>
          <w:rFonts w:ascii="Times New Roman" w:eastAsia="Times New Roman" w:hAnsi="Times New Roman" w:cs="Times New Roman"/>
          <w:b/>
          <w:bCs/>
          <w:lang w:eastAsia="en-CA"/>
        </w:rPr>
      </w:pPr>
      <w:bookmarkStart w:id="36" w:name="_Toc67825660"/>
      <w:bookmarkStart w:id="37" w:name="_Toc67826410"/>
      <w:r w:rsidRPr="00FC5FCC">
        <w:rPr>
          <w:rFonts w:ascii="Times New Roman" w:eastAsia="Times New Roman" w:hAnsi="Times New Roman" w:cs="Times New Roman"/>
          <w:b/>
          <w:bCs/>
          <w:lang w:eastAsia="en-CA"/>
        </w:rPr>
        <w:t>Socio-economic development</w:t>
      </w:r>
      <w:bookmarkEnd w:id="36"/>
      <w:bookmarkEnd w:id="37"/>
      <w:r w:rsidRPr="00FC5FCC">
        <w:rPr>
          <w:rFonts w:ascii="Times New Roman" w:eastAsia="Times New Roman" w:hAnsi="Times New Roman" w:cs="Times New Roman"/>
          <w:b/>
          <w:bCs/>
          <w:lang w:eastAsia="en-CA"/>
        </w:rPr>
        <w:t> </w:t>
      </w:r>
    </w:p>
    <w:p w14:paraId="3F92BC29" w14:textId="77777777" w:rsidR="00935A3A" w:rsidRPr="00FC5FCC" w:rsidRDefault="00935A3A" w:rsidP="00DF3C36">
      <w:pPr>
        <w:spacing w:after="0" w:line="480" w:lineRule="auto"/>
        <w:jc w:val="both"/>
        <w:rPr>
          <w:rFonts w:ascii="Times New Roman" w:eastAsia="Times New Roman" w:hAnsi="Times New Roman" w:cs="Times New Roman"/>
          <w:color w:val="0E101A"/>
          <w:sz w:val="24"/>
          <w:szCs w:val="24"/>
          <w:lang w:eastAsia="en-CA"/>
        </w:rPr>
      </w:pPr>
    </w:p>
    <w:p w14:paraId="329334B2" w14:textId="10737D12"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Before the coming of the colonial powers, pre-colonial relationships existed between kingdoms and tribes in Ghana. With sophisticated military organization and wealth accrued from the plunder of war and slave trade, the Asante kingdom defeated two traditional states from the North, namely the "Gonja and Dagbon" Kingdom and henceforth collected regular tribute from them as a sign of paying allegiance (Abdulai</w:t>
      </w:r>
      <w:r w:rsidR="00F11217"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 xml:space="preserve">2012). This historical content has created a cultural hegemony power relation between the Asante's from the South and the "Gonja's and Dagbon's" from the North. This long-standing power relation has created a kind of ethnic antagonism between the northerners and the southerners, leading to a sort of </w:t>
      </w:r>
      <w:r w:rsidRPr="00FC5FCC">
        <w:rPr>
          <w:rFonts w:ascii="Times New Roman" w:hAnsi="Times New Roman" w:cs="Times New Roman"/>
          <w:sz w:val="24"/>
          <w:szCs w:val="24"/>
        </w:rPr>
        <w:t xml:space="preserve">culture hegemony, </w:t>
      </w:r>
      <w:r w:rsidRPr="00FC5FCC">
        <w:rPr>
          <w:rFonts w:ascii="Times New Roman" w:eastAsia="Times New Roman" w:hAnsi="Times New Roman" w:cs="Times New Roman"/>
          <w:color w:val="0E101A"/>
          <w:sz w:val="24"/>
          <w:szCs w:val="24"/>
          <w:lang w:eastAsia="en-CA"/>
        </w:rPr>
        <w:t>influencing the demographic life experiences between the South and North before the coming of colonial masters. Although colonial rule marked the end of slave trade raiding in Africa, colonial states and kingdoms set the stage for uneven regional development in various ways (Abdulai,</w:t>
      </w:r>
      <w:r w:rsidR="00F11217"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2012). As a result of colonial interest in exploitation rather than development (Mohan, 2011), transport and communication infrastructure, as well as the provision of essential social services (education), were unevenly distributed in nearly all the colonies (Boahene, 1987:101). Developmental resources were mainly concentrated in settlements where exploitable natural resources were readily available, including political-administrative centers (</w:t>
      </w:r>
      <w:r w:rsidR="009708DF" w:rsidRPr="00FC5FCC">
        <w:rPr>
          <w:rFonts w:ascii="Times New Roman" w:eastAsia="Times New Roman" w:hAnsi="Times New Roman" w:cs="Times New Roman"/>
          <w:color w:val="0E101A"/>
          <w:sz w:val="24"/>
          <w:szCs w:val="24"/>
          <w:lang w:eastAsia="en-CA"/>
        </w:rPr>
        <w:t xml:space="preserve">Janotti &amp; </w:t>
      </w:r>
      <w:r w:rsidRPr="00FC5FCC">
        <w:rPr>
          <w:rFonts w:ascii="Times New Roman" w:eastAsia="Times New Roman" w:hAnsi="Times New Roman" w:cs="Times New Roman"/>
          <w:color w:val="0E101A"/>
          <w:sz w:val="24"/>
          <w:szCs w:val="24"/>
          <w:lang w:eastAsia="en-CA"/>
        </w:rPr>
        <w:t xml:space="preserve">Van de Walle, 2009). However, colonies with limited exploitable resources were not only generally excluded from public spending (Rothchild, 1969, p. 689-711); the human capital of these regions was typically exploited through their adverse incorporation into </w:t>
      </w:r>
      <w:r w:rsidRPr="00FC5FCC">
        <w:rPr>
          <w:rFonts w:ascii="Times New Roman" w:eastAsia="Times New Roman" w:hAnsi="Times New Roman" w:cs="Times New Roman"/>
          <w:color w:val="0E101A"/>
          <w:sz w:val="24"/>
          <w:szCs w:val="24"/>
          <w:lang w:eastAsia="en-CA"/>
        </w:rPr>
        <w:lastRenderedPageBreak/>
        <w:t>the broader economy as sources of cheap labour. Building on the pre-colonial relationship between the two kingdoms, with British colonial policy, Northern Ghana or the northern Region was used as a labour reserve for the South (Opare, 2003: Kwankye</w:t>
      </w:r>
      <w:r w:rsidR="001C3043" w:rsidRPr="00FC5FCC">
        <w:rPr>
          <w:rFonts w:ascii="Times New Roman" w:eastAsia="Times New Roman" w:hAnsi="Times New Roman" w:cs="Times New Roman"/>
          <w:color w:val="0E101A"/>
          <w:sz w:val="24"/>
          <w:szCs w:val="24"/>
          <w:lang w:eastAsia="en-CA"/>
        </w:rPr>
        <w:t xml:space="preserve"> 2009</w:t>
      </w:r>
      <w:r w:rsidRPr="00FC5FCC">
        <w:rPr>
          <w:rFonts w:ascii="Times New Roman" w:eastAsia="Times New Roman" w:hAnsi="Times New Roman" w:cs="Times New Roman"/>
          <w:color w:val="0E101A"/>
          <w:sz w:val="24"/>
          <w:szCs w:val="24"/>
          <w:lang w:eastAsia="en-CA"/>
        </w:rPr>
        <w:t>). Labour was recruited from the North to work on cocoa farms and in the mines in the South. Contextually, this meant the concentration of socio-economic development in Ghana; then, Gold Coast was predominantly stationed in the South and coastal regions, depriving the North of any development form. Aside from the Region serving as a labour reserve site for the south development, other economic potentialities of the Region included cattle rearing, cotton, shea nut and agriculture (rice, maize, and yam. Agriculture or peasant farming has been the main occupation of rural populaces of the North. Smallholder farmers cultivate crops on a smaller scale to feed themselves and their families while trading off the surplus in local markets for economic exchange. According to UNDP (2018) report</w:t>
      </w:r>
      <w:r w:rsidR="007A5BEF" w:rsidRPr="00FC5FCC">
        <w:rPr>
          <w:rFonts w:ascii="Times New Roman" w:eastAsia="Times New Roman" w:hAnsi="Times New Roman" w:cs="Times New Roman"/>
          <w:color w:val="0E101A"/>
          <w:sz w:val="24"/>
          <w:szCs w:val="24"/>
          <w:lang w:eastAsia="en-CA"/>
        </w:rPr>
        <w:t xml:space="preserve"> cited in </w:t>
      </w:r>
      <w:r w:rsidR="007A5BEF" w:rsidRPr="00FC5FCC">
        <w:rPr>
          <w:rFonts w:ascii="Times New Roman" w:hAnsi="Times New Roman" w:cs="Times New Roman"/>
          <w:color w:val="222222"/>
          <w:sz w:val="24"/>
          <w:szCs w:val="24"/>
          <w:shd w:val="clear" w:color="auto" w:fill="FFFFFF"/>
        </w:rPr>
        <w:t>Lahiri-Dutt, K. (2018).</w:t>
      </w:r>
      <w:r w:rsidRPr="00FC5FCC">
        <w:rPr>
          <w:rFonts w:ascii="Times New Roman" w:eastAsia="Times New Roman" w:hAnsi="Times New Roman" w:cs="Times New Roman"/>
          <w:color w:val="0E101A"/>
          <w:sz w:val="24"/>
          <w:szCs w:val="24"/>
          <w:lang w:eastAsia="en-CA"/>
        </w:rPr>
        <w:t>,</w:t>
      </w:r>
      <w:r w:rsidR="007A5BEF"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the agricultural population in the North has no alternative or complementary means of securing and sustaining their livelihood (UNDP, 2018 Report), and this has been the condition since pre-colonial history. Before Ghana attained independence, the British administration excluded the socio-economic potential of the North from policies of the national economy, as well as delayed educational advancement.</w:t>
      </w:r>
    </w:p>
    <w:p w14:paraId="54595D17" w14:textId="77777777"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p>
    <w:p w14:paraId="73AD5EBA" w14:textId="77777777" w:rsidR="005A6812" w:rsidRPr="00FC5FCC" w:rsidRDefault="005A6812" w:rsidP="00DF3C36">
      <w:pPr>
        <w:pStyle w:val="Heading3"/>
        <w:jc w:val="both"/>
        <w:rPr>
          <w:rFonts w:ascii="Times New Roman" w:hAnsi="Times New Roman" w:cs="Times New Roman"/>
          <w:b/>
          <w:bCs/>
        </w:rPr>
      </w:pPr>
      <w:bookmarkStart w:id="38" w:name="_Toc67825661"/>
      <w:bookmarkStart w:id="39" w:name="_Toc67826411"/>
      <w:r w:rsidRPr="00FC5FCC">
        <w:rPr>
          <w:rFonts w:ascii="Times New Roman" w:hAnsi="Times New Roman" w:cs="Times New Roman"/>
          <w:b/>
          <w:bCs/>
        </w:rPr>
        <w:t>Educational development</w:t>
      </w:r>
      <w:bookmarkEnd w:id="38"/>
      <w:bookmarkEnd w:id="39"/>
      <w:r w:rsidRPr="00FC5FCC">
        <w:rPr>
          <w:rFonts w:ascii="Times New Roman" w:hAnsi="Times New Roman" w:cs="Times New Roman"/>
          <w:b/>
          <w:bCs/>
        </w:rPr>
        <w:t>  </w:t>
      </w:r>
    </w:p>
    <w:p w14:paraId="38FC98F6" w14:textId="77777777" w:rsidR="00F47BF9" w:rsidRPr="00FC5FCC" w:rsidRDefault="00F47BF9" w:rsidP="00DF3C36">
      <w:pPr>
        <w:spacing w:after="0" w:line="480" w:lineRule="auto"/>
        <w:jc w:val="both"/>
        <w:rPr>
          <w:rFonts w:ascii="Times New Roman" w:eastAsia="Times New Roman" w:hAnsi="Times New Roman" w:cs="Times New Roman"/>
          <w:color w:val="0E101A"/>
          <w:sz w:val="24"/>
          <w:szCs w:val="24"/>
          <w:lang w:eastAsia="en-CA"/>
        </w:rPr>
      </w:pPr>
    </w:p>
    <w:p w14:paraId="5D1803D3" w14:textId="42A6279D"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On the eve of Ghana's political independence, Northern Ghana had only four higher learning institutions, one university graduate, no extractive or productive industry, a rudimentary communication system, and agriculture predominantly still at subsistence level (Brukum, (1998). By 1920, the north territorials existed primarily as a labour reservoir. This condition profoundly shaped the attainment of education in the area, and as a result, the colonial government paid little </w:t>
      </w:r>
      <w:r w:rsidRPr="00FC5FCC">
        <w:rPr>
          <w:rFonts w:ascii="Times New Roman" w:eastAsia="Times New Roman" w:hAnsi="Times New Roman" w:cs="Times New Roman"/>
          <w:color w:val="0E101A"/>
          <w:sz w:val="24"/>
          <w:szCs w:val="24"/>
          <w:lang w:eastAsia="en-CA"/>
        </w:rPr>
        <w:lastRenderedPageBreak/>
        <w:t>attention to education in the North. Western teaching started with Christian Missionaries recognized as instructors to indigenes/natives of the 'Gold Coast' now Ghana. Later with the establishment of learning cent</w:t>
      </w:r>
      <w:r w:rsidR="00F11217" w:rsidRPr="00FC5FCC">
        <w:rPr>
          <w:rFonts w:ascii="Times New Roman" w:eastAsia="Times New Roman" w:hAnsi="Times New Roman" w:cs="Times New Roman"/>
          <w:color w:val="0E101A"/>
          <w:sz w:val="24"/>
          <w:szCs w:val="24"/>
          <w:lang w:eastAsia="en-CA"/>
        </w:rPr>
        <w:t>er</w:t>
      </w:r>
      <w:r w:rsidRPr="00FC5FCC">
        <w:rPr>
          <w:rFonts w:ascii="Times New Roman" w:eastAsia="Times New Roman" w:hAnsi="Times New Roman" w:cs="Times New Roman"/>
          <w:color w:val="0E101A"/>
          <w:sz w:val="24"/>
          <w:szCs w:val="24"/>
          <w:lang w:eastAsia="en-CA"/>
        </w:rPr>
        <w:t xml:space="preserve"> in the castle known as (castle schools), formal education by colonial masters was only for their bi-racial children, with whom they had with some of the Ghanaian women cited in </w:t>
      </w:r>
      <w:r w:rsidR="00A11610" w:rsidRPr="00FC5FCC">
        <w:rPr>
          <w:rFonts w:ascii="Times New Roman" w:eastAsia="Times New Roman" w:hAnsi="Times New Roman" w:cs="Times New Roman"/>
          <w:color w:val="0E101A"/>
          <w:sz w:val="24"/>
          <w:szCs w:val="24"/>
          <w:lang w:eastAsia="en-CA"/>
        </w:rPr>
        <w:t>(</w:t>
      </w:r>
      <w:r w:rsidR="00A11610" w:rsidRPr="00FC5FCC">
        <w:rPr>
          <w:rFonts w:ascii="Times New Roman" w:hAnsi="Times New Roman" w:cs="Times New Roman"/>
          <w:color w:val="222222"/>
          <w:sz w:val="24"/>
          <w:szCs w:val="24"/>
          <w:shd w:val="clear" w:color="auto" w:fill="FFFFFF"/>
        </w:rPr>
        <w:t>Allotey, G. A. (2019)</w:t>
      </w:r>
      <w:r w:rsidRPr="00FC5FCC">
        <w:rPr>
          <w:rFonts w:ascii="Times New Roman" w:eastAsia="Times New Roman" w:hAnsi="Times New Roman" w:cs="Times New Roman"/>
          <w:color w:val="0E101A"/>
          <w:sz w:val="24"/>
          <w:szCs w:val="24"/>
          <w:lang w:eastAsia="en-CA"/>
        </w:rPr>
        <w:t xml:space="preserve">. Children of powerful traditional chiefs, wealthy local merchants, or traders also had their children attain formal education in the castle schools. Western education in Ghana, then 'Gold Coast' started with many challenges, ranging from the diversity of ethnic groups, languages and more especially, the lack of teachers proficient in the Northern language to teach, Brukum, (1998, p. 129). With the late introduction of western education in the North, the first Secondary/High School in the 'Gold Coast' was established in 1876, whiles the North had its first government high school in 1951, Quist (2003, P.188-199). With significant contributions of Christian Missionaries in the advancement of education in Ghana, the colonial government prevented and slowed down the extension of education in the North (Kimble, 1963, p.79; Plange, 1984, p.38). Similar to the colonial socio-economic administration of using the North as a labour source, British governors also implemented educational policies that subordinated to the interest of regions in the colony that had exploitable resources excluding the North. For example, the then British administration stopped the commissioning of schools at Bole, Yendi, Kete Krachi and Bawku in 1923 was stopped because of Achimota College's building in Kumasi in the South. Admittedly, some parents for the North were unwilling to send their children to school because of lack of funds and the fear of children parting from traditional teaching and ethnic norms, values, and culture. Administratively, British governor Sir Gordon Guggisberg appointed in 1919, was passionate and optimistic about the educational development and the general development of the northern territorials. His educational reforms in the colony paved the </w:t>
      </w:r>
      <w:r w:rsidRPr="00FC5FCC">
        <w:rPr>
          <w:rFonts w:ascii="Times New Roman" w:eastAsia="Times New Roman" w:hAnsi="Times New Roman" w:cs="Times New Roman"/>
          <w:color w:val="0E101A"/>
          <w:sz w:val="24"/>
          <w:szCs w:val="24"/>
          <w:lang w:eastAsia="en-CA"/>
        </w:rPr>
        <w:lastRenderedPageBreak/>
        <w:t>way for establishing a 'central school' in Tamale (North) as a model for infant and primary/elementary education (Brukum, (1998, p.130).</w:t>
      </w:r>
    </w:p>
    <w:p w14:paraId="7D57A8F7" w14:textId="77777777"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w:t>
      </w:r>
    </w:p>
    <w:p w14:paraId="26F9FA7A" w14:textId="77777777"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hAnsi="Times New Roman" w:cs="Times New Roman"/>
          <w:noProof/>
          <w:sz w:val="24"/>
          <w:szCs w:val="24"/>
        </w:rPr>
        <w:drawing>
          <wp:inline distT="0" distB="0" distL="0" distR="0" wp14:anchorId="073D4ECF" wp14:editId="56050469">
            <wp:extent cx="5943600" cy="17760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1776095"/>
                    </a:xfrm>
                    <a:prstGeom prst="rect">
                      <a:avLst/>
                    </a:prstGeom>
                  </pic:spPr>
                </pic:pic>
              </a:graphicData>
            </a:graphic>
          </wp:inline>
        </w:drawing>
      </w:r>
    </w:p>
    <w:p w14:paraId="3F37BDBE" w14:textId="1CF44E1A"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This table indicates the total number of schools in 'Gold Coast' now Ghana in 1919, cited in (Abdulai, 2012). Educational exclusion and the limited number of educational infrastructures played a pivotal role in maintaining or sustaining the North's peripheral status within a broader political economy in the Gold Coast as a labour reserve. In the table above, Ashanti (Kumasi) in the South and the Northern Territories (North) had the same number of Government schools, four (4), and the Ashanti Region again had 19 Government-assisted Mission Schools, whiles the Northern Territories had zero (0). In all, a total number of 2.579 and 211 pupils representing a total population of 0.58% and 0.3% respectively. The "Colony" represents Accra (Coastal), which meant the British government's administrative seat had the largest number of schools of 186, with a total of 24.528 representing a population of 17.57%. However, the Northern Territories had zero (0) Government Assisted Mission Schools because of Christian Missionaries' early settlement in the coastal and southern regions. This situation has resulted in a massive gap between urban and rural children regarding access to formal education from generation to generation. The exclusion of the north territorials from productive economic activities promoted the continuous outflow of able north men as labourers. After so many years, there is an influx outflow of adolescent girls working as </w:t>
      </w:r>
      <w:r w:rsidR="00F11217" w:rsidRPr="00FC5FCC">
        <w:rPr>
          <w:rFonts w:ascii="Times New Roman" w:eastAsia="Times New Roman" w:hAnsi="Times New Roman" w:cs="Times New Roman"/>
          <w:color w:val="0E101A"/>
          <w:sz w:val="24"/>
          <w:szCs w:val="24"/>
          <w:lang w:eastAsia="en-CA"/>
        </w:rPr>
        <w:t>unskilled</w:t>
      </w:r>
      <w:r w:rsidRPr="00FC5FCC">
        <w:rPr>
          <w:rFonts w:ascii="Times New Roman" w:eastAsia="Times New Roman" w:hAnsi="Times New Roman" w:cs="Times New Roman"/>
          <w:color w:val="0E101A"/>
          <w:sz w:val="24"/>
          <w:szCs w:val="24"/>
          <w:lang w:eastAsia="en-CA"/>
        </w:rPr>
        <w:t xml:space="preserve"> </w:t>
      </w:r>
      <w:r w:rsidR="00F11217" w:rsidRPr="00FC5FCC">
        <w:rPr>
          <w:rFonts w:ascii="Times New Roman" w:eastAsia="Times New Roman" w:hAnsi="Times New Roman" w:cs="Times New Roman"/>
          <w:color w:val="0E101A"/>
          <w:sz w:val="24"/>
          <w:szCs w:val="24"/>
          <w:lang w:eastAsia="en-CA"/>
        </w:rPr>
        <w:t>labor</w:t>
      </w:r>
      <w:r w:rsidRPr="00FC5FCC">
        <w:rPr>
          <w:rFonts w:ascii="Times New Roman" w:eastAsia="Times New Roman" w:hAnsi="Times New Roman" w:cs="Times New Roman"/>
          <w:color w:val="0E101A"/>
          <w:sz w:val="24"/>
          <w:szCs w:val="24"/>
          <w:lang w:eastAsia="en-CA"/>
        </w:rPr>
        <w:t xml:space="preserve"> in modern Ghana. Again, the Region's exclusion from educational opportunities meant that Northern migrants remained incorporated into the Southern export economy on adverse terms (Abdulai, (2012). Plange (1979b) has offered one of the most interesting explanations of how the North's educational exclusion underpinned its marginal status within the colonial economy as a supplier of cheap labour. "As primary/elementary schools were introduced in Northern Ghana, they created a mass of 'educated' people without corresponding jobs being available in the Region. Consequently, those who finished their elementary education were compelled to move to the South, only to find themselves 'un-trained' for the types of jobs available for educated people. The only recourse then was to take menial and manual jobs or to accept employment in households as cooks, stewards, gardeners, and night-watchmen" (Plange, 1979b: 675-76) cited in Abdulai, (2012).</w:t>
      </w:r>
    </w:p>
    <w:p w14:paraId="68D9D13F" w14:textId="7E9688DB" w:rsidR="005A6812" w:rsidRPr="00FC5FCC" w:rsidRDefault="005A6812"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In this study, it is essential to emphasize the early and historical context of socio-economic and educational attainment/development in Ghana and its replicant effect on rural northern families' life phases and life trajectories from one generation to another. According to the(WHO 2018) report, the life course recognizes that all stages of a person's life are intricately intertwined with each other and connected with the lives of others born in the same period and with the lives of their past and future generations of their families. The above review shows that colonial development policies </w:t>
      </w:r>
      <w:r w:rsidR="00A42693" w:rsidRPr="00FC5FCC">
        <w:rPr>
          <w:rFonts w:ascii="Times New Roman" w:eastAsia="Times New Roman" w:hAnsi="Times New Roman" w:cs="Times New Roman"/>
          <w:color w:val="0E101A"/>
          <w:sz w:val="24"/>
          <w:szCs w:val="24"/>
          <w:lang w:eastAsia="en-CA"/>
        </w:rPr>
        <w:t>favored</w:t>
      </w:r>
      <w:r w:rsidRPr="00FC5FCC">
        <w:rPr>
          <w:rFonts w:ascii="Times New Roman" w:eastAsia="Times New Roman" w:hAnsi="Times New Roman" w:cs="Times New Roman"/>
          <w:color w:val="0E101A"/>
          <w:sz w:val="24"/>
          <w:szCs w:val="24"/>
          <w:lang w:eastAsia="en-CA"/>
        </w:rPr>
        <w:t xml:space="preserve"> regions with exploitable resources, while areas with non-exploitable resources served as a labour reserve. The study also indicates that uneven/spatial development between the North and South is a result of geographical resource advantage. However, it is worth noting that geography does not automatically confer any advantage towards developing any region unless adequate human skilled and equitable human resources can put those resources into fair use. The above review reveals that by context, the Northern part of the country lacked natural resources and, at the same time, skilled labour because of the late introduction of education. By assumption, the spatial/uneven patterns of socio-economic development of the various regions in Ghana are significantly shaped by public resource allocation, which the North lacked. The above review also indicates that the historical precedent of pre-colonial power relations and the British political administration of Ghana has significantly contributed to the backward development of the country's northern part. This underdeveloped condition of the North has significantly impacted the north rural populace's life demography and life trajectory from generation to generation. </w:t>
      </w:r>
    </w:p>
    <w:p w14:paraId="3BB940FF" w14:textId="4CFF56D8" w:rsidR="00064F8B" w:rsidRPr="00FC5FCC" w:rsidRDefault="00064F8B" w:rsidP="00DF3C36">
      <w:pPr>
        <w:spacing w:after="0" w:line="480" w:lineRule="auto"/>
        <w:jc w:val="both"/>
        <w:rPr>
          <w:rFonts w:ascii="Times New Roman" w:eastAsia="Times New Roman" w:hAnsi="Times New Roman" w:cs="Times New Roman"/>
          <w:color w:val="0E101A"/>
          <w:sz w:val="24"/>
          <w:szCs w:val="24"/>
          <w:lang w:eastAsia="en-CA"/>
        </w:rPr>
      </w:pPr>
    </w:p>
    <w:p w14:paraId="25D35A68" w14:textId="3A115408" w:rsidR="00064F8B" w:rsidRPr="00FC5FCC" w:rsidRDefault="00064F8B" w:rsidP="00F0578B">
      <w:pPr>
        <w:pStyle w:val="Heading1"/>
        <w:jc w:val="center"/>
        <w:rPr>
          <w:rFonts w:ascii="Times New Roman" w:hAnsi="Times New Roman" w:cs="Times New Roman"/>
          <w:sz w:val="24"/>
          <w:szCs w:val="24"/>
        </w:rPr>
      </w:pPr>
      <w:bookmarkStart w:id="40" w:name="_Toc67825662"/>
      <w:bookmarkStart w:id="41" w:name="_Toc67826412"/>
      <w:r w:rsidRPr="00FC5FCC">
        <w:rPr>
          <w:rFonts w:ascii="Times New Roman" w:hAnsi="Times New Roman" w:cs="Times New Roman"/>
          <w:sz w:val="24"/>
          <w:szCs w:val="24"/>
        </w:rPr>
        <w:t>CH</w:t>
      </w:r>
      <w:r w:rsidR="00394456" w:rsidRPr="00FC5FCC">
        <w:rPr>
          <w:rFonts w:ascii="Times New Roman" w:hAnsi="Times New Roman" w:cs="Times New Roman"/>
          <w:sz w:val="24"/>
          <w:szCs w:val="24"/>
        </w:rPr>
        <w:t>A</w:t>
      </w:r>
      <w:r w:rsidRPr="00FC5FCC">
        <w:rPr>
          <w:rFonts w:ascii="Times New Roman" w:hAnsi="Times New Roman" w:cs="Times New Roman"/>
          <w:sz w:val="24"/>
          <w:szCs w:val="24"/>
        </w:rPr>
        <w:t>PTER 4</w:t>
      </w:r>
      <w:bookmarkEnd w:id="40"/>
      <w:bookmarkEnd w:id="41"/>
    </w:p>
    <w:p w14:paraId="7AB37EFF" w14:textId="7623356C" w:rsidR="00064F8B" w:rsidRPr="00FC5FCC" w:rsidRDefault="00064F8B" w:rsidP="00F0578B">
      <w:pPr>
        <w:pStyle w:val="Heading2"/>
        <w:jc w:val="center"/>
        <w:rPr>
          <w:rFonts w:ascii="Times New Roman" w:hAnsi="Times New Roman" w:cs="Times New Roman"/>
          <w:sz w:val="24"/>
          <w:szCs w:val="24"/>
        </w:rPr>
      </w:pPr>
      <w:bookmarkStart w:id="42" w:name="_Toc67825663"/>
      <w:bookmarkStart w:id="43" w:name="_Toc67826413"/>
      <w:r w:rsidRPr="00FC5FCC">
        <w:rPr>
          <w:rFonts w:ascii="Times New Roman" w:hAnsi="Times New Roman" w:cs="Times New Roman"/>
          <w:sz w:val="24"/>
          <w:szCs w:val="24"/>
        </w:rPr>
        <w:t>INFLUEN</w:t>
      </w:r>
      <w:r w:rsidR="00E87CAA" w:rsidRPr="00FC5FCC">
        <w:rPr>
          <w:rFonts w:ascii="Times New Roman" w:hAnsi="Times New Roman" w:cs="Times New Roman"/>
          <w:sz w:val="24"/>
          <w:szCs w:val="24"/>
        </w:rPr>
        <w:t>T</w:t>
      </w:r>
      <w:r w:rsidRPr="00FC5FCC">
        <w:rPr>
          <w:rFonts w:ascii="Times New Roman" w:hAnsi="Times New Roman" w:cs="Times New Roman"/>
          <w:sz w:val="24"/>
          <w:szCs w:val="24"/>
        </w:rPr>
        <w:t>IAL FACTORS</w:t>
      </w:r>
      <w:bookmarkEnd w:id="42"/>
      <w:bookmarkEnd w:id="43"/>
    </w:p>
    <w:p w14:paraId="2D823206" w14:textId="64ABE697" w:rsidR="005A6812" w:rsidRPr="00FC5FCC" w:rsidRDefault="005A6812" w:rsidP="00F0578B">
      <w:pPr>
        <w:spacing w:after="0" w:line="480" w:lineRule="auto"/>
        <w:jc w:val="center"/>
        <w:rPr>
          <w:rFonts w:ascii="Times New Roman" w:eastAsia="Times New Roman" w:hAnsi="Times New Roman" w:cs="Times New Roman"/>
          <w:b/>
          <w:bCs/>
          <w:color w:val="0E101A"/>
          <w:sz w:val="24"/>
          <w:szCs w:val="24"/>
          <w:lang w:eastAsia="en-CA"/>
        </w:rPr>
      </w:pPr>
    </w:p>
    <w:p w14:paraId="3443CD5B" w14:textId="395076B3" w:rsidR="00E87CAA" w:rsidRPr="00FC5FCC" w:rsidRDefault="00E87CAA" w:rsidP="00DF3C36">
      <w:pPr>
        <w:pStyle w:val="Heading3"/>
        <w:jc w:val="both"/>
        <w:rPr>
          <w:rFonts w:ascii="Times New Roman" w:hAnsi="Times New Roman" w:cs="Times New Roman"/>
        </w:rPr>
      </w:pPr>
      <w:bookmarkStart w:id="44" w:name="_Toc67826414"/>
      <w:r w:rsidRPr="00FC5FCC">
        <w:rPr>
          <w:rStyle w:val="Strong"/>
          <w:rFonts w:ascii="Times New Roman" w:hAnsi="Times New Roman" w:cs="Times New Roman"/>
          <w:color w:val="0E101A"/>
        </w:rPr>
        <w:t>Factors that influence rural demographic change in rural North</w:t>
      </w:r>
      <w:bookmarkEnd w:id="44"/>
      <w:r w:rsidRPr="00FC5FCC">
        <w:rPr>
          <w:rStyle w:val="Strong"/>
          <w:rFonts w:ascii="Times New Roman" w:hAnsi="Times New Roman" w:cs="Times New Roman"/>
          <w:color w:val="0E101A"/>
        </w:rPr>
        <w:t> </w:t>
      </w:r>
    </w:p>
    <w:p w14:paraId="16B115EA" w14:textId="77777777" w:rsidR="00F0578B" w:rsidRPr="00FC5FCC" w:rsidRDefault="00F0578B" w:rsidP="00DF3C36">
      <w:pPr>
        <w:spacing w:line="480" w:lineRule="auto"/>
        <w:jc w:val="both"/>
        <w:rPr>
          <w:rStyle w:val="Strong"/>
          <w:rFonts w:ascii="Times New Roman" w:hAnsi="Times New Roman" w:cs="Times New Roman"/>
          <w:b w:val="0"/>
          <w:bCs w:val="0"/>
          <w:color w:val="0E101A"/>
          <w:sz w:val="24"/>
          <w:szCs w:val="24"/>
        </w:rPr>
      </w:pPr>
    </w:p>
    <w:p w14:paraId="6701986D" w14:textId="77777777" w:rsidR="00F53AC5" w:rsidRPr="00FC5FCC" w:rsidRDefault="00A21217" w:rsidP="00DF3C36">
      <w:pPr>
        <w:spacing w:line="480" w:lineRule="auto"/>
        <w:jc w:val="both"/>
        <w:rPr>
          <w:rStyle w:val="Strong"/>
          <w:rFonts w:ascii="Times New Roman" w:hAnsi="Times New Roman" w:cs="Times New Roman"/>
          <w:b w:val="0"/>
          <w:bCs w:val="0"/>
          <w:color w:val="0E101A"/>
          <w:sz w:val="24"/>
          <w:szCs w:val="24"/>
        </w:rPr>
      </w:pPr>
      <w:r w:rsidRPr="00FC5FCC">
        <w:rPr>
          <w:rStyle w:val="Strong"/>
          <w:rFonts w:ascii="Times New Roman" w:hAnsi="Times New Roman" w:cs="Times New Roman"/>
          <w:b w:val="0"/>
          <w:bCs w:val="0"/>
          <w:color w:val="0E101A"/>
          <w:sz w:val="24"/>
          <w:szCs w:val="24"/>
        </w:rPr>
        <w:t>The spatial development between rural and urban settlement has often been a critical determinant of the relationships between people and households. This spatial development is often reflected in the changing demographic landscape, increasing interactions and interdependencies between spatially distinct areas of technology and information, goods and services, people, household composition, and environmental services (Suttie, 2016). These new changes in the demography landscape placed on urban transformation related to urbanization and economic growth in developing countries. Urban transformation is often reflected in societal changes involving enhanced resilience, productivity, profitability, and economic development sustainability (Suttie, 2016). Consequently, these transformative changes tend to influence households' interactions and interdependencies whiles exaggerating the effects of migration among families in distinct areas. As argued among scholars, the outcome of human migration patterns and processes brings more rapid changes to the social, political, and economic systems at both outgoing and receiving destinations (Edwin &amp;Glover, p.10, 2016). Quite notable, the transformative changes in a particular urban area presents welfare benefits, which influence a person's decision to pursue a specific type of migration with the hopes of transferring the welfare benefits to the households and communities.</w:t>
      </w:r>
    </w:p>
    <w:p w14:paraId="5843D0E7" w14:textId="0C3AD2BA" w:rsidR="00A21217" w:rsidRPr="00FC5FCC" w:rsidRDefault="00A21217" w:rsidP="00DF3C36">
      <w:pPr>
        <w:spacing w:line="480" w:lineRule="auto"/>
        <w:jc w:val="both"/>
        <w:rPr>
          <w:rStyle w:val="Strong"/>
          <w:rFonts w:ascii="Times New Roman" w:hAnsi="Times New Roman" w:cs="Times New Roman"/>
          <w:b w:val="0"/>
          <w:bCs w:val="0"/>
          <w:color w:val="0E101A"/>
          <w:sz w:val="24"/>
          <w:szCs w:val="24"/>
        </w:rPr>
      </w:pPr>
      <w:r w:rsidRPr="00FC5FCC">
        <w:rPr>
          <w:rStyle w:val="Strong"/>
          <w:rFonts w:ascii="Times New Roman" w:hAnsi="Times New Roman" w:cs="Times New Roman"/>
          <w:b w:val="0"/>
          <w:bCs w:val="0"/>
          <w:color w:val="0E101A"/>
          <w:sz w:val="24"/>
          <w:szCs w:val="24"/>
        </w:rPr>
        <w:t>Likewise, rural areas with severe shortages in such transformative resources, resulting in low productivity, profitability, and economic development sustainability, account for people</w:t>
      </w:r>
      <w:r w:rsidR="00F53AC5" w:rsidRPr="00FC5FCC">
        <w:rPr>
          <w:rStyle w:val="Strong"/>
          <w:rFonts w:ascii="Times New Roman" w:hAnsi="Times New Roman" w:cs="Times New Roman"/>
          <w:b w:val="0"/>
          <w:bCs w:val="0"/>
          <w:color w:val="0E101A"/>
          <w:sz w:val="24"/>
          <w:szCs w:val="24"/>
        </w:rPr>
        <w:t>’</w:t>
      </w:r>
      <w:r w:rsidRPr="00FC5FCC">
        <w:rPr>
          <w:rStyle w:val="Strong"/>
          <w:rFonts w:ascii="Times New Roman" w:hAnsi="Times New Roman" w:cs="Times New Roman"/>
          <w:b w:val="0"/>
          <w:bCs w:val="0"/>
          <w:color w:val="0E101A"/>
          <w:sz w:val="24"/>
          <w:szCs w:val="24"/>
        </w:rPr>
        <w:t>s massive outflow, affecting households</w:t>
      </w:r>
      <w:r w:rsidR="00F53AC5" w:rsidRPr="00FC5FCC">
        <w:rPr>
          <w:rStyle w:val="Strong"/>
          <w:rFonts w:ascii="Times New Roman" w:hAnsi="Times New Roman" w:cs="Times New Roman"/>
          <w:b w:val="0"/>
          <w:bCs w:val="0"/>
          <w:color w:val="0E101A"/>
          <w:sz w:val="24"/>
          <w:szCs w:val="24"/>
        </w:rPr>
        <w:t>’</w:t>
      </w:r>
      <w:r w:rsidRPr="00FC5FCC">
        <w:rPr>
          <w:rStyle w:val="Strong"/>
          <w:rFonts w:ascii="Times New Roman" w:hAnsi="Times New Roman" w:cs="Times New Roman"/>
          <w:b w:val="0"/>
          <w:bCs w:val="0"/>
          <w:color w:val="0E101A"/>
          <w:sz w:val="24"/>
          <w:szCs w:val="24"/>
        </w:rPr>
        <w:t xml:space="preserve"> compositions. This condition provides a theoretical argument for understanding rural-urban migration among developing countries. Using the Dual sector model of economic development offers a better understanding of migration patterns between rural and urban, primarily focusing on subsistence agricultural communities and a rapid transformative metropolitan city in developing countries. The model developed by W. Arthur Lewis (1945) Dual sector model of economic development postulate that there are two sectors: An agricultural/rural sector characterized by zero marginal productivity of labour, and an urban/industrial sector which has a high demand for labour and offer wages that are higher than rural areas (McCatty, p. 2004). This model makes two central assumptions: Rural/agriculture sector has surplus labour and pays average product (income sharing). Any significant changes within the agricultural industry of rural settlement potentially affect households</w:t>
      </w:r>
      <w:r w:rsidR="00F53AC5" w:rsidRPr="00FC5FCC">
        <w:rPr>
          <w:rStyle w:val="Strong"/>
          <w:rFonts w:ascii="Times New Roman" w:hAnsi="Times New Roman" w:cs="Times New Roman"/>
          <w:b w:val="0"/>
          <w:bCs w:val="0"/>
          <w:color w:val="0E101A"/>
          <w:sz w:val="24"/>
          <w:szCs w:val="24"/>
        </w:rPr>
        <w:t>’</w:t>
      </w:r>
      <w:r w:rsidRPr="00FC5FCC">
        <w:rPr>
          <w:rStyle w:val="Strong"/>
          <w:rFonts w:ascii="Times New Roman" w:hAnsi="Times New Roman" w:cs="Times New Roman"/>
          <w:b w:val="0"/>
          <w:bCs w:val="0"/>
          <w:color w:val="0E101A"/>
          <w:sz w:val="24"/>
          <w:szCs w:val="24"/>
        </w:rPr>
        <w:t xml:space="preserve"> livelihoods (income), resulting in household members</w:t>
      </w:r>
      <w:r w:rsidR="00F53AC5" w:rsidRPr="00FC5FCC">
        <w:rPr>
          <w:rStyle w:val="Strong"/>
          <w:rFonts w:ascii="Times New Roman" w:hAnsi="Times New Roman" w:cs="Times New Roman"/>
          <w:b w:val="0"/>
          <w:bCs w:val="0"/>
          <w:color w:val="0E101A"/>
          <w:sz w:val="24"/>
          <w:szCs w:val="24"/>
        </w:rPr>
        <w:t>’</w:t>
      </w:r>
      <w:r w:rsidRPr="00FC5FCC">
        <w:rPr>
          <w:rStyle w:val="Strong"/>
          <w:rFonts w:ascii="Times New Roman" w:hAnsi="Times New Roman" w:cs="Times New Roman"/>
          <w:b w:val="0"/>
          <w:bCs w:val="0"/>
          <w:color w:val="0E101A"/>
          <w:sz w:val="24"/>
          <w:szCs w:val="24"/>
        </w:rPr>
        <w:t xml:space="preserve"> outflow. With this background in mind, it is crucial to consider the factors that influence rural demographic changes that contribute to the plight of adolescent girls (Kayayei) circular migrants moving from the rural North to the urban cities in the south of Ghana.</w:t>
      </w:r>
    </w:p>
    <w:p w14:paraId="225AF5FB" w14:textId="45B2E811" w:rsidR="00E87CAA" w:rsidRPr="00FC5FCC" w:rsidRDefault="00A21217" w:rsidP="00DF3C36">
      <w:pPr>
        <w:spacing w:line="480" w:lineRule="auto"/>
        <w:jc w:val="both"/>
        <w:rPr>
          <w:rStyle w:val="Strong"/>
          <w:rFonts w:ascii="Times New Roman" w:hAnsi="Times New Roman" w:cs="Times New Roman"/>
          <w:b w:val="0"/>
          <w:bCs w:val="0"/>
          <w:color w:val="0E101A"/>
          <w:sz w:val="24"/>
          <w:szCs w:val="24"/>
        </w:rPr>
      </w:pPr>
      <w:r w:rsidRPr="00FC5FCC">
        <w:rPr>
          <w:rStyle w:val="Strong"/>
          <w:rFonts w:ascii="Times New Roman" w:hAnsi="Times New Roman" w:cs="Times New Roman"/>
          <w:b w:val="0"/>
          <w:bCs w:val="0"/>
          <w:color w:val="0E101A"/>
          <w:sz w:val="24"/>
          <w:szCs w:val="24"/>
        </w:rPr>
        <w:t>Studies about rural-urban migration pattern in Ghana has mainly focused on four main factors that account for circular migration among rural folks: thus threat of environmental circumstances (climate change), the discomfort of socio-economic, cultural, and political factors (Opera 2003, Abdulai 201</w:t>
      </w:r>
      <w:r w:rsidR="00A42693" w:rsidRPr="00FC5FCC">
        <w:rPr>
          <w:rStyle w:val="Strong"/>
          <w:rFonts w:ascii="Times New Roman" w:hAnsi="Times New Roman" w:cs="Times New Roman"/>
          <w:b w:val="0"/>
          <w:bCs w:val="0"/>
          <w:color w:val="0E101A"/>
          <w:sz w:val="24"/>
          <w:szCs w:val="24"/>
        </w:rPr>
        <w:t>2</w:t>
      </w:r>
      <w:r w:rsidRPr="00FC5FCC">
        <w:rPr>
          <w:rStyle w:val="Strong"/>
          <w:rFonts w:ascii="Times New Roman" w:hAnsi="Times New Roman" w:cs="Times New Roman"/>
          <w:b w:val="0"/>
          <w:bCs w:val="0"/>
          <w:color w:val="0E101A"/>
          <w:sz w:val="24"/>
          <w:szCs w:val="24"/>
        </w:rPr>
        <w:t>, Edwin 2016, Agana, 2018). Ecological factors such as climate change affect rainfall patterns and environmental degradation resulting from poor environmental resources management. The discomfort of agriculture economic conditions does not offer alternative employment opportunities affecting individuals and households. On the other hand, culture describing people</w:t>
      </w:r>
      <w:r w:rsidR="00F53AC5" w:rsidRPr="00FC5FCC">
        <w:rPr>
          <w:rStyle w:val="Strong"/>
          <w:rFonts w:ascii="Times New Roman" w:hAnsi="Times New Roman" w:cs="Times New Roman"/>
          <w:b w:val="0"/>
          <w:bCs w:val="0"/>
          <w:color w:val="0E101A"/>
          <w:sz w:val="24"/>
          <w:szCs w:val="24"/>
        </w:rPr>
        <w:t>’</w:t>
      </w:r>
      <w:r w:rsidRPr="00FC5FCC">
        <w:rPr>
          <w:rStyle w:val="Strong"/>
          <w:rFonts w:ascii="Times New Roman" w:hAnsi="Times New Roman" w:cs="Times New Roman"/>
          <w:b w:val="0"/>
          <w:bCs w:val="0"/>
          <w:color w:val="0E101A"/>
          <w:sz w:val="24"/>
          <w:szCs w:val="24"/>
        </w:rPr>
        <w:t>s way of life often influence people</w:t>
      </w:r>
      <w:r w:rsidR="00F53AC5" w:rsidRPr="00FC5FCC">
        <w:rPr>
          <w:rStyle w:val="Strong"/>
          <w:rFonts w:ascii="Times New Roman" w:hAnsi="Times New Roman" w:cs="Times New Roman"/>
          <w:b w:val="0"/>
          <w:bCs w:val="0"/>
          <w:color w:val="0E101A"/>
          <w:sz w:val="24"/>
          <w:szCs w:val="24"/>
        </w:rPr>
        <w:t>’</w:t>
      </w:r>
      <w:r w:rsidRPr="00FC5FCC">
        <w:rPr>
          <w:rStyle w:val="Strong"/>
          <w:rFonts w:ascii="Times New Roman" w:hAnsi="Times New Roman" w:cs="Times New Roman"/>
          <w:b w:val="0"/>
          <w:bCs w:val="0"/>
          <w:color w:val="0E101A"/>
          <w:sz w:val="24"/>
          <w:szCs w:val="24"/>
        </w:rPr>
        <w:t>s decision to migrate, such as forceful marriages or female genital mutilation (Opare, 2003). Moreover, the political factors include implementing policies that create development gaps (infrastructural disparities) between the rural North and urban south, thereby creating social classes between rural and urban households (Agana, 2018).</w:t>
      </w:r>
    </w:p>
    <w:p w14:paraId="169B6D29" w14:textId="77777777" w:rsidR="00E87CAA" w:rsidRPr="00FC5FCC" w:rsidRDefault="00E87CAA" w:rsidP="00DF3C36">
      <w:pPr>
        <w:pStyle w:val="Heading3"/>
        <w:jc w:val="both"/>
        <w:rPr>
          <w:rFonts w:ascii="Times New Roman" w:hAnsi="Times New Roman" w:cs="Times New Roman"/>
        </w:rPr>
      </w:pPr>
      <w:bookmarkStart w:id="45" w:name="_Toc67825664"/>
      <w:bookmarkStart w:id="46" w:name="_Toc67826415"/>
      <w:r w:rsidRPr="00FC5FCC">
        <w:rPr>
          <w:rStyle w:val="Strong"/>
          <w:rFonts w:ascii="Times New Roman" w:hAnsi="Times New Roman" w:cs="Times New Roman"/>
        </w:rPr>
        <w:t>Environmental circumstance (Climate change) and migration nexus</w:t>
      </w:r>
      <w:bookmarkEnd w:id="45"/>
      <w:bookmarkEnd w:id="46"/>
      <w:r w:rsidRPr="00FC5FCC">
        <w:rPr>
          <w:rStyle w:val="Strong"/>
          <w:rFonts w:ascii="Times New Roman" w:hAnsi="Times New Roman" w:cs="Times New Roman"/>
        </w:rPr>
        <w:t> </w:t>
      </w:r>
    </w:p>
    <w:p w14:paraId="418B69F1" w14:textId="77777777" w:rsidR="00F53AC5" w:rsidRPr="00FC5FCC" w:rsidRDefault="00F53AC5" w:rsidP="00DF3C36">
      <w:pPr>
        <w:pStyle w:val="NormalWeb"/>
        <w:spacing w:before="0" w:beforeAutospacing="0" w:after="0" w:afterAutospacing="0" w:line="480" w:lineRule="auto"/>
        <w:jc w:val="both"/>
        <w:rPr>
          <w:color w:val="0E101A"/>
        </w:rPr>
      </w:pPr>
    </w:p>
    <w:p w14:paraId="63B7829A" w14:textId="43417752" w:rsidR="00E87CAA" w:rsidRPr="00FC5FCC" w:rsidRDefault="00E87CAA" w:rsidP="00DF3C36">
      <w:pPr>
        <w:pStyle w:val="NormalWeb"/>
        <w:spacing w:before="0" w:beforeAutospacing="0" w:after="0" w:afterAutospacing="0" w:line="480" w:lineRule="auto"/>
        <w:jc w:val="both"/>
        <w:rPr>
          <w:color w:val="0E101A"/>
        </w:rPr>
      </w:pPr>
      <w:r w:rsidRPr="00FC5FCC">
        <w:rPr>
          <w:color w:val="0E101A"/>
        </w:rPr>
        <w:t>There has been a surge in migration globally, with an estimated five million people migrating permanently in 2016 (OECD, 2017). The drivers of migration vary across different populations, countries, and contexts. Migrants always tend to seek the fundamental objectives of ensuring food security and adequate living conditions for themselves and their families. Food security is a push factor driving international migration, income inequality, and population growth. The migration process itself leads to food insecurity stemming from the lack of income opportunities and adverse conditions compounded by demographic changes and conflict.</w:t>
      </w:r>
    </w:p>
    <w:p w14:paraId="121A3D71" w14:textId="72523E8D" w:rsidR="00E87CAA" w:rsidRPr="00FC5FCC" w:rsidRDefault="00E87CAA" w:rsidP="00DF3C36">
      <w:pPr>
        <w:pStyle w:val="NormalWeb"/>
        <w:spacing w:before="0" w:beforeAutospacing="0" w:after="0" w:afterAutospacing="0" w:line="480" w:lineRule="auto"/>
        <w:jc w:val="both"/>
        <w:rPr>
          <w:color w:val="0E101A"/>
        </w:rPr>
      </w:pPr>
      <w:r w:rsidRPr="00FC5FCC">
        <w:rPr>
          <w:color w:val="0E101A"/>
        </w:rPr>
        <w:t>Several studies in Africa have found that persistent drought and land degradation contributed to seasonal and permanent migration (Gray and Mueller 2012), worsening the vulnerability of different households (Dasgupta et al. 2014). The impact of climate change on livestock productivity, particularly of mixed and extensive systems, is strongly linked to impacts on rangelands and pastures, including the effects of increasing CO2 on their biomass and nutritional quality. </w:t>
      </w:r>
    </w:p>
    <w:p w14:paraId="13B3D652" w14:textId="77777777" w:rsidR="00E87CAA" w:rsidRPr="00FC5FCC" w:rsidRDefault="00E87CAA" w:rsidP="00DF3C36">
      <w:pPr>
        <w:pStyle w:val="NormalWeb"/>
        <w:spacing w:before="0" w:beforeAutospacing="0" w:after="0" w:afterAutospacing="0" w:line="480" w:lineRule="auto"/>
        <w:jc w:val="both"/>
        <w:rPr>
          <w:color w:val="0E101A"/>
        </w:rPr>
      </w:pPr>
      <w:r w:rsidRPr="00FC5FCC">
        <w:rPr>
          <w:color w:val="0E101A"/>
        </w:rPr>
        <w:t>On the other hand, the inter-annual adjustment in international trade can play an essential role in shifting supplies from food surplus regions to regions facing food deficits that emerge due to extreme weather events, civil strife, and other disruptions (Baldos and Hertel 2015). A more freely functioning global trading system is tested to deliver improved long-run food security in 2050. However, the increasing event of globalization and cross-sectional interconnectedness facilitated by neo-liberal policies, economic livelihood and food security of developing countries is at increasing risk of disruption. Without employment opportunities in areas where extreme poverty is prevalent, people may be forced to migrate, exacerbating the potential for ensuring conflicts (FAO 2018a). </w:t>
      </w:r>
    </w:p>
    <w:p w14:paraId="7224FBE8" w14:textId="484C9466" w:rsidR="00BD1308" w:rsidRPr="00FC5FCC" w:rsidRDefault="00E87CAA" w:rsidP="00DF3C36">
      <w:pPr>
        <w:pStyle w:val="NormalWeb"/>
        <w:spacing w:before="0" w:beforeAutospacing="0" w:after="0" w:afterAutospacing="0" w:line="480" w:lineRule="auto"/>
        <w:jc w:val="both"/>
        <w:rPr>
          <w:color w:val="0E101A"/>
        </w:rPr>
      </w:pPr>
      <w:r w:rsidRPr="00FC5FCC">
        <w:rPr>
          <w:color w:val="0E101A"/>
        </w:rPr>
        <w:t>In Ghana, environment, and climate change in terms of persistent drought and land degradation are major threats to agricultural production, especially among rural folks. It is projected that by the year 2020, Ghana would have lost 6% of its maize production due to the realities of abrupt climate changes. The fact is that subsistence farmers in rural Ghana are vulnerable to unpredictable weather since they depend entirely on rain to grow their crops (Field</w:t>
      </w:r>
      <w:r w:rsidR="00BD1308" w:rsidRPr="00FC5FCC">
        <w:rPr>
          <w:color w:val="0E101A"/>
        </w:rPr>
        <w:t xml:space="preserve"> &amp; Barros</w:t>
      </w:r>
      <w:r w:rsidRPr="00FC5FCC">
        <w:rPr>
          <w:color w:val="0E101A"/>
        </w:rPr>
        <w:t xml:space="preserve"> 2014). This is especially precarious for a country like Ghana, which has not diversified its agricultural production to adopt improved seeds, irrigational technology, and the best practices (access to extension services) that help in the high yield of crops. Only 4% of sub-Saharan African is irrigated (Social Watch Coalition, 2020), hence climate change potential affects agricultural productivity, and Africa is extremely vulnerable to unpredictable and changing weather patterns. For example, in Ghana, less than 1% of lands are irrigated, and all farmers depend on rainfall for agricultural production (SP 2014). </w:t>
      </w:r>
      <w:r w:rsidR="00BD1308" w:rsidRPr="00FC5FCC">
        <w:rPr>
          <w:color w:val="0E101A"/>
        </w:rPr>
        <w:t xml:space="preserve"> </w:t>
      </w:r>
    </w:p>
    <w:p w14:paraId="0F969521" w14:textId="77777777" w:rsidR="00E87CAA" w:rsidRPr="00FC5FCC" w:rsidRDefault="00E87CAA" w:rsidP="00DF3C36">
      <w:pPr>
        <w:pStyle w:val="NormalWeb"/>
        <w:spacing w:before="0" w:beforeAutospacing="0" w:after="0" w:afterAutospacing="0" w:line="480" w:lineRule="auto"/>
        <w:jc w:val="both"/>
        <w:rPr>
          <w:color w:val="0E101A"/>
        </w:rPr>
      </w:pPr>
      <w:r w:rsidRPr="00FC5FCC">
        <w:rPr>
          <w:color w:val="0E101A"/>
        </w:rPr>
        <w:t>The Intergovernmental Panel on Climate Change (IPCC, 2019) decades have predicted a 50% decline in cereal and grain crops that are the mainstay of African diet affecting household's sustainability, cited in (Glazebrook et al.2020). Likewise, the differentiated impacts on the vulnerability, risk perception, behaviours and coping strategies for climate change relating to agriculture production have been migration among various households (Glazebrook et al.2020). </w:t>
      </w:r>
    </w:p>
    <w:p w14:paraId="1EE3CA83" w14:textId="77777777" w:rsidR="00E87CAA" w:rsidRPr="00FC5FCC" w:rsidRDefault="00E87CAA" w:rsidP="00DF3C36">
      <w:pPr>
        <w:pStyle w:val="NormalWeb"/>
        <w:spacing w:before="0" w:beforeAutospacing="0" w:after="0" w:afterAutospacing="0" w:line="480" w:lineRule="auto"/>
        <w:jc w:val="both"/>
        <w:rPr>
          <w:color w:val="0E101A"/>
        </w:rPr>
      </w:pPr>
      <w:r w:rsidRPr="00FC5FCC">
        <w:rPr>
          <w:color w:val="0E101A"/>
        </w:rPr>
        <w:t>Ghana's geographical composition is divided into six main ecological zones: Guinea and Sudan Savannah, Transitional Zone, Deciduous Forest, and the Coastal Savannah with 16 demarcated regions. Guinea and Savannah characterize the Northern regions' ecological zones, meaning the northern zones experience unimodal rainfall patterns allowing farmers only one growing season. The southern ecological zones are characterized by Transitional, Deciduous Forest, and Savannah, having bimodal equatorial rainfall patterns, allowing for two agricultural growing seasons. About 70% of north Ghana depends on unimodal rain-fed agriculture for food security, economic income, and livelihood. Unpredictable rainfall patterns, loss of soil fertile, and the lack of adaptative and diversified farming systems contribute to crop failure, low yield, and ultimately low income in the rural north (Opare 2003). Besides, effects of climate change, post harvest burning of land, and lack of crop diversity partly account for poor soil quality, limiting farmers' ability to withstand climate risk. Pinpointing the adverse effects of climate change on the agricultural economy in north Ghana is compounded by an erratic rainfall pattern, with rainfall becoming less predictable and increasing drought (Ahlvin 2012). </w:t>
      </w:r>
    </w:p>
    <w:p w14:paraId="23DCCDEC" w14:textId="77777777" w:rsidR="00E87CAA" w:rsidRPr="00FC5FCC" w:rsidRDefault="00E87CAA" w:rsidP="00DF3C36">
      <w:pPr>
        <w:pStyle w:val="NormalWeb"/>
        <w:spacing w:before="0" w:beforeAutospacing="0" w:after="0" w:afterAutospacing="0" w:line="480" w:lineRule="auto"/>
        <w:jc w:val="both"/>
        <w:rPr>
          <w:color w:val="0E101A"/>
        </w:rPr>
      </w:pPr>
    </w:p>
    <w:p w14:paraId="68D49167" w14:textId="2FCE1FF0" w:rsidR="00E87CAA" w:rsidRPr="00FC5FCC" w:rsidRDefault="00E87CAA" w:rsidP="00DF3C36">
      <w:pPr>
        <w:pStyle w:val="Heading3"/>
        <w:jc w:val="both"/>
        <w:rPr>
          <w:rFonts w:ascii="Times New Roman" w:hAnsi="Times New Roman" w:cs="Times New Roman"/>
          <w:b/>
          <w:bCs/>
        </w:rPr>
      </w:pPr>
      <w:bookmarkStart w:id="47" w:name="_Toc67825665"/>
      <w:bookmarkStart w:id="48" w:name="_Toc67826416"/>
      <w:r w:rsidRPr="00FC5FCC">
        <w:rPr>
          <w:rFonts w:ascii="Times New Roman" w:hAnsi="Times New Roman" w:cs="Times New Roman"/>
          <w:b/>
          <w:bCs/>
        </w:rPr>
        <w:t>The process of economic restructuring (rural poverty)</w:t>
      </w:r>
      <w:bookmarkEnd w:id="47"/>
      <w:bookmarkEnd w:id="48"/>
      <w:r w:rsidRPr="00FC5FCC">
        <w:rPr>
          <w:rFonts w:ascii="Times New Roman" w:hAnsi="Times New Roman" w:cs="Times New Roman"/>
          <w:b/>
          <w:bCs/>
        </w:rPr>
        <w:t> </w:t>
      </w:r>
    </w:p>
    <w:p w14:paraId="11AC1420" w14:textId="77777777" w:rsidR="000C09A8" w:rsidRPr="00FC5FCC" w:rsidRDefault="000C09A8" w:rsidP="000C09A8"/>
    <w:p w14:paraId="3DDAFEE0" w14:textId="77777777"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Evidence shows that sub-Saharan African countries have made significant progress towards reducing poverty among households, with substantial economic weather growth. Reports on global poverty before 2011 revealed that 22,000 children died each day. About 72 million schoolchildren in developing countries, of whom 57% were girls, did not enter school, mainly because of poverty (Debrah, 2013). However, there are gross disparities in the rate and degree of fall in poverty levels across regions, sub-regions, and countries (Annim et al., n.d). Generally, the interior rural communities experience severe poverty in Ghana. This condition is because the only source of income generation among households is agriculturally based. Low productivity has raised doubts about the agricultural sector's ability to sustain rural farm households' livelihoods in Ghana (Bacho 2004). Economic restructuring in Ghana on social services, political policies, and, more importantly, the agricultural sector is often employed to explain the decline of productivity affecting households' income stability in North Ghana. After years of significant economic growth and poverty reduction in Ghana, the poverty reduction rate has progressively slowed down has been become insignificant after 2012 (World Bank 2020). Between 1991 and 2012, Ghana halved poverty with little increase in income inequality, however in same Ghana's poverty rate at 2011 PPP, $1.90 per person per day was 47.4%. By 2012, it had dropped to 12.0 % (World Bank 2020). However, the poverty rate slightly increased to 13.3 percent in 2016.</w:t>
      </w:r>
    </w:p>
    <w:p w14:paraId="1570A4C7" w14:textId="77777777"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hAnsi="Times New Roman" w:cs="Times New Roman"/>
          <w:noProof/>
          <w:sz w:val="24"/>
          <w:szCs w:val="24"/>
        </w:rPr>
        <w:drawing>
          <wp:inline distT="0" distB="0" distL="0" distR="0" wp14:anchorId="1DE666E1" wp14:editId="2B058C3F">
            <wp:extent cx="5943600" cy="2583532"/>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583532"/>
                    </a:xfrm>
                    <a:prstGeom prst="rect">
                      <a:avLst/>
                    </a:prstGeom>
                  </pic:spPr>
                </pic:pic>
              </a:graphicData>
            </a:graphic>
          </wp:inline>
        </w:drawing>
      </w:r>
    </w:p>
    <w:p w14:paraId="1D6E321F" w14:textId="77777777"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p>
    <w:p w14:paraId="2785A236" w14:textId="060DC576"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 xml:space="preserve">The table above shows a considerable variation in poverty reduction across regions between 2012 and 2016. In the wealthiest four regions (Greater Accra, Ashanti, Central and Eastern regions), poverty mostly declined. It increased in the poorest four regions (Upper West, Upper East, Northern and Volta regions) and poor regions also experienced increased inequality within the area (World Bank 2020). Awumbila alludes that "liberalization and structural adjustment </w:t>
      </w:r>
      <w:r w:rsidR="00A21217" w:rsidRPr="00FC5FCC">
        <w:rPr>
          <w:rFonts w:ascii="Times New Roman" w:eastAsia="Times New Roman" w:hAnsi="Times New Roman" w:cs="Times New Roman"/>
          <w:color w:val="0E101A"/>
          <w:sz w:val="24"/>
          <w:szCs w:val="24"/>
          <w:lang w:eastAsia="en-CA"/>
        </w:rPr>
        <w:t>programs</w:t>
      </w:r>
      <w:r w:rsidRPr="00FC5FCC">
        <w:rPr>
          <w:rFonts w:ascii="Times New Roman" w:eastAsia="Times New Roman" w:hAnsi="Times New Roman" w:cs="Times New Roman"/>
          <w:color w:val="0E101A"/>
          <w:sz w:val="24"/>
          <w:szCs w:val="24"/>
          <w:lang w:eastAsia="en-CA"/>
        </w:rPr>
        <w:t xml:space="preserve">" implemented in Ghana around the 1980s undermined the development of the north, particularly the agricultural sector, through "the removal of fertilizer subsidies and other social services" (Awumbila 2007:1). Likewise, Krueger (1989, cited in Opare 2003), expressing a similar view, argues that the removal of agricultural subsidies made farming more expensive, particularly for women who already have limited access to credit and fewer resources and less compensated low crop yields. The cumulative effects have been the increasing poverty in rural communities in Ghana, especially among households in the rural north, with youth abandoning agriculture for migration, albeit with no requisite skills. The concept of poverty as defined by the (World Bank, 2001, 2009) refers to the lack of/or inability to achieve a socially acceptable standard of living. Thus, the concept assumes households </w:t>
      </w:r>
      <w:r w:rsidR="00A21217" w:rsidRPr="00FC5FCC">
        <w:rPr>
          <w:rFonts w:ascii="Times New Roman" w:eastAsia="Times New Roman" w:hAnsi="Times New Roman" w:cs="Times New Roman"/>
          <w:color w:val="0E101A"/>
          <w:sz w:val="24"/>
          <w:szCs w:val="24"/>
          <w:lang w:eastAsia="en-CA"/>
        </w:rPr>
        <w:t>cannot</w:t>
      </w:r>
      <w:r w:rsidRPr="00FC5FCC">
        <w:rPr>
          <w:rFonts w:ascii="Times New Roman" w:eastAsia="Times New Roman" w:hAnsi="Times New Roman" w:cs="Times New Roman"/>
          <w:color w:val="0E101A"/>
          <w:sz w:val="24"/>
          <w:szCs w:val="24"/>
          <w:lang w:eastAsia="en-CA"/>
        </w:rPr>
        <w:t xml:space="preserve"> meet the basic needs and standards of living. These basic needs include food, shelter, jobs, education, and political representation, among others.</w:t>
      </w:r>
    </w:p>
    <w:p w14:paraId="4CACA804" w14:textId="7B14C190"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Conversely, these basic needs fall with the first Millennium Development Goals (MDG) adopted by developing countries in abject poverty to end extreme poverty by 2015. Before present-day Ghana, around the 1970s and 1980s, Ghana experienced economic unrest following a radical economic reform in the late 1980s and 1990s, affecting many Ghanaians' general living conditions (Debrah, 2013). However, the country recovered and recorded significant growth from the early 1990s. Ghana's population is roughly at 31 million people with vibrant economic development with natural resources, including gold, timber, cocoa, and recently oil and gas as foreign exchange earnings. Again, the country has made significant progress on reducing poverty with 9% strides from the 55% in 2011 to 46% in 2017. therefore, 14 million Ghanaians are estimated to be multidimensionally poor. Quite notable, the progress in poverty reduction in Ghana results from the discovery of oil and gas and government policies implemented to industrialized rural communities. In 2007, Oil and gas discovery marked yet another economic restructuring in Ghana, which raised expectations for the job, rural development, provision of power and revenue income among citizens (Armah-Attoh et al., 2014). Hopes of policymakers and agencies were that adding oil and gas to the country's foreign-income generators will generally reduce poverty. There is a high demand for Liquefied Petroleum Gas (LPG) as a source of energy for domestic and industrial use. The increased demand is mostly due to the electricity sector, rapid urbanization, and industrialization. Expansion of gas pipelines requires more land for the construction of gas pipelines, which means that farmers will lose fertile ground for agricultural purposes, which will further elevate food insecurity and poverty, especially in agrarian communities</w:t>
      </w:r>
      <w:r w:rsidR="00362B3D" w:rsidRPr="00FC5FCC">
        <w:rPr>
          <w:rFonts w:ascii="Times New Roman" w:eastAsia="Times New Roman" w:hAnsi="Times New Roman" w:cs="Times New Roman"/>
          <w:color w:val="0E101A"/>
          <w:sz w:val="24"/>
          <w:szCs w:val="24"/>
          <w:lang w:eastAsia="en-CA"/>
        </w:rPr>
        <w:t>.</w:t>
      </w:r>
      <w:r w:rsidRPr="00FC5FCC">
        <w:rPr>
          <w:rFonts w:ascii="Times New Roman" w:eastAsia="Times New Roman" w:hAnsi="Times New Roman" w:cs="Times New Roman"/>
          <w:color w:val="0E101A"/>
          <w:sz w:val="24"/>
          <w:szCs w:val="24"/>
          <w:lang w:eastAsia="en-CA"/>
        </w:rPr>
        <w:t xml:space="preserve"> Without off-farm investment in rural communities of Northern Ghana, the concomitant effect of environmental degradation, rapid population growth, slow spread of technology, and low public investment in agriculture accounts for the farm sector's increasing inability to sustain rural livelihood. The recent spread of Covid-19 potentially may contribute to rising poverty among rural households in Northern Ghana.</w:t>
      </w:r>
    </w:p>
    <w:p w14:paraId="16B6765A" w14:textId="77777777" w:rsidR="00E87CAA" w:rsidRPr="00FC5FCC" w:rsidRDefault="00E87CAA" w:rsidP="00DF3C36">
      <w:pPr>
        <w:spacing w:line="480" w:lineRule="auto"/>
        <w:jc w:val="both"/>
        <w:rPr>
          <w:rFonts w:ascii="Times New Roman" w:hAnsi="Times New Roman" w:cs="Times New Roman"/>
          <w:color w:val="222222"/>
          <w:sz w:val="24"/>
          <w:szCs w:val="24"/>
          <w:shd w:val="clear" w:color="auto" w:fill="FFFFFF"/>
        </w:rPr>
      </w:pPr>
    </w:p>
    <w:p w14:paraId="70E70673" w14:textId="77777777" w:rsidR="00E87CAA" w:rsidRPr="00FC5FCC" w:rsidRDefault="00E87CAA" w:rsidP="00DF3C36">
      <w:pPr>
        <w:pStyle w:val="Heading3"/>
        <w:jc w:val="both"/>
        <w:rPr>
          <w:rFonts w:ascii="Times New Roman" w:hAnsi="Times New Roman" w:cs="Times New Roman"/>
          <w:b/>
          <w:bCs/>
        </w:rPr>
      </w:pPr>
      <w:bookmarkStart w:id="49" w:name="_Toc67825666"/>
      <w:bookmarkStart w:id="50" w:name="_Toc67826417"/>
      <w:r w:rsidRPr="00FC5FCC">
        <w:rPr>
          <w:rFonts w:ascii="Times New Roman" w:hAnsi="Times New Roman" w:cs="Times New Roman"/>
          <w:b/>
          <w:bCs/>
        </w:rPr>
        <w:t>Social structures (policies and structural disparities)</w:t>
      </w:r>
      <w:bookmarkEnd w:id="49"/>
      <w:bookmarkEnd w:id="50"/>
      <w:r w:rsidRPr="00FC5FCC">
        <w:rPr>
          <w:rFonts w:ascii="Times New Roman" w:hAnsi="Times New Roman" w:cs="Times New Roman"/>
          <w:b/>
          <w:bCs/>
        </w:rPr>
        <w:t> </w:t>
      </w:r>
    </w:p>
    <w:p w14:paraId="69EF6CF9" w14:textId="77777777"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p>
    <w:p w14:paraId="21348EC2" w14:textId="442C644C"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The regional spatial inequality in terms of social structures or infrastructural development in most sub-Saharan African countries is trace back to the postcolonial era. Likewise, Ghana is an excellent example to cite, having had colonial policies that have facilitated significant regional development disparity between the Northern and Southern sectors (Boateng et al., 1990:29). Colonial policies have tremendously influenced social structures, development infrastructures, and governance policies. Colonial policies bring growing concern for the north and south development divide with multiple implications for realizing economic and social potentials and achieving internationally agreed goals, including sustainable development goals (Danquah &amp;Ohemeng, 2017). The poor state of rural infrastructure, rural livelihood, youth unemployment, limited access to quality education, and high child labour are critical drivers of rural poverty and, by extension, the drivers of regional inequalities in Ghana (United Nations, 2012). Urban cities, which were centers for resource exploitation, were again centers for industrial jobs and mostly invested employment opportunities (Abdulai</w:t>
      </w:r>
      <w:r w:rsidR="00A42693" w:rsidRPr="00FC5FCC">
        <w:rPr>
          <w:rFonts w:ascii="Times New Roman" w:eastAsia="Times New Roman" w:hAnsi="Times New Roman" w:cs="Times New Roman"/>
          <w:color w:val="0E101A"/>
          <w:sz w:val="24"/>
          <w:szCs w:val="24"/>
          <w:lang w:eastAsia="en-CA"/>
        </w:rPr>
        <w:t xml:space="preserve">, </w:t>
      </w:r>
      <w:r w:rsidRPr="00FC5FCC">
        <w:rPr>
          <w:rFonts w:ascii="Times New Roman" w:eastAsia="Times New Roman" w:hAnsi="Times New Roman" w:cs="Times New Roman"/>
          <w:color w:val="0E101A"/>
          <w:sz w:val="24"/>
          <w:szCs w:val="24"/>
          <w:lang w:eastAsia="en-CA"/>
        </w:rPr>
        <w:t>2012). The prevailing regional inequalities raise policy issues regarding managing the disparities in resources and living standards within and across the north and south in Ghana. Rural-urban migration in Ghana is the consequence of urban bias. Government policies promote urban infrastructure development such as modern healthcare facilities, ultra-modern educational facilities, recreational centers, and improved road networks and industrialized market economies within its metropolitan cities whiles rural communities lack behind in development. Most of Ghana's industries are in the south, partly due to the disoriented colonial development policies, which have created a wide development gap between the North and South (Awumbila, 2007).</w:t>
      </w:r>
    </w:p>
    <w:p w14:paraId="78557D71" w14:textId="00C67CD5" w:rsidR="00E87CAA" w:rsidRPr="00FC5FCC" w:rsidRDefault="00E87CAA" w:rsidP="00DF3C36">
      <w:pPr>
        <w:spacing w:after="0" w:line="480" w:lineRule="auto"/>
        <w:jc w:val="both"/>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Conversely, such policies support the disproportionate increase in wage rates and employment opportunities in urban areas. These urban infrastructural development conditions are promoted by the pervasive forces of neo-liberal and globalization policies in developing countries, which creates demographic (Change) pressure on rural development. The absence of rural infrastructure in areas of the improved road network, electricity to drive local industries, educational facilities to enhance skills acquisitions and economic and social investment to ensure financial stability has contributed to raising poverty in rural communities in the north. Northern Ghana had its major development project around the late 1980s through to the 1990s, which included: electricity extension, the establishment of the University for Development Studies (UDS) and the rehabilitation and development of physical and social infrastructure through the works of donor agencies and international NGOs (Shepherd et al., 2005) cited in (Danquah &amp;Ohemeng, 2017). Regional inequalities in Ghana largely are attributed to the structure of Ghana's economy, which has changed very little from that of the colonial era. In 2017, the Government of Ghana (GoG) implemented the One-District, One-Factory (1D1F) programmes to identify and create business opportunities in rural districts, harnessing the locals' strengths and resources, inefficient technology, and demand-driven value change. The 1D1F programme promotes industry growth and entrepreneur development in rural communities to discourage migration among rural folks while equipping and empowering communities to utilize their local resources in manufacturing products that are high in demand, both locally and internationally (https:1d1f.gov.gh/). Latek (2019) argued that a more global approach to discourage migration is to focus foreign aid assistance on good governance, infrastructure, rural development, strengthening resilience, and going beyond development assistance to include trade and investment. </w:t>
      </w:r>
    </w:p>
    <w:p w14:paraId="18332366" w14:textId="77777777" w:rsidR="00545288" w:rsidRPr="00FC5FCC" w:rsidRDefault="00545288" w:rsidP="00DF3C36">
      <w:pPr>
        <w:spacing w:after="0" w:line="480" w:lineRule="auto"/>
        <w:jc w:val="both"/>
        <w:rPr>
          <w:rFonts w:ascii="Times New Roman" w:hAnsi="Times New Roman" w:cs="Times New Roman"/>
          <w:b/>
          <w:bCs/>
          <w:sz w:val="24"/>
          <w:szCs w:val="24"/>
        </w:rPr>
      </w:pPr>
    </w:p>
    <w:p w14:paraId="1DC00ABC" w14:textId="118CBA0A" w:rsidR="00F61801" w:rsidRPr="00FC5FCC" w:rsidRDefault="00F61801" w:rsidP="000C09A8">
      <w:pPr>
        <w:pStyle w:val="Heading1"/>
        <w:jc w:val="center"/>
        <w:rPr>
          <w:rFonts w:ascii="Times New Roman" w:hAnsi="Times New Roman" w:cs="Times New Roman"/>
          <w:sz w:val="24"/>
          <w:szCs w:val="24"/>
        </w:rPr>
      </w:pPr>
      <w:bookmarkStart w:id="51" w:name="_Toc67825667"/>
      <w:bookmarkStart w:id="52" w:name="_Toc67826418"/>
      <w:r w:rsidRPr="00FC5FCC">
        <w:rPr>
          <w:rFonts w:ascii="Times New Roman" w:hAnsi="Times New Roman" w:cs="Times New Roman"/>
          <w:sz w:val="24"/>
          <w:szCs w:val="24"/>
        </w:rPr>
        <w:t>CH</w:t>
      </w:r>
      <w:r w:rsidR="00A21217" w:rsidRPr="00FC5FCC">
        <w:rPr>
          <w:rFonts w:ascii="Times New Roman" w:hAnsi="Times New Roman" w:cs="Times New Roman"/>
          <w:sz w:val="24"/>
          <w:szCs w:val="24"/>
        </w:rPr>
        <w:t>A</w:t>
      </w:r>
      <w:r w:rsidRPr="00FC5FCC">
        <w:rPr>
          <w:rFonts w:ascii="Times New Roman" w:hAnsi="Times New Roman" w:cs="Times New Roman"/>
          <w:sz w:val="24"/>
          <w:szCs w:val="24"/>
        </w:rPr>
        <w:t>PTER 5</w:t>
      </w:r>
      <w:bookmarkEnd w:id="51"/>
      <w:bookmarkEnd w:id="52"/>
    </w:p>
    <w:p w14:paraId="5DB68115" w14:textId="5E6C65B8" w:rsidR="00F61801" w:rsidRPr="00FC5FCC" w:rsidRDefault="00F61801" w:rsidP="000C09A8">
      <w:pPr>
        <w:pStyle w:val="Heading2"/>
        <w:jc w:val="center"/>
        <w:rPr>
          <w:rFonts w:ascii="Times New Roman" w:hAnsi="Times New Roman" w:cs="Times New Roman"/>
          <w:sz w:val="24"/>
          <w:szCs w:val="24"/>
        </w:rPr>
      </w:pPr>
      <w:bookmarkStart w:id="53" w:name="_Toc67825668"/>
      <w:bookmarkStart w:id="54" w:name="_Toc67826419"/>
      <w:r w:rsidRPr="00FC5FCC">
        <w:rPr>
          <w:rFonts w:ascii="Times New Roman" w:hAnsi="Times New Roman" w:cs="Times New Roman"/>
          <w:sz w:val="24"/>
          <w:szCs w:val="24"/>
        </w:rPr>
        <w:t>THEORITICAL FRAMEWORK</w:t>
      </w:r>
      <w:bookmarkEnd w:id="53"/>
      <w:bookmarkEnd w:id="54"/>
    </w:p>
    <w:p w14:paraId="55E8A151" w14:textId="77777777" w:rsidR="00A86FE8" w:rsidRPr="00FC5FCC" w:rsidRDefault="00A86FE8" w:rsidP="00DF3C36">
      <w:pPr>
        <w:pStyle w:val="Heading3"/>
        <w:jc w:val="both"/>
        <w:rPr>
          <w:rFonts w:ascii="Times New Roman" w:hAnsi="Times New Roman" w:cs="Times New Roman"/>
          <w:sz w:val="28"/>
          <w:szCs w:val="28"/>
        </w:rPr>
      </w:pPr>
      <w:bookmarkStart w:id="55" w:name="_Toc67825669"/>
      <w:bookmarkStart w:id="56" w:name="_Toc67826420"/>
      <w:r w:rsidRPr="00FC5FCC">
        <w:rPr>
          <w:rStyle w:val="Strong"/>
          <w:rFonts w:ascii="Times New Roman" w:hAnsi="Times New Roman" w:cs="Times New Roman"/>
          <w:b w:val="0"/>
          <w:bCs w:val="0"/>
          <w:sz w:val="28"/>
          <w:szCs w:val="28"/>
        </w:rPr>
        <w:t>Introduction</w:t>
      </w:r>
      <w:bookmarkEnd w:id="55"/>
      <w:bookmarkEnd w:id="56"/>
      <w:r w:rsidRPr="00FC5FCC">
        <w:rPr>
          <w:rStyle w:val="Strong"/>
          <w:rFonts w:ascii="Times New Roman" w:hAnsi="Times New Roman" w:cs="Times New Roman"/>
          <w:b w:val="0"/>
          <w:bCs w:val="0"/>
          <w:sz w:val="28"/>
          <w:szCs w:val="28"/>
        </w:rPr>
        <w:t> </w:t>
      </w:r>
    </w:p>
    <w:p w14:paraId="54F9415A" w14:textId="77777777" w:rsidR="000C09A8" w:rsidRPr="00FC5FCC" w:rsidRDefault="000C09A8" w:rsidP="00DF3C36">
      <w:pPr>
        <w:pStyle w:val="NormalWeb"/>
        <w:spacing w:before="0" w:beforeAutospacing="0" w:after="0" w:afterAutospacing="0" w:line="480" w:lineRule="auto"/>
        <w:jc w:val="both"/>
        <w:rPr>
          <w:color w:val="0E101A"/>
        </w:rPr>
      </w:pPr>
    </w:p>
    <w:p w14:paraId="5881783E" w14:textId="1DB57293" w:rsidR="00A86FE8" w:rsidRPr="00FC5FCC" w:rsidRDefault="00A86FE8" w:rsidP="00DF3C36">
      <w:pPr>
        <w:pStyle w:val="NormalWeb"/>
        <w:spacing w:before="0" w:beforeAutospacing="0" w:after="0" w:afterAutospacing="0" w:line="480" w:lineRule="auto"/>
        <w:jc w:val="both"/>
        <w:rPr>
          <w:color w:val="0E101A"/>
        </w:rPr>
      </w:pPr>
      <w:r w:rsidRPr="00FC5FCC">
        <w:rPr>
          <w:color w:val="0E101A"/>
        </w:rPr>
        <w:t>This chapter reviews the life course perspective (Theory) and explanation of internal migration, linking migration to factors such as demographic changes and family socioeconomic conditions. The paper discussion focuses on the life course perspective and other principles of the life course; including the principles of linked lived and historical time and place, and 'human agency' (individual choices and actions) (Elder &amp; Johnson 2002) relating to life biographies, growth and experiences within opportunity constraints influencing the life transition and trajectories of the individual. The paper explores the life course as a theoretical framework to explain life biographies of female adolescence who migrate independently of their families to the cities of Accra and Kumasi in Ghana to engage in kayayei as informal economy dwellers and negotiating their biographies and experiences through the various life events. </w:t>
      </w:r>
    </w:p>
    <w:p w14:paraId="79EEB7DD" w14:textId="77777777" w:rsidR="00A86FE8" w:rsidRPr="00FC5FCC" w:rsidRDefault="00A86FE8" w:rsidP="00DF3C36">
      <w:pPr>
        <w:pStyle w:val="Heading3"/>
        <w:jc w:val="both"/>
        <w:rPr>
          <w:rFonts w:ascii="Times New Roman" w:hAnsi="Times New Roman" w:cs="Times New Roman"/>
        </w:rPr>
      </w:pPr>
      <w:bookmarkStart w:id="57" w:name="_Toc67825670"/>
      <w:bookmarkStart w:id="58" w:name="_Toc67826421"/>
      <w:r w:rsidRPr="00FC5FCC">
        <w:rPr>
          <w:rStyle w:val="Strong"/>
          <w:rFonts w:ascii="Times New Roman" w:hAnsi="Times New Roman" w:cs="Times New Roman"/>
        </w:rPr>
        <w:t>Life Course Perspective (Theory)</w:t>
      </w:r>
      <w:bookmarkEnd w:id="57"/>
      <w:bookmarkEnd w:id="58"/>
    </w:p>
    <w:p w14:paraId="4F864F67" w14:textId="77777777" w:rsidR="00C74E50" w:rsidRPr="00FC5FCC" w:rsidRDefault="00C74E50" w:rsidP="00DF3C36">
      <w:pPr>
        <w:pStyle w:val="NormalWeb"/>
        <w:spacing w:before="0" w:beforeAutospacing="0" w:after="0" w:afterAutospacing="0" w:line="480" w:lineRule="auto"/>
        <w:jc w:val="both"/>
        <w:rPr>
          <w:color w:val="0E101A"/>
        </w:rPr>
      </w:pPr>
    </w:p>
    <w:p w14:paraId="56109537" w14:textId="723ED9FB" w:rsidR="00A86FE8" w:rsidRPr="00FC5FCC" w:rsidRDefault="00A86FE8" w:rsidP="00DF3C36">
      <w:pPr>
        <w:pStyle w:val="NormalWeb"/>
        <w:spacing w:before="0" w:beforeAutospacing="0" w:after="0" w:afterAutospacing="0" w:line="480" w:lineRule="auto"/>
        <w:jc w:val="both"/>
        <w:rPr>
          <w:color w:val="0E101A"/>
        </w:rPr>
      </w:pPr>
      <w:r w:rsidRPr="00FC5FCC">
        <w:rPr>
          <w:color w:val="0E101A"/>
        </w:rPr>
        <w:t>The life course theory, also known as life course perspective, an approach that has been in existence since the early 1900s; however, the study was not explored by early sociologist until W.I. Thomas first made use of the histories and trajectories of human lives (Glen, Monica, &amp; Robert, 2003). He strongly argued that sociologists thoroughly investigated these studies in his early book 'The Polish Peasant in European and America 1918-1920' (Volkart, 1951). Today, the study of life course theory has become a central part of sociology and other disciplines. In 1960, sociologists responded to Thomas's recommendations to life course studies after realizing the need to understand how people lived their lives within a context in changing times and across various environs (Volkart, 1951). Therefore, the start of the 21st century was the beginning and widely accepted of such life pathways within the social and behavioural sciences as the life course (Glen, Monica, &amp; Robert, 2003). It bears a strong affinity to the emerging notion of "social pathways" that focuses squarely on "life patterns and their dynamics in time (Elder, Johnson, &amp; Crosnoe, 2003, p. 7). The concept stems from a multidisciplinary paradigm for studying people's lives, structural contexts, and social change, encompassing ideas and observations from various disciplines, notably history, demography, biology, developmental psychology, sociology, and economics (</w:t>
      </w:r>
      <w:r w:rsidR="00FD2D81" w:rsidRPr="00FC5FCC">
        <w:rPr>
          <w:color w:val="0E101A"/>
        </w:rPr>
        <w:t>Levy &amp; Buhlmann, 2016</w:t>
      </w:r>
      <w:r w:rsidRPr="00FC5FCC">
        <w:rPr>
          <w:color w:val="0E101A"/>
        </w:rPr>
        <w:t>). Those disciplines constitute the study of the life course perspective because they influence social change and recognize the behavioural factors that determine individual development as trajectories or transitions across social time and space as individuals make important transitions through the life’s events. For instance, from childhood to adolescence, adolescence to adulthood, unmarried to married, unemployed to employed, the nature of their social interaction's changes, but the discourses to these changes does not happen in a vacuum but rather shaped and reproduced by social structures (http://www.children.gov.on.ca/). The study of life course highlights the interrelationship between individuals and society that evolves as a time-dependent, dynamic linkage between social structure, institutions, and individual actions from birth to death (Heinz et al., 2009, p 15). As a concept, sociologists have defined the life course as "a sequence of socially defined events and roles that the individual enacts over time" (Giele and Elder 1998, p. 22). Thus, (1) events marking transitions and trajectories to roles extending across the life span, such as entering and leaving school, acquiring a full-time job, getting married, divorced, having children and retiring; (2) investigating changing environment of individual and its developmental implications; (3) offering a way of linking early life experience to later outcomes, such as the exposure to early life risk factors and their consequences for later life health (Alwin 2013, p. 44).</w:t>
      </w:r>
    </w:p>
    <w:p w14:paraId="5539499A" w14:textId="77777777" w:rsidR="00A86FE8" w:rsidRPr="00FC5FCC" w:rsidRDefault="00A86FE8" w:rsidP="00DF3C36">
      <w:pPr>
        <w:pStyle w:val="NormalWeb"/>
        <w:spacing w:before="0" w:beforeAutospacing="0" w:after="0" w:afterAutospacing="0" w:line="480" w:lineRule="auto"/>
        <w:jc w:val="both"/>
        <w:rPr>
          <w:color w:val="0E101A"/>
        </w:rPr>
      </w:pPr>
      <w:r w:rsidRPr="00FC5FCC">
        <w:rPr>
          <w:color w:val="0E101A"/>
        </w:rPr>
        <w:t>According to Mayer (2003, p.464), the life course perspective aims to understand three fundamental mechanisms that shape biographical patterns: (1) societal subsystems (families, schools, organizations, occupational structure, labour law, public welfare, historical period) that select groups of individuals into developmental pathways; (2) prior life histories of individuals and groups (work experiences, the background of poverty, accumulated resources); and (3) social roles ( based on traditional gender norms) and social groups (based on socioeconomic status). Throughout these socially defined events and roles, individuals are connected to social groups either legally (family/marriage) or institutional frameworks (education, employment) that support individuals to conduct and plan their lives. The life course perspective in the sociological field of studies offers an understanding of crucial micro and macro problems in changing societies inherent in agency and structure dynamics. Beyond the everyday human activities, experiences, and institutional practices, new modes of social and structural organizations, institutional transformation, personality development, and social interactions emerge more rapidly within postmodernism, or post-industrial societies are creating new contingencies for biographies. </w:t>
      </w:r>
    </w:p>
    <w:p w14:paraId="11C984FF" w14:textId="77777777" w:rsidR="00A86FE8" w:rsidRPr="00FC5FCC" w:rsidRDefault="00A86FE8" w:rsidP="00DF3C36">
      <w:pPr>
        <w:pStyle w:val="NormalWeb"/>
        <w:spacing w:before="0" w:beforeAutospacing="0" w:after="0" w:afterAutospacing="0" w:line="480" w:lineRule="auto"/>
        <w:jc w:val="both"/>
        <w:rPr>
          <w:rStyle w:val="Strong"/>
          <w:color w:val="0E101A"/>
        </w:rPr>
      </w:pPr>
    </w:p>
    <w:p w14:paraId="7AFFDB43" w14:textId="77777777" w:rsidR="00A86FE8" w:rsidRPr="00FC5FCC" w:rsidRDefault="00A86FE8" w:rsidP="00DF3C36">
      <w:pPr>
        <w:pStyle w:val="Heading3"/>
        <w:jc w:val="both"/>
        <w:rPr>
          <w:rFonts w:ascii="Times New Roman" w:hAnsi="Times New Roman" w:cs="Times New Roman"/>
        </w:rPr>
      </w:pPr>
      <w:bookmarkStart w:id="59" w:name="_Toc67825671"/>
      <w:bookmarkStart w:id="60" w:name="_Toc67826422"/>
      <w:r w:rsidRPr="00FC5FCC">
        <w:rPr>
          <w:rStyle w:val="Strong"/>
          <w:rFonts w:ascii="Times New Roman" w:hAnsi="Times New Roman" w:cs="Times New Roman"/>
        </w:rPr>
        <w:t>Principle of linked lives, Historical Time and Place, Human Agency</w:t>
      </w:r>
      <w:bookmarkEnd w:id="59"/>
      <w:bookmarkEnd w:id="60"/>
      <w:r w:rsidRPr="00FC5FCC">
        <w:rPr>
          <w:rStyle w:val="Strong"/>
          <w:rFonts w:ascii="Times New Roman" w:hAnsi="Times New Roman" w:cs="Times New Roman"/>
        </w:rPr>
        <w:t> </w:t>
      </w:r>
    </w:p>
    <w:p w14:paraId="68F4A4EA" w14:textId="77777777" w:rsidR="00D01201" w:rsidRPr="00FC5FCC" w:rsidRDefault="00D01201" w:rsidP="00DF3C36">
      <w:pPr>
        <w:pStyle w:val="NormalWeb"/>
        <w:spacing w:before="0" w:beforeAutospacing="0" w:after="0" w:afterAutospacing="0" w:line="480" w:lineRule="auto"/>
        <w:jc w:val="both"/>
        <w:rPr>
          <w:color w:val="0E101A"/>
        </w:rPr>
      </w:pPr>
    </w:p>
    <w:p w14:paraId="448B951F" w14:textId="01246179" w:rsidR="00A86FE8" w:rsidRPr="00FC5FCC" w:rsidRDefault="00A86FE8" w:rsidP="00DF3C36">
      <w:pPr>
        <w:pStyle w:val="NormalWeb"/>
        <w:spacing w:before="0" w:beforeAutospacing="0" w:after="0" w:afterAutospacing="0" w:line="480" w:lineRule="auto"/>
        <w:jc w:val="both"/>
        <w:rPr>
          <w:color w:val="0E101A"/>
        </w:rPr>
      </w:pPr>
      <w:r w:rsidRPr="00FC5FCC">
        <w:rPr>
          <w:color w:val="0E101A"/>
        </w:rPr>
        <w:t>According to Horowitz &amp; Entwisle (2020), migration maybe one of the mechanisms explaining how the life course transition or trajectories in opportunity constraints affects the psychological well-being and the decision-making process of the individual. The growing demand for industrial societies, changes in rural labour markets, and low social security of rural migrate in urban cities potentially construct and structure the individual's life events (Zhu 2007) within a particular geographical mobility type. The decision to migrate, especially for the working-class, is a typical feature of traditional economic models, influencing life events and perceived opportunities at different life stages. The "new economics of migration" (Stark and Bloom 1985) emphasize how migration is part of a general livelihood strategy of household albeit economic constraints. Families make migration decisions to maximize income flow or develop members' human capital within economic and employment constraints. Again, studies have found that a more comprehensive social network of family migration patterns within a household promotes migration (Dolfin &amp;Genicot, 2010). Household social networks among family members widely affect migration decisions in an economic constraint environment. In developing countries, research on the life course and migration events is of a more recent development. A life-course perspective "involves a contextual, processual and dynamic approach to the study of changes in the lives of individual, family members over time, and the family as a social unity as they change over historical periods" (Bengtson and Allen 1993.p 469). Similarly, the life-course examines the structural context and social change and presents expectations and opportunities, such as career, income, and family life, relevant to individual transition through the various life events. Kley &amp; Mulder (2010) have studied rural households' migration decisions affecting life-course events within the context of perceived opportunities at different life stages. In contrast, the life course elaborates the importance of time, context, process, and meaning on human development and family life (Bengtson and Allen, 1993). A family is a micro-social group within a macro-social context, a "collection of individuals with shared history who interact within ever-changing social context across ever-increasing time and space" (Bengston and Allen 1993, p.470). As a result, changes in a rural household economic unit (income) of developing societies and household economic productions within the macro-level affect individual behaviours and significantly affect the family relationship and income composition. The principle of linked lives suggests that lives are interdependently and reciprocally embedded in shared relationships. Societal and personal experiences are linked through the family and its shared relationship network (Elder 1998). For example, when a particular family member leaves a life stage and entering another, other family members cooperate to adjust according to the associated changes in family and individual needs (Chen &amp; Korinek, 2010). Stressful events such as demographic changes and rural household socioeconomic conditions can affect family relationships and trigger the household vulnerability, leading to adaptive household behaviour and family resilience. In developing countries, migration has often been alternative means for adaptive household strategies (Meon &amp;Wethington 1992). Moreover, individual family members' behaviour attributes can also affect family risk-coping, well-being, and adaptative strategies such as personal characteristics and experience, social network, wealth, or the reduction of vulnerability (Marta et al. 2020).</w:t>
      </w:r>
    </w:p>
    <w:p w14:paraId="39E4A2CD" w14:textId="76BBB32D" w:rsidR="00A86FE8" w:rsidRPr="00FC5FCC" w:rsidRDefault="00A86FE8" w:rsidP="00DF3C36">
      <w:pPr>
        <w:pStyle w:val="NormalWeb"/>
        <w:spacing w:before="0" w:beforeAutospacing="0" w:after="0" w:afterAutospacing="0" w:line="480" w:lineRule="auto"/>
        <w:jc w:val="both"/>
        <w:rPr>
          <w:color w:val="0E101A"/>
        </w:rPr>
      </w:pPr>
      <w:r w:rsidRPr="00FC5FCC">
        <w:rPr>
          <w:color w:val="0E101A"/>
        </w:rPr>
        <w:t>Household members make full use of resources by diversifying employment opportunities and spreading risks at various scales of the demographic mobilities associated with life events such as leaving home, entering full-time employment, marriage, childbearing, widowhood, and retirement. It is worth noting that examining household risk-coping and demographic uncertainties within the life course perspective possesses new developmental challenges between past (historical) and current societal subsystems, structures, institutions, and technology. The life course perspective posits that "historical forces shape the social trajectories of family, education, and work, and they in turn influence behavior and particular lines of development" (Elder, 1998, p.2). Thus, early life course decisions, opportunities and conditions affect later outcomes. The past, therefore, has the potential to shape the present and the future, occurring at various levels; the age cohort/generational level and individual/family level (</w:t>
      </w:r>
      <w:r w:rsidR="00FD2D81" w:rsidRPr="00FC5FCC">
        <w:rPr>
          <w:color w:val="0E101A"/>
        </w:rPr>
        <w:t>Levy &amp; Buhlmann, 2016</w:t>
      </w:r>
      <w:r w:rsidRPr="00FC5FCC">
        <w:rPr>
          <w:color w:val="0E101A"/>
        </w:rPr>
        <w:t>). The timing and conditions under which earlier life events and behaviour occur to set up chains of reaction of experiences for individuals and families (e.g., Reproduction of poverty, widening educational disparities along cultural and economic lines). The past, therefore, can significantly affect later life outcomes such as socioeconomic status, mental health, physical functioning, educational attainment, and marital patterns (</w:t>
      </w:r>
      <w:r w:rsidR="00FD2D81" w:rsidRPr="00FC5FCC">
        <w:rPr>
          <w:color w:val="0E101A"/>
        </w:rPr>
        <w:t>Levy &amp; Buhlmann, 2016</w:t>
      </w:r>
      <w:r w:rsidRPr="00FC5FCC">
        <w:rPr>
          <w:color w:val="0E101A"/>
        </w:rPr>
        <w:t>). This view of the life course recognizes the complex stratified systems between the historical past and present or future events, which are valuable for understanding social inequality in later life (O'Rand 1996).</w:t>
      </w:r>
    </w:p>
    <w:p w14:paraId="42F5ECAA" w14:textId="22C4F186" w:rsidR="00545288" w:rsidRPr="00FC5FCC" w:rsidRDefault="00A86FE8" w:rsidP="00DF3C36">
      <w:pPr>
        <w:pStyle w:val="NormalWeb"/>
        <w:spacing w:before="0" w:beforeAutospacing="0" w:after="0" w:afterAutospacing="0" w:line="480" w:lineRule="auto"/>
        <w:jc w:val="both"/>
        <w:rPr>
          <w:color w:val="0E101A"/>
        </w:rPr>
      </w:pPr>
      <w:r w:rsidRPr="00FC5FCC">
        <w:rPr>
          <w:color w:val="0E101A"/>
        </w:rPr>
        <w:t>To further advance the analysis, the interlocking nature of human lives and generations, the individuals' informed awareness as choice makers and agents of their own decision becomes a critical point for the individual in the life events ("</w:t>
      </w:r>
      <w:r w:rsidR="00FD2D81" w:rsidRPr="00FC5FCC">
        <w:rPr>
          <w:color w:val="0E101A"/>
        </w:rPr>
        <w:t>Levy &amp; Buhlmann, 2016</w:t>
      </w:r>
      <w:r w:rsidRPr="00FC5FCC">
        <w:rPr>
          <w:color w:val="0E101A"/>
        </w:rPr>
        <w:t>). The context of "human agency" within the life course perspective posits that individuals are active agents. They mediate the effects of social structures by deciding and setting goals that shape these social structures (</w:t>
      </w:r>
      <w:r w:rsidR="00FD2D81" w:rsidRPr="00FC5FCC">
        <w:rPr>
          <w:color w:val="0E101A"/>
        </w:rPr>
        <w:t>Levy &amp; Buhlmann, 2016</w:t>
      </w:r>
      <w:r w:rsidRPr="00FC5FCC">
        <w:rPr>
          <w:color w:val="0E101A"/>
        </w:rPr>
        <w:t>). Likewise, it recognizes the ability of the individual to make decisions basis on resource opportunities and constraints whiles modifying their expectations and behaviours in response to social changes, either structural or resources (Elder, 1998). The literature on migration has constantly focused on resource disparities, household income level or access to facilities and services (Opare, 2003); however, the role of migrant's agency in deciding to migrate influence the individual life transition and trajectories. Hence, the individual's active shaping of their biographers refers to the concept of human agency. Heinz and Kruger's (2001, p. 29) argue that personality development becomes both a project and a reflexive product of social demand, individual decision-making and risk-taking, a process which turns the life course itself into a biographical accomplishment.</w:t>
      </w:r>
    </w:p>
    <w:p w14:paraId="5E4D0D19" w14:textId="3725DF57" w:rsidR="006E2A1B" w:rsidRPr="00FC5FCC" w:rsidRDefault="006E2A1B" w:rsidP="00D95B0D">
      <w:pPr>
        <w:pStyle w:val="Heading1"/>
        <w:jc w:val="center"/>
        <w:rPr>
          <w:rFonts w:ascii="Times New Roman" w:hAnsi="Times New Roman" w:cs="Times New Roman"/>
          <w:sz w:val="24"/>
          <w:szCs w:val="24"/>
        </w:rPr>
      </w:pPr>
      <w:bookmarkStart w:id="61" w:name="_Toc67825672"/>
      <w:bookmarkStart w:id="62" w:name="_Toc67826423"/>
      <w:r w:rsidRPr="00FC5FCC">
        <w:rPr>
          <w:rFonts w:ascii="Times New Roman" w:hAnsi="Times New Roman" w:cs="Times New Roman"/>
          <w:sz w:val="24"/>
          <w:szCs w:val="24"/>
        </w:rPr>
        <w:t>CH</w:t>
      </w:r>
      <w:r w:rsidR="00545288" w:rsidRPr="00FC5FCC">
        <w:rPr>
          <w:rFonts w:ascii="Times New Roman" w:hAnsi="Times New Roman" w:cs="Times New Roman"/>
          <w:sz w:val="24"/>
          <w:szCs w:val="24"/>
        </w:rPr>
        <w:t>A</w:t>
      </w:r>
      <w:r w:rsidRPr="00FC5FCC">
        <w:rPr>
          <w:rFonts w:ascii="Times New Roman" w:hAnsi="Times New Roman" w:cs="Times New Roman"/>
          <w:sz w:val="24"/>
          <w:szCs w:val="24"/>
        </w:rPr>
        <w:t>PTER 6</w:t>
      </w:r>
      <w:bookmarkEnd w:id="61"/>
      <w:bookmarkEnd w:id="62"/>
    </w:p>
    <w:p w14:paraId="3C7C3EC5" w14:textId="3E690762" w:rsidR="006E2A1B" w:rsidRPr="00FC5FCC" w:rsidRDefault="006E2A1B" w:rsidP="00D95B0D">
      <w:pPr>
        <w:pStyle w:val="Heading2"/>
        <w:jc w:val="center"/>
        <w:rPr>
          <w:rFonts w:ascii="Times New Roman" w:hAnsi="Times New Roman" w:cs="Times New Roman"/>
          <w:sz w:val="24"/>
          <w:szCs w:val="24"/>
        </w:rPr>
      </w:pPr>
      <w:bookmarkStart w:id="63" w:name="_Toc67825673"/>
      <w:bookmarkStart w:id="64" w:name="_Toc67826424"/>
      <w:r w:rsidRPr="00FC5FCC">
        <w:rPr>
          <w:rFonts w:ascii="Times New Roman" w:hAnsi="Times New Roman" w:cs="Times New Roman"/>
          <w:sz w:val="24"/>
          <w:szCs w:val="24"/>
        </w:rPr>
        <w:t>METHODOLOGY</w:t>
      </w:r>
      <w:bookmarkEnd w:id="63"/>
      <w:bookmarkEnd w:id="64"/>
    </w:p>
    <w:p w14:paraId="2B5B6C18" w14:textId="77777777" w:rsidR="006E2A1B" w:rsidRPr="00FC5FCC" w:rsidRDefault="006E2A1B" w:rsidP="00DF3C36">
      <w:pPr>
        <w:pStyle w:val="Heading3"/>
        <w:jc w:val="both"/>
        <w:rPr>
          <w:rFonts w:ascii="Times New Roman" w:hAnsi="Times New Roman" w:cs="Times New Roman"/>
          <w:sz w:val="28"/>
          <w:szCs w:val="28"/>
        </w:rPr>
      </w:pPr>
      <w:bookmarkStart w:id="65" w:name="_Toc67825674"/>
      <w:bookmarkStart w:id="66" w:name="_Toc67826425"/>
      <w:r w:rsidRPr="00FC5FCC">
        <w:rPr>
          <w:rFonts w:ascii="Times New Roman" w:hAnsi="Times New Roman" w:cs="Times New Roman"/>
          <w:sz w:val="28"/>
          <w:szCs w:val="28"/>
        </w:rPr>
        <w:t>Data</w:t>
      </w:r>
      <w:bookmarkEnd w:id="65"/>
      <w:bookmarkEnd w:id="66"/>
      <w:r w:rsidRPr="00FC5FCC">
        <w:rPr>
          <w:rFonts w:ascii="Times New Roman" w:hAnsi="Times New Roman" w:cs="Times New Roman"/>
          <w:sz w:val="28"/>
          <w:szCs w:val="28"/>
        </w:rPr>
        <w:t xml:space="preserve"> </w:t>
      </w:r>
    </w:p>
    <w:p w14:paraId="58764186" w14:textId="77777777" w:rsidR="00BD5F0B" w:rsidRPr="00FC5FCC" w:rsidRDefault="00BD5F0B" w:rsidP="00DF3C36">
      <w:pPr>
        <w:spacing w:line="480" w:lineRule="auto"/>
        <w:jc w:val="both"/>
        <w:rPr>
          <w:rFonts w:ascii="Times New Roman" w:hAnsi="Times New Roman" w:cs="Times New Roman"/>
          <w:sz w:val="24"/>
          <w:szCs w:val="24"/>
        </w:rPr>
      </w:pPr>
    </w:p>
    <w:p w14:paraId="7A780490" w14:textId="5991A7A1"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The</w:t>
      </w:r>
      <w:r w:rsidR="003547D1" w:rsidRPr="00FC5FCC">
        <w:rPr>
          <w:rFonts w:ascii="Times New Roman" w:hAnsi="Times New Roman" w:cs="Times New Roman"/>
          <w:sz w:val="24"/>
          <w:szCs w:val="24"/>
        </w:rPr>
        <w:t xml:space="preserve"> literature review for </w:t>
      </w:r>
      <w:r w:rsidRPr="00FC5FCC">
        <w:rPr>
          <w:rFonts w:ascii="Times New Roman" w:hAnsi="Times New Roman" w:cs="Times New Roman"/>
          <w:sz w:val="24"/>
          <w:szCs w:val="24"/>
        </w:rPr>
        <w:t xml:space="preserve">this study is </w:t>
      </w:r>
      <w:r w:rsidR="003547D1" w:rsidRPr="00FC5FCC">
        <w:rPr>
          <w:rFonts w:ascii="Times New Roman" w:hAnsi="Times New Roman" w:cs="Times New Roman"/>
          <w:sz w:val="24"/>
          <w:szCs w:val="24"/>
        </w:rPr>
        <w:t>sourced from</w:t>
      </w:r>
      <w:r w:rsidR="00FD2D81" w:rsidRPr="00FC5FCC">
        <w:rPr>
          <w:rFonts w:ascii="Times New Roman" w:hAnsi="Times New Roman" w:cs="Times New Roman"/>
          <w:sz w:val="24"/>
          <w:szCs w:val="24"/>
        </w:rPr>
        <w:t xml:space="preserve"> Alatinga’s</w:t>
      </w:r>
      <w:r w:rsidRPr="00FC5FCC">
        <w:rPr>
          <w:rFonts w:ascii="Times New Roman" w:hAnsi="Times New Roman" w:cs="Times New Roman"/>
          <w:sz w:val="24"/>
          <w:szCs w:val="24"/>
        </w:rPr>
        <w:t xml:space="preserve"> field-survey collected in 2019 to examine the relationship between internal migration, socioeconomic status, and remittance, drawing on the experiences of migrant adolescent girls (head porters) </w:t>
      </w:r>
      <w:r w:rsidR="00686103" w:rsidRPr="00FC5FCC">
        <w:rPr>
          <w:rFonts w:ascii="Times New Roman" w:hAnsi="Times New Roman" w:cs="Times New Roman"/>
          <w:sz w:val="24"/>
          <w:szCs w:val="24"/>
        </w:rPr>
        <w:t xml:space="preserve">Alatinga </w:t>
      </w:r>
      <w:r w:rsidRPr="00FC5FCC">
        <w:rPr>
          <w:rFonts w:ascii="Times New Roman" w:hAnsi="Times New Roman" w:cs="Times New Roman"/>
          <w:sz w:val="24"/>
          <w:szCs w:val="24"/>
        </w:rPr>
        <w:t xml:space="preserve">(2019). The </w:t>
      </w:r>
      <w:r w:rsidR="003547D1" w:rsidRPr="00FC5FCC">
        <w:rPr>
          <w:rFonts w:ascii="Times New Roman" w:hAnsi="Times New Roman" w:cs="Times New Roman"/>
          <w:sz w:val="24"/>
          <w:szCs w:val="24"/>
        </w:rPr>
        <w:t xml:space="preserve">sourced </w:t>
      </w:r>
      <w:r w:rsidRPr="00FC5FCC">
        <w:rPr>
          <w:rFonts w:ascii="Times New Roman" w:hAnsi="Times New Roman" w:cs="Times New Roman"/>
          <w:sz w:val="24"/>
          <w:szCs w:val="24"/>
        </w:rPr>
        <w:t>data</w:t>
      </w:r>
      <w:r w:rsidR="003547D1"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set is used because the statistics and the sample of 'Kayayei' adolescent girls' respondents appropriately fit in this paper's context. The </w:t>
      </w:r>
      <w:r w:rsidR="003547D1" w:rsidRPr="00FC5FCC">
        <w:rPr>
          <w:rFonts w:ascii="Times New Roman" w:hAnsi="Times New Roman" w:cs="Times New Roman"/>
          <w:sz w:val="24"/>
          <w:szCs w:val="24"/>
        </w:rPr>
        <w:t xml:space="preserve">sourced </w:t>
      </w:r>
      <w:r w:rsidRPr="00FC5FCC">
        <w:rPr>
          <w:rFonts w:ascii="Times New Roman" w:hAnsi="Times New Roman" w:cs="Times New Roman"/>
          <w:sz w:val="24"/>
          <w:szCs w:val="24"/>
        </w:rPr>
        <w:t>data from the survey were collected in the cities of Accra and Kumasi, which happens to be the largest and most urbanized cities of Ghana, representing the geographical area and space and the sample units of analysis for this study</w:t>
      </w:r>
      <w:r w:rsidR="003547D1"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The study objective is to examine whether the kayayoo business capacitates adolescent girls to achieve their aspirations (Alatinga, 2019), which is of crucial public and social policy relevance because they are of school-going age and should typically be in school. The study employed an explanatory sequential mixed method research design involving 503 respondents and 24 in-depth interviews (Alatinga,</w:t>
      </w:r>
      <w:r w:rsidR="00A42693" w:rsidRPr="00FC5FCC">
        <w:rPr>
          <w:rFonts w:ascii="Times New Roman" w:hAnsi="Times New Roman" w:cs="Times New Roman"/>
          <w:sz w:val="24"/>
          <w:szCs w:val="24"/>
        </w:rPr>
        <w:t xml:space="preserve"> </w:t>
      </w:r>
      <w:r w:rsidRPr="00FC5FCC">
        <w:rPr>
          <w:rFonts w:ascii="Times New Roman" w:hAnsi="Times New Roman" w:cs="Times New Roman"/>
          <w:sz w:val="24"/>
          <w:szCs w:val="24"/>
        </w:rPr>
        <w:t>2019). Quantitative and time-location sampling were considered appropriate for generating random estimates for adolescent head porters</w:t>
      </w:r>
      <w:r w:rsidR="007C1603"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Because of hard-to-reach populations and migrant populations are characterized by the difficulty in sampling, quantitative and time-location sampling was deemed to be appropriate for generating random estimates for the migrant adolescent girl head porters (Reichel and Morales, 2017). Teenage girls between the ages of 10-19 years who had been in the kayayoo business for six months or longer were included in the study, </w:t>
      </w:r>
      <w:r w:rsidR="00686103" w:rsidRPr="00FC5FCC">
        <w:rPr>
          <w:rFonts w:ascii="Times New Roman" w:hAnsi="Times New Roman" w:cs="Times New Roman"/>
          <w:sz w:val="24"/>
          <w:szCs w:val="24"/>
        </w:rPr>
        <w:t xml:space="preserve">Alatinga </w:t>
      </w:r>
      <w:r w:rsidRPr="00FC5FCC">
        <w:rPr>
          <w:rFonts w:ascii="Times New Roman" w:hAnsi="Times New Roman" w:cs="Times New Roman"/>
          <w:sz w:val="24"/>
          <w:szCs w:val="24"/>
        </w:rPr>
        <w:t>(2019). The time frame was considered long a period to determine the adolescent girls' (Kayayei) ability to remit, their socioeconomic status, financial situation, and the overall poverty condition of the individual and that of their families</w:t>
      </w:r>
      <w:r w:rsidR="007C1603"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w:t>
      </w:r>
    </w:p>
    <w:p w14:paraId="695407EA" w14:textId="77777777" w:rsidR="006E2A1B" w:rsidRPr="00FC5FCC" w:rsidRDefault="006E2A1B" w:rsidP="00DF3C36">
      <w:pPr>
        <w:pStyle w:val="Heading3"/>
        <w:jc w:val="both"/>
        <w:rPr>
          <w:rFonts w:ascii="Times New Roman" w:hAnsi="Times New Roman" w:cs="Times New Roman"/>
          <w:b/>
          <w:bCs/>
        </w:rPr>
      </w:pPr>
      <w:bookmarkStart w:id="67" w:name="_Toc67825675"/>
      <w:bookmarkStart w:id="68" w:name="_Toc67826426"/>
      <w:r w:rsidRPr="00FC5FCC">
        <w:rPr>
          <w:rFonts w:ascii="Times New Roman" w:hAnsi="Times New Roman" w:cs="Times New Roman"/>
          <w:b/>
          <w:bCs/>
        </w:rPr>
        <w:t>Study Sample</w:t>
      </w:r>
      <w:bookmarkEnd w:id="67"/>
      <w:bookmarkEnd w:id="68"/>
      <w:r w:rsidRPr="00FC5FCC">
        <w:rPr>
          <w:rFonts w:ascii="Times New Roman" w:hAnsi="Times New Roman" w:cs="Times New Roman"/>
          <w:b/>
          <w:bCs/>
        </w:rPr>
        <w:t xml:space="preserve"> </w:t>
      </w:r>
    </w:p>
    <w:p w14:paraId="019E0A64" w14:textId="77777777" w:rsidR="00E10B07" w:rsidRPr="00FC5FCC" w:rsidRDefault="00E10B07" w:rsidP="00DF3C36">
      <w:pPr>
        <w:spacing w:line="480" w:lineRule="auto"/>
        <w:jc w:val="both"/>
        <w:rPr>
          <w:rFonts w:ascii="Times New Roman" w:hAnsi="Times New Roman" w:cs="Times New Roman"/>
          <w:sz w:val="24"/>
          <w:szCs w:val="24"/>
        </w:rPr>
      </w:pPr>
    </w:p>
    <w:p w14:paraId="57C082BC" w14:textId="7AA85E5B"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Since this paper is focused on adolescent migrants' Kayayei' girls and factors influencing their migration patterns, using the field-survey data </w:t>
      </w:r>
      <w:r w:rsidR="003547D1" w:rsidRPr="00FC5FCC">
        <w:rPr>
          <w:rFonts w:ascii="Times New Roman" w:hAnsi="Times New Roman" w:cs="Times New Roman"/>
          <w:sz w:val="24"/>
          <w:szCs w:val="24"/>
        </w:rPr>
        <w:t xml:space="preserve">sourced from Alatinga 2019, </w:t>
      </w:r>
      <w:r w:rsidRPr="00FC5FCC">
        <w:rPr>
          <w:rFonts w:ascii="Times New Roman" w:hAnsi="Times New Roman" w:cs="Times New Roman"/>
          <w:sz w:val="24"/>
          <w:szCs w:val="24"/>
        </w:rPr>
        <w:t xml:space="preserve">and the selected participants of teenage girls between the ages of 10-19 and the duration in the kayayei activity appropriately fit into this paper study, offering a clear understanding the phenomena. </w:t>
      </w:r>
      <w:r w:rsidR="007C1603" w:rsidRPr="00FC5FCC">
        <w:rPr>
          <w:rFonts w:ascii="Times New Roman" w:hAnsi="Times New Roman" w:cs="Times New Roman"/>
          <w:sz w:val="24"/>
          <w:szCs w:val="24"/>
        </w:rPr>
        <w:t>From the sourced data (Alatinga, 2019), a</w:t>
      </w:r>
      <w:r w:rsidRPr="00FC5FCC">
        <w:rPr>
          <w:rFonts w:ascii="Times New Roman" w:hAnsi="Times New Roman" w:cs="Times New Roman"/>
          <w:sz w:val="24"/>
          <w:szCs w:val="24"/>
        </w:rPr>
        <w:t>ll respondents of the study sample were between the ages of 10-19 and should be going to school but rather migrate to the city to escape household poverty, and raise money to pay tuition fees, which are critical points in the life course events from childhood to adolescence and adulthood. The study sample also considers the socioeconomic status, ability to remit money home, and drawing on the experiences of migrant adolescent girl’s head porters in Accra and Kumasi's cities in Ghana</w:t>
      </w:r>
      <w:r w:rsidR="00F449DA"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w:t>
      </w:r>
    </w:p>
    <w:p w14:paraId="48475EE2" w14:textId="750FD4DF" w:rsidR="006E2A1B" w:rsidRPr="00FC5FCC" w:rsidRDefault="006E2A1B" w:rsidP="00DF3C36">
      <w:pPr>
        <w:spacing w:line="480" w:lineRule="auto"/>
        <w:jc w:val="both"/>
        <w:rPr>
          <w:rFonts w:ascii="Times New Roman" w:hAnsi="Times New Roman" w:cs="Times New Roman"/>
          <w:sz w:val="24"/>
          <w:szCs w:val="24"/>
        </w:rPr>
      </w:pPr>
    </w:p>
    <w:p w14:paraId="28148389" w14:textId="2B62E701" w:rsidR="006E2A1B" w:rsidRPr="00FC5FCC" w:rsidRDefault="006E2A1B" w:rsidP="00B003CA">
      <w:pPr>
        <w:pStyle w:val="Heading1"/>
        <w:jc w:val="center"/>
        <w:rPr>
          <w:rFonts w:ascii="Times New Roman" w:hAnsi="Times New Roman" w:cs="Times New Roman"/>
          <w:sz w:val="24"/>
          <w:szCs w:val="24"/>
        </w:rPr>
      </w:pPr>
      <w:bookmarkStart w:id="69" w:name="_Toc67825676"/>
      <w:bookmarkStart w:id="70" w:name="_Toc67826427"/>
      <w:r w:rsidRPr="00FC5FCC">
        <w:rPr>
          <w:rFonts w:ascii="Times New Roman" w:hAnsi="Times New Roman" w:cs="Times New Roman"/>
          <w:sz w:val="24"/>
          <w:szCs w:val="24"/>
        </w:rPr>
        <w:t>CH</w:t>
      </w:r>
      <w:r w:rsidR="0007256C" w:rsidRPr="00FC5FCC">
        <w:rPr>
          <w:rFonts w:ascii="Times New Roman" w:hAnsi="Times New Roman" w:cs="Times New Roman"/>
          <w:sz w:val="24"/>
          <w:szCs w:val="24"/>
        </w:rPr>
        <w:t>A</w:t>
      </w:r>
      <w:r w:rsidRPr="00FC5FCC">
        <w:rPr>
          <w:rFonts w:ascii="Times New Roman" w:hAnsi="Times New Roman" w:cs="Times New Roman"/>
          <w:sz w:val="24"/>
          <w:szCs w:val="24"/>
        </w:rPr>
        <w:t>PTER 6</w:t>
      </w:r>
      <w:bookmarkEnd w:id="69"/>
      <w:bookmarkEnd w:id="70"/>
    </w:p>
    <w:p w14:paraId="14B88AAD" w14:textId="06ACCB8B" w:rsidR="00B003CA" w:rsidRPr="00FC5FCC" w:rsidRDefault="006E2A1B" w:rsidP="00B003CA">
      <w:pPr>
        <w:pStyle w:val="Heading2"/>
        <w:jc w:val="center"/>
        <w:rPr>
          <w:rFonts w:ascii="Times New Roman" w:hAnsi="Times New Roman" w:cs="Times New Roman"/>
          <w:sz w:val="24"/>
          <w:szCs w:val="24"/>
        </w:rPr>
      </w:pPr>
      <w:bookmarkStart w:id="71" w:name="_Toc67825677"/>
      <w:bookmarkStart w:id="72" w:name="_Toc67826428"/>
      <w:r w:rsidRPr="00FC5FCC">
        <w:rPr>
          <w:rFonts w:ascii="Times New Roman" w:hAnsi="Times New Roman" w:cs="Times New Roman"/>
          <w:sz w:val="24"/>
          <w:szCs w:val="24"/>
        </w:rPr>
        <w:t>FINDINGS AND ANALYSIS</w:t>
      </w:r>
      <w:bookmarkEnd w:id="71"/>
      <w:bookmarkEnd w:id="72"/>
    </w:p>
    <w:p w14:paraId="376B83BE" w14:textId="77777777" w:rsidR="00B003CA" w:rsidRPr="00FC5FCC" w:rsidRDefault="00B003CA" w:rsidP="00DF3C36">
      <w:pPr>
        <w:pStyle w:val="Heading3"/>
        <w:jc w:val="both"/>
        <w:rPr>
          <w:rFonts w:ascii="Times New Roman" w:hAnsi="Times New Roman" w:cs="Times New Roman"/>
        </w:rPr>
      </w:pPr>
      <w:bookmarkStart w:id="73" w:name="_Toc67825678"/>
      <w:bookmarkStart w:id="74" w:name="_Toc67826429"/>
    </w:p>
    <w:p w14:paraId="647A57EC" w14:textId="32A9E661" w:rsidR="006E2A1B" w:rsidRPr="00FC5FCC" w:rsidRDefault="006E2A1B" w:rsidP="00DF3C36">
      <w:pPr>
        <w:pStyle w:val="Heading3"/>
        <w:jc w:val="both"/>
        <w:rPr>
          <w:rFonts w:ascii="Times New Roman" w:hAnsi="Times New Roman" w:cs="Times New Roman"/>
          <w:b/>
          <w:bCs/>
        </w:rPr>
      </w:pPr>
      <w:r w:rsidRPr="00FC5FCC">
        <w:rPr>
          <w:rFonts w:ascii="Times New Roman" w:hAnsi="Times New Roman" w:cs="Times New Roman"/>
          <w:b/>
          <w:bCs/>
        </w:rPr>
        <w:t>Table 1. Background Characteristics of Respondents</w:t>
      </w:r>
      <w:bookmarkEnd w:id="73"/>
      <w:bookmarkEnd w:id="74"/>
      <w:r w:rsidRPr="00FC5FCC">
        <w:rPr>
          <w:rFonts w:ascii="Times New Roman" w:hAnsi="Times New Roman" w:cs="Times New Roman"/>
          <w:b/>
          <w:bCs/>
        </w:rPr>
        <w:t xml:space="preserve"> </w:t>
      </w:r>
    </w:p>
    <w:p w14:paraId="3AF7EB02" w14:textId="77777777" w:rsidR="00B003CA" w:rsidRPr="00FC5FCC" w:rsidRDefault="00B003CA" w:rsidP="00B003CA"/>
    <w:tbl>
      <w:tblPr>
        <w:tblStyle w:val="TableGrid"/>
        <w:tblW w:w="7696" w:type="dxa"/>
        <w:tblInd w:w="10" w:type="dxa"/>
        <w:tblCellMar>
          <w:top w:w="35" w:type="dxa"/>
          <w:left w:w="108" w:type="dxa"/>
          <w:right w:w="74" w:type="dxa"/>
        </w:tblCellMar>
        <w:tblLook w:val="04A0" w:firstRow="1" w:lastRow="0" w:firstColumn="1" w:lastColumn="0" w:noHBand="0" w:noVBand="1"/>
      </w:tblPr>
      <w:tblGrid>
        <w:gridCol w:w="3057"/>
        <w:gridCol w:w="1300"/>
        <w:gridCol w:w="1848"/>
        <w:gridCol w:w="1491"/>
      </w:tblGrid>
      <w:tr w:rsidR="006E2A1B" w:rsidRPr="00FC5FCC" w14:paraId="2457A45D" w14:textId="77777777" w:rsidTr="00871227">
        <w:trPr>
          <w:trHeight w:val="279"/>
        </w:trPr>
        <w:tc>
          <w:tcPr>
            <w:tcW w:w="4357" w:type="dxa"/>
            <w:gridSpan w:val="2"/>
            <w:tcBorders>
              <w:top w:val="single" w:sz="8" w:space="0" w:color="000000"/>
              <w:left w:val="single" w:sz="8" w:space="0" w:color="000000"/>
              <w:bottom w:val="single" w:sz="8" w:space="0" w:color="000000"/>
              <w:right w:val="single" w:sz="8" w:space="0" w:color="000000"/>
            </w:tcBorders>
          </w:tcPr>
          <w:p w14:paraId="448BDFD6" w14:textId="77777777" w:rsidR="006E2A1B" w:rsidRPr="00FC5FCC" w:rsidRDefault="006E2A1B" w:rsidP="00DF3C36">
            <w:pPr>
              <w:spacing w:line="259" w:lineRule="auto"/>
              <w:jc w:val="both"/>
              <w:rPr>
                <w:rFonts w:ascii="Times New Roman" w:hAnsi="Times New Roman" w:cs="Times New Roman"/>
                <w:sz w:val="24"/>
                <w:szCs w:val="24"/>
              </w:rPr>
            </w:pPr>
            <w:bookmarkStart w:id="75" w:name="_Hlk66045878"/>
            <w:r w:rsidRPr="00FC5FCC">
              <w:rPr>
                <w:rFonts w:ascii="Times New Roman" w:hAnsi="Times New Roman" w:cs="Times New Roman"/>
                <w:b/>
                <w:sz w:val="24"/>
                <w:szCs w:val="24"/>
              </w:rPr>
              <w:t xml:space="preserve">Background Characteristics </w:t>
            </w:r>
          </w:p>
        </w:tc>
        <w:tc>
          <w:tcPr>
            <w:tcW w:w="1848" w:type="dxa"/>
            <w:tcBorders>
              <w:top w:val="single" w:sz="8" w:space="0" w:color="000000"/>
              <w:left w:val="single" w:sz="8" w:space="0" w:color="000000"/>
              <w:bottom w:val="single" w:sz="8" w:space="0" w:color="000000"/>
              <w:right w:val="single" w:sz="8" w:space="0" w:color="000000"/>
            </w:tcBorders>
          </w:tcPr>
          <w:p w14:paraId="4516EC2F"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Frequency (N) </w:t>
            </w:r>
          </w:p>
        </w:tc>
        <w:tc>
          <w:tcPr>
            <w:tcW w:w="1491" w:type="dxa"/>
            <w:tcBorders>
              <w:top w:val="single" w:sz="8" w:space="0" w:color="000000"/>
              <w:left w:val="single" w:sz="8" w:space="0" w:color="000000"/>
              <w:bottom w:val="single" w:sz="8" w:space="0" w:color="000000"/>
              <w:right w:val="single" w:sz="8" w:space="0" w:color="000000"/>
            </w:tcBorders>
          </w:tcPr>
          <w:p w14:paraId="1B6F9FF1"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Percent (%) </w:t>
            </w:r>
          </w:p>
        </w:tc>
      </w:tr>
      <w:tr w:rsidR="006E2A1B" w:rsidRPr="00FC5FCC" w14:paraId="59BA5FDB" w14:textId="77777777" w:rsidTr="00871227">
        <w:trPr>
          <w:trHeight w:val="278"/>
        </w:trPr>
        <w:tc>
          <w:tcPr>
            <w:tcW w:w="4357" w:type="dxa"/>
            <w:gridSpan w:val="2"/>
            <w:tcBorders>
              <w:top w:val="single" w:sz="8" w:space="0" w:color="000000"/>
              <w:left w:val="single" w:sz="8" w:space="0" w:color="000000"/>
              <w:bottom w:val="single" w:sz="8" w:space="0" w:color="000000"/>
              <w:right w:val="nil"/>
            </w:tcBorders>
          </w:tcPr>
          <w:p w14:paraId="51494605"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Age Group </w:t>
            </w:r>
          </w:p>
        </w:tc>
        <w:tc>
          <w:tcPr>
            <w:tcW w:w="1848" w:type="dxa"/>
            <w:tcBorders>
              <w:top w:val="single" w:sz="8" w:space="0" w:color="000000"/>
              <w:left w:val="nil"/>
              <w:bottom w:val="single" w:sz="8" w:space="0" w:color="000000"/>
              <w:right w:val="nil"/>
            </w:tcBorders>
          </w:tcPr>
          <w:p w14:paraId="03101D8A"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1C49E3F1"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59612A04" w14:textId="77777777" w:rsidTr="00871227">
        <w:trPr>
          <w:trHeight w:val="280"/>
        </w:trPr>
        <w:tc>
          <w:tcPr>
            <w:tcW w:w="4357" w:type="dxa"/>
            <w:gridSpan w:val="2"/>
            <w:vMerge w:val="restart"/>
            <w:tcBorders>
              <w:top w:val="single" w:sz="8" w:space="0" w:color="000000"/>
              <w:left w:val="single" w:sz="8" w:space="0" w:color="000000"/>
              <w:bottom w:val="single" w:sz="8" w:space="0" w:color="000000"/>
              <w:right w:val="single" w:sz="8" w:space="0" w:color="000000"/>
            </w:tcBorders>
          </w:tcPr>
          <w:p w14:paraId="5DFC3417" w14:textId="77777777" w:rsidR="006E2A1B" w:rsidRPr="00FC5FCC" w:rsidRDefault="006E2A1B" w:rsidP="00DF3C36">
            <w:pPr>
              <w:spacing w:after="17"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10-14 </w:t>
            </w:r>
          </w:p>
          <w:p w14:paraId="2F6746E6"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15-19 </w:t>
            </w:r>
          </w:p>
        </w:tc>
        <w:tc>
          <w:tcPr>
            <w:tcW w:w="1848" w:type="dxa"/>
            <w:tcBorders>
              <w:top w:val="single" w:sz="8" w:space="0" w:color="000000"/>
              <w:left w:val="single" w:sz="8" w:space="0" w:color="000000"/>
              <w:bottom w:val="single" w:sz="8" w:space="0" w:color="000000"/>
              <w:right w:val="single" w:sz="8" w:space="0" w:color="000000"/>
            </w:tcBorders>
          </w:tcPr>
          <w:p w14:paraId="2817B8A7"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37 </w:t>
            </w:r>
          </w:p>
        </w:tc>
        <w:tc>
          <w:tcPr>
            <w:tcW w:w="1491" w:type="dxa"/>
            <w:tcBorders>
              <w:top w:val="single" w:sz="8" w:space="0" w:color="000000"/>
              <w:left w:val="single" w:sz="8" w:space="0" w:color="000000"/>
              <w:bottom w:val="single" w:sz="8" w:space="0" w:color="000000"/>
              <w:right w:val="single" w:sz="8" w:space="0" w:color="000000"/>
            </w:tcBorders>
          </w:tcPr>
          <w:p w14:paraId="3113A301"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7.4 </w:t>
            </w:r>
          </w:p>
        </w:tc>
      </w:tr>
      <w:tr w:rsidR="006E2A1B" w:rsidRPr="00FC5FCC" w14:paraId="07D71B15" w14:textId="77777777" w:rsidTr="00871227">
        <w:trPr>
          <w:trHeight w:val="280"/>
        </w:trPr>
        <w:tc>
          <w:tcPr>
            <w:tcW w:w="0" w:type="auto"/>
            <w:gridSpan w:val="2"/>
            <w:vMerge/>
            <w:tcBorders>
              <w:top w:val="nil"/>
              <w:left w:val="single" w:sz="8" w:space="0" w:color="000000"/>
              <w:bottom w:val="single" w:sz="8" w:space="0" w:color="000000"/>
              <w:right w:val="single" w:sz="8" w:space="0" w:color="000000"/>
            </w:tcBorders>
          </w:tcPr>
          <w:p w14:paraId="7F95AE52"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2C4D7BF2"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466 </w:t>
            </w:r>
          </w:p>
        </w:tc>
        <w:tc>
          <w:tcPr>
            <w:tcW w:w="1491" w:type="dxa"/>
            <w:tcBorders>
              <w:top w:val="single" w:sz="8" w:space="0" w:color="000000"/>
              <w:left w:val="single" w:sz="8" w:space="0" w:color="000000"/>
              <w:bottom w:val="single" w:sz="8" w:space="0" w:color="000000"/>
              <w:right w:val="single" w:sz="8" w:space="0" w:color="000000"/>
            </w:tcBorders>
          </w:tcPr>
          <w:p w14:paraId="3398CC01"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92.6 </w:t>
            </w:r>
          </w:p>
        </w:tc>
      </w:tr>
      <w:tr w:rsidR="006E2A1B" w:rsidRPr="00FC5FCC" w14:paraId="305EA29E" w14:textId="77777777" w:rsidTr="00871227">
        <w:trPr>
          <w:trHeight w:val="280"/>
        </w:trPr>
        <w:tc>
          <w:tcPr>
            <w:tcW w:w="4357" w:type="dxa"/>
            <w:gridSpan w:val="2"/>
            <w:tcBorders>
              <w:top w:val="single" w:sz="8" w:space="0" w:color="000000"/>
              <w:left w:val="single" w:sz="8" w:space="0" w:color="000000"/>
              <w:bottom w:val="single" w:sz="8" w:space="0" w:color="000000"/>
              <w:right w:val="nil"/>
            </w:tcBorders>
          </w:tcPr>
          <w:p w14:paraId="6236AA80"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Level of Education </w:t>
            </w:r>
          </w:p>
        </w:tc>
        <w:tc>
          <w:tcPr>
            <w:tcW w:w="1848" w:type="dxa"/>
            <w:tcBorders>
              <w:top w:val="single" w:sz="8" w:space="0" w:color="000000"/>
              <w:left w:val="nil"/>
              <w:bottom w:val="single" w:sz="8" w:space="0" w:color="000000"/>
              <w:right w:val="nil"/>
            </w:tcBorders>
          </w:tcPr>
          <w:p w14:paraId="6637E157"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08CCB594"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0A12FF1C" w14:textId="77777777" w:rsidTr="00871227">
        <w:trPr>
          <w:trHeight w:val="277"/>
        </w:trPr>
        <w:tc>
          <w:tcPr>
            <w:tcW w:w="4357" w:type="dxa"/>
            <w:gridSpan w:val="2"/>
            <w:vMerge w:val="restart"/>
            <w:tcBorders>
              <w:top w:val="single" w:sz="8" w:space="0" w:color="000000"/>
              <w:left w:val="single" w:sz="8" w:space="0" w:color="000000"/>
              <w:bottom w:val="single" w:sz="8" w:space="0" w:color="000000"/>
              <w:right w:val="single" w:sz="8" w:space="0" w:color="000000"/>
            </w:tcBorders>
          </w:tcPr>
          <w:p w14:paraId="3991558D"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 None </w:t>
            </w:r>
          </w:p>
          <w:p w14:paraId="178BC702" w14:textId="77777777" w:rsidR="006E2A1B" w:rsidRPr="00FC5FCC" w:rsidRDefault="006E2A1B" w:rsidP="00DF3C36">
            <w:pPr>
              <w:spacing w:after="17" w:line="259" w:lineRule="auto"/>
              <w:jc w:val="both"/>
              <w:rPr>
                <w:rFonts w:ascii="Times New Roman" w:hAnsi="Times New Roman" w:cs="Times New Roman"/>
                <w:sz w:val="24"/>
                <w:szCs w:val="24"/>
              </w:rPr>
            </w:pPr>
            <w:r w:rsidRPr="00FC5FCC">
              <w:rPr>
                <w:rFonts w:ascii="Times New Roman" w:hAnsi="Times New Roman" w:cs="Times New Roman"/>
                <w:sz w:val="24"/>
                <w:szCs w:val="24"/>
              </w:rPr>
              <w:t>Primary/ Elementary School</w:t>
            </w:r>
          </w:p>
          <w:p w14:paraId="685E67D3"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Junior High School/ High School </w:t>
            </w:r>
          </w:p>
          <w:p w14:paraId="08C1EA2A"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Senior High School/College School  </w:t>
            </w:r>
          </w:p>
        </w:tc>
        <w:tc>
          <w:tcPr>
            <w:tcW w:w="1848" w:type="dxa"/>
            <w:tcBorders>
              <w:top w:val="single" w:sz="8" w:space="0" w:color="000000"/>
              <w:left w:val="single" w:sz="8" w:space="0" w:color="000000"/>
              <w:bottom w:val="single" w:sz="8" w:space="0" w:color="000000"/>
              <w:right w:val="single" w:sz="8" w:space="0" w:color="000000"/>
            </w:tcBorders>
          </w:tcPr>
          <w:p w14:paraId="1240FEF0"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183 </w:t>
            </w:r>
          </w:p>
        </w:tc>
        <w:tc>
          <w:tcPr>
            <w:tcW w:w="1491" w:type="dxa"/>
            <w:tcBorders>
              <w:top w:val="single" w:sz="8" w:space="0" w:color="000000"/>
              <w:left w:val="single" w:sz="8" w:space="0" w:color="000000"/>
              <w:bottom w:val="single" w:sz="8" w:space="0" w:color="000000"/>
              <w:right w:val="single" w:sz="8" w:space="0" w:color="000000"/>
            </w:tcBorders>
          </w:tcPr>
          <w:p w14:paraId="62810112"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36.4 </w:t>
            </w:r>
          </w:p>
        </w:tc>
      </w:tr>
      <w:tr w:rsidR="006E2A1B" w:rsidRPr="00FC5FCC" w14:paraId="6C7ED6E5" w14:textId="77777777" w:rsidTr="00871227">
        <w:trPr>
          <w:trHeight w:val="280"/>
        </w:trPr>
        <w:tc>
          <w:tcPr>
            <w:tcW w:w="0" w:type="auto"/>
            <w:gridSpan w:val="2"/>
            <w:vMerge/>
            <w:tcBorders>
              <w:top w:val="nil"/>
              <w:left w:val="single" w:sz="8" w:space="0" w:color="000000"/>
              <w:bottom w:val="nil"/>
              <w:right w:val="single" w:sz="8" w:space="0" w:color="000000"/>
            </w:tcBorders>
          </w:tcPr>
          <w:p w14:paraId="15D19A69"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251D5B54"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121 </w:t>
            </w:r>
          </w:p>
        </w:tc>
        <w:tc>
          <w:tcPr>
            <w:tcW w:w="1491" w:type="dxa"/>
            <w:tcBorders>
              <w:top w:val="single" w:sz="8" w:space="0" w:color="000000"/>
              <w:left w:val="single" w:sz="8" w:space="0" w:color="000000"/>
              <w:bottom w:val="single" w:sz="8" w:space="0" w:color="000000"/>
              <w:right w:val="single" w:sz="8" w:space="0" w:color="000000"/>
            </w:tcBorders>
          </w:tcPr>
          <w:p w14:paraId="72456D4B"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24.1 </w:t>
            </w:r>
          </w:p>
        </w:tc>
      </w:tr>
      <w:tr w:rsidR="006E2A1B" w:rsidRPr="00FC5FCC" w14:paraId="25616DE5" w14:textId="77777777" w:rsidTr="00871227">
        <w:trPr>
          <w:trHeight w:val="280"/>
        </w:trPr>
        <w:tc>
          <w:tcPr>
            <w:tcW w:w="0" w:type="auto"/>
            <w:gridSpan w:val="2"/>
            <w:vMerge/>
            <w:tcBorders>
              <w:top w:val="nil"/>
              <w:left w:val="single" w:sz="8" w:space="0" w:color="000000"/>
              <w:bottom w:val="nil"/>
              <w:right w:val="single" w:sz="8" w:space="0" w:color="000000"/>
            </w:tcBorders>
          </w:tcPr>
          <w:p w14:paraId="59070ABF"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7E342F74"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158 </w:t>
            </w:r>
          </w:p>
        </w:tc>
        <w:tc>
          <w:tcPr>
            <w:tcW w:w="1491" w:type="dxa"/>
            <w:tcBorders>
              <w:top w:val="single" w:sz="8" w:space="0" w:color="000000"/>
              <w:left w:val="single" w:sz="8" w:space="0" w:color="000000"/>
              <w:bottom w:val="single" w:sz="8" w:space="0" w:color="000000"/>
              <w:right w:val="single" w:sz="8" w:space="0" w:color="000000"/>
            </w:tcBorders>
          </w:tcPr>
          <w:p w14:paraId="330D6ED3"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31.4 </w:t>
            </w:r>
          </w:p>
        </w:tc>
      </w:tr>
      <w:tr w:rsidR="006E2A1B" w:rsidRPr="00FC5FCC" w14:paraId="020D7A9E" w14:textId="77777777" w:rsidTr="00871227">
        <w:trPr>
          <w:trHeight w:val="280"/>
        </w:trPr>
        <w:tc>
          <w:tcPr>
            <w:tcW w:w="0" w:type="auto"/>
            <w:gridSpan w:val="2"/>
            <w:vMerge/>
            <w:tcBorders>
              <w:top w:val="nil"/>
              <w:left w:val="single" w:sz="8" w:space="0" w:color="000000"/>
              <w:bottom w:val="single" w:sz="8" w:space="0" w:color="000000"/>
              <w:right w:val="single" w:sz="8" w:space="0" w:color="000000"/>
            </w:tcBorders>
          </w:tcPr>
          <w:p w14:paraId="25C1AA7B"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11B604AE"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41 </w:t>
            </w:r>
          </w:p>
        </w:tc>
        <w:tc>
          <w:tcPr>
            <w:tcW w:w="1491" w:type="dxa"/>
            <w:tcBorders>
              <w:top w:val="single" w:sz="8" w:space="0" w:color="000000"/>
              <w:left w:val="single" w:sz="8" w:space="0" w:color="000000"/>
              <w:bottom w:val="single" w:sz="8" w:space="0" w:color="000000"/>
              <w:right w:val="single" w:sz="8" w:space="0" w:color="000000"/>
            </w:tcBorders>
          </w:tcPr>
          <w:p w14:paraId="0EDE5271"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8.2 </w:t>
            </w:r>
          </w:p>
        </w:tc>
      </w:tr>
      <w:tr w:rsidR="006E2A1B" w:rsidRPr="00FC5FCC" w14:paraId="11E4DBA9" w14:textId="77777777" w:rsidTr="00871227">
        <w:trPr>
          <w:trHeight w:val="277"/>
        </w:trPr>
        <w:tc>
          <w:tcPr>
            <w:tcW w:w="4357" w:type="dxa"/>
            <w:gridSpan w:val="2"/>
            <w:tcBorders>
              <w:top w:val="single" w:sz="8" w:space="0" w:color="000000"/>
              <w:left w:val="single" w:sz="8" w:space="0" w:color="000000"/>
              <w:bottom w:val="single" w:sz="8" w:space="0" w:color="000000"/>
              <w:right w:val="nil"/>
            </w:tcBorders>
          </w:tcPr>
          <w:p w14:paraId="5A25B066"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Marital Status  </w:t>
            </w:r>
          </w:p>
        </w:tc>
        <w:tc>
          <w:tcPr>
            <w:tcW w:w="1848" w:type="dxa"/>
            <w:tcBorders>
              <w:top w:val="single" w:sz="8" w:space="0" w:color="000000"/>
              <w:left w:val="nil"/>
              <w:bottom w:val="single" w:sz="8" w:space="0" w:color="000000"/>
              <w:right w:val="nil"/>
            </w:tcBorders>
          </w:tcPr>
          <w:p w14:paraId="72ED3150"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1089CF5D"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68BD1070" w14:textId="77777777" w:rsidTr="00871227">
        <w:trPr>
          <w:trHeight w:val="280"/>
        </w:trPr>
        <w:tc>
          <w:tcPr>
            <w:tcW w:w="4357" w:type="dxa"/>
            <w:gridSpan w:val="2"/>
            <w:vMerge w:val="restart"/>
            <w:tcBorders>
              <w:top w:val="single" w:sz="8" w:space="0" w:color="000000"/>
              <w:left w:val="single" w:sz="8" w:space="0" w:color="000000"/>
              <w:bottom w:val="single" w:sz="8" w:space="0" w:color="000000"/>
              <w:right w:val="single" w:sz="8" w:space="0" w:color="000000"/>
            </w:tcBorders>
          </w:tcPr>
          <w:p w14:paraId="13CB90B4"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Married </w:t>
            </w:r>
          </w:p>
          <w:p w14:paraId="037B069C" w14:textId="77777777" w:rsidR="006E2A1B" w:rsidRPr="00FC5FCC" w:rsidRDefault="006E2A1B" w:rsidP="00DF3C36">
            <w:pPr>
              <w:spacing w:after="17"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Never Married  </w:t>
            </w:r>
          </w:p>
          <w:p w14:paraId="21B95183"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Divorced/Widow </w:t>
            </w:r>
          </w:p>
          <w:p w14:paraId="5D78C2F7"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Cohabitation </w:t>
            </w:r>
          </w:p>
        </w:tc>
        <w:tc>
          <w:tcPr>
            <w:tcW w:w="1848" w:type="dxa"/>
            <w:tcBorders>
              <w:top w:val="single" w:sz="8" w:space="0" w:color="000000"/>
              <w:left w:val="single" w:sz="8" w:space="0" w:color="000000"/>
              <w:bottom w:val="single" w:sz="8" w:space="0" w:color="000000"/>
              <w:right w:val="single" w:sz="8" w:space="0" w:color="000000"/>
            </w:tcBorders>
          </w:tcPr>
          <w:p w14:paraId="7CDC564B"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79 </w:t>
            </w:r>
          </w:p>
        </w:tc>
        <w:tc>
          <w:tcPr>
            <w:tcW w:w="1491" w:type="dxa"/>
            <w:tcBorders>
              <w:top w:val="single" w:sz="8" w:space="0" w:color="000000"/>
              <w:left w:val="single" w:sz="8" w:space="0" w:color="000000"/>
              <w:bottom w:val="single" w:sz="8" w:space="0" w:color="000000"/>
              <w:right w:val="single" w:sz="8" w:space="0" w:color="000000"/>
            </w:tcBorders>
          </w:tcPr>
          <w:p w14:paraId="2BE76FE9"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15.8 </w:t>
            </w:r>
          </w:p>
        </w:tc>
      </w:tr>
      <w:tr w:rsidR="006E2A1B" w:rsidRPr="00FC5FCC" w14:paraId="15984A40" w14:textId="77777777" w:rsidTr="00871227">
        <w:trPr>
          <w:trHeight w:val="280"/>
        </w:trPr>
        <w:tc>
          <w:tcPr>
            <w:tcW w:w="0" w:type="auto"/>
            <w:gridSpan w:val="2"/>
            <w:vMerge/>
            <w:tcBorders>
              <w:top w:val="nil"/>
              <w:left w:val="single" w:sz="8" w:space="0" w:color="000000"/>
              <w:bottom w:val="nil"/>
              <w:right w:val="single" w:sz="8" w:space="0" w:color="000000"/>
            </w:tcBorders>
          </w:tcPr>
          <w:p w14:paraId="382C8DE0"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204BA783"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415 </w:t>
            </w:r>
          </w:p>
        </w:tc>
        <w:tc>
          <w:tcPr>
            <w:tcW w:w="1491" w:type="dxa"/>
            <w:tcBorders>
              <w:top w:val="single" w:sz="8" w:space="0" w:color="000000"/>
              <w:left w:val="single" w:sz="8" w:space="0" w:color="000000"/>
              <w:bottom w:val="single" w:sz="8" w:space="0" w:color="000000"/>
              <w:right w:val="single" w:sz="8" w:space="0" w:color="000000"/>
            </w:tcBorders>
          </w:tcPr>
          <w:p w14:paraId="11661DF7"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82.8 </w:t>
            </w:r>
          </w:p>
        </w:tc>
      </w:tr>
      <w:tr w:rsidR="006E2A1B" w:rsidRPr="00FC5FCC" w14:paraId="14C6C86A" w14:textId="77777777" w:rsidTr="00871227">
        <w:trPr>
          <w:trHeight w:val="280"/>
        </w:trPr>
        <w:tc>
          <w:tcPr>
            <w:tcW w:w="0" w:type="auto"/>
            <w:gridSpan w:val="2"/>
            <w:vMerge/>
            <w:tcBorders>
              <w:top w:val="nil"/>
              <w:left w:val="single" w:sz="8" w:space="0" w:color="000000"/>
              <w:bottom w:val="nil"/>
              <w:right w:val="single" w:sz="8" w:space="0" w:color="000000"/>
            </w:tcBorders>
          </w:tcPr>
          <w:p w14:paraId="0E653199"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5B2C84D6"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2 </w:t>
            </w:r>
          </w:p>
        </w:tc>
        <w:tc>
          <w:tcPr>
            <w:tcW w:w="1491" w:type="dxa"/>
            <w:tcBorders>
              <w:top w:val="single" w:sz="8" w:space="0" w:color="000000"/>
              <w:left w:val="single" w:sz="8" w:space="0" w:color="000000"/>
              <w:bottom w:val="single" w:sz="8" w:space="0" w:color="000000"/>
              <w:right w:val="single" w:sz="8" w:space="0" w:color="000000"/>
            </w:tcBorders>
          </w:tcPr>
          <w:p w14:paraId="55F0DFCE"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0.4 </w:t>
            </w:r>
          </w:p>
        </w:tc>
      </w:tr>
      <w:tr w:rsidR="006E2A1B" w:rsidRPr="00FC5FCC" w14:paraId="770526AA" w14:textId="77777777" w:rsidTr="00871227">
        <w:trPr>
          <w:trHeight w:val="280"/>
        </w:trPr>
        <w:tc>
          <w:tcPr>
            <w:tcW w:w="0" w:type="auto"/>
            <w:gridSpan w:val="2"/>
            <w:vMerge/>
            <w:tcBorders>
              <w:top w:val="nil"/>
              <w:left w:val="single" w:sz="8" w:space="0" w:color="000000"/>
              <w:bottom w:val="single" w:sz="8" w:space="0" w:color="000000"/>
              <w:right w:val="single" w:sz="8" w:space="0" w:color="000000"/>
            </w:tcBorders>
          </w:tcPr>
          <w:p w14:paraId="29035789"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0041F21F"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5 </w:t>
            </w:r>
          </w:p>
        </w:tc>
        <w:tc>
          <w:tcPr>
            <w:tcW w:w="1491" w:type="dxa"/>
            <w:tcBorders>
              <w:top w:val="single" w:sz="8" w:space="0" w:color="000000"/>
              <w:left w:val="single" w:sz="8" w:space="0" w:color="000000"/>
              <w:bottom w:val="single" w:sz="8" w:space="0" w:color="000000"/>
              <w:right w:val="single" w:sz="8" w:space="0" w:color="000000"/>
            </w:tcBorders>
          </w:tcPr>
          <w:p w14:paraId="7CF25072"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1.0 </w:t>
            </w:r>
          </w:p>
        </w:tc>
      </w:tr>
      <w:tr w:rsidR="006E2A1B" w:rsidRPr="00FC5FCC" w14:paraId="78053EE1" w14:textId="77777777" w:rsidTr="00871227">
        <w:trPr>
          <w:trHeight w:val="277"/>
        </w:trPr>
        <w:tc>
          <w:tcPr>
            <w:tcW w:w="4357" w:type="dxa"/>
            <w:gridSpan w:val="2"/>
            <w:tcBorders>
              <w:top w:val="single" w:sz="8" w:space="0" w:color="000000"/>
              <w:left w:val="single" w:sz="8" w:space="0" w:color="000000"/>
              <w:bottom w:val="single" w:sz="8" w:space="0" w:color="000000"/>
              <w:right w:val="nil"/>
            </w:tcBorders>
          </w:tcPr>
          <w:p w14:paraId="1BA93CB9"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Ethnic Group </w:t>
            </w:r>
          </w:p>
        </w:tc>
        <w:tc>
          <w:tcPr>
            <w:tcW w:w="1848" w:type="dxa"/>
            <w:tcBorders>
              <w:top w:val="single" w:sz="8" w:space="0" w:color="000000"/>
              <w:left w:val="nil"/>
              <w:bottom w:val="single" w:sz="8" w:space="0" w:color="000000"/>
              <w:right w:val="nil"/>
            </w:tcBorders>
          </w:tcPr>
          <w:p w14:paraId="468B4D83"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69297F4B"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0A6472B0" w14:textId="77777777" w:rsidTr="00871227">
        <w:trPr>
          <w:trHeight w:val="280"/>
        </w:trPr>
        <w:tc>
          <w:tcPr>
            <w:tcW w:w="4357" w:type="dxa"/>
            <w:gridSpan w:val="2"/>
            <w:vMerge w:val="restart"/>
            <w:tcBorders>
              <w:top w:val="single" w:sz="8" w:space="0" w:color="000000"/>
              <w:left w:val="single" w:sz="8" w:space="0" w:color="000000"/>
              <w:bottom w:val="single" w:sz="8" w:space="0" w:color="000000"/>
              <w:right w:val="single" w:sz="8" w:space="0" w:color="000000"/>
            </w:tcBorders>
          </w:tcPr>
          <w:p w14:paraId="7C4A2762" w14:textId="77777777" w:rsidR="006E2A1B" w:rsidRPr="00FC5FCC" w:rsidRDefault="006E2A1B" w:rsidP="00DF3C36">
            <w:pPr>
              <w:spacing w:after="17"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Dagomba </w:t>
            </w:r>
          </w:p>
          <w:p w14:paraId="43D5DF4D"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Mamprusi </w:t>
            </w:r>
          </w:p>
          <w:p w14:paraId="7EE45AD2"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Walla </w:t>
            </w:r>
          </w:p>
          <w:p w14:paraId="197D1FEE"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Gonja </w:t>
            </w:r>
          </w:p>
          <w:p w14:paraId="703EA7D4"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Others  </w:t>
            </w:r>
          </w:p>
        </w:tc>
        <w:tc>
          <w:tcPr>
            <w:tcW w:w="1848" w:type="dxa"/>
            <w:tcBorders>
              <w:top w:val="single" w:sz="8" w:space="0" w:color="000000"/>
              <w:left w:val="single" w:sz="8" w:space="0" w:color="000000"/>
              <w:bottom w:val="single" w:sz="8" w:space="0" w:color="000000"/>
              <w:right w:val="single" w:sz="8" w:space="0" w:color="000000"/>
            </w:tcBorders>
          </w:tcPr>
          <w:p w14:paraId="2EB95CF6"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215 </w:t>
            </w:r>
          </w:p>
        </w:tc>
        <w:tc>
          <w:tcPr>
            <w:tcW w:w="1491" w:type="dxa"/>
            <w:tcBorders>
              <w:top w:val="single" w:sz="8" w:space="0" w:color="000000"/>
              <w:left w:val="single" w:sz="8" w:space="0" w:color="000000"/>
              <w:bottom w:val="single" w:sz="8" w:space="0" w:color="000000"/>
              <w:right w:val="single" w:sz="8" w:space="0" w:color="000000"/>
            </w:tcBorders>
          </w:tcPr>
          <w:p w14:paraId="18302768"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42.7 </w:t>
            </w:r>
          </w:p>
        </w:tc>
      </w:tr>
      <w:tr w:rsidR="006E2A1B" w:rsidRPr="00FC5FCC" w14:paraId="552C1BD5" w14:textId="77777777" w:rsidTr="00871227">
        <w:trPr>
          <w:trHeight w:val="280"/>
        </w:trPr>
        <w:tc>
          <w:tcPr>
            <w:tcW w:w="0" w:type="auto"/>
            <w:gridSpan w:val="2"/>
            <w:vMerge/>
            <w:tcBorders>
              <w:top w:val="nil"/>
              <w:left w:val="single" w:sz="8" w:space="0" w:color="000000"/>
              <w:bottom w:val="nil"/>
              <w:right w:val="single" w:sz="8" w:space="0" w:color="000000"/>
            </w:tcBorders>
          </w:tcPr>
          <w:p w14:paraId="4A907C5D"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23FFDEFE"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210 </w:t>
            </w:r>
          </w:p>
        </w:tc>
        <w:tc>
          <w:tcPr>
            <w:tcW w:w="1491" w:type="dxa"/>
            <w:tcBorders>
              <w:top w:val="single" w:sz="8" w:space="0" w:color="000000"/>
              <w:left w:val="single" w:sz="8" w:space="0" w:color="000000"/>
              <w:bottom w:val="single" w:sz="8" w:space="0" w:color="000000"/>
              <w:right w:val="single" w:sz="8" w:space="0" w:color="000000"/>
            </w:tcBorders>
          </w:tcPr>
          <w:p w14:paraId="2A1A7CA2"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41.7 </w:t>
            </w:r>
          </w:p>
        </w:tc>
      </w:tr>
      <w:tr w:rsidR="006E2A1B" w:rsidRPr="00FC5FCC" w14:paraId="22A2B82E" w14:textId="77777777" w:rsidTr="00871227">
        <w:trPr>
          <w:trHeight w:val="280"/>
        </w:trPr>
        <w:tc>
          <w:tcPr>
            <w:tcW w:w="0" w:type="auto"/>
            <w:gridSpan w:val="2"/>
            <w:vMerge/>
            <w:tcBorders>
              <w:top w:val="nil"/>
              <w:left w:val="single" w:sz="8" w:space="0" w:color="000000"/>
              <w:bottom w:val="nil"/>
              <w:right w:val="single" w:sz="8" w:space="0" w:color="000000"/>
            </w:tcBorders>
          </w:tcPr>
          <w:p w14:paraId="18349113"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33AE3F73"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14 </w:t>
            </w:r>
          </w:p>
        </w:tc>
        <w:tc>
          <w:tcPr>
            <w:tcW w:w="1491" w:type="dxa"/>
            <w:tcBorders>
              <w:top w:val="single" w:sz="8" w:space="0" w:color="000000"/>
              <w:left w:val="single" w:sz="8" w:space="0" w:color="000000"/>
              <w:bottom w:val="single" w:sz="8" w:space="0" w:color="000000"/>
              <w:right w:val="single" w:sz="8" w:space="0" w:color="000000"/>
            </w:tcBorders>
          </w:tcPr>
          <w:p w14:paraId="3EC4E56F"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2.8 </w:t>
            </w:r>
          </w:p>
        </w:tc>
      </w:tr>
      <w:tr w:rsidR="006E2A1B" w:rsidRPr="00FC5FCC" w14:paraId="536B3F4E" w14:textId="77777777" w:rsidTr="00871227">
        <w:trPr>
          <w:trHeight w:val="278"/>
        </w:trPr>
        <w:tc>
          <w:tcPr>
            <w:tcW w:w="0" w:type="auto"/>
            <w:gridSpan w:val="2"/>
            <w:vMerge/>
            <w:tcBorders>
              <w:top w:val="nil"/>
              <w:left w:val="single" w:sz="8" w:space="0" w:color="000000"/>
              <w:bottom w:val="nil"/>
              <w:right w:val="single" w:sz="8" w:space="0" w:color="000000"/>
            </w:tcBorders>
          </w:tcPr>
          <w:p w14:paraId="578082EB"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782B52C6"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33 </w:t>
            </w:r>
          </w:p>
        </w:tc>
        <w:tc>
          <w:tcPr>
            <w:tcW w:w="1491" w:type="dxa"/>
            <w:tcBorders>
              <w:top w:val="single" w:sz="8" w:space="0" w:color="000000"/>
              <w:left w:val="single" w:sz="8" w:space="0" w:color="000000"/>
              <w:bottom w:val="single" w:sz="8" w:space="0" w:color="000000"/>
              <w:right w:val="single" w:sz="8" w:space="0" w:color="000000"/>
            </w:tcBorders>
          </w:tcPr>
          <w:p w14:paraId="31137B3A"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6.6 </w:t>
            </w:r>
          </w:p>
        </w:tc>
      </w:tr>
      <w:tr w:rsidR="006E2A1B" w:rsidRPr="00FC5FCC" w14:paraId="4607E77D" w14:textId="77777777" w:rsidTr="00871227">
        <w:trPr>
          <w:trHeight w:val="280"/>
        </w:trPr>
        <w:tc>
          <w:tcPr>
            <w:tcW w:w="0" w:type="auto"/>
            <w:gridSpan w:val="2"/>
            <w:vMerge/>
            <w:tcBorders>
              <w:top w:val="nil"/>
              <w:left w:val="single" w:sz="8" w:space="0" w:color="000000"/>
              <w:bottom w:val="single" w:sz="8" w:space="0" w:color="000000"/>
              <w:right w:val="single" w:sz="8" w:space="0" w:color="000000"/>
            </w:tcBorders>
          </w:tcPr>
          <w:p w14:paraId="54686801"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446AD1F1"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31 </w:t>
            </w:r>
          </w:p>
        </w:tc>
        <w:tc>
          <w:tcPr>
            <w:tcW w:w="1491" w:type="dxa"/>
            <w:tcBorders>
              <w:top w:val="single" w:sz="8" w:space="0" w:color="000000"/>
              <w:left w:val="single" w:sz="8" w:space="0" w:color="000000"/>
              <w:bottom w:val="single" w:sz="8" w:space="0" w:color="000000"/>
              <w:right w:val="single" w:sz="8" w:space="0" w:color="000000"/>
            </w:tcBorders>
          </w:tcPr>
          <w:p w14:paraId="5104F3C0"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6.2 </w:t>
            </w:r>
          </w:p>
        </w:tc>
      </w:tr>
      <w:tr w:rsidR="006E2A1B" w:rsidRPr="00FC5FCC" w14:paraId="10786968" w14:textId="77777777" w:rsidTr="00871227">
        <w:trPr>
          <w:trHeight w:val="280"/>
        </w:trPr>
        <w:tc>
          <w:tcPr>
            <w:tcW w:w="4357" w:type="dxa"/>
            <w:gridSpan w:val="2"/>
            <w:tcBorders>
              <w:top w:val="single" w:sz="8" w:space="0" w:color="000000"/>
              <w:left w:val="single" w:sz="8" w:space="0" w:color="000000"/>
              <w:bottom w:val="single" w:sz="8" w:space="0" w:color="000000"/>
              <w:right w:val="nil"/>
            </w:tcBorders>
          </w:tcPr>
          <w:p w14:paraId="38487EFA"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Religion </w:t>
            </w:r>
          </w:p>
        </w:tc>
        <w:tc>
          <w:tcPr>
            <w:tcW w:w="1848" w:type="dxa"/>
            <w:tcBorders>
              <w:top w:val="single" w:sz="8" w:space="0" w:color="000000"/>
              <w:left w:val="nil"/>
              <w:bottom w:val="single" w:sz="8" w:space="0" w:color="000000"/>
              <w:right w:val="nil"/>
            </w:tcBorders>
          </w:tcPr>
          <w:p w14:paraId="503C0B1F"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2A8376FC"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4A1EB00C" w14:textId="77777777" w:rsidTr="00871227">
        <w:trPr>
          <w:trHeight w:val="280"/>
        </w:trPr>
        <w:tc>
          <w:tcPr>
            <w:tcW w:w="4357" w:type="dxa"/>
            <w:gridSpan w:val="2"/>
            <w:vMerge w:val="restart"/>
            <w:tcBorders>
              <w:top w:val="single" w:sz="8" w:space="0" w:color="000000"/>
              <w:left w:val="single" w:sz="8" w:space="0" w:color="000000"/>
              <w:bottom w:val="single" w:sz="8" w:space="0" w:color="000000"/>
              <w:right w:val="single" w:sz="8" w:space="0" w:color="000000"/>
            </w:tcBorders>
          </w:tcPr>
          <w:p w14:paraId="767075AC"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Islam </w:t>
            </w:r>
          </w:p>
          <w:p w14:paraId="535F3ED8"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Christian </w:t>
            </w:r>
          </w:p>
          <w:p w14:paraId="07FACBF3"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Traditional/Other </w:t>
            </w:r>
          </w:p>
        </w:tc>
        <w:tc>
          <w:tcPr>
            <w:tcW w:w="1848" w:type="dxa"/>
            <w:tcBorders>
              <w:top w:val="single" w:sz="8" w:space="0" w:color="000000"/>
              <w:left w:val="single" w:sz="8" w:space="0" w:color="000000"/>
              <w:bottom w:val="single" w:sz="8" w:space="0" w:color="000000"/>
              <w:right w:val="single" w:sz="8" w:space="0" w:color="000000"/>
            </w:tcBorders>
          </w:tcPr>
          <w:p w14:paraId="3B6ED6D6"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459 </w:t>
            </w:r>
          </w:p>
        </w:tc>
        <w:tc>
          <w:tcPr>
            <w:tcW w:w="1491" w:type="dxa"/>
            <w:tcBorders>
              <w:top w:val="single" w:sz="8" w:space="0" w:color="000000"/>
              <w:left w:val="single" w:sz="8" w:space="0" w:color="000000"/>
              <w:bottom w:val="single" w:sz="8" w:space="0" w:color="000000"/>
              <w:right w:val="single" w:sz="8" w:space="0" w:color="000000"/>
            </w:tcBorders>
          </w:tcPr>
          <w:p w14:paraId="26349401"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91.3 </w:t>
            </w:r>
          </w:p>
        </w:tc>
      </w:tr>
      <w:tr w:rsidR="006E2A1B" w:rsidRPr="00FC5FCC" w14:paraId="0DE11AE5" w14:textId="77777777" w:rsidTr="00871227">
        <w:trPr>
          <w:trHeight w:val="277"/>
        </w:trPr>
        <w:tc>
          <w:tcPr>
            <w:tcW w:w="0" w:type="auto"/>
            <w:gridSpan w:val="2"/>
            <w:vMerge/>
            <w:tcBorders>
              <w:top w:val="nil"/>
              <w:left w:val="single" w:sz="8" w:space="0" w:color="000000"/>
              <w:bottom w:val="nil"/>
              <w:right w:val="single" w:sz="8" w:space="0" w:color="000000"/>
            </w:tcBorders>
          </w:tcPr>
          <w:p w14:paraId="1654935B"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45A5B91D"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33 </w:t>
            </w:r>
          </w:p>
        </w:tc>
        <w:tc>
          <w:tcPr>
            <w:tcW w:w="1491" w:type="dxa"/>
            <w:tcBorders>
              <w:top w:val="single" w:sz="8" w:space="0" w:color="000000"/>
              <w:left w:val="single" w:sz="8" w:space="0" w:color="000000"/>
              <w:bottom w:val="single" w:sz="8" w:space="0" w:color="000000"/>
              <w:right w:val="single" w:sz="8" w:space="0" w:color="000000"/>
            </w:tcBorders>
          </w:tcPr>
          <w:p w14:paraId="01BB6A13"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6.6 </w:t>
            </w:r>
          </w:p>
        </w:tc>
      </w:tr>
      <w:tr w:rsidR="006E2A1B" w:rsidRPr="00FC5FCC" w14:paraId="27D78E19" w14:textId="77777777" w:rsidTr="00871227">
        <w:trPr>
          <w:trHeight w:val="280"/>
        </w:trPr>
        <w:tc>
          <w:tcPr>
            <w:tcW w:w="0" w:type="auto"/>
            <w:gridSpan w:val="2"/>
            <w:vMerge/>
            <w:tcBorders>
              <w:top w:val="nil"/>
              <w:left w:val="single" w:sz="8" w:space="0" w:color="000000"/>
              <w:bottom w:val="single" w:sz="8" w:space="0" w:color="000000"/>
              <w:right w:val="single" w:sz="8" w:space="0" w:color="000000"/>
            </w:tcBorders>
          </w:tcPr>
          <w:p w14:paraId="0FD17B51"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72749EC6"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11 </w:t>
            </w:r>
          </w:p>
        </w:tc>
        <w:tc>
          <w:tcPr>
            <w:tcW w:w="1491" w:type="dxa"/>
            <w:tcBorders>
              <w:top w:val="single" w:sz="8" w:space="0" w:color="000000"/>
              <w:left w:val="single" w:sz="8" w:space="0" w:color="000000"/>
              <w:bottom w:val="single" w:sz="8" w:space="0" w:color="000000"/>
              <w:right w:val="single" w:sz="8" w:space="0" w:color="000000"/>
            </w:tcBorders>
          </w:tcPr>
          <w:p w14:paraId="7EFC15A6" w14:textId="77777777" w:rsidR="006E2A1B" w:rsidRPr="00FC5FCC" w:rsidRDefault="006E2A1B" w:rsidP="00DF3C36">
            <w:pPr>
              <w:spacing w:line="259" w:lineRule="auto"/>
              <w:ind w:right="35"/>
              <w:jc w:val="both"/>
              <w:rPr>
                <w:rFonts w:ascii="Times New Roman" w:hAnsi="Times New Roman" w:cs="Times New Roman"/>
                <w:sz w:val="24"/>
                <w:szCs w:val="24"/>
              </w:rPr>
            </w:pPr>
            <w:r w:rsidRPr="00FC5FCC">
              <w:rPr>
                <w:rFonts w:ascii="Times New Roman" w:hAnsi="Times New Roman" w:cs="Times New Roman"/>
                <w:sz w:val="24"/>
                <w:szCs w:val="24"/>
              </w:rPr>
              <w:t xml:space="preserve">2.2 </w:t>
            </w:r>
          </w:p>
        </w:tc>
      </w:tr>
      <w:tr w:rsidR="006E2A1B" w:rsidRPr="00FC5FCC" w14:paraId="5A79FE06" w14:textId="77777777" w:rsidTr="00871227">
        <w:trPr>
          <w:trHeight w:val="280"/>
        </w:trPr>
        <w:tc>
          <w:tcPr>
            <w:tcW w:w="4357" w:type="dxa"/>
            <w:gridSpan w:val="2"/>
            <w:tcBorders>
              <w:top w:val="single" w:sz="8" w:space="0" w:color="000000"/>
              <w:left w:val="single" w:sz="8" w:space="0" w:color="000000"/>
              <w:bottom w:val="single" w:sz="8" w:space="0" w:color="000000"/>
              <w:right w:val="nil"/>
            </w:tcBorders>
          </w:tcPr>
          <w:p w14:paraId="13731440"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City of Migration </w:t>
            </w:r>
          </w:p>
        </w:tc>
        <w:tc>
          <w:tcPr>
            <w:tcW w:w="1848" w:type="dxa"/>
            <w:tcBorders>
              <w:top w:val="single" w:sz="8" w:space="0" w:color="000000"/>
              <w:left w:val="nil"/>
              <w:bottom w:val="single" w:sz="8" w:space="0" w:color="000000"/>
              <w:right w:val="nil"/>
            </w:tcBorders>
          </w:tcPr>
          <w:p w14:paraId="40DC9372" w14:textId="77777777" w:rsidR="006E2A1B" w:rsidRPr="00FC5FCC" w:rsidRDefault="006E2A1B" w:rsidP="00DF3C36">
            <w:pPr>
              <w:spacing w:line="259" w:lineRule="auto"/>
              <w:ind w:left="7"/>
              <w:jc w:val="both"/>
              <w:rPr>
                <w:rFonts w:ascii="Times New Roman" w:hAnsi="Times New Roman" w:cs="Times New Roman"/>
                <w:sz w:val="24"/>
                <w:szCs w:val="24"/>
              </w:rPr>
            </w:pPr>
            <w:r w:rsidRPr="00FC5FCC">
              <w:rPr>
                <w:rFonts w:ascii="Times New Roman" w:hAnsi="Times New Roman" w:cs="Times New Roman"/>
                <w:sz w:val="24"/>
                <w:szCs w:val="24"/>
              </w:rPr>
              <w:t xml:space="preserve">  </w:t>
            </w:r>
          </w:p>
        </w:tc>
        <w:tc>
          <w:tcPr>
            <w:tcW w:w="1491" w:type="dxa"/>
            <w:tcBorders>
              <w:top w:val="single" w:sz="8" w:space="0" w:color="000000"/>
              <w:left w:val="nil"/>
              <w:bottom w:val="single" w:sz="8" w:space="0" w:color="000000"/>
              <w:right w:val="single" w:sz="8" w:space="0" w:color="000000"/>
            </w:tcBorders>
          </w:tcPr>
          <w:p w14:paraId="69115F18" w14:textId="77777777" w:rsidR="006E2A1B" w:rsidRPr="00FC5FCC" w:rsidRDefault="006E2A1B" w:rsidP="00DF3C36">
            <w:pPr>
              <w:spacing w:line="259" w:lineRule="auto"/>
              <w:ind w:left="7"/>
              <w:jc w:val="both"/>
              <w:rPr>
                <w:rFonts w:ascii="Times New Roman" w:hAnsi="Times New Roman" w:cs="Times New Roman"/>
                <w:sz w:val="24"/>
                <w:szCs w:val="24"/>
              </w:rPr>
            </w:pPr>
            <w:r w:rsidRPr="00FC5FCC">
              <w:rPr>
                <w:rFonts w:ascii="Times New Roman" w:hAnsi="Times New Roman" w:cs="Times New Roman"/>
                <w:sz w:val="24"/>
                <w:szCs w:val="24"/>
              </w:rPr>
              <w:t xml:space="preserve">  </w:t>
            </w:r>
          </w:p>
        </w:tc>
      </w:tr>
      <w:tr w:rsidR="006E2A1B" w:rsidRPr="00FC5FCC" w14:paraId="5E116224" w14:textId="77777777" w:rsidTr="00871227">
        <w:trPr>
          <w:trHeight w:val="280"/>
        </w:trPr>
        <w:tc>
          <w:tcPr>
            <w:tcW w:w="4357" w:type="dxa"/>
            <w:gridSpan w:val="2"/>
            <w:tcBorders>
              <w:top w:val="single" w:sz="8" w:space="0" w:color="000000"/>
              <w:left w:val="single" w:sz="8" w:space="0" w:color="000000"/>
              <w:bottom w:val="single" w:sz="8" w:space="0" w:color="000000"/>
              <w:right w:val="single" w:sz="8" w:space="0" w:color="000000"/>
            </w:tcBorders>
          </w:tcPr>
          <w:p w14:paraId="15131203"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Accra </w:t>
            </w:r>
          </w:p>
        </w:tc>
        <w:tc>
          <w:tcPr>
            <w:tcW w:w="1848" w:type="dxa"/>
            <w:tcBorders>
              <w:top w:val="single" w:sz="8" w:space="0" w:color="000000"/>
              <w:left w:val="single" w:sz="8" w:space="0" w:color="000000"/>
              <w:bottom w:val="single" w:sz="8" w:space="0" w:color="000000"/>
              <w:right w:val="single" w:sz="8" w:space="0" w:color="000000"/>
            </w:tcBorders>
          </w:tcPr>
          <w:p w14:paraId="17A6AACD"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253 </w:t>
            </w:r>
          </w:p>
        </w:tc>
        <w:tc>
          <w:tcPr>
            <w:tcW w:w="1491" w:type="dxa"/>
            <w:tcBorders>
              <w:top w:val="single" w:sz="8" w:space="0" w:color="000000"/>
              <w:left w:val="single" w:sz="8" w:space="0" w:color="000000"/>
              <w:bottom w:val="single" w:sz="8" w:space="0" w:color="000000"/>
              <w:right w:val="single" w:sz="8" w:space="0" w:color="000000"/>
            </w:tcBorders>
          </w:tcPr>
          <w:p w14:paraId="6FF3264E"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50.3 </w:t>
            </w:r>
          </w:p>
        </w:tc>
      </w:tr>
      <w:tr w:rsidR="006E2A1B" w:rsidRPr="00FC5FCC" w14:paraId="2CA74A97" w14:textId="77777777" w:rsidTr="00871227">
        <w:trPr>
          <w:trHeight w:val="277"/>
        </w:trPr>
        <w:tc>
          <w:tcPr>
            <w:tcW w:w="4357" w:type="dxa"/>
            <w:gridSpan w:val="2"/>
            <w:tcBorders>
              <w:top w:val="single" w:sz="8" w:space="0" w:color="000000"/>
              <w:left w:val="single" w:sz="8" w:space="0" w:color="000000"/>
              <w:bottom w:val="single" w:sz="8" w:space="0" w:color="000000"/>
              <w:right w:val="single" w:sz="8" w:space="0" w:color="000000"/>
            </w:tcBorders>
          </w:tcPr>
          <w:p w14:paraId="5BEED6D1"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Kumasi </w:t>
            </w:r>
          </w:p>
        </w:tc>
        <w:tc>
          <w:tcPr>
            <w:tcW w:w="1848" w:type="dxa"/>
            <w:tcBorders>
              <w:top w:val="single" w:sz="8" w:space="0" w:color="000000"/>
              <w:left w:val="single" w:sz="8" w:space="0" w:color="000000"/>
              <w:bottom w:val="single" w:sz="8" w:space="0" w:color="000000"/>
              <w:right w:val="single" w:sz="8" w:space="0" w:color="000000"/>
            </w:tcBorders>
          </w:tcPr>
          <w:p w14:paraId="74B404A9" w14:textId="77777777" w:rsidR="006E2A1B" w:rsidRPr="00FC5FCC" w:rsidRDefault="006E2A1B" w:rsidP="00DF3C36">
            <w:pPr>
              <w:spacing w:line="259" w:lineRule="auto"/>
              <w:ind w:right="37"/>
              <w:jc w:val="both"/>
              <w:rPr>
                <w:rFonts w:ascii="Times New Roman" w:hAnsi="Times New Roman" w:cs="Times New Roman"/>
                <w:sz w:val="24"/>
                <w:szCs w:val="24"/>
              </w:rPr>
            </w:pPr>
            <w:r w:rsidRPr="00FC5FCC">
              <w:rPr>
                <w:rFonts w:ascii="Times New Roman" w:hAnsi="Times New Roman" w:cs="Times New Roman"/>
                <w:sz w:val="24"/>
                <w:szCs w:val="24"/>
              </w:rPr>
              <w:t xml:space="preserve">250 </w:t>
            </w:r>
          </w:p>
        </w:tc>
        <w:tc>
          <w:tcPr>
            <w:tcW w:w="1491" w:type="dxa"/>
            <w:tcBorders>
              <w:top w:val="single" w:sz="8" w:space="0" w:color="000000"/>
              <w:left w:val="single" w:sz="8" w:space="0" w:color="000000"/>
              <w:bottom w:val="single" w:sz="8" w:space="0" w:color="000000"/>
              <w:right w:val="single" w:sz="8" w:space="0" w:color="000000"/>
            </w:tcBorders>
          </w:tcPr>
          <w:p w14:paraId="3923C773" w14:textId="77777777" w:rsidR="006E2A1B" w:rsidRPr="00FC5FCC" w:rsidRDefault="006E2A1B" w:rsidP="00DF3C36">
            <w:pPr>
              <w:spacing w:line="259" w:lineRule="auto"/>
              <w:ind w:right="39"/>
              <w:jc w:val="both"/>
              <w:rPr>
                <w:rFonts w:ascii="Times New Roman" w:hAnsi="Times New Roman" w:cs="Times New Roman"/>
                <w:sz w:val="24"/>
                <w:szCs w:val="24"/>
              </w:rPr>
            </w:pPr>
            <w:r w:rsidRPr="00FC5FCC">
              <w:rPr>
                <w:rFonts w:ascii="Times New Roman" w:hAnsi="Times New Roman" w:cs="Times New Roman"/>
                <w:sz w:val="24"/>
                <w:szCs w:val="24"/>
              </w:rPr>
              <w:t xml:space="preserve">49.7 </w:t>
            </w:r>
          </w:p>
        </w:tc>
      </w:tr>
      <w:tr w:rsidR="006E2A1B" w:rsidRPr="00FC5FCC" w14:paraId="02E26B5C" w14:textId="77777777" w:rsidTr="00871227">
        <w:trPr>
          <w:trHeight w:val="283"/>
        </w:trPr>
        <w:tc>
          <w:tcPr>
            <w:tcW w:w="4357" w:type="dxa"/>
            <w:gridSpan w:val="2"/>
            <w:tcBorders>
              <w:top w:val="single" w:sz="8" w:space="0" w:color="000000"/>
              <w:left w:val="single" w:sz="8" w:space="0" w:color="000000"/>
              <w:bottom w:val="single" w:sz="8" w:space="0" w:color="000000"/>
              <w:right w:val="nil"/>
            </w:tcBorders>
          </w:tcPr>
          <w:p w14:paraId="28E54518"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Number of years working as a Head Potter </w:t>
            </w:r>
          </w:p>
        </w:tc>
        <w:tc>
          <w:tcPr>
            <w:tcW w:w="1848" w:type="dxa"/>
            <w:tcBorders>
              <w:top w:val="single" w:sz="8" w:space="0" w:color="000000"/>
              <w:left w:val="nil"/>
              <w:bottom w:val="single" w:sz="8" w:space="0" w:color="000000"/>
              <w:right w:val="nil"/>
            </w:tcBorders>
          </w:tcPr>
          <w:p w14:paraId="7E987312"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39837313"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37358803" w14:textId="77777777" w:rsidTr="00871227">
        <w:trPr>
          <w:trHeight w:val="268"/>
        </w:trPr>
        <w:tc>
          <w:tcPr>
            <w:tcW w:w="4357" w:type="dxa"/>
            <w:gridSpan w:val="2"/>
            <w:vMerge w:val="restart"/>
            <w:tcBorders>
              <w:top w:val="nil"/>
              <w:left w:val="single" w:sz="8" w:space="0" w:color="000000"/>
              <w:bottom w:val="single" w:sz="8" w:space="0" w:color="000000"/>
              <w:right w:val="single" w:sz="8" w:space="0" w:color="000000"/>
            </w:tcBorders>
          </w:tcPr>
          <w:p w14:paraId="433D5887" w14:textId="77777777" w:rsidR="006E2A1B" w:rsidRPr="00FC5FCC" w:rsidRDefault="006E2A1B" w:rsidP="00DF3C36">
            <w:pPr>
              <w:spacing w:after="18"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&lt;1year </w:t>
            </w:r>
          </w:p>
          <w:p w14:paraId="2379FE0D"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1year </w:t>
            </w:r>
          </w:p>
          <w:p w14:paraId="1A13FC63"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2years </w:t>
            </w:r>
          </w:p>
          <w:p w14:paraId="0BC61645"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3years </w:t>
            </w:r>
          </w:p>
          <w:p w14:paraId="4951004D"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4years or more </w:t>
            </w:r>
          </w:p>
        </w:tc>
        <w:tc>
          <w:tcPr>
            <w:tcW w:w="1848" w:type="dxa"/>
            <w:tcBorders>
              <w:top w:val="nil"/>
              <w:left w:val="single" w:sz="8" w:space="0" w:color="000000"/>
              <w:bottom w:val="single" w:sz="8" w:space="0" w:color="000000"/>
              <w:right w:val="single" w:sz="8" w:space="0" w:color="000000"/>
            </w:tcBorders>
          </w:tcPr>
          <w:p w14:paraId="43855C65"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141 </w:t>
            </w:r>
          </w:p>
        </w:tc>
        <w:tc>
          <w:tcPr>
            <w:tcW w:w="1491" w:type="dxa"/>
            <w:tcBorders>
              <w:top w:val="nil"/>
              <w:left w:val="single" w:sz="8" w:space="0" w:color="000000"/>
              <w:bottom w:val="single" w:sz="8" w:space="0" w:color="000000"/>
              <w:right w:val="single" w:sz="8" w:space="0" w:color="000000"/>
            </w:tcBorders>
          </w:tcPr>
          <w:p w14:paraId="6E366109" w14:textId="77777777" w:rsidR="006E2A1B" w:rsidRPr="00FC5FCC" w:rsidRDefault="006E2A1B" w:rsidP="00DF3C36">
            <w:pPr>
              <w:spacing w:line="259" w:lineRule="auto"/>
              <w:ind w:right="15"/>
              <w:jc w:val="both"/>
              <w:rPr>
                <w:rFonts w:ascii="Times New Roman" w:hAnsi="Times New Roman" w:cs="Times New Roman"/>
                <w:sz w:val="24"/>
                <w:szCs w:val="24"/>
              </w:rPr>
            </w:pPr>
            <w:r w:rsidRPr="00FC5FCC">
              <w:rPr>
                <w:rFonts w:ascii="Times New Roman" w:hAnsi="Times New Roman" w:cs="Times New Roman"/>
                <w:sz w:val="24"/>
                <w:szCs w:val="24"/>
              </w:rPr>
              <w:t xml:space="preserve">28.0 </w:t>
            </w:r>
          </w:p>
        </w:tc>
      </w:tr>
      <w:tr w:rsidR="006E2A1B" w:rsidRPr="00FC5FCC" w14:paraId="2D9518AC" w14:textId="77777777" w:rsidTr="00871227">
        <w:trPr>
          <w:trHeight w:val="280"/>
        </w:trPr>
        <w:tc>
          <w:tcPr>
            <w:tcW w:w="0" w:type="auto"/>
            <w:gridSpan w:val="2"/>
            <w:vMerge/>
            <w:tcBorders>
              <w:top w:val="nil"/>
              <w:left w:val="single" w:sz="8" w:space="0" w:color="000000"/>
              <w:bottom w:val="nil"/>
              <w:right w:val="single" w:sz="8" w:space="0" w:color="000000"/>
            </w:tcBorders>
          </w:tcPr>
          <w:p w14:paraId="1BAFAABE"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3D35F1B9"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151 </w:t>
            </w:r>
          </w:p>
        </w:tc>
        <w:tc>
          <w:tcPr>
            <w:tcW w:w="1491" w:type="dxa"/>
            <w:tcBorders>
              <w:top w:val="single" w:sz="8" w:space="0" w:color="000000"/>
              <w:left w:val="single" w:sz="8" w:space="0" w:color="000000"/>
              <w:bottom w:val="single" w:sz="8" w:space="0" w:color="000000"/>
              <w:right w:val="single" w:sz="8" w:space="0" w:color="000000"/>
            </w:tcBorders>
          </w:tcPr>
          <w:p w14:paraId="5987109C" w14:textId="77777777" w:rsidR="006E2A1B" w:rsidRPr="00FC5FCC" w:rsidRDefault="006E2A1B" w:rsidP="00DF3C36">
            <w:pPr>
              <w:spacing w:line="259" w:lineRule="auto"/>
              <w:ind w:right="15"/>
              <w:jc w:val="both"/>
              <w:rPr>
                <w:rFonts w:ascii="Times New Roman" w:hAnsi="Times New Roman" w:cs="Times New Roman"/>
                <w:sz w:val="24"/>
                <w:szCs w:val="24"/>
              </w:rPr>
            </w:pPr>
            <w:r w:rsidRPr="00FC5FCC">
              <w:rPr>
                <w:rFonts w:ascii="Times New Roman" w:hAnsi="Times New Roman" w:cs="Times New Roman"/>
                <w:sz w:val="24"/>
                <w:szCs w:val="24"/>
              </w:rPr>
              <w:t xml:space="preserve">30.0 </w:t>
            </w:r>
          </w:p>
        </w:tc>
      </w:tr>
      <w:tr w:rsidR="006E2A1B" w:rsidRPr="00FC5FCC" w14:paraId="0CDB9977" w14:textId="77777777" w:rsidTr="00871227">
        <w:trPr>
          <w:trHeight w:val="277"/>
        </w:trPr>
        <w:tc>
          <w:tcPr>
            <w:tcW w:w="0" w:type="auto"/>
            <w:gridSpan w:val="2"/>
            <w:vMerge/>
            <w:tcBorders>
              <w:top w:val="nil"/>
              <w:left w:val="single" w:sz="8" w:space="0" w:color="000000"/>
              <w:bottom w:val="nil"/>
              <w:right w:val="single" w:sz="8" w:space="0" w:color="000000"/>
            </w:tcBorders>
          </w:tcPr>
          <w:p w14:paraId="4BE05CD2"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7955B210"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145 </w:t>
            </w:r>
          </w:p>
        </w:tc>
        <w:tc>
          <w:tcPr>
            <w:tcW w:w="1491" w:type="dxa"/>
            <w:tcBorders>
              <w:top w:val="single" w:sz="8" w:space="0" w:color="000000"/>
              <w:left w:val="single" w:sz="8" w:space="0" w:color="000000"/>
              <w:bottom w:val="single" w:sz="8" w:space="0" w:color="000000"/>
              <w:right w:val="single" w:sz="8" w:space="0" w:color="000000"/>
            </w:tcBorders>
          </w:tcPr>
          <w:p w14:paraId="679CFE7B" w14:textId="77777777" w:rsidR="006E2A1B" w:rsidRPr="00FC5FCC" w:rsidRDefault="006E2A1B" w:rsidP="00DF3C36">
            <w:pPr>
              <w:spacing w:line="259" w:lineRule="auto"/>
              <w:ind w:right="15"/>
              <w:jc w:val="both"/>
              <w:rPr>
                <w:rFonts w:ascii="Times New Roman" w:hAnsi="Times New Roman" w:cs="Times New Roman"/>
                <w:sz w:val="24"/>
                <w:szCs w:val="24"/>
              </w:rPr>
            </w:pPr>
            <w:r w:rsidRPr="00FC5FCC">
              <w:rPr>
                <w:rFonts w:ascii="Times New Roman" w:hAnsi="Times New Roman" w:cs="Times New Roman"/>
                <w:sz w:val="24"/>
                <w:szCs w:val="24"/>
              </w:rPr>
              <w:t xml:space="preserve">29.0 </w:t>
            </w:r>
          </w:p>
        </w:tc>
      </w:tr>
      <w:tr w:rsidR="006E2A1B" w:rsidRPr="00FC5FCC" w14:paraId="616667F8" w14:textId="77777777" w:rsidTr="00871227">
        <w:trPr>
          <w:trHeight w:val="280"/>
        </w:trPr>
        <w:tc>
          <w:tcPr>
            <w:tcW w:w="0" w:type="auto"/>
            <w:gridSpan w:val="2"/>
            <w:vMerge/>
            <w:tcBorders>
              <w:top w:val="nil"/>
              <w:left w:val="single" w:sz="8" w:space="0" w:color="000000"/>
              <w:bottom w:val="nil"/>
              <w:right w:val="single" w:sz="8" w:space="0" w:color="000000"/>
            </w:tcBorders>
          </w:tcPr>
          <w:p w14:paraId="5F9B2978"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5E92C61F"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36 </w:t>
            </w:r>
          </w:p>
        </w:tc>
        <w:tc>
          <w:tcPr>
            <w:tcW w:w="1491" w:type="dxa"/>
            <w:tcBorders>
              <w:top w:val="single" w:sz="8" w:space="0" w:color="000000"/>
              <w:left w:val="single" w:sz="8" w:space="0" w:color="000000"/>
              <w:bottom w:val="single" w:sz="8" w:space="0" w:color="000000"/>
              <w:right w:val="single" w:sz="8" w:space="0" w:color="000000"/>
            </w:tcBorders>
          </w:tcPr>
          <w:p w14:paraId="3FC771D2" w14:textId="77777777" w:rsidR="006E2A1B" w:rsidRPr="00FC5FCC" w:rsidRDefault="006E2A1B" w:rsidP="00DF3C36">
            <w:pPr>
              <w:spacing w:line="259" w:lineRule="auto"/>
              <w:ind w:right="11"/>
              <w:jc w:val="both"/>
              <w:rPr>
                <w:rFonts w:ascii="Times New Roman" w:hAnsi="Times New Roman" w:cs="Times New Roman"/>
                <w:sz w:val="24"/>
                <w:szCs w:val="24"/>
              </w:rPr>
            </w:pPr>
            <w:r w:rsidRPr="00FC5FCC">
              <w:rPr>
                <w:rFonts w:ascii="Times New Roman" w:hAnsi="Times New Roman" w:cs="Times New Roman"/>
                <w:sz w:val="24"/>
                <w:szCs w:val="24"/>
              </w:rPr>
              <w:t xml:space="preserve">7.0 </w:t>
            </w:r>
          </w:p>
        </w:tc>
      </w:tr>
      <w:tr w:rsidR="006E2A1B" w:rsidRPr="00FC5FCC" w14:paraId="6FF1852E" w14:textId="77777777" w:rsidTr="00871227">
        <w:trPr>
          <w:trHeight w:val="280"/>
        </w:trPr>
        <w:tc>
          <w:tcPr>
            <w:tcW w:w="0" w:type="auto"/>
            <w:gridSpan w:val="2"/>
            <w:vMerge/>
            <w:tcBorders>
              <w:top w:val="nil"/>
              <w:left w:val="single" w:sz="8" w:space="0" w:color="000000"/>
              <w:bottom w:val="single" w:sz="8" w:space="0" w:color="000000"/>
              <w:right w:val="single" w:sz="8" w:space="0" w:color="000000"/>
            </w:tcBorders>
          </w:tcPr>
          <w:p w14:paraId="30AF7767"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568469E2"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30 </w:t>
            </w:r>
          </w:p>
        </w:tc>
        <w:tc>
          <w:tcPr>
            <w:tcW w:w="1491" w:type="dxa"/>
            <w:tcBorders>
              <w:top w:val="single" w:sz="8" w:space="0" w:color="000000"/>
              <w:left w:val="single" w:sz="8" w:space="0" w:color="000000"/>
              <w:bottom w:val="single" w:sz="8" w:space="0" w:color="000000"/>
              <w:right w:val="single" w:sz="8" w:space="0" w:color="000000"/>
            </w:tcBorders>
          </w:tcPr>
          <w:p w14:paraId="30DED72C" w14:textId="77777777" w:rsidR="006E2A1B" w:rsidRPr="00FC5FCC" w:rsidRDefault="006E2A1B" w:rsidP="00DF3C36">
            <w:pPr>
              <w:spacing w:line="259" w:lineRule="auto"/>
              <w:ind w:right="11"/>
              <w:jc w:val="both"/>
              <w:rPr>
                <w:rFonts w:ascii="Times New Roman" w:hAnsi="Times New Roman" w:cs="Times New Roman"/>
                <w:sz w:val="24"/>
                <w:szCs w:val="24"/>
              </w:rPr>
            </w:pPr>
            <w:r w:rsidRPr="00FC5FCC">
              <w:rPr>
                <w:rFonts w:ascii="Times New Roman" w:hAnsi="Times New Roman" w:cs="Times New Roman"/>
                <w:sz w:val="24"/>
                <w:szCs w:val="24"/>
              </w:rPr>
              <w:t xml:space="preserve">6.0 </w:t>
            </w:r>
          </w:p>
        </w:tc>
      </w:tr>
      <w:tr w:rsidR="006E2A1B" w:rsidRPr="00FC5FCC" w14:paraId="5BFB5C52" w14:textId="77777777" w:rsidTr="00871227">
        <w:trPr>
          <w:trHeight w:val="280"/>
        </w:trPr>
        <w:tc>
          <w:tcPr>
            <w:tcW w:w="4357" w:type="dxa"/>
            <w:gridSpan w:val="2"/>
            <w:tcBorders>
              <w:top w:val="single" w:sz="8" w:space="0" w:color="000000"/>
              <w:left w:val="single" w:sz="8" w:space="0" w:color="000000"/>
              <w:bottom w:val="single" w:sz="8" w:space="0" w:color="000000"/>
              <w:right w:val="nil"/>
            </w:tcBorders>
          </w:tcPr>
          <w:p w14:paraId="1F8F1985"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SES (Wealth Index) </w:t>
            </w:r>
          </w:p>
        </w:tc>
        <w:tc>
          <w:tcPr>
            <w:tcW w:w="1848" w:type="dxa"/>
            <w:tcBorders>
              <w:top w:val="single" w:sz="8" w:space="0" w:color="000000"/>
              <w:left w:val="nil"/>
              <w:bottom w:val="single" w:sz="8" w:space="0" w:color="000000"/>
              <w:right w:val="nil"/>
            </w:tcBorders>
          </w:tcPr>
          <w:p w14:paraId="4FD2B4B2"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8" w:space="0" w:color="000000"/>
              <w:right w:val="single" w:sz="8" w:space="0" w:color="000000"/>
            </w:tcBorders>
          </w:tcPr>
          <w:p w14:paraId="616ADF0A" w14:textId="77777777" w:rsidR="006E2A1B" w:rsidRPr="00FC5FCC" w:rsidRDefault="006E2A1B" w:rsidP="00DF3C36">
            <w:pPr>
              <w:spacing w:line="259" w:lineRule="auto"/>
              <w:jc w:val="both"/>
              <w:rPr>
                <w:rFonts w:ascii="Times New Roman" w:hAnsi="Times New Roman" w:cs="Times New Roman"/>
                <w:sz w:val="24"/>
                <w:szCs w:val="24"/>
              </w:rPr>
            </w:pPr>
          </w:p>
        </w:tc>
      </w:tr>
      <w:tr w:rsidR="006E2A1B" w:rsidRPr="00FC5FCC" w14:paraId="1F6AE737" w14:textId="77777777" w:rsidTr="00871227">
        <w:trPr>
          <w:trHeight w:val="280"/>
        </w:trPr>
        <w:tc>
          <w:tcPr>
            <w:tcW w:w="4357" w:type="dxa"/>
            <w:gridSpan w:val="2"/>
            <w:vMerge w:val="restart"/>
            <w:tcBorders>
              <w:top w:val="single" w:sz="8" w:space="0" w:color="000000"/>
              <w:left w:val="single" w:sz="8" w:space="0" w:color="000000"/>
              <w:bottom w:val="single" w:sz="8" w:space="0" w:color="000000"/>
              <w:right w:val="single" w:sz="8" w:space="0" w:color="000000"/>
            </w:tcBorders>
          </w:tcPr>
          <w:p w14:paraId="55119FE3" w14:textId="77777777" w:rsidR="006E2A1B" w:rsidRPr="00FC5FCC" w:rsidRDefault="006E2A1B" w:rsidP="00DF3C36">
            <w:pPr>
              <w:spacing w:after="20"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Poor </w:t>
            </w:r>
          </w:p>
          <w:p w14:paraId="202FA919"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Not poor </w:t>
            </w:r>
          </w:p>
        </w:tc>
        <w:tc>
          <w:tcPr>
            <w:tcW w:w="1848" w:type="dxa"/>
            <w:tcBorders>
              <w:top w:val="single" w:sz="8" w:space="0" w:color="000000"/>
              <w:left w:val="single" w:sz="8" w:space="0" w:color="000000"/>
              <w:bottom w:val="single" w:sz="8" w:space="0" w:color="000000"/>
              <w:right w:val="single" w:sz="8" w:space="0" w:color="000000"/>
            </w:tcBorders>
          </w:tcPr>
          <w:p w14:paraId="5F76F18E"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176 </w:t>
            </w:r>
          </w:p>
        </w:tc>
        <w:tc>
          <w:tcPr>
            <w:tcW w:w="1491" w:type="dxa"/>
            <w:tcBorders>
              <w:top w:val="single" w:sz="8" w:space="0" w:color="000000"/>
              <w:left w:val="single" w:sz="8" w:space="0" w:color="000000"/>
              <w:bottom w:val="single" w:sz="8" w:space="0" w:color="000000"/>
              <w:right w:val="single" w:sz="8" w:space="0" w:color="000000"/>
            </w:tcBorders>
          </w:tcPr>
          <w:p w14:paraId="711DCDBE"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35 </w:t>
            </w:r>
          </w:p>
        </w:tc>
      </w:tr>
      <w:tr w:rsidR="006E2A1B" w:rsidRPr="00FC5FCC" w14:paraId="53FDBAE2" w14:textId="77777777" w:rsidTr="00871227">
        <w:trPr>
          <w:trHeight w:val="277"/>
        </w:trPr>
        <w:tc>
          <w:tcPr>
            <w:tcW w:w="0" w:type="auto"/>
            <w:gridSpan w:val="2"/>
            <w:vMerge/>
            <w:tcBorders>
              <w:top w:val="nil"/>
              <w:left w:val="single" w:sz="8" w:space="0" w:color="000000"/>
              <w:bottom w:val="single" w:sz="8" w:space="0" w:color="000000"/>
              <w:right w:val="single" w:sz="8" w:space="0" w:color="000000"/>
            </w:tcBorders>
          </w:tcPr>
          <w:p w14:paraId="6334DFC0"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8" w:space="0" w:color="000000"/>
              <w:left w:val="single" w:sz="8" w:space="0" w:color="000000"/>
              <w:bottom w:val="single" w:sz="8" w:space="0" w:color="000000"/>
              <w:right w:val="single" w:sz="8" w:space="0" w:color="000000"/>
            </w:tcBorders>
          </w:tcPr>
          <w:p w14:paraId="7E78C07B"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327 </w:t>
            </w:r>
          </w:p>
        </w:tc>
        <w:tc>
          <w:tcPr>
            <w:tcW w:w="1491" w:type="dxa"/>
            <w:tcBorders>
              <w:top w:val="single" w:sz="8" w:space="0" w:color="000000"/>
              <w:left w:val="single" w:sz="8" w:space="0" w:color="000000"/>
              <w:bottom w:val="single" w:sz="8" w:space="0" w:color="000000"/>
              <w:right w:val="single" w:sz="8" w:space="0" w:color="000000"/>
            </w:tcBorders>
          </w:tcPr>
          <w:p w14:paraId="797D38EC"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65 </w:t>
            </w:r>
          </w:p>
        </w:tc>
      </w:tr>
      <w:tr w:rsidR="006E2A1B" w:rsidRPr="00FC5FCC" w14:paraId="356D3E45" w14:textId="77777777" w:rsidTr="00871227">
        <w:trPr>
          <w:trHeight w:val="275"/>
        </w:trPr>
        <w:tc>
          <w:tcPr>
            <w:tcW w:w="4357" w:type="dxa"/>
            <w:gridSpan w:val="2"/>
            <w:tcBorders>
              <w:top w:val="single" w:sz="8" w:space="0" w:color="000000"/>
              <w:left w:val="single" w:sz="8" w:space="0" w:color="000000"/>
              <w:bottom w:val="single" w:sz="4" w:space="0" w:color="000000"/>
              <w:right w:val="nil"/>
            </w:tcBorders>
          </w:tcPr>
          <w:p w14:paraId="47F74166"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Ability to send remittance to family </w:t>
            </w:r>
          </w:p>
        </w:tc>
        <w:tc>
          <w:tcPr>
            <w:tcW w:w="1848" w:type="dxa"/>
            <w:tcBorders>
              <w:top w:val="single" w:sz="8" w:space="0" w:color="000000"/>
              <w:left w:val="nil"/>
              <w:bottom w:val="single" w:sz="4" w:space="0" w:color="000000"/>
              <w:right w:val="nil"/>
            </w:tcBorders>
          </w:tcPr>
          <w:p w14:paraId="7394C2F7" w14:textId="77777777" w:rsidR="006E2A1B" w:rsidRPr="00FC5FCC" w:rsidRDefault="006E2A1B" w:rsidP="00DF3C36">
            <w:pPr>
              <w:spacing w:line="259" w:lineRule="auto"/>
              <w:jc w:val="both"/>
              <w:rPr>
                <w:rFonts w:ascii="Times New Roman" w:hAnsi="Times New Roman" w:cs="Times New Roman"/>
                <w:sz w:val="24"/>
                <w:szCs w:val="24"/>
              </w:rPr>
            </w:pPr>
          </w:p>
        </w:tc>
        <w:tc>
          <w:tcPr>
            <w:tcW w:w="1491" w:type="dxa"/>
            <w:tcBorders>
              <w:top w:val="single" w:sz="8" w:space="0" w:color="000000"/>
              <w:left w:val="nil"/>
              <w:bottom w:val="single" w:sz="4" w:space="0" w:color="000000"/>
              <w:right w:val="single" w:sz="8" w:space="0" w:color="000000"/>
            </w:tcBorders>
            <w:vAlign w:val="bottom"/>
          </w:tcPr>
          <w:p w14:paraId="2D086090" w14:textId="77777777" w:rsidR="006E2A1B" w:rsidRPr="00FC5FCC" w:rsidRDefault="006E2A1B" w:rsidP="00DF3C36">
            <w:pPr>
              <w:spacing w:line="259" w:lineRule="auto"/>
              <w:ind w:left="31"/>
              <w:jc w:val="both"/>
              <w:rPr>
                <w:rFonts w:ascii="Times New Roman" w:hAnsi="Times New Roman" w:cs="Times New Roman"/>
                <w:sz w:val="24"/>
                <w:szCs w:val="24"/>
              </w:rPr>
            </w:pPr>
            <w:r w:rsidRPr="00FC5FCC">
              <w:rPr>
                <w:rFonts w:ascii="Times New Roman" w:hAnsi="Times New Roman" w:cs="Times New Roman"/>
                <w:b/>
                <w:sz w:val="24"/>
                <w:szCs w:val="24"/>
              </w:rPr>
              <w:t xml:space="preserve"> </w:t>
            </w:r>
          </w:p>
        </w:tc>
      </w:tr>
      <w:tr w:rsidR="006E2A1B" w:rsidRPr="00FC5FCC" w14:paraId="29C48AF2" w14:textId="77777777" w:rsidTr="00871227">
        <w:trPr>
          <w:trHeight w:val="270"/>
        </w:trPr>
        <w:tc>
          <w:tcPr>
            <w:tcW w:w="4357" w:type="dxa"/>
            <w:gridSpan w:val="2"/>
            <w:vMerge w:val="restart"/>
            <w:tcBorders>
              <w:top w:val="single" w:sz="4" w:space="0" w:color="000000"/>
              <w:left w:val="single" w:sz="4" w:space="0" w:color="000000"/>
              <w:bottom w:val="single" w:sz="4" w:space="0" w:color="000000"/>
              <w:right w:val="single" w:sz="4" w:space="0" w:color="000000"/>
            </w:tcBorders>
          </w:tcPr>
          <w:p w14:paraId="3AFA9B42" w14:textId="77777777" w:rsidR="006E2A1B" w:rsidRPr="00FC5FCC" w:rsidRDefault="006E2A1B" w:rsidP="00DF3C36">
            <w:pPr>
              <w:spacing w:after="1"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Yes  </w:t>
            </w:r>
          </w:p>
          <w:p w14:paraId="3B2303AD"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No </w:t>
            </w:r>
          </w:p>
        </w:tc>
        <w:tc>
          <w:tcPr>
            <w:tcW w:w="1848" w:type="dxa"/>
            <w:tcBorders>
              <w:top w:val="single" w:sz="4" w:space="0" w:color="000000"/>
              <w:left w:val="single" w:sz="4" w:space="0" w:color="000000"/>
              <w:bottom w:val="single" w:sz="4" w:space="0" w:color="000000"/>
              <w:right w:val="single" w:sz="4" w:space="0" w:color="000000"/>
            </w:tcBorders>
          </w:tcPr>
          <w:p w14:paraId="4950CF60"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181 </w:t>
            </w:r>
          </w:p>
        </w:tc>
        <w:tc>
          <w:tcPr>
            <w:tcW w:w="1491" w:type="dxa"/>
            <w:tcBorders>
              <w:top w:val="single" w:sz="4" w:space="0" w:color="000000"/>
              <w:left w:val="single" w:sz="4" w:space="0" w:color="000000"/>
              <w:bottom w:val="single" w:sz="4" w:space="0" w:color="000000"/>
              <w:right w:val="single" w:sz="4" w:space="0" w:color="000000"/>
            </w:tcBorders>
          </w:tcPr>
          <w:p w14:paraId="3C307350"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36 </w:t>
            </w:r>
          </w:p>
        </w:tc>
      </w:tr>
      <w:tr w:rsidR="006E2A1B" w:rsidRPr="00FC5FCC" w14:paraId="20CC50EF" w14:textId="77777777" w:rsidTr="00871227">
        <w:trPr>
          <w:trHeight w:val="268"/>
        </w:trPr>
        <w:tc>
          <w:tcPr>
            <w:tcW w:w="0" w:type="auto"/>
            <w:gridSpan w:val="2"/>
            <w:vMerge/>
            <w:tcBorders>
              <w:top w:val="nil"/>
              <w:left w:val="single" w:sz="4" w:space="0" w:color="000000"/>
              <w:bottom w:val="single" w:sz="4" w:space="0" w:color="000000"/>
              <w:right w:val="single" w:sz="4" w:space="0" w:color="000000"/>
            </w:tcBorders>
          </w:tcPr>
          <w:p w14:paraId="7413394E" w14:textId="77777777" w:rsidR="006E2A1B" w:rsidRPr="00FC5FCC" w:rsidRDefault="006E2A1B" w:rsidP="00DF3C36">
            <w:pPr>
              <w:spacing w:line="259" w:lineRule="auto"/>
              <w:jc w:val="both"/>
              <w:rPr>
                <w:rFonts w:ascii="Times New Roman" w:hAnsi="Times New Roman" w:cs="Times New Roman"/>
                <w:sz w:val="24"/>
                <w:szCs w:val="24"/>
              </w:rPr>
            </w:pPr>
          </w:p>
        </w:tc>
        <w:tc>
          <w:tcPr>
            <w:tcW w:w="1848" w:type="dxa"/>
            <w:tcBorders>
              <w:top w:val="single" w:sz="4" w:space="0" w:color="000000"/>
              <w:left w:val="single" w:sz="4" w:space="0" w:color="000000"/>
              <w:bottom w:val="single" w:sz="4" w:space="0" w:color="000000"/>
              <w:right w:val="single" w:sz="4" w:space="0" w:color="000000"/>
            </w:tcBorders>
          </w:tcPr>
          <w:p w14:paraId="208A6BE9"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322 </w:t>
            </w:r>
          </w:p>
        </w:tc>
        <w:tc>
          <w:tcPr>
            <w:tcW w:w="1491" w:type="dxa"/>
            <w:tcBorders>
              <w:top w:val="single" w:sz="4" w:space="0" w:color="000000"/>
              <w:left w:val="single" w:sz="4" w:space="0" w:color="000000"/>
              <w:bottom w:val="single" w:sz="4" w:space="0" w:color="000000"/>
              <w:right w:val="single" w:sz="4" w:space="0" w:color="000000"/>
            </w:tcBorders>
          </w:tcPr>
          <w:p w14:paraId="795A85CF"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sz w:val="24"/>
                <w:szCs w:val="24"/>
              </w:rPr>
              <w:t xml:space="preserve">64 </w:t>
            </w:r>
          </w:p>
        </w:tc>
      </w:tr>
      <w:tr w:rsidR="006E2A1B" w:rsidRPr="00FC5FCC" w14:paraId="43A64CBC" w14:textId="77777777" w:rsidTr="00871227">
        <w:trPr>
          <w:trHeight w:val="529"/>
        </w:trPr>
        <w:tc>
          <w:tcPr>
            <w:tcW w:w="3057" w:type="dxa"/>
            <w:tcBorders>
              <w:top w:val="single" w:sz="4" w:space="0" w:color="000000"/>
              <w:left w:val="single" w:sz="4" w:space="0" w:color="000000"/>
              <w:bottom w:val="single" w:sz="4" w:space="0" w:color="000000"/>
              <w:right w:val="single" w:sz="4" w:space="0" w:color="000000"/>
            </w:tcBorders>
            <w:vAlign w:val="bottom"/>
          </w:tcPr>
          <w:p w14:paraId="5949A8AE"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Job Category </w:t>
            </w:r>
          </w:p>
        </w:tc>
        <w:tc>
          <w:tcPr>
            <w:tcW w:w="1299" w:type="dxa"/>
            <w:tcBorders>
              <w:top w:val="single" w:sz="4" w:space="0" w:color="000000"/>
              <w:left w:val="single" w:sz="4" w:space="0" w:color="000000"/>
              <w:bottom w:val="single" w:sz="4" w:space="0" w:color="000000"/>
              <w:right w:val="single" w:sz="4" w:space="0" w:color="000000"/>
            </w:tcBorders>
            <w:vAlign w:val="bottom"/>
          </w:tcPr>
          <w:p w14:paraId="79D8FC77"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Frequency </w:t>
            </w:r>
          </w:p>
        </w:tc>
        <w:tc>
          <w:tcPr>
            <w:tcW w:w="1848" w:type="dxa"/>
            <w:tcBorders>
              <w:top w:val="single" w:sz="4" w:space="0" w:color="000000"/>
              <w:left w:val="single" w:sz="4" w:space="0" w:color="000000"/>
              <w:bottom w:val="single" w:sz="4" w:space="0" w:color="000000"/>
              <w:right w:val="single" w:sz="4" w:space="0" w:color="000000"/>
            </w:tcBorders>
          </w:tcPr>
          <w:p w14:paraId="145A5898"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b/>
                <w:sz w:val="24"/>
                <w:szCs w:val="24"/>
              </w:rPr>
              <w:t xml:space="preserve">Mean Daily Income </w:t>
            </w:r>
          </w:p>
        </w:tc>
        <w:tc>
          <w:tcPr>
            <w:tcW w:w="1491" w:type="dxa"/>
            <w:tcBorders>
              <w:top w:val="single" w:sz="4" w:space="0" w:color="000000"/>
              <w:left w:val="single" w:sz="4" w:space="0" w:color="000000"/>
              <w:bottom w:val="single" w:sz="4" w:space="0" w:color="000000"/>
              <w:right w:val="single" w:sz="4" w:space="0" w:color="000000"/>
            </w:tcBorders>
          </w:tcPr>
          <w:p w14:paraId="69058054" w14:textId="77777777" w:rsidR="006E2A1B" w:rsidRPr="00FC5FCC" w:rsidRDefault="006E2A1B" w:rsidP="00DF3C36">
            <w:pPr>
              <w:spacing w:line="259" w:lineRule="auto"/>
              <w:ind w:right="13"/>
              <w:jc w:val="both"/>
              <w:rPr>
                <w:rFonts w:ascii="Times New Roman" w:hAnsi="Times New Roman" w:cs="Times New Roman"/>
                <w:sz w:val="24"/>
                <w:szCs w:val="24"/>
              </w:rPr>
            </w:pPr>
            <w:r w:rsidRPr="00FC5FCC">
              <w:rPr>
                <w:rFonts w:ascii="Times New Roman" w:hAnsi="Times New Roman" w:cs="Times New Roman"/>
                <w:b/>
                <w:sz w:val="24"/>
                <w:szCs w:val="24"/>
              </w:rPr>
              <w:t xml:space="preserve">Std. </w:t>
            </w:r>
          </w:p>
          <w:p w14:paraId="131910CD" w14:textId="77777777" w:rsidR="006E2A1B" w:rsidRPr="00FC5FCC" w:rsidRDefault="006E2A1B" w:rsidP="00DF3C36">
            <w:pPr>
              <w:spacing w:line="259" w:lineRule="auto"/>
              <w:ind w:right="15"/>
              <w:jc w:val="both"/>
              <w:rPr>
                <w:rFonts w:ascii="Times New Roman" w:hAnsi="Times New Roman" w:cs="Times New Roman"/>
                <w:sz w:val="24"/>
                <w:szCs w:val="24"/>
              </w:rPr>
            </w:pPr>
            <w:r w:rsidRPr="00FC5FCC">
              <w:rPr>
                <w:rFonts w:ascii="Times New Roman" w:hAnsi="Times New Roman" w:cs="Times New Roman"/>
                <w:b/>
                <w:sz w:val="24"/>
                <w:szCs w:val="24"/>
              </w:rPr>
              <w:t xml:space="preserve">Deviation </w:t>
            </w:r>
          </w:p>
        </w:tc>
      </w:tr>
      <w:tr w:rsidR="006E2A1B" w:rsidRPr="00FC5FCC" w14:paraId="5DEC7403" w14:textId="77777777" w:rsidTr="00871227">
        <w:trPr>
          <w:trHeight w:val="270"/>
        </w:trPr>
        <w:tc>
          <w:tcPr>
            <w:tcW w:w="3057" w:type="dxa"/>
            <w:tcBorders>
              <w:top w:val="single" w:sz="4" w:space="0" w:color="000000"/>
              <w:left w:val="single" w:sz="4" w:space="0" w:color="000000"/>
              <w:bottom w:val="single" w:sz="4" w:space="0" w:color="000000"/>
              <w:right w:val="single" w:sz="4" w:space="0" w:color="000000"/>
            </w:tcBorders>
          </w:tcPr>
          <w:p w14:paraId="5DDA8DFB"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Kayayoo Business only </w:t>
            </w:r>
          </w:p>
        </w:tc>
        <w:tc>
          <w:tcPr>
            <w:tcW w:w="1299" w:type="dxa"/>
            <w:tcBorders>
              <w:top w:val="single" w:sz="4" w:space="0" w:color="000000"/>
              <w:left w:val="single" w:sz="4" w:space="0" w:color="000000"/>
              <w:bottom w:val="single" w:sz="4" w:space="0" w:color="000000"/>
              <w:right w:val="single" w:sz="4" w:space="0" w:color="000000"/>
            </w:tcBorders>
          </w:tcPr>
          <w:p w14:paraId="2485AD2D"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471 </w:t>
            </w:r>
          </w:p>
        </w:tc>
        <w:tc>
          <w:tcPr>
            <w:tcW w:w="1848" w:type="dxa"/>
            <w:tcBorders>
              <w:top w:val="single" w:sz="4" w:space="0" w:color="000000"/>
              <w:left w:val="single" w:sz="4" w:space="0" w:color="000000"/>
              <w:bottom w:val="single" w:sz="4" w:space="0" w:color="000000"/>
              <w:right w:val="single" w:sz="4" w:space="0" w:color="000000"/>
            </w:tcBorders>
          </w:tcPr>
          <w:p w14:paraId="37516CC4" w14:textId="77777777" w:rsidR="006E2A1B" w:rsidRPr="00FC5FCC" w:rsidRDefault="006E2A1B" w:rsidP="00DF3C36">
            <w:pPr>
              <w:spacing w:line="259" w:lineRule="auto"/>
              <w:ind w:right="14"/>
              <w:jc w:val="both"/>
              <w:rPr>
                <w:rFonts w:ascii="Times New Roman" w:hAnsi="Times New Roman" w:cs="Times New Roman"/>
                <w:sz w:val="24"/>
                <w:szCs w:val="24"/>
              </w:rPr>
            </w:pPr>
            <w:r w:rsidRPr="00FC5FCC">
              <w:rPr>
                <w:rFonts w:ascii="Times New Roman" w:hAnsi="Times New Roman" w:cs="Times New Roman"/>
                <w:sz w:val="24"/>
                <w:szCs w:val="24"/>
              </w:rPr>
              <w:t xml:space="preserve">GHs 13 </w:t>
            </w:r>
          </w:p>
        </w:tc>
        <w:tc>
          <w:tcPr>
            <w:tcW w:w="1491" w:type="dxa"/>
            <w:tcBorders>
              <w:top w:val="single" w:sz="4" w:space="0" w:color="000000"/>
              <w:left w:val="single" w:sz="4" w:space="0" w:color="000000"/>
              <w:bottom w:val="single" w:sz="4" w:space="0" w:color="000000"/>
              <w:right w:val="single" w:sz="4" w:space="0" w:color="000000"/>
            </w:tcBorders>
          </w:tcPr>
          <w:p w14:paraId="49C677BD" w14:textId="77777777" w:rsidR="006E2A1B" w:rsidRPr="00FC5FCC" w:rsidRDefault="006E2A1B" w:rsidP="00DF3C36">
            <w:pPr>
              <w:spacing w:line="259" w:lineRule="auto"/>
              <w:ind w:right="15"/>
              <w:jc w:val="both"/>
              <w:rPr>
                <w:rFonts w:ascii="Times New Roman" w:hAnsi="Times New Roman" w:cs="Times New Roman"/>
                <w:sz w:val="24"/>
                <w:szCs w:val="24"/>
              </w:rPr>
            </w:pPr>
            <w:r w:rsidRPr="00FC5FCC">
              <w:rPr>
                <w:rFonts w:ascii="Times New Roman" w:hAnsi="Times New Roman" w:cs="Times New Roman"/>
                <w:sz w:val="24"/>
                <w:szCs w:val="24"/>
              </w:rPr>
              <w:t xml:space="preserve">23.00 </w:t>
            </w:r>
          </w:p>
        </w:tc>
      </w:tr>
      <w:tr w:rsidR="006E2A1B" w:rsidRPr="00FC5FCC" w14:paraId="7C0A7D9D" w14:textId="77777777" w:rsidTr="00871227">
        <w:trPr>
          <w:trHeight w:val="529"/>
        </w:trPr>
        <w:tc>
          <w:tcPr>
            <w:tcW w:w="3057" w:type="dxa"/>
            <w:tcBorders>
              <w:top w:val="single" w:sz="4" w:space="0" w:color="000000"/>
              <w:left w:val="single" w:sz="4" w:space="0" w:color="000000"/>
              <w:bottom w:val="single" w:sz="4" w:space="0" w:color="000000"/>
              <w:right w:val="single" w:sz="4" w:space="0" w:color="000000"/>
            </w:tcBorders>
          </w:tcPr>
          <w:p w14:paraId="532B7593"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Other Jobs in addition to </w:t>
            </w:r>
          </w:p>
          <w:p w14:paraId="454A641D"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Kayayoo </w:t>
            </w:r>
          </w:p>
        </w:tc>
        <w:tc>
          <w:tcPr>
            <w:tcW w:w="1299" w:type="dxa"/>
            <w:tcBorders>
              <w:top w:val="single" w:sz="4" w:space="0" w:color="000000"/>
              <w:left w:val="single" w:sz="4" w:space="0" w:color="000000"/>
              <w:bottom w:val="single" w:sz="4" w:space="0" w:color="000000"/>
              <w:right w:val="single" w:sz="4" w:space="0" w:color="000000"/>
            </w:tcBorders>
          </w:tcPr>
          <w:p w14:paraId="51EF92F6" w14:textId="77777777" w:rsidR="006E2A1B" w:rsidRPr="00FC5FCC" w:rsidRDefault="006E2A1B" w:rsidP="00DF3C36">
            <w:pPr>
              <w:spacing w:line="259"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32 </w:t>
            </w:r>
          </w:p>
        </w:tc>
        <w:tc>
          <w:tcPr>
            <w:tcW w:w="1848" w:type="dxa"/>
            <w:tcBorders>
              <w:top w:val="single" w:sz="4" w:space="0" w:color="000000"/>
              <w:left w:val="single" w:sz="4" w:space="0" w:color="000000"/>
              <w:bottom w:val="single" w:sz="4" w:space="0" w:color="000000"/>
              <w:right w:val="single" w:sz="4" w:space="0" w:color="000000"/>
            </w:tcBorders>
          </w:tcPr>
          <w:p w14:paraId="6EE5CCD1" w14:textId="77777777" w:rsidR="006E2A1B" w:rsidRPr="00FC5FCC" w:rsidRDefault="006E2A1B" w:rsidP="00DF3C36">
            <w:pPr>
              <w:spacing w:line="259" w:lineRule="auto"/>
              <w:ind w:right="16"/>
              <w:jc w:val="both"/>
              <w:rPr>
                <w:rFonts w:ascii="Times New Roman" w:hAnsi="Times New Roman" w:cs="Times New Roman"/>
                <w:sz w:val="24"/>
                <w:szCs w:val="24"/>
              </w:rPr>
            </w:pPr>
            <w:r w:rsidRPr="00FC5FCC">
              <w:rPr>
                <w:rFonts w:ascii="Times New Roman" w:hAnsi="Times New Roman" w:cs="Times New Roman"/>
                <w:sz w:val="24"/>
                <w:szCs w:val="24"/>
              </w:rPr>
              <w:t xml:space="preserve">GHs 42.5 </w:t>
            </w:r>
          </w:p>
        </w:tc>
        <w:tc>
          <w:tcPr>
            <w:tcW w:w="1491" w:type="dxa"/>
            <w:tcBorders>
              <w:top w:val="single" w:sz="4" w:space="0" w:color="000000"/>
              <w:left w:val="single" w:sz="4" w:space="0" w:color="000000"/>
              <w:bottom w:val="single" w:sz="4" w:space="0" w:color="000000"/>
              <w:right w:val="single" w:sz="4" w:space="0" w:color="000000"/>
            </w:tcBorders>
          </w:tcPr>
          <w:p w14:paraId="00EF6BE2" w14:textId="77777777" w:rsidR="006E2A1B" w:rsidRPr="00FC5FCC" w:rsidRDefault="006E2A1B" w:rsidP="00DF3C36">
            <w:pPr>
              <w:spacing w:line="259" w:lineRule="auto"/>
              <w:ind w:right="15"/>
              <w:jc w:val="both"/>
              <w:rPr>
                <w:rFonts w:ascii="Times New Roman" w:hAnsi="Times New Roman" w:cs="Times New Roman"/>
                <w:sz w:val="24"/>
                <w:szCs w:val="24"/>
              </w:rPr>
            </w:pPr>
            <w:r w:rsidRPr="00FC5FCC">
              <w:rPr>
                <w:rFonts w:ascii="Times New Roman" w:hAnsi="Times New Roman" w:cs="Times New Roman"/>
                <w:sz w:val="24"/>
                <w:szCs w:val="24"/>
              </w:rPr>
              <w:t xml:space="preserve">18.87 </w:t>
            </w:r>
          </w:p>
        </w:tc>
      </w:tr>
    </w:tbl>
    <w:bookmarkEnd w:id="75"/>
    <w:p w14:paraId="3E6FF78C" w14:textId="6CE57975" w:rsidR="0007256C" w:rsidRPr="00FC5FCC" w:rsidRDefault="00AD0447" w:rsidP="00DF3C36">
      <w:pPr>
        <w:jc w:val="both"/>
        <w:rPr>
          <w:rFonts w:ascii="Times New Roman" w:hAnsi="Times New Roman" w:cs="Times New Roman"/>
          <w:b/>
          <w:bCs/>
          <w:sz w:val="24"/>
          <w:szCs w:val="24"/>
        </w:rPr>
      </w:pPr>
      <w:r w:rsidRPr="00FC5FCC">
        <w:rPr>
          <w:rFonts w:ascii="Times New Roman" w:hAnsi="Times New Roman" w:cs="Times New Roman"/>
          <w:b/>
          <w:bCs/>
          <w:sz w:val="24"/>
          <w:szCs w:val="24"/>
        </w:rPr>
        <w:t xml:space="preserve">(Source: </w:t>
      </w:r>
      <w:bookmarkStart w:id="76" w:name="_Hlk69960799"/>
      <w:r w:rsidR="00AC789D" w:rsidRPr="00FC5FCC">
        <w:rPr>
          <w:rFonts w:ascii="Times New Roman" w:hAnsi="Times New Roman" w:cs="Times New Roman"/>
          <w:b/>
          <w:bCs/>
          <w:sz w:val="24"/>
          <w:szCs w:val="24"/>
        </w:rPr>
        <w:t>Alatinga, 2019</w:t>
      </w:r>
      <w:r w:rsidR="00686103" w:rsidRPr="00FC5FCC">
        <w:rPr>
          <w:rFonts w:ascii="Times New Roman" w:hAnsi="Times New Roman" w:cs="Times New Roman"/>
          <w:b/>
          <w:bCs/>
          <w:sz w:val="24"/>
          <w:szCs w:val="24"/>
        </w:rPr>
        <w:t xml:space="preserve">. Internal Migration, Socio-economic Status and Remittances: Experiences of Migrant Adolescent </w:t>
      </w:r>
      <w:r w:rsidR="006A0390" w:rsidRPr="00FC5FCC">
        <w:rPr>
          <w:rFonts w:ascii="Times New Roman" w:hAnsi="Times New Roman" w:cs="Times New Roman"/>
          <w:b/>
          <w:bCs/>
          <w:sz w:val="24"/>
          <w:szCs w:val="24"/>
        </w:rPr>
        <w:t>Girl Head Porters in Ghana)</w:t>
      </w:r>
      <w:r w:rsidR="003630EB" w:rsidRPr="00FC5FCC">
        <w:rPr>
          <w:rFonts w:ascii="Times New Roman" w:hAnsi="Times New Roman" w:cs="Times New Roman"/>
          <w:b/>
          <w:bCs/>
          <w:sz w:val="24"/>
          <w:szCs w:val="24"/>
        </w:rPr>
        <w:t>.</w:t>
      </w:r>
    </w:p>
    <w:p w14:paraId="6DE20F0D" w14:textId="77777777" w:rsidR="006A0390" w:rsidRPr="00FC5FCC" w:rsidRDefault="006A0390" w:rsidP="00DF3C36">
      <w:pPr>
        <w:pStyle w:val="Heading3"/>
        <w:jc w:val="both"/>
        <w:rPr>
          <w:rFonts w:ascii="Times New Roman" w:hAnsi="Times New Roman" w:cs="Times New Roman"/>
          <w:b/>
          <w:bCs/>
        </w:rPr>
      </w:pPr>
      <w:bookmarkStart w:id="77" w:name="_Toc67825679"/>
      <w:bookmarkStart w:id="78" w:name="_Toc67826430"/>
      <w:bookmarkEnd w:id="76"/>
    </w:p>
    <w:p w14:paraId="3981D8F0" w14:textId="600D00BC" w:rsidR="006E2A1B" w:rsidRPr="00FC5FCC" w:rsidRDefault="006E2A1B" w:rsidP="00DF3C36">
      <w:pPr>
        <w:pStyle w:val="Heading3"/>
        <w:jc w:val="both"/>
        <w:rPr>
          <w:rFonts w:ascii="Times New Roman" w:hAnsi="Times New Roman" w:cs="Times New Roman"/>
          <w:b/>
          <w:bCs/>
        </w:rPr>
      </w:pPr>
      <w:r w:rsidRPr="00FC5FCC">
        <w:rPr>
          <w:rFonts w:ascii="Times New Roman" w:hAnsi="Times New Roman" w:cs="Times New Roman"/>
          <w:b/>
          <w:bCs/>
        </w:rPr>
        <w:t>Age, Educational, Marital Status, Length of Stay and Job Category as Head Porter As illustrated in Table 1.</w:t>
      </w:r>
      <w:bookmarkEnd w:id="77"/>
      <w:bookmarkEnd w:id="78"/>
      <w:r w:rsidRPr="00FC5FCC">
        <w:rPr>
          <w:rFonts w:ascii="Times New Roman" w:hAnsi="Times New Roman" w:cs="Times New Roman"/>
          <w:b/>
          <w:bCs/>
        </w:rPr>
        <w:t xml:space="preserve"> </w:t>
      </w:r>
    </w:p>
    <w:p w14:paraId="42B5BAC3" w14:textId="77777777" w:rsidR="00DA1949" w:rsidRPr="00FC5FCC" w:rsidRDefault="00DA1949" w:rsidP="00DF3C36">
      <w:pPr>
        <w:spacing w:line="480" w:lineRule="auto"/>
        <w:jc w:val="both"/>
        <w:rPr>
          <w:rFonts w:ascii="Times New Roman" w:hAnsi="Times New Roman" w:cs="Times New Roman"/>
          <w:sz w:val="24"/>
          <w:szCs w:val="24"/>
        </w:rPr>
      </w:pPr>
    </w:p>
    <w:p w14:paraId="63EA3DDB" w14:textId="332CDBC6"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The field-survey data finds out that 93% of adolescent girls fall in the age category of 15-19, (Alatinga, 2019). Such age bracket is the prime time for adolescents’ girls to be at the senior high school or college schools. It is however not surprising that one-third of the girls had no formal education, whiles 31% of them attained junior high school or high school education, with only 8.2% of them having senior high or college education status. </w:t>
      </w:r>
    </w:p>
    <w:p w14:paraId="2C53D8E5" w14:textId="5AF81405"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The field-survey data also finds out that 59% of more than half the adolescent girls had worked as a head porter for 1-2 years, 28% had worked for less than a year, while 13% had worked for 3-4 years or longer (Alatinga, 2019). Out of a total of 503 respondents, only 36% of the girls can remit to their families, whiles 64% of them are unable to send monies back home. This considerable gap of (28%) further suggests that despite the growing numbers of girls coming to the urban cities of Ghana are unable to improve on their financial condition, which has always been the main reason for their migration.</w:t>
      </w:r>
    </w:p>
    <w:p w14:paraId="3AEF050C" w14:textId="16BDF7AB" w:rsidR="00116B3C" w:rsidRPr="00FC5FCC" w:rsidRDefault="006E2A1B" w:rsidP="00116B3C">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The data again indicates that only 16% of the girls are married, 83% of them are unmarried, and 0.4 and 0.1 are divorced/widow and cohabitating, respectively (</w:t>
      </w:r>
      <w:r w:rsidR="00686103" w:rsidRPr="00FC5FCC">
        <w:rPr>
          <w:rFonts w:ascii="Times New Roman" w:hAnsi="Times New Roman" w:cs="Times New Roman"/>
          <w:sz w:val="24"/>
          <w:szCs w:val="24"/>
        </w:rPr>
        <w:t xml:space="preserve">Alatinga </w:t>
      </w:r>
      <w:r w:rsidRPr="00FC5FCC">
        <w:rPr>
          <w:rFonts w:ascii="Times New Roman" w:hAnsi="Times New Roman" w:cs="Times New Roman"/>
          <w:sz w:val="24"/>
          <w:szCs w:val="24"/>
        </w:rPr>
        <w:t>2019). This only explain how more of these girls migrate to the urban cities. Since 83% of the girls are not married means that they don’t have a family of their own (husband and children) and not attending school makes it easy for them to decide to migrate to the big city to engage in the Kayayei activity</w:t>
      </w:r>
      <w:r w:rsidR="001C1969"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It can again be observed from the table above that, a frequency of 471 of the girls only worked in the kayayei activity and earn GHs 13 equivalent to (C $2) whiles those who had attained some form skills worked in other areas and made GHs 42 (C $10)</w:t>
      </w:r>
      <w:r w:rsidR="001C1969"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w:t>
      </w:r>
      <w:bookmarkStart w:id="79" w:name="_Toc67825680"/>
      <w:bookmarkStart w:id="80" w:name="_Toc67826431"/>
    </w:p>
    <w:p w14:paraId="39FEA88D" w14:textId="77777777" w:rsidR="00AD62A6" w:rsidRPr="00FC5FCC" w:rsidRDefault="00AD62A6" w:rsidP="00116B3C">
      <w:pPr>
        <w:spacing w:line="480" w:lineRule="auto"/>
        <w:jc w:val="both"/>
        <w:rPr>
          <w:rFonts w:ascii="Times New Roman" w:hAnsi="Times New Roman" w:cs="Times New Roman"/>
          <w:b/>
          <w:bCs/>
          <w:sz w:val="24"/>
          <w:szCs w:val="24"/>
        </w:rPr>
      </w:pPr>
    </w:p>
    <w:p w14:paraId="643EB302" w14:textId="77777777" w:rsidR="00AD62A6" w:rsidRPr="00FC5FCC" w:rsidRDefault="00AD62A6" w:rsidP="00116B3C">
      <w:pPr>
        <w:spacing w:line="480" w:lineRule="auto"/>
        <w:jc w:val="both"/>
        <w:rPr>
          <w:rFonts w:ascii="Times New Roman" w:hAnsi="Times New Roman" w:cs="Times New Roman"/>
          <w:b/>
          <w:bCs/>
          <w:sz w:val="24"/>
          <w:szCs w:val="24"/>
        </w:rPr>
      </w:pPr>
    </w:p>
    <w:p w14:paraId="733EB3AF" w14:textId="77777777" w:rsidR="00AD62A6" w:rsidRPr="00FC5FCC" w:rsidRDefault="00AD62A6" w:rsidP="00116B3C">
      <w:pPr>
        <w:spacing w:line="480" w:lineRule="auto"/>
        <w:jc w:val="both"/>
        <w:rPr>
          <w:rFonts w:ascii="Times New Roman" w:hAnsi="Times New Roman" w:cs="Times New Roman"/>
          <w:b/>
          <w:bCs/>
          <w:sz w:val="24"/>
          <w:szCs w:val="24"/>
        </w:rPr>
      </w:pPr>
    </w:p>
    <w:p w14:paraId="1CC0B55F" w14:textId="77777777" w:rsidR="00AD62A6" w:rsidRPr="00FC5FCC" w:rsidRDefault="00AD62A6" w:rsidP="00116B3C">
      <w:pPr>
        <w:spacing w:line="480" w:lineRule="auto"/>
        <w:jc w:val="both"/>
        <w:rPr>
          <w:rFonts w:ascii="Times New Roman" w:hAnsi="Times New Roman" w:cs="Times New Roman"/>
          <w:b/>
          <w:bCs/>
          <w:sz w:val="24"/>
          <w:szCs w:val="24"/>
        </w:rPr>
      </w:pPr>
    </w:p>
    <w:p w14:paraId="56107066" w14:textId="478036BC" w:rsidR="006E2A1B" w:rsidRPr="00FC5FCC" w:rsidRDefault="006E2A1B" w:rsidP="00116B3C">
      <w:pPr>
        <w:spacing w:line="480" w:lineRule="auto"/>
        <w:jc w:val="both"/>
        <w:rPr>
          <w:rFonts w:ascii="Times New Roman" w:hAnsi="Times New Roman" w:cs="Times New Roman"/>
          <w:b/>
          <w:bCs/>
          <w:sz w:val="24"/>
          <w:szCs w:val="24"/>
        </w:rPr>
      </w:pPr>
      <w:r w:rsidRPr="00FC5FCC">
        <w:rPr>
          <w:rFonts w:ascii="Times New Roman" w:hAnsi="Times New Roman" w:cs="Times New Roman"/>
          <w:b/>
          <w:bCs/>
          <w:sz w:val="24"/>
          <w:szCs w:val="24"/>
        </w:rPr>
        <w:t>Figure 2. Summarizes the Adolescents’ Aspirations for Migrating</w:t>
      </w:r>
      <w:bookmarkEnd w:id="79"/>
      <w:bookmarkEnd w:id="80"/>
      <w:r w:rsidRPr="00FC5FCC">
        <w:rPr>
          <w:rFonts w:ascii="Times New Roman" w:hAnsi="Times New Roman" w:cs="Times New Roman"/>
          <w:b/>
          <w:bCs/>
          <w:sz w:val="24"/>
          <w:szCs w:val="24"/>
        </w:rPr>
        <w:t xml:space="preserve"> </w:t>
      </w:r>
    </w:p>
    <w:p w14:paraId="4FB4DDC2" w14:textId="77777777" w:rsidR="006E2A1B" w:rsidRPr="00FC5FCC" w:rsidRDefault="006E2A1B" w:rsidP="00DF3C36">
      <w:pPr>
        <w:jc w:val="both"/>
        <w:rPr>
          <w:rFonts w:ascii="Times New Roman" w:hAnsi="Times New Roman" w:cs="Times New Roman"/>
          <w:b/>
          <w:bCs/>
          <w:sz w:val="24"/>
          <w:szCs w:val="24"/>
        </w:rPr>
      </w:pPr>
    </w:p>
    <w:p w14:paraId="68AC3A1C" w14:textId="77777777" w:rsidR="006E2A1B" w:rsidRPr="00FC5FCC" w:rsidRDefault="006E2A1B" w:rsidP="00DF3C36">
      <w:pPr>
        <w:jc w:val="both"/>
        <w:rPr>
          <w:rFonts w:ascii="Times New Roman" w:hAnsi="Times New Roman" w:cs="Times New Roman"/>
          <w:b/>
          <w:bCs/>
          <w:sz w:val="24"/>
          <w:szCs w:val="24"/>
        </w:rPr>
      </w:pPr>
      <w:r w:rsidRPr="00FC5FCC">
        <w:rPr>
          <w:rFonts w:ascii="Times New Roman" w:hAnsi="Times New Roman" w:cs="Times New Roman"/>
          <w:noProof/>
          <w:sz w:val="24"/>
          <w:szCs w:val="24"/>
        </w:rPr>
        <w:drawing>
          <wp:inline distT="0" distB="0" distL="0" distR="0" wp14:anchorId="683910E3" wp14:editId="7049D184">
            <wp:extent cx="4953000" cy="4114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53000" cy="4114800"/>
                    </a:xfrm>
                    <a:prstGeom prst="rect">
                      <a:avLst/>
                    </a:prstGeom>
                  </pic:spPr>
                </pic:pic>
              </a:graphicData>
            </a:graphic>
          </wp:inline>
        </w:drawing>
      </w:r>
    </w:p>
    <w:p w14:paraId="2789ED03" w14:textId="77777777" w:rsidR="00495322" w:rsidRPr="00FC5FCC" w:rsidRDefault="00495322" w:rsidP="00495322">
      <w:pPr>
        <w:jc w:val="both"/>
        <w:rPr>
          <w:rFonts w:ascii="Times New Roman" w:hAnsi="Times New Roman" w:cs="Times New Roman"/>
          <w:b/>
          <w:bCs/>
          <w:sz w:val="24"/>
          <w:szCs w:val="24"/>
        </w:rPr>
      </w:pPr>
      <w:r w:rsidRPr="00FC5FCC">
        <w:rPr>
          <w:rFonts w:ascii="Times New Roman" w:hAnsi="Times New Roman" w:cs="Times New Roman"/>
          <w:b/>
          <w:bCs/>
          <w:sz w:val="24"/>
          <w:szCs w:val="24"/>
        </w:rPr>
        <w:t>(Source: Alatinga, 2019. Internal Migration, Socio-economic Status and Remittances: Experiences of Migrant Adolescent Girl Head Porters in Ghana)</w:t>
      </w:r>
    </w:p>
    <w:p w14:paraId="18E20089" w14:textId="77777777" w:rsidR="00495322" w:rsidRPr="00FC5FCC" w:rsidRDefault="00495322" w:rsidP="00DF3C36">
      <w:pPr>
        <w:spacing w:line="480" w:lineRule="auto"/>
        <w:jc w:val="both"/>
        <w:rPr>
          <w:rFonts w:ascii="Times New Roman" w:hAnsi="Times New Roman" w:cs="Times New Roman"/>
          <w:sz w:val="24"/>
          <w:szCs w:val="24"/>
        </w:rPr>
      </w:pPr>
    </w:p>
    <w:p w14:paraId="323E2DD2" w14:textId="0C56D016"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This graph demonstrates that over 61% of adolescent girls migrate to urban cities to escape poverty</w:t>
      </w:r>
      <w:r w:rsidR="001C1969"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29% of these girls migrate to raise money to escape poverty and raise funds to pay for their tuition. The graph also indicates that 3% and 1% of these girls migrate to the urban city to escape Female Genital Mutilation (FGM) and forced marriages, all of which constitute social institutions. For this reason, poverty remains the core reason for migrating (Alatinga, 2019).</w:t>
      </w:r>
    </w:p>
    <w:p w14:paraId="1670AF7A" w14:textId="696B2635" w:rsidR="006E2A1B" w:rsidRPr="00FC5FCC" w:rsidRDefault="001C1969"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From the sourced data (Alatinga, 2019), the </w:t>
      </w:r>
      <w:r w:rsidR="006E2A1B" w:rsidRPr="00FC5FCC">
        <w:rPr>
          <w:rFonts w:ascii="Times New Roman" w:hAnsi="Times New Roman" w:cs="Times New Roman"/>
          <w:sz w:val="24"/>
          <w:szCs w:val="24"/>
        </w:rPr>
        <w:t>results presented in the survey resonate well with the life course perspective because, in the context of migrant adolescent girls, the condition of rural poverty is exacerbated as a result of crucial social change mechanisms that shape the biographical patterns of these girls. The life course framework investigates the interplay between an individual</w:t>
      </w:r>
      <w:r w:rsidR="00116B3C" w:rsidRPr="00FC5FCC">
        <w:rPr>
          <w:rFonts w:ascii="Times New Roman" w:hAnsi="Times New Roman" w:cs="Times New Roman"/>
          <w:sz w:val="24"/>
          <w:szCs w:val="24"/>
        </w:rPr>
        <w:t>’</w:t>
      </w:r>
      <w:r w:rsidR="006E2A1B" w:rsidRPr="00FC5FCC">
        <w:rPr>
          <w:rFonts w:ascii="Times New Roman" w:hAnsi="Times New Roman" w:cs="Times New Roman"/>
          <w:sz w:val="24"/>
          <w:szCs w:val="24"/>
        </w:rPr>
        <w:t>s decisions and actions to shape their development within given structural opportunities and constraints. Heinz and Kruger</w:t>
      </w:r>
      <w:r w:rsidR="00116B3C" w:rsidRPr="00FC5FCC">
        <w:rPr>
          <w:rFonts w:ascii="Times New Roman" w:hAnsi="Times New Roman" w:cs="Times New Roman"/>
          <w:sz w:val="24"/>
          <w:szCs w:val="24"/>
        </w:rPr>
        <w:t>’</w:t>
      </w:r>
      <w:r w:rsidR="006E2A1B" w:rsidRPr="00FC5FCC">
        <w:rPr>
          <w:rFonts w:ascii="Times New Roman" w:hAnsi="Times New Roman" w:cs="Times New Roman"/>
          <w:sz w:val="24"/>
          <w:szCs w:val="24"/>
        </w:rPr>
        <w:t xml:space="preserve">s (2001) suggests that the individual life course is </w:t>
      </w:r>
      <w:r w:rsidR="00116B3C" w:rsidRPr="00FC5FCC">
        <w:rPr>
          <w:rFonts w:ascii="Times New Roman" w:hAnsi="Times New Roman" w:cs="Times New Roman"/>
          <w:sz w:val="24"/>
          <w:szCs w:val="24"/>
        </w:rPr>
        <w:t>“</w:t>
      </w:r>
      <w:r w:rsidR="006E2A1B" w:rsidRPr="00FC5FCC">
        <w:rPr>
          <w:rFonts w:ascii="Times New Roman" w:hAnsi="Times New Roman" w:cs="Times New Roman"/>
          <w:sz w:val="24"/>
          <w:szCs w:val="24"/>
        </w:rPr>
        <w:t>a major institution of integration and tension between individual and society that provides the social and temporal contexts for biographical planning and stock-taking as well as ways of adapting to changes in public and private time and space</w:t>
      </w:r>
      <w:r w:rsidR="00116B3C" w:rsidRPr="00FC5FCC">
        <w:rPr>
          <w:rFonts w:ascii="Times New Roman" w:hAnsi="Times New Roman" w:cs="Times New Roman"/>
          <w:sz w:val="24"/>
          <w:szCs w:val="24"/>
        </w:rPr>
        <w:t>”</w:t>
      </w:r>
      <w:r w:rsidR="006E2A1B" w:rsidRPr="00FC5FCC">
        <w:rPr>
          <w:rFonts w:ascii="Times New Roman" w:hAnsi="Times New Roman" w:cs="Times New Roman"/>
          <w:sz w:val="24"/>
          <w:szCs w:val="24"/>
        </w:rPr>
        <w:t xml:space="preserve"> emphasizing the broader context in which the development of the individual and groups is embedded. </w:t>
      </w:r>
    </w:p>
    <w:p w14:paraId="7C089B28" w14:textId="004446EF"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The results point to </w:t>
      </w:r>
      <w:r w:rsidR="00A21217" w:rsidRPr="00FC5FCC">
        <w:rPr>
          <w:rFonts w:ascii="Times New Roman" w:hAnsi="Times New Roman" w:cs="Times New Roman"/>
          <w:sz w:val="24"/>
          <w:szCs w:val="24"/>
        </w:rPr>
        <w:t>behavioral</w:t>
      </w:r>
      <w:r w:rsidRPr="00FC5FCC">
        <w:rPr>
          <w:rFonts w:ascii="Times New Roman" w:hAnsi="Times New Roman" w:cs="Times New Roman"/>
          <w:sz w:val="24"/>
          <w:szCs w:val="24"/>
        </w:rPr>
        <w:t>, social, and structural conditions that construct and influence the girls</w:t>
      </w:r>
      <w:r w:rsidR="00116B3C" w:rsidRPr="00FC5FCC">
        <w:rPr>
          <w:rFonts w:ascii="Times New Roman" w:hAnsi="Times New Roman" w:cs="Times New Roman"/>
          <w:sz w:val="24"/>
          <w:szCs w:val="24"/>
        </w:rPr>
        <w:t>’</w:t>
      </w:r>
      <w:r w:rsidRPr="00FC5FCC">
        <w:rPr>
          <w:rFonts w:ascii="Times New Roman" w:hAnsi="Times New Roman" w:cs="Times New Roman"/>
          <w:sz w:val="24"/>
          <w:szCs w:val="24"/>
        </w:rPr>
        <w:t xml:space="preserve"> lived experiences. 3% of adolescent girls migrate because of peer influence</w:t>
      </w:r>
      <w:r w:rsidR="001C1969"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Again, 3% of the girls migrate to experience city life, contributing to similar information shared through peers. According to Mayer (2003), the life course perspective aims to understand three fundamental mechanisms that shape biographical patterns, thus, societal systems, structures, and institutions (e.i families, schools, organizations, occupational system, </w:t>
      </w:r>
      <w:r w:rsidR="00A21217" w:rsidRPr="00FC5FCC">
        <w:rPr>
          <w:rFonts w:ascii="Times New Roman" w:hAnsi="Times New Roman" w:cs="Times New Roman"/>
          <w:sz w:val="24"/>
          <w:szCs w:val="24"/>
        </w:rPr>
        <w:t>labor</w:t>
      </w:r>
      <w:r w:rsidRPr="00FC5FCC">
        <w:rPr>
          <w:rFonts w:ascii="Times New Roman" w:hAnsi="Times New Roman" w:cs="Times New Roman"/>
          <w:sz w:val="24"/>
          <w:szCs w:val="24"/>
        </w:rPr>
        <w:t xml:space="preserve"> law, public welfare, historical period) that select groups of individuals into developmental pathways. Secondly, prior life histories of the individuals and groups (work experiences, the background of poverty, accumulated resources) and social roles (based on traditional gender norms) and social groups (based on socioeconomic status). The data results also reflect on the </w:t>
      </w:r>
      <w:r w:rsidR="00116B3C" w:rsidRPr="00FC5FCC">
        <w:rPr>
          <w:rFonts w:ascii="Times New Roman" w:hAnsi="Times New Roman" w:cs="Times New Roman"/>
          <w:sz w:val="24"/>
          <w:szCs w:val="24"/>
        </w:rPr>
        <w:t>“</w:t>
      </w:r>
      <w:r w:rsidRPr="00FC5FCC">
        <w:rPr>
          <w:rFonts w:ascii="Times New Roman" w:hAnsi="Times New Roman" w:cs="Times New Roman"/>
          <w:sz w:val="24"/>
          <w:szCs w:val="24"/>
        </w:rPr>
        <w:t>family institution</w:t>
      </w:r>
      <w:r w:rsidR="00116B3C" w:rsidRPr="00FC5FCC">
        <w:rPr>
          <w:rFonts w:ascii="Times New Roman" w:hAnsi="Times New Roman" w:cs="Times New Roman"/>
          <w:sz w:val="24"/>
          <w:szCs w:val="24"/>
        </w:rPr>
        <w:t>”</w:t>
      </w:r>
      <w:r w:rsidRPr="00FC5FCC">
        <w:rPr>
          <w:rFonts w:ascii="Times New Roman" w:hAnsi="Times New Roman" w:cs="Times New Roman"/>
          <w:sz w:val="24"/>
          <w:szCs w:val="24"/>
        </w:rPr>
        <w:t xml:space="preserve"> in the context of household livelihood; thus, poverty and unemployment among households in the northern part of the country are reasons why some of these girls migrate to the urban cities. 61% of adolescent girls migrate to urban cities to escape poverty resulting for household poverty and unemployment</w:t>
      </w:r>
      <w:r w:rsidR="001C1969"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w:t>
      </w:r>
    </w:p>
    <w:p w14:paraId="71354471" w14:textId="08CCAC4D" w:rsidR="006E2A1B"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Similarly, social roles based on traditional gender norms such as female genital mutilation (FGM) and forced marriage practices also affect school attendances and performance among rural adolescent girls. Such outmoded practices affect their health condition, especially their psychological well-being. Table 1 shows that 36% of the girls have no educational background (illiterate) and table 2 also shows that 29% of the girls work as head porters to raise money to fund their tuition to continue education</w:t>
      </w:r>
      <w:r w:rsidR="001C1969" w:rsidRPr="00FC5FCC">
        <w:rPr>
          <w:rFonts w:ascii="Times New Roman" w:hAnsi="Times New Roman" w:cs="Times New Roman"/>
          <w:sz w:val="24"/>
          <w:szCs w:val="24"/>
        </w:rPr>
        <w:t xml:space="preserve"> (Alatinga, 2019)</w:t>
      </w:r>
      <w:r w:rsidRPr="00FC5FCC">
        <w:rPr>
          <w:rFonts w:ascii="Times New Roman" w:hAnsi="Times New Roman" w:cs="Times New Roman"/>
          <w:sz w:val="24"/>
          <w:szCs w:val="24"/>
        </w:rPr>
        <w:t xml:space="preserve">. A key development task in the lives of the adolescents girls is to be psychological prepare for school-to work transition, a crucial phase of the life course for young people, which critically affects adult social status attainment and developmental prospects throughout adulthood (Schoon &amp; Heckhausen 2019). Therefore, Individual life choices within institutional resources and constraints are the basis for the life course perspective. </w:t>
      </w:r>
    </w:p>
    <w:p w14:paraId="1B26A666" w14:textId="34CA6595" w:rsidR="006E2A1B" w:rsidRPr="00FC5FCC" w:rsidRDefault="006E2A1B" w:rsidP="00DF3C36">
      <w:pPr>
        <w:spacing w:line="480" w:lineRule="auto"/>
        <w:jc w:val="both"/>
        <w:rPr>
          <w:rFonts w:ascii="Times New Roman" w:hAnsi="Times New Roman" w:cs="Times New Roman"/>
          <w:b/>
          <w:bCs/>
          <w:sz w:val="24"/>
          <w:szCs w:val="24"/>
        </w:rPr>
      </w:pPr>
    </w:p>
    <w:p w14:paraId="4B4793F0" w14:textId="42F0CEB3" w:rsidR="006E2A1B" w:rsidRPr="00FC5FCC" w:rsidRDefault="006E2A1B" w:rsidP="00116B3C">
      <w:pPr>
        <w:pStyle w:val="Heading1"/>
        <w:jc w:val="center"/>
        <w:rPr>
          <w:rFonts w:ascii="Times New Roman" w:hAnsi="Times New Roman" w:cs="Times New Roman"/>
          <w:sz w:val="24"/>
          <w:szCs w:val="24"/>
        </w:rPr>
      </w:pPr>
      <w:bookmarkStart w:id="81" w:name="_Toc67825681"/>
      <w:bookmarkStart w:id="82" w:name="_Toc67826432"/>
      <w:r w:rsidRPr="00FC5FCC">
        <w:rPr>
          <w:rFonts w:ascii="Times New Roman" w:hAnsi="Times New Roman" w:cs="Times New Roman"/>
          <w:sz w:val="24"/>
          <w:szCs w:val="24"/>
        </w:rPr>
        <w:t>CH</w:t>
      </w:r>
      <w:r w:rsidR="0007256C" w:rsidRPr="00FC5FCC">
        <w:rPr>
          <w:rFonts w:ascii="Times New Roman" w:hAnsi="Times New Roman" w:cs="Times New Roman"/>
          <w:sz w:val="24"/>
          <w:szCs w:val="24"/>
        </w:rPr>
        <w:t>A</w:t>
      </w:r>
      <w:r w:rsidRPr="00FC5FCC">
        <w:rPr>
          <w:rFonts w:ascii="Times New Roman" w:hAnsi="Times New Roman" w:cs="Times New Roman"/>
          <w:sz w:val="24"/>
          <w:szCs w:val="24"/>
        </w:rPr>
        <w:t>PTER 7</w:t>
      </w:r>
      <w:bookmarkEnd w:id="81"/>
      <w:bookmarkEnd w:id="82"/>
    </w:p>
    <w:p w14:paraId="3441865C" w14:textId="656A8272" w:rsidR="006E2A1B" w:rsidRPr="00FC5FCC" w:rsidRDefault="006E2A1B" w:rsidP="00116B3C">
      <w:pPr>
        <w:pStyle w:val="Heading2"/>
        <w:jc w:val="center"/>
        <w:rPr>
          <w:rFonts w:ascii="Times New Roman" w:hAnsi="Times New Roman" w:cs="Times New Roman"/>
          <w:sz w:val="24"/>
          <w:szCs w:val="24"/>
        </w:rPr>
      </w:pPr>
      <w:bookmarkStart w:id="83" w:name="_Toc67825682"/>
      <w:bookmarkStart w:id="84" w:name="_Toc67826433"/>
      <w:r w:rsidRPr="00FC5FCC">
        <w:rPr>
          <w:rFonts w:ascii="Times New Roman" w:hAnsi="Times New Roman" w:cs="Times New Roman"/>
          <w:sz w:val="24"/>
          <w:szCs w:val="24"/>
        </w:rPr>
        <w:t>LIMITATION AND CONCLUSION</w:t>
      </w:r>
      <w:bookmarkEnd w:id="83"/>
      <w:bookmarkEnd w:id="84"/>
    </w:p>
    <w:p w14:paraId="6CE4F2BC" w14:textId="77777777" w:rsidR="00116B3C" w:rsidRPr="00FC5FCC" w:rsidRDefault="00116B3C" w:rsidP="00DF3C36">
      <w:pPr>
        <w:pStyle w:val="Heading3"/>
        <w:jc w:val="both"/>
        <w:rPr>
          <w:rFonts w:ascii="Times New Roman" w:hAnsi="Times New Roman" w:cs="Times New Roman"/>
          <w:b/>
          <w:bCs/>
        </w:rPr>
      </w:pPr>
      <w:bookmarkStart w:id="85" w:name="_Toc67825683"/>
      <w:bookmarkStart w:id="86" w:name="_Toc67826434"/>
    </w:p>
    <w:p w14:paraId="05E321D0" w14:textId="74A4AF45" w:rsidR="006E2A1B" w:rsidRPr="00FC5FCC" w:rsidRDefault="006E2A1B" w:rsidP="00DF3C36">
      <w:pPr>
        <w:pStyle w:val="Heading3"/>
        <w:jc w:val="both"/>
        <w:rPr>
          <w:rFonts w:ascii="Times New Roman" w:hAnsi="Times New Roman" w:cs="Times New Roman"/>
          <w:b/>
          <w:bCs/>
        </w:rPr>
      </w:pPr>
      <w:r w:rsidRPr="00FC5FCC">
        <w:rPr>
          <w:rFonts w:ascii="Times New Roman" w:hAnsi="Times New Roman" w:cs="Times New Roman"/>
          <w:b/>
          <w:bCs/>
        </w:rPr>
        <w:t>Limitation</w:t>
      </w:r>
      <w:bookmarkEnd w:id="85"/>
      <w:bookmarkEnd w:id="86"/>
      <w:r w:rsidRPr="00FC5FCC">
        <w:rPr>
          <w:rFonts w:ascii="Times New Roman" w:hAnsi="Times New Roman" w:cs="Times New Roman"/>
          <w:b/>
          <w:bCs/>
        </w:rPr>
        <w:t xml:space="preserve"> </w:t>
      </w:r>
    </w:p>
    <w:p w14:paraId="26152BC5" w14:textId="77777777" w:rsidR="00116B3C" w:rsidRPr="00FC5FCC" w:rsidRDefault="00116B3C" w:rsidP="00DF3C36">
      <w:pPr>
        <w:spacing w:line="480" w:lineRule="auto"/>
        <w:jc w:val="both"/>
        <w:rPr>
          <w:rFonts w:ascii="Times New Roman" w:hAnsi="Times New Roman" w:cs="Times New Roman"/>
          <w:sz w:val="24"/>
          <w:szCs w:val="24"/>
        </w:rPr>
      </w:pPr>
    </w:p>
    <w:p w14:paraId="57A124FA" w14:textId="2B2913AD" w:rsidR="0007256C" w:rsidRPr="00FC5FCC" w:rsidRDefault="006E2A1B" w:rsidP="00DF3C36">
      <w:pPr>
        <w:spacing w:line="48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The </w:t>
      </w:r>
      <w:r w:rsidR="003547D1" w:rsidRPr="00FC5FCC">
        <w:rPr>
          <w:rFonts w:ascii="Times New Roman" w:hAnsi="Times New Roman" w:cs="Times New Roman"/>
          <w:sz w:val="24"/>
          <w:szCs w:val="24"/>
        </w:rPr>
        <w:t xml:space="preserve">literature review </w:t>
      </w:r>
      <w:r w:rsidR="001F1BFE" w:rsidRPr="00FC5FCC">
        <w:rPr>
          <w:rFonts w:ascii="Times New Roman" w:hAnsi="Times New Roman" w:cs="Times New Roman"/>
          <w:sz w:val="24"/>
          <w:szCs w:val="24"/>
        </w:rPr>
        <w:t xml:space="preserve">data </w:t>
      </w:r>
      <w:r w:rsidR="003547D1" w:rsidRPr="00FC5FCC">
        <w:rPr>
          <w:rFonts w:ascii="Times New Roman" w:hAnsi="Times New Roman" w:cs="Times New Roman"/>
          <w:sz w:val="24"/>
          <w:szCs w:val="24"/>
        </w:rPr>
        <w:t>sourced</w:t>
      </w:r>
      <w:r w:rsidRPr="00FC5FCC">
        <w:rPr>
          <w:rFonts w:ascii="Times New Roman" w:hAnsi="Times New Roman" w:cs="Times New Roman"/>
          <w:sz w:val="24"/>
          <w:szCs w:val="24"/>
        </w:rPr>
        <w:t xml:space="preserve"> </w:t>
      </w:r>
      <w:r w:rsidR="00F21111" w:rsidRPr="00FC5FCC">
        <w:rPr>
          <w:rFonts w:ascii="Times New Roman" w:hAnsi="Times New Roman" w:cs="Times New Roman"/>
          <w:sz w:val="24"/>
          <w:szCs w:val="24"/>
        </w:rPr>
        <w:t>for</w:t>
      </w:r>
      <w:r w:rsidRPr="00FC5FCC">
        <w:rPr>
          <w:rFonts w:ascii="Times New Roman" w:hAnsi="Times New Roman" w:cs="Times New Roman"/>
          <w:sz w:val="24"/>
          <w:szCs w:val="24"/>
        </w:rPr>
        <w:t xml:space="preserve"> this paper fall short in evidence, thus, result and explanation. However, this paper explores the 'Kayayei' phenomena in Ghana, using the life course literature, which I consider as a research gap in examining the situation and condition of adolescent girls who are engaged in the kayayei activity. Statically, this paper's finding is </w:t>
      </w:r>
      <w:r w:rsidR="00A21217" w:rsidRPr="00FC5FCC">
        <w:rPr>
          <w:rFonts w:ascii="Times New Roman" w:hAnsi="Times New Roman" w:cs="Times New Roman"/>
          <w:sz w:val="24"/>
          <w:szCs w:val="24"/>
        </w:rPr>
        <w:t>based</w:t>
      </w:r>
      <w:r w:rsidRPr="00FC5FCC">
        <w:rPr>
          <w:rFonts w:ascii="Times New Roman" w:hAnsi="Times New Roman" w:cs="Times New Roman"/>
          <w:sz w:val="24"/>
          <w:szCs w:val="24"/>
        </w:rPr>
        <w:t xml:space="preserve"> on </w:t>
      </w:r>
      <w:r w:rsidR="008C1F85" w:rsidRPr="00FC5FCC">
        <w:rPr>
          <w:rFonts w:ascii="Times New Roman" w:hAnsi="Times New Roman" w:cs="Times New Roman"/>
          <w:sz w:val="24"/>
          <w:szCs w:val="24"/>
        </w:rPr>
        <w:t xml:space="preserve">literature review </w:t>
      </w:r>
      <w:r w:rsidRPr="00FC5FCC">
        <w:rPr>
          <w:rFonts w:ascii="Times New Roman" w:hAnsi="Times New Roman" w:cs="Times New Roman"/>
          <w:sz w:val="24"/>
          <w:szCs w:val="24"/>
        </w:rPr>
        <w:t xml:space="preserve">data collected from a field-survey in 2019 </w:t>
      </w:r>
      <w:r w:rsidR="008C1F85" w:rsidRPr="00FC5FCC">
        <w:rPr>
          <w:rFonts w:ascii="Times New Roman" w:hAnsi="Times New Roman" w:cs="Times New Roman"/>
          <w:sz w:val="24"/>
          <w:szCs w:val="24"/>
        </w:rPr>
        <w:t xml:space="preserve">(Alatinga, 2019) </w:t>
      </w:r>
      <w:r w:rsidRPr="00FC5FCC">
        <w:rPr>
          <w:rFonts w:ascii="Times New Roman" w:hAnsi="Times New Roman" w:cs="Times New Roman"/>
          <w:sz w:val="24"/>
          <w:szCs w:val="24"/>
        </w:rPr>
        <w:t xml:space="preserve">examining the remittance ability of the kayayei girls depending on the duration (year of stay), educational level, marital status, and age. Conducting similar research focusing on the lived experiences and a more detailed life course literature perspective that uses a more recent field-survey data analysis would offer more comprehensive results. With essential experiences adolescents in urban cities, migratory decisions, and household poverty among rural communities in Northern Ghana. Particularly educational factors, socio-cultural factors, women agricultural participation, and policy influence on development in rural communities in Ghana.  </w:t>
      </w:r>
    </w:p>
    <w:p w14:paraId="10892417" w14:textId="6AF1C1B5" w:rsidR="006E2A1B" w:rsidRPr="00FC5FCC" w:rsidRDefault="006E2A1B" w:rsidP="00DF3C36">
      <w:pPr>
        <w:pStyle w:val="Heading3"/>
        <w:jc w:val="both"/>
        <w:rPr>
          <w:rFonts w:ascii="Times New Roman" w:hAnsi="Times New Roman" w:cs="Times New Roman"/>
        </w:rPr>
      </w:pPr>
      <w:bookmarkStart w:id="87" w:name="_Toc67825684"/>
      <w:bookmarkStart w:id="88" w:name="_Toc67826435"/>
      <w:r w:rsidRPr="00FC5FCC">
        <w:rPr>
          <w:rStyle w:val="Strong"/>
          <w:rFonts w:ascii="Times New Roman" w:hAnsi="Times New Roman" w:cs="Times New Roman"/>
        </w:rPr>
        <w:t>Conclusion</w:t>
      </w:r>
      <w:bookmarkEnd w:id="87"/>
      <w:bookmarkEnd w:id="88"/>
    </w:p>
    <w:p w14:paraId="691C67AB" w14:textId="77777777" w:rsidR="00AA373A" w:rsidRPr="00FC5FCC" w:rsidRDefault="00AA373A" w:rsidP="00DF3C36">
      <w:pPr>
        <w:pStyle w:val="NormalWeb"/>
        <w:spacing w:before="0" w:beforeAutospacing="0" w:after="0" w:afterAutospacing="0" w:line="480" w:lineRule="auto"/>
        <w:jc w:val="both"/>
        <w:rPr>
          <w:color w:val="0E101A"/>
        </w:rPr>
      </w:pPr>
    </w:p>
    <w:p w14:paraId="0EC4A2D6" w14:textId="66306194" w:rsidR="00212FD0" w:rsidRPr="00FC5FCC" w:rsidRDefault="006E2A1B" w:rsidP="00DF3C36">
      <w:pPr>
        <w:pStyle w:val="NormalWeb"/>
        <w:spacing w:before="0" w:beforeAutospacing="0" w:after="0" w:afterAutospacing="0" w:line="480" w:lineRule="auto"/>
        <w:jc w:val="both"/>
        <w:rPr>
          <w:color w:val="0E101A"/>
        </w:rPr>
      </w:pPr>
      <w:r w:rsidRPr="00FC5FCC">
        <w:rPr>
          <w:color w:val="0E101A"/>
        </w:rPr>
        <w:t>Admittedly, globalization and education are directly linked to empowerment and employment and seem to be the only solution to eliminate illiteracy and poverty. This paper illustrates that the emergence of neoliberal policies and economic reforms in developing countries brings about demography changes and influences rural agricultural economy, and, consequently, contributes to rural-urban migration in Ghana. Therefore, the pursuit of alternative income generation sources among rural households in Ghana has been internal rural-urban migration, especially among adolescent girls. The paper offers a historical antecedent of labour migration from the rural north to the urban south and its consequence on education and socioeconomic development. The paper again explores the factors influencing Ghana's migration patterns, including environmental circumstances, economic restructuring, and social structures. This paper explores the relationship between rural households' characteristics, major life cycle decisions, and migration nexus among adolescent girls in Ghana. Using the field-survey data indicates 61% and 29% of these teenage girls migrate to the urban city because of rural household poverty and income resources to fund tuition fees. The data also indicates that 83% of the girls are not married, hence offering them the free will to migrate to Ghana's urban cities. This suggests that adolescent girls who to migrate to the urban city are overwhelmed by the predominance absence alternative source of income and infrastructural development, which hinders educational attainment in rural communities. The data findings also indicate that 15-19 years adolescent girls representing 93% of the sample size mostly migrate to the urban cities, which has a consequence for educational policy formulation. (Debrah 2013) suggest evidence of primary and lower secondary education can help reduce poverty because it increases the poor individuals' productivity by equipping them with skills relevant for full participation in economy and politics. </w:t>
      </w:r>
      <w:r w:rsidR="00212FD0" w:rsidRPr="00FC5FCC">
        <w:rPr>
          <w:color w:val="0E101A"/>
        </w:rPr>
        <w:t>By way of conclusion, the paper suggests further academic research employing the life course literature to examine the life circumstance of the 'kayayei' girls especially, in a fast-growing economic and industrial transformation country like Ghana.  </w:t>
      </w:r>
    </w:p>
    <w:p w14:paraId="0EC3365A" w14:textId="77777777" w:rsidR="001221C2" w:rsidRPr="00FC5FCC" w:rsidRDefault="001221C2" w:rsidP="00DF3C36">
      <w:pPr>
        <w:pStyle w:val="Heading3"/>
        <w:jc w:val="both"/>
        <w:rPr>
          <w:rFonts w:ascii="Times New Roman" w:hAnsi="Times New Roman" w:cs="Times New Roman"/>
          <w:b/>
          <w:bCs/>
        </w:rPr>
      </w:pPr>
      <w:bookmarkStart w:id="89" w:name="_Toc67825685"/>
      <w:bookmarkStart w:id="90" w:name="_Toc67826436"/>
    </w:p>
    <w:p w14:paraId="1AD25373" w14:textId="77777777" w:rsidR="001221C2" w:rsidRPr="00FC5FCC" w:rsidRDefault="001221C2" w:rsidP="00DF3C36">
      <w:pPr>
        <w:pStyle w:val="Heading3"/>
        <w:jc w:val="both"/>
        <w:rPr>
          <w:rFonts w:ascii="Times New Roman" w:hAnsi="Times New Roman" w:cs="Times New Roman"/>
          <w:b/>
          <w:bCs/>
        </w:rPr>
      </w:pPr>
    </w:p>
    <w:p w14:paraId="2B223E8B" w14:textId="77777777" w:rsidR="001221C2" w:rsidRPr="00FC5FCC" w:rsidRDefault="001221C2" w:rsidP="00DF3C36">
      <w:pPr>
        <w:pStyle w:val="Heading3"/>
        <w:jc w:val="both"/>
        <w:rPr>
          <w:rFonts w:ascii="Times New Roman" w:hAnsi="Times New Roman" w:cs="Times New Roman"/>
          <w:b/>
          <w:bCs/>
        </w:rPr>
      </w:pPr>
    </w:p>
    <w:p w14:paraId="65D14A1C" w14:textId="5BC62A71" w:rsidR="0007256C" w:rsidRPr="00FC5FCC" w:rsidRDefault="0007256C" w:rsidP="007462D3">
      <w:pPr>
        <w:pStyle w:val="Heading3"/>
        <w:jc w:val="both"/>
        <w:rPr>
          <w:rFonts w:ascii="Times New Roman" w:hAnsi="Times New Roman" w:cs="Times New Roman"/>
          <w:b/>
          <w:bCs/>
        </w:rPr>
      </w:pPr>
      <w:r w:rsidRPr="00FC5FCC">
        <w:rPr>
          <w:rFonts w:ascii="Times New Roman" w:hAnsi="Times New Roman" w:cs="Times New Roman"/>
          <w:b/>
          <w:bCs/>
        </w:rPr>
        <w:t>R</w:t>
      </w:r>
      <w:bookmarkEnd w:id="89"/>
      <w:bookmarkEnd w:id="90"/>
      <w:r w:rsidR="00AA373A" w:rsidRPr="00FC5FCC">
        <w:rPr>
          <w:rFonts w:ascii="Times New Roman" w:hAnsi="Times New Roman" w:cs="Times New Roman"/>
          <w:b/>
          <w:bCs/>
        </w:rPr>
        <w:t xml:space="preserve">eference </w:t>
      </w:r>
    </w:p>
    <w:p w14:paraId="61EA5317" w14:textId="77777777" w:rsidR="001221C2" w:rsidRPr="00FC5FCC" w:rsidRDefault="001221C2" w:rsidP="007462D3">
      <w:pPr>
        <w:spacing w:after="0"/>
        <w:jc w:val="both"/>
      </w:pPr>
    </w:p>
    <w:bookmarkEnd w:id="16"/>
    <w:bookmarkEnd w:id="28"/>
    <w:p w14:paraId="6B282839" w14:textId="77777777" w:rsidR="00F26482" w:rsidRPr="00FC5FCC" w:rsidRDefault="00F26482" w:rsidP="00F26482">
      <w:pPr>
        <w:jc w:val="both"/>
        <w:rPr>
          <w:rFonts w:ascii="Times New Roman" w:hAnsi="Times New Roman" w:cs="Times New Roman"/>
          <w:sz w:val="24"/>
          <w:szCs w:val="24"/>
        </w:rPr>
      </w:pPr>
    </w:p>
    <w:p w14:paraId="6384DF24" w14:textId="77777777" w:rsidR="004F38BE" w:rsidRPr="00FC5FCC" w:rsidRDefault="004F38BE" w:rsidP="00F26482">
      <w:pPr>
        <w:spacing w:after="0" w:line="360" w:lineRule="auto"/>
        <w:jc w:val="both"/>
        <w:rPr>
          <w:rFonts w:ascii="Times New Roman" w:hAnsi="Times New Roman" w:cs="Times New Roman"/>
          <w:color w:val="222222"/>
          <w:sz w:val="24"/>
          <w:szCs w:val="24"/>
          <w:shd w:val="clear" w:color="auto" w:fill="FFFFFF"/>
        </w:rPr>
      </w:pPr>
    </w:p>
    <w:p w14:paraId="7B714789"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p>
    <w:p w14:paraId="43D23C58" w14:textId="77777777" w:rsidR="004F38BE" w:rsidRPr="00FC5FCC" w:rsidRDefault="004F38BE" w:rsidP="001B151B">
      <w:pPr>
        <w:rPr>
          <w:rFonts w:ascii="Times New Roman" w:hAnsi="Times New Roman" w:cs="Times New Roman"/>
          <w:color w:val="222222"/>
          <w:sz w:val="24"/>
          <w:szCs w:val="24"/>
          <w:shd w:val="clear" w:color="auto" w:fill="FFFFFF"/>
        </w:rPr>
      </w:pPr>
    </w:p>
    <w:p w14:paraId="7361D342" w14:textId="77777777" w:rsidR="004F38BE" w:rsidRPr="00FC5FCC" w:rsidRDefault="004F38BE" w:rsidP="00F26482">
      <w:pPr>
        <w:spacing w:after="0"/>
        <w:jc w:val="both"/>
        <w:rPr>
          <w:rFonts w:ascii="Times New Roman" w:hAnsi="Times New Roman" w:cs="Times New Roman"/>
          <w:sz w:val="24"/>
          <w:szCs w:val="24"/>
        </w:rPr>
      </w:pPr>
      <w:r w:rsidRPr="00FC5FCC">
        <w:rPr>
          <w:rFonts w:ascii="Times New Roman" w:eastAsia="Times New Roman" w:hAnsi="Times New Roman" w:cs="Times New Roman"/>
          <w:color w:val="0E101A"/>
          <w:sz w:val="24"/>
          <w:szCs w:val="24"/>
          <w:lang w:eastAsia="en-CA"/>
        </w:rPr>
        <w:t xml:space="preserve">Abdulai, A.G. (2012). </w:t>
      </w:r>
      <w:r w:rsidRPr="00FC5FCC">
        <w:rPr>
          <w:rFonts w:ascii="Times New Roman" w:hAnsi="Times New Roman" w:cs="Times New Roman"/>
          <w:sz w:val="24"/>
          <w:szCs w:val="24"/>
        </w:rPr>
        <w:t xml:space="preserve">State Elites and the Politics of Regional Inequality in Ghana.  </w:t>
      </w:r>
    </w:p>
    <w:p w14:paraId="0AF27C46" w14:textId="77777777" w:rsidR="004F38BE" w:rsidRPr="00FC5FCC" w:rsidRDefault="004F38BE" w:rsidP="00C71FA4">
      <w:pPr>
        <w:spacing w:before="240"/>
        <w:jc w:val="both"/>
        <w:rPr>
          <w:rFonts w:ascii="Times New Roman" w:hAnsi="Times New Roman" w:cs="Times New Roman"/>
          <w:sz w:val="24"/>
          <w:szCs w:val="24"/>
        </w:rPr>
      </w:pPr>
      <w:r w:rsidRPr="00FC5FCC">
        <w:rPr>
          <w:rFonts w:ascii="Times New Roman" w:hAnsi="Times New Roman" w:cs="Times New Roman"/>
          <w:color w:val="222222"/>
          <w:sz w:val="24"/>
          <w:szCs w:val="24"/>
          <w:shd w:val="clear" w:color="auto" w:fill="FFFFFF"/>
        </w:rPr>
        <w:t>Abdul-Korah, G. B. (2008). 'Ka Bie Ba Yor': labor migration among the Dagaaba of the Upper West Region of Ghana, 1936-1957. </w:t>
      </w:r>
      <w:r w:rsidRPr="00FC5FCC">
        <w:rPr>
          <w:rFonts w:ascii="Times New Roman" w:hAnsi="Times New Roman" w:cs="Times New Roman"/>
          <w:i/>
          <w:iCs/>
          <w:color w:val="222222"/>
          <w:sz w:val="24"/>
          <w:szCs w:val="24"/>
          <w:shd w:val="clear" w:color="auto" w:fill="FFFFFF"/>
        </w:rPr>
        <w:t>Nordic Journal of African Studies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17</w:t>
      </w:r>
      <w:r w:rsidRPr="00FC5FCC">
        <w:rPr>
          <w:rFonts w:ascii="Times New Roman" w:hAnsi="Times New Roman" w:cs="Times New Roman"/>
          <w:color w:val="222222"/>
          <w:sz w:val="24"/>
          <w:szCs w:val="24"/>
          <w:shd w:val="clear" w:color="auto" w:fill="FFFFFF"/>
        </w:rPr>
        <w:t>(1), 1-19.</w:t>
      </w:r>
    </w:p>
    <w:p w14:paraId="13962F1F"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Adarkwa, K.K (2012). The Changing Face of Ghanaian Towns. Vol. 4 No. 1 (2012). Print ISSN: 2042-1478.</w:t>
      </w:r>
    </w:p>
    <w:p w14:paraId="039A79C1"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eastAsia="Times New Roman" w:hAnsi="Times New Roman" w:cs="Times New Roman"/>
          <w:color w:val="0E101A"/>
          <w:sz w:val="24"/>
          <w:szCs w:val="24"/>
          <w:lang w:eastAsia="en-CA"/>
        </w:rPr>
        <w:t xml:space="preserve">Adepoju, A. 2008 </w:t>
      </w:r>
      <w:r w:rsidRPr="00FC5FCC">
        <w:rPr>
          <w:rFonts w:ascii="Times New Roman" w:hAnsi="Times New Roman" w:cs="Times New Roman"/>
          <w:color w:val="222222"/>
          <w:sz w:val="24"/>
          <w:szCs w:val="24"/>
          <w:shd w:val="clear" w:color="auto" w:fill="FFFFFF"/>
        </w:rPr>
        <w:t>Migration and social policy in sub-Saharan Africa. </w:t>
      </w:r>
      <w:r w:rsidRPr="00FC5FCC">
        <w:rPr>
          <w:rFonts w:ascii="Times New Roman" w:hAnsi="Times New Roman" w:cs="Times New Roman"/>
          <w:i/>
          <w:iCs/>
          <w:color w:val="222222"/>
          <w:sz w:val="24"/>
          <w:szCs w:val="24"/>
          <w:shd w:val="clear" w:color="auto" w:fill="FFFFFF"/>
        </w:rPr>
        <w:t>IOM–International Organization for Migration. Geneva, Switzerland</w:t>
      </w:r>
      <w:r w:rsidRPr="00FC5FCC">
        <w:rPr>
          <w:rFonts w:ascii="Times New Roman" w:hAnsi="Times New Roman" w:cs="Times New Roman"/>
          <w:color w:val="222222"/>
          <w:sz w:val="24"/>
          <w:szCs w:val="24"/>
          <w:shd w:val="clear" w:color="auto" w:fill="FFFFFF"/>
        </w:rPr>
        <w:t>.</w:t>
      </w:r>
    </w:p>
    <w:p w14:paraId="583D8B26" w14:textId="77777777" w:rsidR="004F38BE" w:rsidRPr="00FC5FCC" w:rsidRDefault="004F38BE" w:rsidP="00F26482">
      <w:pPr>
        <w:spacing w:after="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Affum-Osei, E., Asante, E. A., Forkouh, S. K., Aboagye, M. O., &amp; Antwi, C. O. (2019). Unemployment trends and labour market entry in Ghana: Job search methods perspective. </w:t>
      </w:r>
      <w:r w:rsidRPr="00FC5FCC">
        <w:rPr>
          <w:rFonts w:ascii="Times New Roman" w:hAnsi="Times New Roman" w:cs="Times New Roman"/>
          <w:i/>
          <w:iCs/>
          <w:color w:val="222222"/>
          <w:sz w:val="24"/>
          <w:szCs w:val="24"/>
          <w:shd w:val="clear" w:color="auto" w:fill="FFFFFF"/>
        </w:rPr>
        <w:t>Labor History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60</w:t>
      </w:r>
      <w:r w:rsidRPr="00FC5FCC">
        <w:rPr>
          <w:rFonts w:ascii="Times New Roman" w:hAnsi="Times New Roman" w:cs="Times New Roman"/>
          <w:color w:val="222222"/>
          <w:sz w:val="24"/>
          <w:szCs w:val="24"/>
          <w:shd w:val="clear" w:color="auto" w:fill="FFFFFF"/>
        </w:rPr>
        <w:t>(6), 716-733.</w:t>
      </w:r>
    </w:p>
    <w:p w14:paraId="4C1006D2"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Agana, T. (2018). Understanding the motivation and circumstances of kayayei in the Ghanaian</w:t>
      </w:r>
      <w:r w:rsidRPr="00FC5FCC">
        <w:rPr>
          <w:rFonts w:ascii="Times New Roman" w:hAnsi="Times New Roman" w:cs="Times New Roman"/>
          <w:i/>
          <w:iCs/>
          <w:color w:val="222222"/>
          <w:sz w:val="24"/>
          <w:szCs w:val="24"/>
          <w:shd w:val="clear" w:color="auto" w:fill="FFFFFF"/>
        </w:rPr>
        <w:t xml:space="preserve"> </w:t>
      </w:r>
      <w:r w:rsidRPr="00FC5FCC">
        <w:rPr>
          <w:rFonts w:ascii="Times New Roman" w:hAnsi="Times New Roman" w:cs="Times New Roman"/>
          <w:color w:val="222222"/>
          <w:sz w:val="24"/>
          <w:szCs w:val="24"/>
          <w:shd w:val="clear" w:color="auto" w:fill="FFFFFF"/>
        </w:rPr>
        <w:t>economy: The kayayei experience (Doctoral dissertation).</w:t>
      </w:r>
    </w:p>
    <w:p w14:paraId="1DE29436" w14:textId="77777777" w:rsidR="004F38BE" w:rsidRPr="00FC5FCC" w:rsidRDefault="004F38BE" w:rsidP="00F26482">
      <w:pPr>
        <w:jc w:val="both"/>
        <w:rPr>
          <w:rFonts w:ascii="Times New Roman" w:hAnsi="Times New Roman" w:cs="Times New Roman"/>
          <w:sz w:val="24"/>
          <w:szCs w:val="24"/>
        </w:rPr>
      </w:pPr>
      <w:r w:rsidRPr="00FC5FCC">
        <w:rPr>
          <w:rFonts w:ascii="Times New Roman" w:hAnsi="Times New Roman" w:cs="Times New Roman"/>
          <w:sz w:val="24"/>
          <w:szCs w:val="24"/>
        </w:rPr>
        <w:t xml:space="preserve">Ahlvin, K. (2012) </w:t>
      </w:r>
      <w:r w:rsidRPr="00FC5FCC">
        <w:rPr>
          <w:rFonts w:ascii="Times New Roman" w:hAnsi="Times New Roman" w:cs="Times New Roman"/>
          <w:i/>
          <w:iCs/>
          <w:sz w:val="24"/>
          <w:szCs w:val="24"/>
        </w:rPr>
        <w:t>The Burden of the Kayayei: Cultural and Social-economic Difficulties Facing Female Porters in Agbogbloshie. PURE insight: Vol. 1, Article 4., p.9</w:t>
      </w:r>
    </w:p>
    <w:p w14:paraId="185CA101" w14:textId="77777777" w:rsidR="004F38BE" w:rsidRPr="00FC5FCC" w:rsidRDefault="004F38BE" w:rsidP="00F26482">
      <w:pPr>
        <w:jc w:val="both"/>
        <w:rPr>
          <w:rFonts w:ascii="Times New Roman" w:hAnsi="Times New Roman" w:cs="Times New Roman"/>
          <w:sz w:val="24"/>
          <w:szCs w:val="24"/>
        </w:rPr>
      </w:pPr>
      <w:r w:rsidRPr="00FC5FCC">
        <w:rPr>
          <w:rFonts w:ascii="Times New Roman" w:hAnsi="Times New Roman" w:cs="Times New Roman"/>
          <w:sz w:val="24"/>
          <w:szCs w:val="24"/>
        </w:rPr>
        <w:t>Alatinga, K. A. (2019). Internal Migration, Socio-economic Status and Remittances: Experiences of Migrant Adolescent Girl Head Porters in Ghana).</w:t>
      </w:r>
    </w:p>
    <w:p w14:paraId="34995E7C"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Alkire, S., Roche, J. M., &amp; Vaz, A. (2017). Changes over time in multidimensional poverty: Methodology and results for 34 countries. </w:t>
      </w:r>
      <w:r w:rsidRPr="00FC5FCC">
        <w:rPr>
          <w:rFonts w:ascii="Times New Roman" w:hAnsi="Times New Roman" w:cs="Times New Roman"/>
          <w:i/>
          <w:iCs/>
          <w:color w:val="222222"/>
          <w:sz w:val="24"/>
          <w:szCs w:val="24"/>
          <w:shd w:val="clear" w:color="auto" w:fill="FFFFFF"/>
        </w:rPr>
        <w:t>World Development</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94</w:t>
      </w:r>
      <w:r w:rsidRPr="00FC5FCC">
        <w:rPr>
          <w:rFonts w:ascii="Times New Roman" w:hAnsi="Times New Roman" w:cs="Times New Roman"/>
          <w:color w:val="222222"/>
          <w:sz w:val="24"/>
          <w:szCs w:val="24"/>
          <w:shd w:val="clear" w:color="auto" w:fill="FFFFFF"/>
        </w:rPr>
        <w:t>, 232-249.</w:t>
      </w:r>
    </w:p>
    <w:p w14:paraId="7ACA7A95" w14:textId="77777777" w:rsidR="004F38BE" w:rsidRPr="00FC5FCC" w:rsidRDefault="004F38BE" w:rsidP="007A5BEF">
      <w:pPr>
        <w:spacing w:line="360" w:lineRule="auto"/>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Allotey, G. A. (2019). </w:t>
      </w:r>
      <w:r w:rsidRPr="00FC5FCC">
        <w:rPr>
          <w:rFonts w:ascii="Times New Roman" w:hAnsi="Times New Roman" w:cs="Times New Roman"/>
          <w:i/>
          <w:iCs/>
          <w:color w:val="222222"/>
          <w:sz w:val="24"/>
          <w:szCs w:val="24"/>
          <w:shd w:val="clear" w:color="auto" w:fill="FFFFFF"/>
        </w:rPr>
        <w:t>Ghanaian teachers' beliefs about giftedness and gifted education teaching strategies in mathematics and science</w:t>
      </w:r>
      <w:r w:rsidRPr="00FC5FCC">
        <w:rPr>
          <w:rFonts w:ascii="Times New Roman" w:hAnsi="Times New Roman" w:cs="Times New Roman"/>
          <w:color w:val="222222"/>
          <w:sz w:val="24"/>
          <w:szCs w:val="24"/>
          <w:shd w:val="clear" w:color="auto" w:fill="FFFFFF"/>
        </w:rPr>
        <w:t> (Doctoral dissertation, Queensland University of Technology).</w:t>
      </w:r>
    </w:p>
    <w:p w14:paraId="44CDA788"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Alwin, D.F. (2013). Life Course, Life cycle, life history, life span and life stage. In: Runehov A.L.C., Oviedo L. (eds) Encyclopedia of Sciences and Religions. Springer, Dordrecht. https://doi.org/10.1007/978-1-4020-8265-8_201175. </w:t>
      </w:r>
    </w:p>
    <w:p w14:paraId="20A0DA8F" w14:textId="77777777" w:rsidR="004F38BE" w:rsidRPr="00FC5FCC" w:rsidRDefault="004F38BE" w:rsidP="00F26482">
      <w:pPr>
        <w:spacing w:after="0" w:line="360" w:lineRule="auto"/>
        <w:jc w:val="both"/>
        <w:rPr>
          <w:rFonts w:ascii="Times New Roman" w:eastAsia="Times New Roman" w:hAnsi="Times New Roman" w:cs="Times New Roman"/>
          <w:color w:val="0E101A"/>
          <w:sz w:val="24"/>
          <w:szCs w:val="24"/>
          <w:lang w:eastAsia="en-CA"/>
        </w:rPr>
      </w:pPr>
      <w:r w:rsidRPr="00FC5FCC">
        <w:rPr>
          <w:rFonts w:ascii="Times New Roman" w:hAnsi="Times New Roman" w:cs="Times New Roman"/>
          <w:sz w:val="24"/>
          <w:szCs w:val="24"/>
        </w:rPr>
        <w:t>Amuzu, C., N. Jones, and P. Pereznieto (2010) Gendered Risks, Poverty and Vulnerability in Ghana: To What Extent Is the LEAP Cash Transfer Programme Making a Difference? London: Overseas Development Institute</w:t>
      </w:r>
      <w:r w:rsidRPr="00FC5FCC">
        <w:rPr>
          <w:rFonts w:ascii="Times New Roman" w:eastAsia="Times New Roman" w:hAnsi="Times New Roman" w:cs="Times New Roman"/>
          <w:color w:val="0E101A"/>
          <w:sz w:val="24"/>
          <w:szCs w:val="24"/>
          <w:lang w:eastAsia="en-CA"/>
        </w:rPr>
        <w:t>.</w:t>
      </w:r>
    </w:p>
    <w:p w14:paraId="55ED64BB"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Annim, S. K., Kofinti, R. E., Essilfie, G., &amp; Appiah, E. ASSESSMENT OF CHILD DEPRIVATION IN GHANA.</w:t>
      </w:r>
    </w:p>
    <w:p w14:paraId="0F3E5066"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Armah-Attoh, D., Ampratwum, E., &amp; Paller, J. (2014). Political Accountability in Ghana: Evidence from Afrobarometer Round 5 Survey. </w:t>
      </w:r>
      <w:r w:rsidRPr="00FC5FCC">
        <w:rPr>
          <w:rFonts w:ascii="Times New Roman" w:hAnsi="Times New Roman" w:cs="Times New Roman"/>
          <w:i/>
          <w:iCs/>
          <w:color w:val="222222"/>
          <w:sz w:val="24"/>
          <w:szCs w:val="24"/>
          <w:shd w:val="clear" w:color="auto" w:fill="FFFFFF"/>
        </w:rPr>
        <w:t>Afrobarometer Briefing Paper No</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136</w:t>
      </w:r>
      <w:r w:rsidRPr="00FC5FCC">
        <w:rPr>
          <w:rFonts w:ascii="Times New Roman" w:hAnsi="Times New Roman" w:cs="Times New Roman"/>
          <w:color w:val="222222"/>
          <w:sz w:val="24"/>
          <w:szCs w:val="24"/>
          <w:shd w:val="clear" w:color="auto" w:fill="FFFFFF"/>
        </w:rPr>
        <w:t>.</w:t>
      </w:r>
    </w:p>
    <w:p w14:paraId="649F1332"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Arnett, J.J. (2004). Emerging Adulthood: The winding road from the late teens through the twenties.Oxford University Press.</w:t>
      </w:r>
    </w:p>
    <w:p w14:paraId="45B06391"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Awumbila, M. and E. Ardayfio-Schandorf (2008) ‘Gendered Poverty, Migration and Livelihood Strategies of Female Porters’, Norwegian Journal of Geography 62(3): 171–9. </w:t>
      </w:r>
    </w:p>
    <w:p w14:paraId="1AE89BED" w14:textId="77777777" w:rsidR="004F38BE" w:rsidRPr="00FC5FCC" w:rsidRDefault="004F38BE" w:rsidP="00F26482">
      <w:pPr>
        <w:jc w:val="both"/>
        <w:rPr>
          <w:rFonts w:ascii="Times New Roman" w:hAnsi="Times New Roman" w:cs="Times New Roman"/>
          <w:sz w:val="24"/>
          <w:szCs w:val="24"/>
        </w:rPr>
      </w:pPr>
      <w:r w:rsidRPr="00FC5FCC">
        <w:rPr>
          <w:rFonts w:ascii="Times New Roman" w:hAnsi="Times New Roman" w:cs="Times New Roman"/>
          <w:sz w:val="24"/>
          <w:szCs w:val="24"/>
        </w:rPr>
        <w:t>Baah, A. (2007). Perception of Threat Risk Frequency and Impact on Construction Project in Ghana: Opinion Survey Findings. Journal of Construction in Developing Countries 16(2): 115-149.</w:t>
      </w:r>
    </w:p>
    <w:p w14:paraId="68B29C4D" w14:textId="77777777" w:rsidR="004F38BE" w:rsidRPr="00FC5FCC" w:rsidRDefault="004F38BE" w:rsidP="00F26482">
      <w:pPr>
        <w:jc w:val="both"/>
        <w:rPr>
          <w:rFonts w:ascii="Times New Roman" w:hAnsi="Times New Roman" w:cs="Times New Roman"/>
          <w:color w:val="1C1E29"/>
          <w:sz w:val="24"/>
          <w:szCs w:val="24"/>
        </w:rPr>
      </w:pPr>
      <w:r w:rsidRPr="00FC5FCC">
        <w:rPr>
          <w:rFonts w:ascii="Times New Roman" w:hAnsi="Times New Roman" w:cs="Times New Roman"/>
          <w:color w:val="222222"/>
          <w:sz w:val="24"/>
          <w:szCs w:val="24"/>
          <w:shd w:val="clear" w:color="auto" w:fill="FFFFFF"/>
        </w:rPr>
        <w:t>Bacho, F. Z. L. (2004). An exploratory survey of small-scale off-farm economic activities and sustainable household livelihoods in the Bongo District of Ghana. </w:t>
      </w:r>
      <w:r w:rsidRPr="00FC5FCC">
        <w:rPr>
          <w:rFonts w:ascii="Times New Roman" w:hAnsi="Times New Roman" w:cs="Times New Roman"/>
          <w:i/>
          <w:iCs/>
          <w:color w:val="222222"/>
          <w:sz w:val="24"/>
          <w:szCs w:val="24"/>
          <w:shd w:val="clear" w:color="auto" w:fill="FFFFFF"/>
        </w:rPr>
        <w:t>Ghana Journal of Development Studies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w:t>
      </w:r>
      <w:r w:rsidRPr="00FC5FCC">
        <w:rPr>
          <w:rFonts w:ascii="Times New Roman" w:hAnsi="Times New Roman" w:cs="Times New Roman"/>
          <w:color w:val="222222"/>
          <w:sz w:val="24"/>
          <w:szCs w:val="24"/>
          <w:shd w:val="clear" w:color="auto" w:fill="FFFFFF"/>
        </w:rPr>
        <w:t>(2), 27-49.</w:t>
      </w:r>
    </w:p>
    <w:p w14:paraId="27232192" w14:textId="77777777" w:rsidR="004F38BE" w:rsidRPr="00FC5FCC" w:rsidRDefault="004F38BE" w:rsidP="00C94DB9">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Baldos, U. L. C., &amp; Hertel, T. W. (2015). The role of international trade in managing food security risks from climate change. </w:t>
      </w:r>
      <w:r w:rsidRPr="00FC5FCC">
        <w:rPr>
          <w:rFonts w:ascii="Times New Roman" w:hAnsi="Times New Roman" w:cs="Times New Roman"/>
          <w:i/>
          <w:iCs/>
          <w:color w:val="222222"/>
          <w:sz w:val="24"/>
          <w:szCs w:val="24"/>
          <w:shd w:val="clear" w:color="auto" w:fill="FFFFFF"/>
        </w:rPr>
        <w:t>Food Security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7</w:t>
      </w:r>
      <w:r w:rsidRPr="00FC5FCC">
        <w:rPr>
          <w:rFonts w:ascii="Times New Roman" w:hAnsi="Times New Roman" w:cs="Times New Roman"/>
          <w:color w:val="222222"/>
          <w:sz w:val="24"/>
          <w:szCs w:val="24"/>
          <w:shd w:val="clear" w:color="auto" w:fill="FFFFFF"/>
        </w:rPr>
        <w:t>(2), 275-290.</w:t>
      </w:r>
    </w:p>
    <w:p w14:paraId="09CBB196"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sz w:val="24"/>
          <w:szCs w:val="24"/>
        </w:rPr>
        <w:t>Bengtson, V.L. and K.R. Allen. 1993. “The Life Course Perspective Applied to Families Over Time.” Pp. 469–504 in Sourcebook of Family Theories and Methods: A Contextual Approach, edited by P.G. Boss, W.J. Doherty, R. LaRossa, W.R. Schumm, and S.K. Steinmetz. New York: Plenum Press.</w:t>
      </w:r>
    </w:p>
    <w:p w14:paraId="66688F45"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Bermudez, G. L. &amp; Bahar S.O &amp; Gyeke D. M &amp; Boateng, A. &amp; Ibrahim, A. &amp; Ssewamala, M.F &amp; McKay, M (2018). Understanding Female Child Labour Within A Cumulative Risk Framework: The Case for Combined Intervention in Ghana. </w:t>
      </w:r>
    </w:p>
    <w:p w14:paraId="544D4AB8"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color w:val="222222"/>
          <w:sz w:val="24"/>
          <w:szCs w:val="24"/>
          <w:shd w:val="clear" w:color="auto" w:fill="FFFFFF"/>
        </w:rPr>
        <w:t>Bernard, A., Bell, M., &amp; Charles‐Edwards, E. (2014). Life‐course transitions and the age profile of internal migration. </w:t>
      </w:r>
      <w:r w:rsidRPr="00FC5FCC">
        <w:rPr>
          <w:rFonts w:ascii="Times New Roman" w:hAnsi="Times New Roman" w:cs="Times New Roman"/>
          <w:i/>
          <w:iCs/>
          <w:color w:val="222222"/>
          <w:sz w:val="24"/>
          <w:szCs w:val="24"/>
          <w:shd w:val="clear" w:color="auto" w:fill="FFFFFF"/>
        </w:rPr>
        <w:t>Population and Development Review</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40</w:t>
      </w:r>
      <w:r w:rsidRPr="00FC5FCC">
        <w:rPr>
          <w:rFonts w:ascii="Times New Roman" w:hAnsi="Times New Roman" w:cs="Times New Roman"/>
          <w:color w:val="222222"/>
          <w:sz w:val="24"/>
          <w:szCs w:val="24"/>
          <w:shd w:val="clear" w:color="auto" w:fill="FFFFFF"/>
        </w:rPr>
        <w:t>(2), 213-239.</w:t>
      </w:r>
    </w:p>
    <w:p w14:paraId="343849F7" w14:textId="77777777" w:rsidR="004F38BE" w:rsidRPr="00FC5FCC" w:rsidRDefault="004F38BE" w:rsidP="00F26482">
      <w:pPr>
        <w:spacing w:after="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Berzin, S. C., &amp; De Marco, A. C. (2010). Understanding the impact of poverty on critical events in emerging adulthood. </w:t>
      </w:r>
      <w:r w:rsidRPr="00FC5FCC">
        <w:rPr>
          <w:rFonts w:ascii="Times New Roman" w:hAnsi="Times New Roman" w:cs="Times New Roman"/>
          <w:i/>
          <w:iCs/>
          <w:color w:val="222222"/>
          <w:sz w:val="24"/>
          <w:szCs w:val="24"/>
          <w:shd w:val="clear" w:color="auto" w:fill="FFFFFF"/>
        </w:rPr>
        <w:t>Youth &amp; Society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42</w:t>
      </w:r>
      <w:r w:rsidRPr="00FC5FCC">
        <w:rPr>
          <w:rFonts w:ascii="Times New Roman" w:hAnsi="Times New Roman" w:cs="Times New Roman"/>
          <w:color w:val="222222"/>
          <w:sz w:val="24"/>
          <w:szCs w:val="24"/>
          <w:shd w:val="clear" w:color="auto" w:fill="FFFFFF"/>
        </w:rPr>
        <w:t>(2), 278-300.</w:t>
      </w:r>
    </w:p>
    <w:p w14:paraId="6E7A4964" w14:textId="77777777" w:rsidR="004F38BE" w:rsidRPr="00FC5FCC" w:rsidRDefault="004F38BE" w:rsidP="00F26482">
      <w:pPr>
        <w:spacing w:after="0" w:line="360" w:lineRule="auto"/>
        <w:jc w:val="both"/>
        <w:rPr>
          <w:rFonts w:ascii="Times New Roman" w:eastAsia="Times New Roman" w:hAnsi="Times New Roman" w:cs="Times New Roman"/>
          <w:color w:val="0E101A"/>
          <w:sz w:val="24"/>
          <w:szCs w:val="24"/>
          <w:lang w:eastAsia="en-CA"/>
        </w:rPr>
      </w:pPr>
      <w:r w:rsidRPr="00FC5FCC">
        <w:rPr>
          <w:rFonts w:ascii="Times New Roman" w:hAnsi="Times New Roman" w:cs="Times New Roman"/>
          <w:color w:val="222222"/>
          <w:sz w:val="24"/>
          <w:szCs w:val="24"/>
          <w:shd w:val="clear" w:color="auto" w:fill="FFFFFF"/>
        </w:rPr>
        <w:t>Bigombe, B., &amp; Khadiagala, G. M. (2004). Major trends affecting families in Sub-Saharan Africa. </w:t>
      </w:r>
      <w:r w:rsidRPr="00FC5FCC">
        <w:rPr>
          <w:rFonts w:ascii="Times New Roman" w:hAnsi="Times New Roman" w:cs="Times New Roman"/>
          <w:i/>
          <w:iCs/>
          <w:color w:val="222222"/>
          <w:sz w:val="24"/>
          <w:szCs w:val="24"/>
          <w:shd w:val="clear" w:color="auto" w:fill="FFFFFF"/>
        </w:rPr>
        <w:t>Alternativas. Cuadernos de Trabajo Social, N. 12 (diciembre 2004); pp. 155-193</w:t>
      </w:r>
      <w:r w:rsidRPr="00FC5FCC">
        <w:rPr>
          <w:rFonts w:ascii="Times New Roman" w:hAnsi="Times New Roman" w:cs="Times New Roman"/>
          <w:color w:val="222222"/>
          <w:sz w:val="24"/>
          <w:szCs w:val="24"/>
          <w:shd w:val="clear" w:color="auto" w:fill="FFFFFF"/>
        </w:rPr>
        <w:t>.</w:t>
      </w:r>
    </w:p>
    <w:p w14:paraId="645E782A" w14:textId="77777777" w:rsidR="004F38BE" w:rsidRPr="00FC5FCC" w:rsidRDefault="004F38BE" w:rsidP="00F26482">
      <w:pPr>
        <w:jc w:val="both"/>
        <w:rPr>
          <w:rFonts w:ascii="Times New Roman" w:hAnsi="Times New Roman" w:cs="Times New Roman"/>
          <w:sz w:val="24"/>
          <w:szCs w:val="24"/>
        </w:rPr>
      </w:pPr>
      <w:r w:rsidRPr="00FC5FCC">
        <w:rPr>
          <w:rFonts w:ascii="Times New Roman" w:hAnsi="Times New Roman" w:cs="Times New Roman"/>
          <w:sz w:val="24"/>
          <w:szCs w:val="24"/>
        </w:rPr>
        <w:t>Boahene, A. A. (1987), African perspectives on Colonialism (Baltimore and London: The Johns Hopkins University Press).</w:t>
      </w:r>
    </w:p>
    <w:p w14:paraId="1734C066"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Boateng, A. and R. Korang-Okrah (2013) ‘The Predicament of Rural-Urban Migration in Ghana: The Case of the Visible but Voiceless Kayayei Girls’, African Journal of Social Sciences 3(4): 46–61.</w:t>
      </w:r>
    </w:p>
    <w:p w14:paraId="5DC5B410" w14:textId="77777777" w:rsidR="004F38BE" w:rsidRPr="00FC5FCC" w:rsidRDefault="004F38BE" w:rsidP="001B151B">
      <w:pPr>
        <w:rPr>
          <w:rFonts w:ascii="Times New Roman" w:hAnsi="Times New Roman" w:cs="Times New Roman"/>
          <w:sz w:val="24"/>
          <w:szCs w:val="24"/>
        </w:rPr>
      </w:pPr>
      <w:r w:rsidRPr="00FC5FCC">
        <w:rPr>
          <w:rFonts w:ascii="Times New Roman" w:hAnsi="Times New Roman" w:cs="Times New Roman"/>
          <w:sz w:val="24"/>
          <w:szCs w:val="24"/>
        </w:rPr>
        <w:t xml:space="preserve">Boateng, E. O., Ewusi, K., Kanbur, R., and McKay, A. (1990). 'A Poverty Profile for Ghana) 1987-88'. Working Paper No.5, Policy Analysis. Social Dimensions of Adjustment in Sub-Saharan Africa (Washington DC: The World Bank). </w:t>
      </w:r>
    </w:p>
    <w:p w14:paraId="0499ADB2" w14:textId="77777777" w:rsidR="004F38BE" w:rsidRPr="00FC5FCC" w:rsidRDefault="004F38BE" w:rsidP="00F26482">
      <w:pPr>
        <w:spacing w:before="240"/>
        <w:jc w:val="both"/>
        <w:rPr>
          <w:rFonts w:ascii="Times New Roman" w:hAnsi="Times New Roman" w:cs="Times New Roman"/>
          <w:sz w:val="24"/>
          <w:szCs w:val="24"/>
        </w:rPr>
      </w:pPr>
      <w:r w:rsidRPr="00FC5FCC">
        <w:rPr>
          <w:rFonts w:ascii="Times New Roman" w:hAnsi="Times New Roman" w:cs="Times New Roman"/>
          <w:sz w:val="24"/>
          <w:szCs w:val="24"/>
        </w:rPr>
        <w:t xml:space="preserve">Brukum, N.J.K. B (1998): Studied Neglect or Lack of Resource? The Socio-Economic Underdevelopment of Northern Ghana Under British Colonial Rule. </w:t>
      </w:r>
    </w:p>
    <w:p w14:paraId="16A93E03"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Chen, F., &amp; Korinek, K. (2010). Family life course transitions and rural household economy during China’s market reform. </w:t>
      </w:r>
      <w:r w:rsidRPr="00FC5FCC">
        <w:rPr>
          <w:rFonts w:ascii="Times New Roman" w:hAnsi="Times New Roman" w:cs="Times New Roman"/>
          <w:i/>
          <w:iCs/>
          <w:color w:val="222222"/>
          <w:sz w:val="24"/>
          <w:szCs w:val="24"/>
          <w:shd w:val="clear" w:color="auto" w:fill="FFFFFF"/>
        </w:rPr>
        <w:t>Demography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47</w:t>
      </w:r>
      <w:r w:rsidRPr="00FC5FCC">
        <w:rPr>
          <w:rFonts w:ascii="Times New Roman" w:hAnsi="Times New Roman" w:cs="Times New Roman"/>
          <w:color w:val="222222"/>
          <w:sz w:val="24"/>
          <w:szCs w:val="24"/>
          <w:shd w:val="clear" w:color="auto" w:fill="FFFFFF"/>
        </w:rPr>
        <w:t>(4), 963-987</w:t>
      </w:r>
    </w:p>
    <w:p w14:paraId="75BCC357" w14:textId="77777777" w:rsidR="004F38BE" w:rsidRPr="00FC5FCC" w:rsidRDefault="004F38BE" w:rsidP="00F26482">
      <w:pPr>
        <w:spacing w:line="360" w:lineRule="auto"/>
        <w:jc w:val="both"/>
        <w:rPr>
          <w:rFonts w:ascii="Times New Roman" w:hAnsi="Times New Roman" w:cs="Times New Roman"/>
          <w:b/>
          <w:bCs/>
          <w:color w:val="0E101A"/>
          <w:sz w:val="24"/>
          <w:szCs w:val="24"/>
        </w:rPr>
      </w:pPr>
      <w:r w:rsidRPr="00FC5FCC">
        <w:rPr>
          <w:rFonts w:ascii="Times New Roman" w:hAnsi="Times New Roman" w:cs="Times New Roman"/>
          <w:color w:val="222222"/>
          <w:sz w:val="24"/>
          <w:szCs w:val="24"/>
          <w:shd w:val="clear" w:color="auto" w:fill="FFFFFF"/>
        </w:rPr>
        <w:t>Danquah, M., &amp; Ohemeng, W. (2017). Unmasking the factors behind income inequalities in Ghana. </w:t>
      </w:r>
      <w:r w:rsidRPr="00FC5FCC">
        <w:rPr>
          <w:rFonts w:ascii="Times New Roman" w:hAnsi="Times New Roman" w:cs="Times New Roman"/>
          <w:i/>
          <w:iCs/>
          <w:color w:val="222222"/>
          <w:sz w:val="24"/>
          <w:szCs w:val="24"/>
          <w:shd w:val="clear" w:color="auto" w:fill="FFFFFF"/>
        </w:rPr>
        <w:t>International Journal of Social Economics</w:t>
      </w:r>
      <w:r w:rsidRPr="00FC5FCC">
        <w:rPr>
          <w:rFonts w:ascii="Times New Roman" w:hAnsi="Times New Roman" w:cs="Times New Roman"/>
          <w:color w:val="222222"/>
          <w:sz w:val="24"/>
          <w:szCs w:val="24"/>
          <w:shd w:val="clear" w:color="auto" w:fill="FFFFFF"/>
        </w:rPr>
        <w:t>.</w:t>
      </w:r>
    </w:p>
    <w:p w14:paraId="659EE108" w14:textId="77777777" w:rsidR="004F38BE" w:rsidRPr="00FC5FCC" w:rsidRDefault="004F38BE" w:rsidP="00F26482">
      <w:pPr>
        <w:spacing w:after="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Dary, S. K., &amp; Kuunibe, N. (2012). Participation in rural non-farm economic activities in Ghana. </w:t>
      </w:r>
      <w:r w:rsidRPr="00FC5FCC">
        <w:rPr>
          <w:rFonts w:ascii="Times New Roman" w:hAnsi="Times New Roman" w:cs="Times New Roman"/>
          <w:i/>
          <w:iCs/>
          <w:color w:val="222222"/>
          <w:sz w:val="24"/>
          <w:szCs w:val="24"/>
          <w:shd w:val="clear" w:color="auto" w:fill="FFFFFF"/>
        </w:rPr>
        <w:t>American International Journal of Contemporary Research</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2</w:t>
      </w:r>
      <w:r w:rsidRPr="00FC5FCC">
        <w:rPr>
          <w:rFonts w:ascii="Times New Roman" w:hAnsi="Times New Roman" w:cs="Times New Roman"/>
          <w:color w:val="222222"/>
          <w:sz w:val="24"/>
          <w:szCs w:val="24"/>
          <w:shd w:val="clear" w:color="auto" w:fill="FFFFFF"/>
        </w:rPr>
        <w:t>(8), 154-161.</w:t>
      </w:r>
    </w:p>
    <w:p w14:paraId="1B2BD6A3"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Dasgupta, V. K., Kumar, R., Nayak, A., Saleh, T. A., &amp; Barakat, M. A. (2013). Adsorptive removal of dyes from aqueous solution onto carbon nanotubes: a review. </w:t>
      </w:r>
      <w:r w:rsidRPr="00FC5FCC">
        <w:rPr>
          <w:rFonts w:ascii="Times New Roman" w:hAnsi="Times New Roman" w:cs="Times New Roman"/>
          <w:i/>
          <w:iCs/>
          <w:color w:val="222222"/>
          <w:sz w:val="24"/>
          <w:szCs w:val="24"/>
          <w:shd w:val="clear" w:color="auto" w:fill="FFFFFF"/>
        </w:rPr>
        <w:t>Advances in colloid and interface science</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193</w:t>
      </w:r>
      <w:r w:rsidRPr="00FC5FCC">
        <w:rPr>
          <w:rFonts w:ascii="Times New Roman" w:hAnsi="Times New Roman" w:cs="Times New Roman"/>
          <w:color w:val="222222"/>
          <w:sz w:val="24"/>
          <w:szCs w:val="24"/>
          <w:shd w:val="clear" w:color="auto" w:fill="FFFFFF"/>
        </w:rPr>
        <w:t>, 24-34.</w:t>
      </w:r>
    </w:p>
    <w:p w14:paraId="7BD5DFD0"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De Janvry, A., &amp; Sadoulet, E. (2010). The global food crisis and Guatemala: What crisis and for whom? </w:t>
      </w:r>
      <w:r w:rsidRPr="00FC5FCC">
        <w:rPr>
          <w:rFonts w:ascii="Times New Roman" w:hAnsi="Times New Roman" w:cs="Times New Roman"/>
          <w:i/>
          <w:iCs/>
          <w:color w:val="222222"/>
          <w:sz w:val="24"/>
          <w:szCs w:val="24"/>
          <w:shd w:val="clear" w:color="auto" w:fill="FFFFFF"/>
        </w:rPr>
        <w:t>World Development</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38</w:t>
      </w:r>
      <w:r w:rsidRPr="00FC5FCC">
        <w:rPr>
          <w:rFonts w:ascii="Times New Roman" w:hAnsi="Times New Roman" w:cs="Times New Roman"/>
          <w:color w:val="222222"/>
          <w:sz w:val="24"/>
          <w:szCs w:val="24"/>
          <w:shd w:val="clear" w:color="auto" w:fill="FFFFFF"/>
        </w:rPr>
        <w:t>(9), 1328-1339.</w:t>
      </w:r>
    </w:p>
    <w:p w14:paraId="56F81C08"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Debrah, E. (2013). Alleviating poverty in Ghana: the case of livelihood empowerment against poverty (LEAP). </w:t>
      </w:r>
      <w:r w:rsidRPr="00FC5FCC">
        <w:rPr>
          <w:rFonts w:ascii="Times New Roman" w:hAnsi="Times New Roman" w:cs="Times New Roman"/>
          <w:i/>
          <w:iCs/>
          <w:color w:val="222222"/>
          <w:sz w:val="24"/>
          <w:szCs w:val="24"/>
          <w:shd w:val="clear" w:color="auto" w:fill="FFFFFF"/>
        </w:rPr>
        <w:t>Africa Today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59</w:t>
      </w:r>
      <w:r w:rsidRPr="00FC5FCC">
        <w:rPr>
          <w:rFonts w:ascii="Times New Roman" w:hAnsi="Times New Roman" w:cs="Times New Roman"/>
          <w:color w:val="222222"/>
          <w:sz w:val="24"/>
          <w:szCs w:val="24"/>
          <w:shd w:val="clear" w:color="auto" w:fill="FFFFFF"/>
        </w:rPr>
        <w:t>(4), 41-67.</w:t>
      </w:r>
    </w:p>
    <w:p w14:paraId="07584749"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Dikec¸ M. (2006). Two decades of French urban policy: From social development of neighbourhoods to the republican penal state. Antipode 38(1): 59–81.</w:t>
      </w:r>
    </w:p>
    <w:p w14:paraId="60B36FF8" w14:textId="77777777" w:rsidR="004F38BE" w:rsidRPr="00FC5FCC" w:rsidRDefault="004F38BE" w:rsidP="00F26482">
      <w:pPr>
        <w:spacing w:before="24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Dolfin, S., &amp; Genicot, G. (2010). What do networks do? The role of networks on migration and “coyote” use. </w:t>
      </w:r>
      <w:r w:rsidRPr="00FC5FCC">
        <w:rPr>
          <w:rFonts w:ascii="Times New Roman" w:hAnsi="Times New Roman" w:cs="Times New Roman"/>
          <w:i/>
          <w:iCs/>
          <w:color w:val="222222"/>
          <w:sz w:val="24"/>
          <w:szCs w:val="24"/>
          <w:shd w:val="clear" w:color="auto" w:fill="FFFFFF"/>
        </w:rPr>
        <w:t>Review of Development Economics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14</w:t>
      </w:r>
      <w:r w:rsidRPr="00FC5FCC">
        <w:rPr>
          <w:rFonts w:ascii="Times New Roman" w:hAnsi="Times New Roman" w:cs="Times New Roman"/>
          <w:color w:val="222222"/>
          <w:sz w:val="24"/>
          <w:szCs w:val="24"/>
          <w:shd w:val="clear" w:color="auto" w:fill="FFFFFF"/>
        </w:rPr>
        <w:t>(2), 343-359.</w:t>
      </w:r>
    </w:p>
    <w:p w14:paraId="5EDB5CA0"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Edwin, D. A., &amp; Glover, E. K. (2016). Factors responsible for youth migration to the city: The case of Ghana. Journal of Social Sciences and Humanities.</w:t>
      </w:r>
    </w:p>
    <w:p w14:paraId="207D56AB"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Elder, G. H., Johnson, M. K., &amp; Crosnoe, R. (2003). The emergence and development of life course theory. In: J. T. Mortimer &amp; M. J. Shanahan (Eds), Handbook of the life course (pp. 3–19). New York: Plenum.</w:t>
      </w:r>
    </w:p>
    <w:p w14:paraId="0372B138" w14:textId="77777777" w:rsidR="004F38BE" w:rsidRPr="00FC5FCC" w:rsidRDefault="004F38BE" w:rsidP="00F26482">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lang w:eastAsia="en-CA"/>
        </w:rPr>
      </w:pPr>
      <w:r w:rsidRPr="00FC5FCC">
        <w:rPr>
          <w:rFonts w:ascii="Times New Roman" w:eastAsia="Times New Roman" w:hAnsi="Times New Roman" w:cs="Times New Roman"/>
          <w:color w:val="000000"/>
          <w:sz w:val="24"/>
          <w:szCs w:val="24"/>
          <w:lang w:eastAsia="en-CA"/>
        </w:rPr>
        <w:t>Elder, G. H., Jr (1998). The life course as developmental theory. </w:t>
      </w:r>
      <w:r w:rsidRPr="00FC5FCC">
        <w:rPr>
          <w:rFonts w:ascii="Times New Roman" w:eastAsia="Times New Roman" w:hAnsi="Times New Roman" w:cs="Times New Roman"/>
          <w:i/>
          <w:iCs/>
          <w:color w:val="000000"/>
          <w:sz w:val="24"/>
          <w:szCs w:val="24"/>
          <w:lang w:eastAsia="en-CA"/>
        </w:rPr>
        <w:t>Child Development</w:t>
      </w:r>
      <w:r w:rsidRPr="00FC5FCC">
        <w:rPr>
          <w:rFonts w:ascii="Times New Roman" w:eastAsia="Times New Roman" w:hAnsi="Times New Roman" w:cs="Times New Roman"/>
          <w:color w:val="000000"/>
          <w:sz w:val="24"/>
          <w:szCs w:val="24"/>
          <w:lang w:eastAsia="en-CA"/>
        </w:rPr>
        <w:t>, 69, 1–12. 10.1111/j.1467-8624.1998.tb06128.x [</w:t>
      </w:r>
      <w:hyperlink r:id="rId14" w:history="1">
        <w:r w:rsidRPr="00FC5FCC">
          <w:rPr>
            <w:rFonts w:ascii="Times New Roman" w:eastAsia="Times New Roman" w:hAnsi="Times New Roman" w:cs="Times New Roman"/>
            <w:color w:val="2F4A8B"/>
            <w:sz w:val="24"/>
            <w:szCs w:val="24"/>
            <w:u w:val="single"/>
            <w:lang w:eastAsia="en-CA"/>
          </w:rPr>
          <w:t>PubMed</w:t>
        </w:r>
      </w:hyperlink>
      <w:r w:rsidRPr="00FC5FCC">
        <w:rPr>
          <w:rFonts w:ascii="Times New Roman" w:eastAsia="Times New Roman" w:hAnsi="Times New Roman" w:cs="Times New Roman"/>
          <w:color w:val="000000"/>
          <w:sz w:val="24"/>
          <w:szCs w:val="24"/>
          <w:lang w:eastAsia="en-CA"/>
        </w:rPr>
        <w:t>] [</w:t>
      </w:r>
      <w:hyperlink r:id="rId15" w:history="1">
        <w:r w:rsidRPr="00FC5FCC">
          <w:rPr>
            <w:rFonts w:ascii="Times New Roman" w:eastAsia="Times New Roman" w:hAnsi="Times New Roman" w:cs="Times New Roman"/>
            <w:color w:val="2F4A8B"/>
            <w:sz w:val="24"/>
            <w:szCs w:val="24"/>
            <w:u w:val="single"/>
            <w:lang w:eastAsia="en-CA"/>
          </w:rPr>
          <w:t>CrossRef</w:t>
        </w:r>
      </w:hyperlink>
      <w:r w:rsidRPr="00FC5FCC">
        <w:rPr>
          <w:rFonts w:ascii="Times New Roman" w:eastAsia="Times New Roman" w:hAnsi="Times New Roman" w:cs="Times New Roman"/>
          <w:color w:val="000000"/>
          <w:sz w:val="24"/>
          <w:szCs w:val="24"/>
          <w:lang w:eastAsia="en-CA"/>
        </w:rPr>
        <w:t>] [</w:t>
      </w:r>
      <w:hyperlink r:id="rId16" w:tgtFrame="_blank" w:history="1">
        <w:r w:rsidRPr="00FC5FCC">
          <w:rPr>
            <w:rFonts w:ascii="Times New Roman" w:eastAsia="Times New Roman" w:hAnsi="Times New Roman" w:cs="Times New Roman"/>
            <w:color w:val="2F4A8B"/>
            <w:sz w:val="24"/>
            <w:szCs w:val="24"/>
            <w:u w:val="single"/>
            <w:lang w:eastAsia="en-CA"/>
          </w:rPr>
          <w:t>Google Scholar</w:t>
        </w:r>
      </w:hyperlink>
      <w:r w:rsidRPr="00FC5FCC">
        <w:rPr>
          <w:rFonts w:ascii="Times New Roman" w:eastAsia="Times New Roman" w:hAnsi="Times New Roman" w:cs="Times New Roman"/>
          <w:color w:val="000000"/>
          <w:sz w:val="24"/>
          <w:szCs w:val="24"/>
          <w:lang w:eastAsia="en-CA"/>
        </w:rPr>
        <w:t>]</w:t>
      </w:r>
    </w:p>
    <w:p w14:paraId="620575AD" w14:textId="77777777" w:rsidR="004F38BE" w:rsidRPr="00FC5FCC" w:rsidRDefault="004F38BE" w:rsidP="001B151B">
      <w:pPr>
        <w:spacing w:after="0"/>
        <w:rPr>
          <w:rFonts w:ascii="Times New Roman" w:eastAsia="Times New Roman" w:hAnsi="Times New Roman" w:cs="Times New Roman"/>
          <w:color w:val="0E101A"/>
          <w:sz w:val="24"/>
          <w:szCs w:val="24"/>
          <w:lang w:eastAsia="en-CA"/>
        </w:rPr>
      </w:pPr>
      <w:r w:rsidRPr="00FC5FCC">
        <w:rPr>
          <w:rFonts w:ascii="Times New Roman" w:eastAsia="Times New Roman" w:hAnsi="Times New Roman" w:cs="Times New Roman"/>
          <w:color w:val="0E101A"/>
          <w:sz w:val="24"/>
          <w:szCs w:val="24"/>
          <w:lang w:eastAsia="en-CA"/>
        </w:rPr>
        <w:t>Elder, G.H. and M.K. Johnson. 2002. "The Life Course and Human Development: Challenges, Lessons, and New Directions." Pp. 49–81 in Invitation to the Life Course: Toward New Understandings of Later Life, edited by R.A. Settersten. Amityville, NY: Baywood.</w:t>
      </w:r>
    </w:p>
    <w:p w14:paraId="068060DE" w14:textId="77777777" w:rsidR="004F38BE" w:rsidRPr="00FC5FCC" w:rsidRDefault="004F38BE" w:rsidP="00C94DB9">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Field, C. B. (Ed.). (2014). </w:t>
      </w:r>
      <w:r w:rsidRPr="00FC5FCC">
        <w:rPr>
          <w:rFonts w:ascii="Times New Roman" w:hAnsi="Times New Roman" w:cs="Times New Roman"/>
          <w:i/>
          <w:iCs/>
          <w:color w:val="222222"/>
          <w:sz w:val="24"/>
          <w:szCs w:val="24"/>
          <w:shd w:val="clear" w:color="auto" w:fill="FFFFFF"/>
        </w:rPr>
        <w:t>Climate change 2014–Impacts, adaptation, and vulnerability: Regional aspects</w:t>
      </w:r>
      <w:r w:rsidRPr="00FC5FCC">
        <w:rPr>
          <w:rFonts w:ascii="Times New Roman" w:hAnsi="Times New Roman" w:cs="Times New Roman"/>
          <w:color w:val="222222"/>
          <w:sz w:val="24"/>
          <w:szCs w:val="24"/>
          <w:shd w:val="clear" w:color="auto" w:fill="FFFFFF"/>
        </w:rPr>
        <w:t>. Cambridge University Press.</w:t>
      </w:r>
    </w:p>
    <w:p w14:paraId="0610D129" w14:textId="77777777" w:rsidR="004F38BE" w:rsidRPr="00FC5FCC" w:rsidRDefault="004F38BE" w:rsidP="00F26482">
      <w:pPr>
        <w:spacing w:after="0" w:line="360" w:lineRule="auto"/>
        <w:jc w:val="both"/>
        <w:rPr>
          <w:rFonts w:ascii="Times New Roman" w:eastAsia="Times New Roman" w:hAnsi="Times New Roman" w:cs="Times New Roman"/>
          <w:color w:val="0E101A"/>
          <w:sz w:val="24"/>
          <w:szCs w:val="24"/>
          <w:lang w:eastAsia="en-CA"/>
        </w:rPr>
      </w:pPr>
      <w:r w:rsidRPr="00FC5FCC">
        <w:rPr>
          <w:rFonts w:ascii="Times New Roman" w:hAnsi="Times New Roman" w:cs="Times New Roman"/>
          <w:sz w:val="24"/>
          <w:szCs w:val="24"/>
        </w:rPr>
        <w:t>Francis, Z. N., Dinye, R. D. and Kasanga, R. K. (2013). Urbanization and its Impact on Agricultural Lands in Growing Cities in Developing Countries: A Case Study of Tamale in Ghana. Modern Social Science Journal, 2 (2): 256-287.</w:t>
      </w:r>
    </w:p>
    <w:p w14:paraId="4E34C153"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Geere, J.A.L., P.R. Hunter and P. Jagals (2010) ‘Domestic Water Carrying and Its Implications for Health: A Review and Mixed Methods Pilot Study in Limpopo Province, South Africa’, Environmental Health 9(1): 52.</w:t>
      </w:r>
    </w:p>
    <w:p w14:paraId="58E9662A"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Giele, J. z., and Elder, G. H., j r. (1998). Methods of Life Course Research: Qualitative and Quantitative Approaches. thousand oaks, ca: sage.</w:t>
      </w:r>
    </w:p>
    <w:p w14:paraId="0D01515F"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Glazebrook, T., Noll, S., &amp; Opoku, E. (2020). Gender matters: Climate change, gender bias, and women’s farming in the global South and North. </w:t>
      </w:r>
      <w:r w:rsidRPr="00FC5FCC">
        <w:rPr>
          <w:rFonts w:ascii="Times New Roman" w:hAnsi="Times New Roman" w:cs="Times New Roman"/>
          <w:i/>
          <w:iCs/>
          <w:color w:val="222222"/>
          <w:sz w:val="24"/>
          <w:szCs w:val="24"/>
          <w:shd w:val="clear" w:color="auto" w:fill="FFFFFF"/>
        </w:rPr>
        <w:t>Agriculture</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10</w:t>
      </w:r>
      <w:r w:rsidRPr="00FC5FCC">
        <w:rPr>
          <w:rFonts w:ascii="Times New Roman" w:hAnsi="Times New Roman" w:cs="Times New Roman"/>
          <w:color w:val="222222"/>
          <w:sz w:val="24"/>
          <w:szCs w:val="24"/>
          <w:shd w:val="clear" w:color="auto" w:fill="FFFFFF"/>
        </w:rPr>
        <w:t>(7), 267.</w:t>
      </w:r>
    </w:p>
    <w:p w14:paraId="069B6383" w14:textId="77777777" w:rsidR="004F38BE" w:rsidRPr="00FC5FCC" w:rsidRDefault="004F38BE" w:rsidP="00F26482">
      <w:pPr>
        <w:jc w:val="both"/>
        <w:rPr>
          <w:rFonts w:ascii="Times New Roman" w:hAnsi="Times New Roman" w:cs="Times New Roman"/>
          <w:i/>
          <w:iCs/>
          <w:sz w:val="24"/>
          <w:szCs w:val="24"/>
        </w:rPr>
      </w:pPr>
      <w:r w:rsidRPr="00FC5FCC">
        <w:rPr>
          <w:rFonts w:ascii="Times New Roman" w:hAnsi="Times New Roman" w:cs="Times New Roman"/>
          <w:sz w:val="24"/>
          <w:szCs w:val="24"/>
        </w:rPr>
        <w:t xml:space="preserve">Glen, H. E, Monica, K. J., &amp; Robert, C. (2003). </w:t>
      </w:r>
      <w:r w:rsidRPr="00FC5FCC">
        <w:rPr>
          <w:rFonts w:ascii="Times New Roman" w:hAnsi="Times New Roman" w:cs="Times New Roman"/>
          <w:i/>
          <w:iCs/>
          <w:sz w:val="24"/>
          <w:szCs w:val="24"/>
        </w:rPr>
        <w:t>The Emergence and Development of Life Course Theory. Handbook of life course.</w:t>
      </w:r>
    </w:p>
    <w:p w14:paraId="12453C55"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Graham, S., &amp; Marvin, S (2001). </w:t>
      </w:r>
      <w:r w:rsidRPr="00FC5FCC">
        <w:rPr>
          <w:rFonts w:ascii="Times New Roman" w:hAnsi="Times New Roman" w:cs="Times New Roman"/>
          <w:i/>
          <w:iCs/>
          <w:color w:val="222222"/>
          <w:sz w:val="24"/>
          <w:szCs w:val="24"/>
          <w:shd w:val="clear" w:color="auto" w:fill="FFFFFF"/>
        </w:rPr>
        <w:t>Splintering urbanism: networked infrastructures, technological mobilities and the urban condition</w:t>
      </w:r>
      <w:r w:rsidRPr="00FC5FCC">
        <w:rPr>
          <w:rFonts w:ascii="Times New Roman" w:hAnsi="Times New Roman" w:cs="Times New Roman"/>
          <w:color w:val="222222"/>
          <w:sz w:val="24"/>
          <w:szCs w:val="24"/>
          <w:shd w:val="clear" w:color="auto" w:fill="FFFFFF"/>
        </w:rPr>
        <w:t>. Psychology Press.</w:t>
      </w:r>
    </w:p>
    <w:p w14:paraId="05285503" w14:textId="77777777" w:rsidR="004F38BE" w:rsidRPr="00FC5FCC" w:rsidRDefault="004F38BE" w:rsidP="00C932D8">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Gray, C. L., &amp; Mueller, V. (2012). Natural disasters and population mobility in Bangladesh. </w:t>
      </w:r>
      <w:r w:rsidRPr="00FC5FCC">
        <w:rPr>
          <w:rFonts w:ascii="Times New Roman" w:hAnsi="Times New Roman" w:cs="Times New Roman"/>
          <w:i/>
          <w:iCs/>
          <w:color w:val="222222"/>
          <w:sz w:val="24"/>
          <w:szCs w:val="24"/>
          <w:shd w:val="clear" w:color="auto" w:fill="FFFFFF"/>
        </w:rPr>
        <w:t>Proceedings of the National Academy of Sciences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109</w:t>
      </w:r>
      <w:r w:rsidRPr="00FC5FCC">
        <w:rPr>
          <w:rFonts w:ascii="Times New Roman" w:hAnsi="Times New Roman" w:cs="Times New Roman"/>
          <w:color w:val="222222"/>
          <w:sz w:val="24"/>
          <w:szCs w:val="24"/>
          <w:shd w:val="clear" w:color="auto" w:fill="FFFFFF"/>
        </w:rPr>
        <w:t>(16), 6000-6005.</w:t>
      </w:r>
    </w:p>
    <w:p w14:paraId="7751F62E" w14:textId="77777777" w:rsidR="004F38BE" w:rsidRPr="00FC5FCC" w:rsidRDefault="004F38BE" w:rsidP="00F26482">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GSS (Ghana Statistical Service). (2012). </w:t>
      </w:r>
      <w:r w:rsidRPr="00FC5FCC">
        <w:rPr>
          <w:rFonts w:ascii="Times New Roman" w:hAnsi="Times New Roman" w:cs="Times New Roman"/>
          <w:i/>
          <w:iCs/>
          <w:sz w:val="24"/>
          <w:szCs w:val="24"/>
        </w:rPr>
        <w:t>2010 Population &amp; Housing Census Summary Report of Final Results. Accra: GSS.</w:t>
      </w:r>
    </w:p>
    <w:p w14:paraId="1E5E355B"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Guo M. &amp; Chow Nelson W.S &amp; Palinkas L.A, 2012): Circular Migration and Life Course of Female Domestic Workers in Beijing. Asian Population Studies,7:1, 51-67. </w:t>
      </w:r>
      <w:hyperlink r:id="rId17" w:history="1">
        <w:r w:rsidRPr="00FC5FCC">
          <w:rPr>
            <w:rStyle w:val="Hyperlink"/>
            <w:rFonts w:ascii="Times New Roman" w:hAnsi="Times New Roman" w:cs="Times New Roman"/>
            <w:sz w:val="24"/>
            <w:szCs w:val="24"/>
          </w:rPr>
          <w:t>http://www.tandfonline.com/page/terms-and-conditions</w:t>
        </w:r>
      </w:hyperlink>
      <w:r w:rsidRPr="00FC5FCC">
        <w:rPr>
          <w:rFonts w:ascii="Times New Roman" w:hAnsi="Times New Roman" w:cs="Times New Roman"/>
          <w:sz w:val="24"/>
          <w:szCs w:val="24"/>
        </w:rPr>
        <w:t xml:space="preserve">. </w:t>
      </w:r>
    </w:p>
    <w:p w14:paraId="1F31943D"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He Canfei (2012). Urbanization and Migration. </w:t>
      </w:r>
    </w:p>
    <w:p w14:paraId="4C10BA22" w14:textId="77777777" w:rsidR="004F38BE" w:rsidRPr="00FC5FCC" w:rsidRDefault="004F38BE" w:rsidP="00F26482">
      <w:pPr>
        <w:jc w:val="both"/>
        <w:rPr>
          <w:rFonts w:ascii="Times New Roman" w:hAnsi="Times New Roman" w:cs="Times New Roman"/>
          <w:i/>
          <w:iCs/>
          <w:sz w:val="24"/>
          <w:szCs w:val="24"/>
        </w:rPr>
      </w:pPr>
      <w:r w:rsidRPr="00FC5FCC">
        <w:rPr>
          <w:rFonts w:ascii="Times New Roman" w:hAnsi="Times New Roman" w:cs="Times New Roman"/>
          <w:sz w:val="24"/>
          <w:szCs w:val="24"/>
        </w:rPr>
        <w:t xml:space="preserve">Heintz, J., &amp; Pickbourn, L. (2012). </w:t>
      </w:r>
      <w:r w:rsidRPr="00FC5FCC">
        <w:rPr>
          <w:rFonts w:ascii="Times New Roman" w:hAnsi="Times New Roman" w:cs="Times New Roman"/>
          <w:i/>
          <w:iCs/>
          <w:sz w:val="24"/>
          <w:szCs w:val="24"/>
        </w:rPr>
        <w:t>The determinants of selection into non-agricultural self-employment in Ghana. Margin: The Journal of Applied Economic Research, 6(2), 181–209.</w:t>
      </w:r>
    </w:p>
    <w:p w14:paraId="38C17940"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Heinz, W. R., &amp; Kruger, (2001). Life Course: Innovations and challenges for Social Research.</w:t>
      </w:r>
    </w:p>
    <w:p w14:paraId="7155705A"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Heinz, W. R., Huinink, J., Weymann, A. (2009). Fundamental Conceptual Framework: General Introduction.</w:t>
      </w:r>
    </w:p>
    <w:p w14:paraId="75C4204F"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Hill, C. (2008). International business: Competing in the global marketplace. </w:t>
      </w:r>
      <w:r w:rsidRPr="00FC5FCC">
        <w:rPr>
          <w:rFonts w:ascii="Times New Roman" w:hAnsi="Times New Roman" w:cs="Times New Roman"/>
          <w:i/>
          <w:iCs/>
          <w:color w:val="222222"/>
          <w:sz w:val="24"/>
          <w:szCs w:val="24"/>
          <w:shd w:val="clear" w:color="auto" w:fill="FFFFFF"/>
        </w:rPr>
        <w:t>Strategic Direction</w:t>
      </w:r>
      <w:r w:rsidRPr="00FC5FCC">
        <w:rPr>
          <w:rFonts w:ascii="Times New Roman" w:hAnsi="Times New Roman" w:cs="Times New Roman"/>
          <w:color w:val="222222"/>
          <w:sz w:val="24"/>
          <w:szCs w:val="24"/>
          <w:shd w:val="clear" w:color="auto" w:fill="FFFFFF"/>
        </w:rPr>
        <w:t>.</w:t>
      </w:r>
    </w:p>
    <w:p w14:paraId="00185B08" w14:textId="77777777" w:rsidR="004F38BE" w:rsidRPr="00FC5FCC" w:rsidRDefault="004F38BE" w:rsidP="00F26482">
      <w:pPr>
        <w:jc w:val="both"/>
        <w:rPr>
          <w:rFonts w:ascii="Times New Roman" w:hAnsi="Times New Roman" w:cs="Times New Roman"/>
          <w:sz w:val="24"/>
          <w:szCs w:val="24"/>
        </w:rPr>
      </w:pPr>
      <w:r w:rsidRPr="00FC5FCC">
        <w:rPr>
          <w:rFonts w:ascii="Times New Roman" w:hAnsi="Times New Roman" w:cs="Times New Roman"/>
          <w:sz w:val="24"/>
          <w:szCs w:val="24"/>
        </w:rPr>
        <w:t>Hilson, G. (2013). ‘‘</w:t>
      </w:r>
      <w:r w:rsidRPr="00FC5FCC">
        <w:rPr>
          <w:rFonts w:ascii="Times New Roman" w:hAnsi="Times New Roman" w:cs="Times New Roman"/>
          <w:i/>
          <w:iCs/>
          <w:sz w:val="24"/>
          <w:szCs w:val="24"/>
        </w:rPr>
        <w:t>Creating’’ rural informality: The case of Artisanal gold mining in sub-Saharan Africa. SAIS Review, 33(1), 51–64</w:t>
      </w:r>
      <w:r w:rsidRPr="00FC5FCC">
        <w:rPr>
          <w:rFonts w:ascii="Times New Roman" w:hAnsi="Times New Roman" w:cs="Times New Roman"/>
          <w:sz w:val="24"/>
          <w:szCs w:val="24"/>
        </w:rPr>
        <w:t>.</w:t>
      </w:r>
    </w:p>
    <w:p w14:paraId="4168FDC6"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Horowitz, J., &amp; Entwisle, B. (2020). Life Course Events and Migration in the Transition to Adulthood. </w:t>
      </w:r>
      <w:r w:rsidRPr="00FC5FCC">
        <w:rPr>
          <w:rFonts w:ascii="Times New Roman" w:hAnsi="Times New Roman" w:cs="Times New Roman"/>
          <w:i/>
          <w:iCs/>
          <w:color w:val="222222"/>
          <w:sz w:val="24"/>
          <w:szCs w:val="24"/>
          <w:shd w:val="clear" w:color="auto" w:fill="FFFFFF"/>
        </w:rPr>
        <w:t>Social Forces</w:t>
      </w:r>
      <w:r w:rsidRPr="00FC5FCC">
        <w:rPr>
          <w:rFonts w:ascii="Times New Roman" w:hAnsi="Times New Roman" w:cs="Times New Roman"/>
          <w:color w:val="222222"/>
          <w:sz w:val="24"/>
          <w:szCs w:val="24"/>
          <w:shd w:val="clear" w:color="auto" w:fill="FFFFFF"/>
        </w:rPr>
        <w:t>.).</w:t>
      </w:r>
    </w:p>
    <w:p w14:paraId="73DC73CA" w14:textId="77777777" w:rsidR="004F38BE" w:rsidRPr="00FC5FCC" w:rsidRDefault="004F38BE" w:rsidP="00F26482">
      <w:pPr>
        <w:spacing w:after="0"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Iheke, O. R., &amp; Ihuoma, U. (2016). Effect of urbanization on agricultural production in Abia State. </w:t>
      </w:r>
      <w:r w:rsidRPr="00FC5FCC">
        <w:rPr>
          <w:rFonts w:ascii="Times New Roman" w:hAnsi="Times New Roman" w:cs="Times New Roman"/>
          <w:i/>
          <w:iCs/>
          <w:color w:val="222222"/>
          <w:sz w:val="24"/>
          <w:szCs w:val="24"/>
          <w:shd w:val="clear" w:color="auto" w:fill="FFFFFF"/>
        </w:rPr>
        <w:t>International Journal of Agricultural Science, Research and Technology in Extension and Education Systems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5</w:t>
      </w:r>
      <w:r w:rsidRPr="00FC5FCC">
        <w:rPr>
          <w:rFonts w:ascii="Times New Roman" w:hAnsi="Times New Roman" w:cs="Times New Roman"/>
          <w:color w:val="222222"/>
          <w:sz w:val="24"/>
          <w:szCs w:val="24"/>
          <w:shd w:val="clear" w:color="auto" w:fill="FFFFFF"/>
        </w:rPr>
        <w:t>(2), 83-89.</w:t>
      </w:r>
    </w:p>
    <w:p w14:paraId="6B52F235" w14:textId="77777777" w:rsidR="004F38BE" w:rsidRPr="00FC5FCC" w:rsidRDefault="004F38BE" w:rsidP="00060976">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Indicators, O. E. C. D. (2015). Health Glance 2011. </w:t>
      </w:r>
      <w:r w:rsidRPr="00FC5FCC">
        <w:rPr>
          <w:rFonts w:ascii="Times New Roman" w:hAnsi="Times New Roman" w:cs="Times New Roman"/>
          <w:i/>
          <w:iCs/>
          <w:color w:val="222222"/>
          <w:sz w:val="24"/>
          <w:szCs w:val="24"/>
          <w:shd w:val="clear" w:color="auto" w:fill="FFFFFF"/>
        </w:rPr>
        <w:t>OECD Indicators, OECD Publishing, Paris DOI: https://doi org/101787/health_glance-2015-en Accessed February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15</w:t>
      </w:r>
      <w:r w:rsidRPr="00FC5FCC">
        <w:rPr>
          <w:rFonts w:ascii="Times New Roman" w:hAnsi="Times New Roman" w:cs="Times New Roman"/>
          <w:color w:val="222222"/>
          <w:sz w:val="24"/>
          <w:szCs w:val="24"/>
          <w:shd w:val="clear" w:color="auto" w:fill="FFFFFF"/>
        </w:rPr>
        <w:t>, 2016.</w:t>
      </w:r>
    </w:p>
    <w:p w14:paraId="6822D5C2" w14:textId="77777777" w:rsidR="004F38BE" w:rsidRPr="00FC5FCC" w:rsidRDefault="004F38BE" w:rsidP="00F26482">
      <w:pPr>
        <w:jc w:val="both"/>
        <w:rPr>
          <w:rFonts w:ascii="Times New Roman" w:hAnsi="Times New Roman" w:cs="Times New Roman"/>
          <w:i/>
          <w:iCs/>
          <w:sz w:val="24"/>
          <w:szCs w:val="24"/>
        </w:rPr>
      </w:pPr>
      <w:r w:rsidRPr="00FC5FCC">
        <w:rPr>
          <w:rFonts w:ascii="Times New Roman" w:hAnsi="Times New Roman" w:cs="Times New Roman"/>
          <w:sz w:val="24"/>
          <w:szCs w:val="24"/>
        </w:rPr>
        <w:t xml:space="preserve">James, A. O. (2003, July). </w:t>
      </w:r>
      <w:r w:rsidRPr="00FC5FCC">
        <w:rPr>
          <w:rFonts w:ascii="Times New Roman" w:hAnsi="Times New Roman" w:cs="Times New Roman"/>
          <w:i/>
          <w:iCs/>
          <w:sz w:val="24"/>
          <w:szCs w:val="24"/>
        </w:rPr>
        <w:t>Kayayei: The Women Head Porters of the Southern Ghana. African e-journal project Vol. 18 No. 2, p. 17.</w:t>
      </w:r>
    </w:p>
    <w:p w14:paraId="1B6F7315"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Janotti, A., &amp; Van de Walle, C. G. (2009). Fundamentals of zinc oxide as a semiconductor. </w:t>
      </w:r>
      <w:r w:rsidRPr="00FC5FCC">
        <w:rPr>
          <w:rFonts w:ascii="Times New Roman" w:hAnsi="Times New Roman" w:cs="Times New Roman"/>
          <w:i/>
          <w:iCs/>
          <w:color w:val="222222"/>
          <w:sz w:val="24"/>
          <w:szCs w:val="24"/>
          <w:shd w:val="clear" w:color="auto" w:fill="FFFFFF"/>
        </w:rPr>
        <w:t>Reports on progress in physics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72</w:t>
      </w:r>
      <w:r w:rsidRPr="00FC5FCC">
        <w:rPr>
          <w:rFonts w:ascii="Times New Roman" w:hAnsi="Times New Roman" w:cs="Times New Roman"/>
          <w:color w:val="222222"/>
          <w:sz w:val="24"/>
          <w:szCs w:val="24"/>
          <w:shd w:val="clear" w:color="auto" w:fill="FFFFFF"/>
        </w:rPr>
        <w:t>(12), 126501.</w:t>
      </w:r>
    </w:p>
    <w:p w14:paraId="1D9EACEB"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Karaliotas, L. (2017). Performing neoliberalization through urban infrastructure: Twenty years of privatization policies around Thessaloniki’s port. </w:t>
      </w:r>
      <w:r w:rsidRPr="00FC5FCC">
        <w:rPr>
          <w:rFonts w:ascii="Times New Roman" w:hAnsi="Times New Roman" w:cs="Times New Roman"/>
          <w:i/>
          <w:iCs/>
          <w:color w:val="222222"/>
          <w:sz w:val="24"/>
          <w:szCs w:val="24"/>
          <w:shd w:val="clear" w:color="auto" w:fill="FFFFFF"/>
        </w:rPr>
        <w:t>Environment and Planning A</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49</w:t>
      </w:r>
      <w:r w:rsidRPr="00FC5FCC">
        <w:rPr>
          <w:rFonts w:ascii="Times New Roman" w:hAnsi="Times New Roman" w:cs="Times New Roman"/>
          <w:color w:val="222222"/>
          <w:sz w:val="24"/>
          <w:szCs w:val="24"/>
          <w:shd w:val="clear" w:color="auto" w:fill="FFFFFF"/>
        </w:rPr>
        <w:t>(7), 1556-1574.</w:t>
      </w:r>
    </w:p>
    <w:p w14:paraId="6B5C875D"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Klaufus, C., Van Lindert, P., Van Noorloos, F., &amp; Steel, G. (2017). All-inclusiveness versus exclusion: Urban project development in Latin America and Africa. </w:t>
      </w:r>
      <w:r w:rsidRPr="00FC5FCC">
        <w:rPr>
          <w:rFonts w:ascii="Times New Roman" w:hAnsi="Times New Roman" w:cs="Times New Roman"/>
          <w:i/>
          <w:iCs/>
          <w:color w:val="222222"/>
          <w:sz w:val="24"/>
          <w:szCs w:val="24"/>
          <w:shd w:val="clear" w:color="auto" w:fill="FFFFFF"/>
        </w:rPr>
        <w:t>Sustainability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9</w:t>
      </w:r>
      <w:r w:rsidRPr="00FC5FCC">
        <w:rPr>
          <w:rFonts w:ascii="Times New Roman" w:hAnsi="Times New Roman" w:cs="Times New Roman"/>
          <w:color w:val="222222"/>
          <w:sz w:val="24"/>
          <w:szCs w:val="24"/>
          <w:shd w:val="clear" w:color="auto" w:fill="FFFFFF"/>
        </w:rPr>
        <w:t>(11), 2038.</w:t>
      </w:r>
    </w:p>
    <w:p w14:paraId="57C1EC60"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Kleemans, M., &amp; Magruder, J. (2018). Labour market responses to immigration: Evidence from internal migration driven by weather shocks. The Economic Journal, 128(613), 2032–2065. https://doi.org/10.1111/ ecoj.12510</w:t>
      </w:r>
    </w:p>
    <w:p w14:paraId="459606CD" w14:textId="77777777" w:rsidR="004F38BE" w:rsidRPr="00FC5FCC" w:rsidRDefault="004F38BE" w:rsidP="00F26482">
      <w:pPr>
        <w:spacing w:before="24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Kley, S. A., &amp; Mulder, C. H. (2010). Considering, planning, and realizing migration in early adulthood. The influence of life-course events and perceived opportunities on leaving the city in Germany. </w:t>
      </w:r>
      <w:r w:rsidRPr="00FC5FCC">
        <w:rPr>
          <w:rFonts w:ascii="Times New Roman" w:hAnsi="Times New Roman" w:cs="Times New Roman"/>
          <w:i/>
          <w:iCs/>
          <w:color w:val="222222"/>
          <w:sz w:val="24"/>
          <w:szCs w:val="24"/>
          <w:shd w:val="clear" w:color="auto" w:fill="FFFFFF"/>
        </w:rPr>
        <w:t>Journal of housing and the built environment</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25</w:t>
      </w:r>
      <w:r w:rsidRPr="00FC5FCC">
        <w:rPr>
          <w:rFonts w:ascii="Times New Roman" w:hAnsi="Times New Roman" w:cs="Times New Roman"/>
          <w:color w:val="222222"/>
          <w:sz w:val="24"/>
          <w:szCs w:val="24"/>
          <w:shd w:val="clear" w:color="auto" w:fill="FFFFFF"/>
        </w:rPr>
        <w:t>(1), 73-94.</w:t>
      </w:r>
    </w:p>
    <w:p w14:paraId="278FBDD7" w14:textId="77777777" w:rsidR="004F38BE" w:rsidRPr="00FC5FCC" w:rsidRDefault="004F38BE" w:rsidP="004C084F">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Kwankye S.O, Anafi J.K, C.A Castaldo &amp; C.A Tagoe (2009). </w:t>
      </w:r>
      <w:r w:rsidRPr="00FC5FCC">
        <w:rPr>
          <w:rFonts w:ascii="Times New Roman" w:hAnsi="Times New Roman" w:cs="Times New Roman"/>
          <w:i/>
          <w:iCs/>
          <w:sz w:val="24"/>
          <w:szCs w:val="24"/>
        </w:rPr>
        <w:t xml:space="preserve">Independent North-South Child Migration in Ghana: The Decision-Making Process. ISSER, Accra, Ghana. Present to the Development Research Centre on Migration, Globalization and Poverty. </w:t>
      </w:r>
    </w:p>
    <w:p w14:paraId="5072B300" w14:textId="77777777" w:rsidR="004F38BE" w:rsidRPr="00FC5FCC" w:rsidRDefault="004F38BE" w:rsidP="009A4E0C">
      <w:pPr>
        <w:spacing w:line="480" w:lineRule="auto"/>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Lahiri-Dutt, K. (2018). Reframing the debate on informal mining. </w:t>
      </w:r>
      <w:r w:rsidRPr="00FC5FCC">
        <w:rPr>
          <w:rFonts w:ascii="Times New Roman" w:hAnsi="Times New Roman" w:cs="Times New Roman"/>
          <w:i/>
          <w:iCs/>
          <w:color w:val="222222"/>
          <w:sz w:val="24"/>
          <w:szCs w:val="24"/>
          <w:shd w:val="clear" w:color="auto" w:fill="FFFFFF"/>
        </w:rPr>
        <w:t>THE PICK</w:t>
      </w:r>
      <w:r w:rsidRPr="00FC5FCC">
        <w:rPr>
          <w:rFonts w:ascii="Times New Roman" w:hAnsi="Times New Roman" w:cs="Times New Roman"/>
          <w:color w:val="222222"/>
          <w:sz w:val="24"/>
          <w:szCs w:val="24"/>
          <w:shd w:val="clear" w:color="auto" w:fill="FFFFFF"/>
        </w:rPr>
        <w:t>, 1.</w:t>
      </w:r>
    </w:p>
    <w:p w14:paraId="5B49F54B"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Latek, M. (2019). Interlinks between migration and development. </w:t>
      </w:r>
      <w:r w:rsidRPr="00FC5FCC">
        <w:rPr>
          <w:rFonts w:ascii="Times New Roman" w:hAnsi="Times New Roman" w:cs="Times New Roman"/>
          <w:i/>
          <w:iCs/>
          <w:color w:val="222222"/>
          <w:sz w:val="24"/>
          <w:szCs w:val="24"/>
          <w:shd w:val="clear" w:color="auto" w:fill="FFFFFF"/>
        </w:rPr>
        <w:t>European Parliamentary Research Service</w:t>
      </w:r>
      <w:r w:rsidRPr="00FC5FCC">
        <w:rPr>
          <w:rFonts w:ascii="Times New Roman" w:hAnsi="Times New Roman" w:cs="Times New Roman"/>
          <w:color w:val="222222"/>
          <w:sz w:val="24"/>
          <w:szCs w:val="24"/>
          <w:shd w:val="clear" w:color="auto" w:fill="FFFFFF"/>
        </w:rPr>
        <w:t>.</w:t>
      </w:r>
    </w:p>
    <w:p w14:paraId="3F542679" w14:textId="77777777" w:rsidR="004F38BE" w:rsidRPr="00FC5FCC" w:rsidRDefault="004F38BE" w:rsidP="00F26482">
      <w:pPr>
        <w:spacing w:line="360" w:lineRule="auto"/>
        <w:jc w:val="both"/>
        <w:rPr>
          <w:rFonts w:ascii="Times New Roman" w:hAnsi="Times New Roman" w:cs="Times New Roman"/>
          <w:b/>
          <w:bCs/>
          <w:color w:val="0E101A"/>
          <w:sz w:val="24"/>
          <w:szCs w:val="24"/>
        </w:rPr>
      </w:pPr>
      <w:r w:rsidRPr="00FC5FCC">
        <w:rPr>
          <w:rFonts w:ascii="Times New Roman" w:hAnsi="Times New Roman" w:cs="Times New Roman"/>
          <w:color w:val="222222"/>
          <w:sz w:val="24"/>
          <w:szCs w:val="24"/>
          <w:shd w:val="clear" w:color="auto" w:fill="FFFFFF"/>
        </w:rPr>
        <w:t>Levy, R., &amp; Bühlmann, F. (2016). Towards a socio-structural framework for life course analysis. </w:t>
      </w:r>
      <w:r w:rsidRPr="00FC5FCC">
        <w:rPr>
          <w:rFonts w:ascii="Times New Roman" w:hAnsi="Times New Roman" w:cs="Times New Roman"/>
          <w:i/>
          <w:iCs/>
          <w:color w:val="222222"/>
          <w:sz w:val="24"/>
          <w:szCs w:val="24"/>
          <w:shd w:val="clear" w:color="auto" w:fill="FFFFFF"/>
        </w:rPr>
        <w:t>Advances in Life Course Research</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30</w:t>
      </w:r>
      <w:r w:rsidRPr="00FC5FCC">
        <w:rPr>
          <w:rFonts w:ascii="Times New Roman" w:hAnsi="Times New Roman" w:cs="Times New Roman"/>
          <w:color w:val="222222"/>
          <w:sz w:val="24"/>
          <w:szCs w:val="24"/>
          <w:shd w:val="clear" w:color="auto" w:fill="FFFFFF"/>
        </w:rPr>
        <w:t>, 30-42.</w:t>
      </w:r>
    </w:p>
    <w:p w14:paraId="1A54BCD6" w14:textId="77777777" w:rsidR="004F38BE" w:rsidRPr="00FC5FCC" w:rsidRDefault="004F38BE" w:rsidP="004C084F">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Lidman, C., Tucker, B. E., Davis, T. M., Uddin, S. A., Asorey, J., Bolejko, K., ... &amp; (DES Collaboration). (2020). OzDES multi-object fibre spectroscopy for the Dark Energy Survey: results and second data release. </w:t>
      </w:r>
      <w:r w:rsidRPr="00FC5FCC">
        <w:rPr>
          <w:rFonts w:ascii="Times New Roman" w:hAnsi="Times New Roman" w:cs="Times New Roman"/>
          <w:i/>
          <w:iCs/>
          <w:color w:val="222222"/>
          <w:sz w:val="24"/>
          <w:szCs w:val="24"/>
          <w:shd w:val="clear" w:color="auto" w:fill="FFFFFF"/>
        </w:rPr>
        <w:t>Monthly Notices of the Royal Astronomical Society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496</w:t>
      </w:r>
      <w:r w:rsidRPr="00FC5FCC">
        <w:rPr>
          <w:rFonts w:ascii="Times New Roman" w:hAnsi="Times New Roman" w:cs="Times New Roman"/>
          <w:color w:val="222222"/>
          <w:sz w:val="24"/>
          <w:szCs w:val="24"/>
          <w:shd w:val="clear" w:color="auto" w:fill="FFFFFF"/>
        </w:rPr>
        <w:t>(1), 19-35.</w:t>
      </w:r>
    </w:p>
    <w:p w14:paraId="3FDD1F28"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Lucas Jr, R. E. (1988). On the mechanics of economic development. </w:t>
      </w:r>
      <w:r w:rsidRPr="00FC5FCC">
        <w:rPr>
          <w:rFonts w:ascii="Times New Roman" w:hAnsi="Times New Roman" w:cs="Times New Roman"/>
          <w:i/>
          <w:iCs/>
          <w:color w:val="222222"/>
          <w:sz w:val="24"/>
          <w:szCs w:val="24"/>
          <w:shd w:val="clear" w:color="auto" w:fill="FFFFFF"/>
        </w:rPr>
        <w:t>Journal of monetary economics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22</w:t>
      </w:r>
      <w:r w:rsidRPr="00FC5FCC">
        <w:rPr>
          <w:rFonts w:ascii="Times New Roman" w:hAnsi="Times New Roman" w:cs="Times New Roman"/>
          <w:color w:val="222222"/>
          <w:sz w:val="24"/>
          <w:szCs w:val="24"/>
          <w:shd w:val="clear" w:color="auto" w:fill="FFFFFF"/>
        </w:rPr>
        <w:t>(1), 3-42.</w:t>
      </w:r>
    </w:p>
    <w:p w14:paraId="21010AF7"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Mabogunje, A. (2015). </w:t>
      </w:r>
      <w:r w:rsidRPr="00FC5FCC">
        <w:rPr>
          <w:rFonts w:ascii="Times New Roman" w:hAnsi="Times New Roman" w:cs="Times New Roman"/>
          <w:i/>
          <w:iCs/>
          <w:color w:val="222222"/>
          <w:sz w:val="24"/>
          <w:szCs w:val="24"/>
          <w:shd w:val="clear" w:color="auto" w:fill="FFFFFF"/>
        </w:rPr>
        <w:t>The development process: A spatial perspective</w:t>
      </w:r>
      <w:r w:rsidRPr="00FC5FCC">
        <w:rPr>
          <w:rFonts w:ascii="Times New Roman" w:hAnsi="Times New Roman" w:cs="Times New Roman"/>
          <w:color w:val="222222"/>
          <w:sz w:val="24"/>
          <w:szCs w:val="24"/>
          <w:shd w:val="clear" w:color="auto" w:fill="FFFFFF"/>
        </w:rPr>
        <w:t>. Routledge.</w:t>
      </w:r>
    </w:p>
    <w:p w14:paraId="400E5982"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Marta, J., Fauzi, A., Juanda, B., &amp; Rustiadi, E. (2020). Understanding migration motives and its impact on household welfare: evidence from rural–urban migration in Indonesia. </w:t>
      </w:r>
      <w:r w:rsidRPr="00FC5FCC">
        <w:rPr>
          <w:rFonts w:ascii="Times New Roman" w:hAnsi="Times New Roman" w:cs="Times New Roman"/>
          <w:i/>
          <w:iCs/>
          <w:color w:val="222222"/>
          <w:sz w:val="24"/>
          <w:szCs w:val="24"/>
          <w:shd w:val="clear" w:color="auto" w:fill="FFFFFF"/>
        </w:rPr>
        <w:t>Regional Studies, Regional Science</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7</w:t>
      </w:r>
      <w:r w:rsidRPr="00FC5FCC">
        <w:rPr>
          <w:rFonts w:ascii="Times New Roman" w:hAnsi="Times New Roman" w:cs="Times New Roman"/>
          <w:color w:val="222222"/>
          <w:sz w:val="24"/>
          <w:szCs w:val="24"/>
          <w:shd w:val="clear" w:color="auto" w:fill="FFFFFF"/>
        </w:rPr>
        <w:t>(1), 118-132.</w:t>
      </w:r>
    </w:p>
    <w:p w14:paraId="018C976A" w14:textId="77777777" w:rsidR="004F38BE" w:rsidRPr="00FC5FCC" w:rsidRDefault="004F38BE" w:rsidP="00F26482">
      <w:pPr>
        <w:spacing w:line="240" w:lineRule="auto"/>
        <w:jc w:val="both"/>
        <w:rPr>
          <w:rFonts w:ascii="Times New Roman" w:hAnsi="Times New Roman" w:cs="Times New Roman"/>
          <w:sz w:val="24"/>
          <w:szCs w:val="24"/>
        </w:rPr>
      </w:pPr>
      <w:r w:rsidRPr="00FC5FCC">
        <w:rPr>
          <w:rFonts w:ascii="Times New Roman" w:hAnsi="Times New Roman" w:cs="Times New Roman"/>
          <w:sz w:val="24"/>
          <w:szCs w:val="24"/>
        </w:rPr>
        <w:t>Mayer, K. U. (2003). The sociology of the life course and lifespan psychology: Diverging or converging pathways? In U. M. Staudinger &amp; U. Lindenberger (Eds.), Dialogues with lifespan psychology (pp. 463-481). Boston, MA: Springer.</w:t>
      </w:r>
    </w:p>
    <w:p w14:paraId="0999600E"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 xml:space="preserve">McCatty, M. (2004). The Process of Rural-Urban Migration in Developing Countries. </w:t>
      </w:r>
    </w:p>
    <w:p w14:paraId="5C06A272"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McFarlane, C. &amp; Rutherford, J. (2008). Political infrastructures: Governing and experiencing the fabric of the city. International Journal of Urban and Regional Research 32(2): 363–374.</w:t>
      </w:r>
    </w:p>
    <w:p w14:paraId="0592DEF3"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Moen, P., &amp; Wethington, E. (1992). The concept of family adaptive strategies. </w:t>
      </w:r>
      <w:r w:rsidRPr="00FC5FCC">
        <w:rPr>
          <w:rFonts w:ascii="Times New Roman" w:hAnsi="Times New Roman" w:cs="Times New Roman"/>
          <w:i/>
          <w:iCs/>
          <w:color w:val="222222"/>
          <w:sz w:val="24"/>
          <w:szCs w:val="24"/>
          <w:shd w:val="clear" w:color="auto" w:fill="FFFFFF"/>
        </w:rPr>
        <w:t>Annual review of sociology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18</w:t>
      </w:r>
      <w:r w:rsidRPr="00FC5FCC">
        <w:rPr>
          <w:rFonts w:ascii="Times New Roman" w:hAnsi="Times New Roman" w:cs="Times New Roman"/>
          <w:color w:val="222222"/>
          <w:sz w:val="24"/>
          <w:szCs w:val="24"/>
          <w:shd w:val="clear" w:color="auto" w:fill="FFFFFF"/>
        </w:rPr>
        <w:t>(1), 233-251.</w:t>
      </w:r>
    </w:p>
    <w:p w14:paraId="6E7FBEE1"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Nayak, P. (2013). </w:t>
      </w:r>
      <w:r w:rsidRPr="00FC5FCC">
        <w:rPr>
          <w:rFonts w:ascii="Times New Roman" w:hAnsi="Times New Roman" w:cs="Times New Roman"/>
          <w:i/>
          <w:iCs/>
          <w:sz w:val="24"/>
          <w:szCs w:val="24"/>
        </w:rPr>
        <w:t xml:space="preserve">Methodological Developments in Human Development Literature North Eastern Hill University. Munich Personal Repec Archive, MPRA Paper No. 50608 </w:t>
      </w:r>
      <w:hyperlink r:id="rId18" w:history="1">
        <w:r w:rsidRPr="00FC5FCC">
          <w:rPr>
            <w:rStyle w:val="Hyperlink"/>
            <w:rFonts w:ascii="Times New Roman" w:hAnsi="Times New Roman" w:cs="Times New Roman"/>
            <w:i/>
            <w:iCs/>
            <w:sz w:val="24"/>
            <w:szCs w:val="24"/>
          </w:rPr>
          <w:t>http://mpra.ub.uni-muenchen.de/50608/</w:t>
        </w:r>
      </w:hyperlink>
      <w:r w:rsidRPr="00FC5FCC">
        <w:rPr>
          <w:rFonts w:ascii="Times New Roman" w:hAnsi="Times New Roman" w:cs="Times New Roman"/>
          <w:sz w:val="24"/>
          <w:szCs w:val="24"/>
        </w:rPr>
        <w:t>.</w:t>
      </w:r>
    </w:p>
    <w:p w14:paraId="35CABD31" w14:textId="77777777" w:rsidR="004F38BE" w:rsidRPr="00FC5FCC" w:rsidRDefault="004F38BE" w:rsidP="00F26482">
      <w:pPr>
        <w:spacing w:after="0"/>
        <w:jc w:val="both"/>
        <w:rPr>
          <w:rFonts w:ascii="Times New Roman" w:eastAsia="Times New Roman" w:hAnsi="Times New Roman" w:cs="Times New Roman"/>
          <w:color w:val="0E101A"/>
          <w:sz w:val="24"/>
          <w:szCs w:val="24"/>
          <w:lang w:eastAsia="en-CA"/>
        </w:rPr>
      </w:pPr>
      <w:r w:rsidRPr="00FC5FCC">
        <w:rPr>
          <w:rFonts w:ascii="Times New Roman" w:hAnsi="Times New Roman" w:cs="Times New Roman"/>
          <w:color w:val="222222"/>
          <w:sz w:val="24"/>
          <w:szCs w:val="24"/>
          <w:shd w:val="clear" w:color="auto" w:fill="FFFFFF"/>
        </w:rPr>
        <w:t>Nukpezah, J. A., &amp; Blankson, C. (2017). Microfinance intervention in poverty reduction: A study of women farmer-entrepreneurs in rural Ghana. </w:t>
      </w:r>
      <w:r w:rsidRPr="00FC5FCC">
        <w:rPr>
          <w:rFonts w:ascii="Times New Roman" w:hAnsi="Times New Roman" w:cs="Times New Roman"/>
          <w:i/>
          <w:iCs/>
          <w:color w:val="222222"/>
          <w:sz w:val="24"/>
          <w:szCs w:val="24"/>
          <w:shd w:val="clear" w:color="auto" w:fill="FFFFFF"/>
        </w:rPr>
        <w:t>Journal of African Business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18</w:t>
      </w:r>
      <w:r w:rsidRPr="00FC5FCC">
        <w:rPr>
          <w:rFonts w:ascii="Times New Roman" w:hAnsi="Times New Roman" w:cs="Times New Roman"/>
          <w:color w:val="222222"/>
          <w:sz w:val="24"/>
          <w:szCs w:val="24"/>
          <w:shd w:val="clear" w:color="auto" w:fill="FFFFFF"/>
        </w:rPr>
        <w:t>(4), 457-475.</w:t>
      </w:r>
    </w:p>
    <w:p w14:paraId="3DC8D997" w14:textId="77777777" w:rsidR="004F38BE" w:rsidRPr="00FC5FCC" w:rsidRDefault="004F38BE" w:rsidP="004C084F">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Opare, J. A. (2003). </w:t>
      </w:r>
      <w:r w:rsidRPr="00FC5FCC">
        <w:rPr>
          <w:rFonts w:ascii="Times New Roman" w:hAnsi="Times New Roman" w:cs="Times New Roman"/>
          <w:i/>
          <w:iCs/>
          <w:sz w:val="24"/>
          <w:szCs w:val="24"/>
        </w:rPr>
        <w:t>Kayayei: The Women Head Porters of Southern Ghana. Journal of Social Development in Africa, 18(2), 33 – 48.</w:t>
      </w:r>
    </w:p>
    <w:p w14:paraId="5D50590F"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O'Rand, A. M. (1996). The precious and the precocious: Understanding cumulative disadvantage and cumulative advantage over the life course. </w:t>
      </w:r>
      <w:r w:rsidRPr="00FC5FCC">
        <w:rPr>
          <w:rFonts w:ascii="Times New Roman" w:hAnsi="Times New Roman" w:cs="Times New Roman"/>
          <w:i/>
          <w:iCs/>
          <w:color w:val="222222"/>
          <w:sz w:val="24"/>
          <w:szCs w:val="24"/>
          <w:shd w:val="clear" w:color="auto" w:fill="FFFFFF"/>
        </w:rPr>
        <w:t>The Gerontologist</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36</w:t>
      </w:r>
      <w:r w:rsidRPr="00FC5FCC">
        <w:rPr>
          <w:rFonts w:ascii="Times New Roman" w:hAnsi="Times New Roman" w:cs="Times New Roman"/>
          <w:color w:val="222222"/>
          <w:sz w:val="24"/>
          <w:szCs w:val="24"/>
          <w:shd w:val="clear" w:color="auto" w:fill="FFFFFF"/>
        </w:rPr>
        <w:t>(2), 230-238.</w:t>
      </w:r>
    </w:p>
    <w:p w14:paraId="6E75812B" w14:textId="77777777" w:rsidR="004F38BE" w:rsidRPr="00FC5FCC" w:rsidRDefault="004F38BE" w:rsidP="00F26482">
      <w:pPr>
        <w:jc w:val="both"/>
        <w:rPr>
          <w:rFonts w:ascii="Times New Roman" w:hAnsi="Times New Roman" w:cs="Times New Roman"/>
          <w:i/>
          <w:iCs/>
          <w:sz w:val="24"/>
          <w:szCs w:val="24"/>
        </w:rPr>
      </w:pPr>
      <w:r w:rsidRPr="00FC5FCC">
        <w:rPr>
          <w:rFonts w:ascii="Times New Roman" w:hAnsi="Times New Roman" w:cs="Times New Roman"/>
          <w:sz w:val="24"/>
          <w:szCs w:val="24"/>
        </w:rPr>
        <w:t>Osei-Boateng, C. (June 2013</w:t>
      </w:r>
      <w:r w:rsidRPr="00FC5FCC">
        <w:rPr>
          <w:rFonts w:ascii="Times New Roman" w:hAnsi="Times New Roman" w:cs="Times New Roman"/>
          <w:i/>
          <w:iCs/>
          <w:sz w:val="24"/>
          <w:szCs w:val="24"/>
        </w:rPr>
        <w:t>). Ghana TUC/WEIGO Women in informal Economy Law Project; Report on Kayayei in Ghana. Accra: Ghana TUC. Retrieved April 17, 2020.</w:t>
      </w:r>
    </w:p>
    <w:p w14:paraId="2CE93DF7" w14:textId="77777777" w:rsidR="004F38BE" w:rsidRPr="00FC5FCC" w:rsidRDefault="004F38BE" w:rsidP="004C084F">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Owusu, A. (2012). </w:t>
      </w:r>
      <w:r w:rsidRPr="00FC5FCC">
        <w:rPr>
          <w:rFonts w:ascii="Times New Roman" w:hAnsi="Times New Roman" w:cs="Times New Roman"/>
          <w:i/>
          <w:iCs/>
          <w:sz w:val="24"/>
          <w:szCs w:val="24"/>
        </w:rPr>
        <w:t>The Living Condition of Female Head Porters in the Kumasi Metropolis, Ghana. Kwame Nkrumah University of Science and Technology.</w:t>
      </w:r>
    </w:p>
    <w:p w14:paraId="0AFB0393"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Owusu, E., Han, J., Das, S., Perrig, A., &amp; Zhang, J. (2012, February). Accessory: password inference using accelerometers on smartphones. In </w:t>
      </w:r>
      <w:r w:rsidRPr="00FC5FCC">
        <w:rPr>
          <w:rFonts w:ascii="Times New Roman" w:hAnsi="Times New Roman" w:cs="Times New Roman"/>
          <w:i/>
          <w:iCs/>
          <w:color w:val="222222"/>
          <w:sz w:val="24"/>
          <w:szCs w:val="24"/>
          <w:shd w:val="clear" w:color="auto" w:fill="FFFFFF"/>
        </w:rPr>
        <w:t>proceedings of the twelfth workshop on mobile computing systems &amp; applications</w:t>
      </w:r>
      <w:r w:rsidRPr="00FC5FCC">
        <w:rPr>
          <w:rFonts w:ascii="Times New Roman" w:hAnsi="Times New Roman" w:cs="Times New Roman"/>
          <w:color w:val="222222"/>
          <w:sz w:val="24"/>
          <w:szCs w:val="24"/>
          <w:shd w:val="clear" w:color="auto" w:fill="FFFFFF"/>
        </w:rPr>
        <w:t> (pp. 1-6).</w:t>
      </w:r>
    </w:p>
    <w:p w14:paraId="5AC4E5E2" w14:textId="77777777" w:rsidR="004F38BE" w:rsidRPr="00FC5FCC" w:rsidRDefault="004F38BE" w:rsidP="004C084F">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 xml:space="preserve">Pachauri, R. K., Allen, M. R., Barros, V. R., Broome, J., Cramer, W., Christ, R., ... &amp; van </w:t>
      </w:r>
    </w:p>
    <w:p w14:paraId="4EB3F3E1"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Peck, J. &amp; Theodore, N. &amp; Brenner, N. (2013). Neoliberal urbanism redux? International Journal of Urban and Regional Research 37(3): 1091–1099.</w:t>
      </w:r>
    </w:p>
    <w:p w14:paraId="689FE457" w14:textId="77777777" w:rsidR="004F38BE" w:rsidRPr="00FC5FCC" w:rsidRDefault="004F38BE" w:rsidP="00F26482">
      <w:pPr>
        <w:jc w:val="both"/>
        <w:rPr>
          <w:rStyle w:val="Hyperlink"/>
          <w:rFonts w:ascii="Times New Roman" w:hAnsi="Times New Roman" w:cs="Times New Roman"/>
          <w:i/>
          <w:iCs/>
          <w:sz w:val="24"/>
          <w:szCs w:val="24"/>
        </w:rPr>
      </w:pPr>
      <w:r w:rsidRPr="00FC5FCC">
        <w:rPr>
          <w:rFonts w:ascii="Times New Roman" w:hAnsi="Times New Roman" w:cs="Times New Roman"/>
          <w:sz w:val="24"/>
          <w:szCs w:val="24"/>
        </w:rPr>
        <w:t>People’s Dialogue and Ghana Federation of Urban Poor (PDGFUP 2011</w:t>
      </w:r>
      <w:r w:rsidRPr="00FC5FCC">
        <w:rPr>
          <w:rFonts w:ascii="Times New Roman" w:hAnsi="Times New Roman" w:cs="Times New Roman"/>
          <w:i/>
          <w:iCs/>
          <w:sz w:val="24"/>
          <w:szCs w:val="24"/>
        </w:rPr>
        <w:t xml:space="preserve">). Addressing the Kayayei situation in Ghana an enumeration report. Retrieved June 15, 2014, </w:t>
      </w:r>
      <w:hyperlink r:id="rId19" w:history="1">
        <w:r w:rsidRPr="00FC5FCC">
          <w:rPr>
            <w:rStyle w:val="Hyperlink"/>
            <w:rFonts w:ascii="Times New Roman" w:hAnsi="Times New Roman" w:cs="Times New Roman"/>
            <w:i/>
            <w:iCs/>
            <w:sz w:val="24"/>
            <w:szCs w:val="24"/>
          </w:rPr>
          <w:t>www.pdgfup.org</w:t>
        </w:r>
      </w:hyperlink>
    </w:p>
    <w:p w14:paraId="5907C322" w14:textId="77777777" w:rsidR="004F38BE" w:rsidRPr="00FC5FCC" w:rsidRDefault="004F38BE" w:rsidP="00F26482">
      <w:pPr>
        <w:spacing w:before="240"/>
        <w:jc w:val="both"/>
        <w:rPr>
          <w:rFonts w:ascii="Times New Roman" w:hAnsi="Times New Roman" w:cs="Times New Roman"/>
          <w:sz w:val="24"/>
          <w:szCs w:val="24"/>
        </w:rPr>
      </w:pPr>
      <w:r w:rsidRPr="00FC5FCC">
        <w:rPr>
          <w:rFonts w:ascii="Times New Roman" w:hAnsi="Times New Roman" w:cs="Times New Roman"/>
          <w:sz w:val="24"/>
          <w:szCs w:val="24"/>
        </w:rPr>
        <w:t>Plange, Nii-K. (1984), ‘The Colonial State in Northern Ghana: The Colonial Economy of Pacification’ Review of African Political Economy No. 31, Capital vs. Labour in West Africa (December), pp. 29-43.</w:t>
      </w:r>
    </w:p>
    <w:p w14:paraId="19D5CDEA" w14:textId="77777777" w:rsidR="004F38BE" w:rsidRPr="00FC5FCC" w:rsidRDefault="004F38BE" w:rsidP="00F26482">
      <w:pPr>
        <w:spacing w:before="240"/>
        <w:jc w:val="both"/>
        <w:rPr>
          <w:rFonts w:ascii="Times New Roman" w:hAnsi="Times New Roman" w:cs="Times New Roman"/>
          <w:sz w:val="24"/>
          <w:szCs w:val="24"/>
        </w:rPr>
      </w:pPr>
      <w:r w:rsidRPr="00FC5FCC">
        <w:rPr>
          <w:rFonts w:ascii="Times New Roman" w:hAnsi="Times New Roman" w:cs="Times New Roman"/>
          <w:sz w:val="24"/>
          <w:szCs w:val="24"/>
        </w:rPr>
        <w:t>Quist, H.O. (2003), ‘Secondary Education – A ‘Tool’ for National Development in Ghana: A Critical Appraisal of the Post-Colonial Context’, Africa Development, XXVIII (3 &amp; 4):186–210</w:t>
      </w:r>
    </w:p>
    <w:p w14:paraId="3A494653"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Reed, M. S., Evely, A. C., Cundill, G., Fazey, I., Glass, J., Laing, A., ... &amp; Stringer, L. C. (2010). What is social learning? </w:t>
      </w:r>
      <w:r w:rsidRPr="00FC5FCC">
        <w:rPr>
          <w:rFonts w:ascii="Times New Roman" w:hAnsi="Times New Roman" w:cs="Times New Roman"/>
          <w:i/>
          <w:iCs/>
          <w:color w:val="222222"/>
          <w:sz w:val="24"/>
          <w:szCs w:val="24"/>
          <w:shd w:val="clear" w:color="auto" w:fill="FFFFFF"/>
        </w:rPr>
        <w:t>Ecology and society</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15</w:t>
      </w:r>
      <w:r w:rsidRPr="00FC5FCC">
        <w:rPr>
          <w:rFonts w:ascii="Times New Roman" w:hAnsi="Times New Roman" w:cs="Times New Roman"/>
          <w:color w:val="222222"/>
          <w:sz w:val="24"/>
          <w:szCs w:val="24"/>
          <w:shd w:val="clear" w:color="auto" w:fill="FFFFFF"/>
        </w:rPr>
        <w:t>(4).</w:t>
      </w:r>
    </w:p>
    <w:p w14:paraId="281BC076" w14:textId="77777777" w:rsidR="004F38BE" w:rsidRPr="00FC5FCC" w:rsidRDefault="004F38BE" w:rsidP="00F26482">
      <w:pPr>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Rothchild, D. (1969). Ethnic inequalities in Kenya. </w:t>
      </w:r>
      <w:r w:rsidRPr="00FC5FCC">
        <w:rPr>
          <w:rFonts w:ascii="Times New Roman" w:hAnsi="Times New Roman" w:cs="Times New Roman"/>
          <w:i/>
          <w:iCs/>
          <w:color w:val="222222"/>
          <w:sz w:val="24"/>
          <w:szCs w:val="24"/>
          <w:shd w:val="clear" w:color="auto" w:fill="FFFFFF"/>
        </w:rPr>
        <w:t>The Journal of Modern African Studies</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7</w:t>
      </w:r>
      <w:r w:rsidRPr="00FC5FCC">
        <w:rPr>
          <w:rFonts w:ascii="Times New Roman" w:hAnsi="Times New Roman" w:cs="Times New Roman"/>
          <w:color w:val="222222"/>
          <w:sz w:val="24"/>
          <w:szCs w:val="24"/>
          <w:shd w:val="clear" w:color="auto" w:fill="FFFFFF"/>
        </w:rPr>
        <w:t>(4), 689-711.</w:t>
      </w:r>
    </w:p>
    <w:p w14:paraId="4BB32E55" w14:textId="77777777" w:rsidR="004F38BE" w:rsidRPr="00FC5FCC" w:rsidRDefault="004F38BE" w:rsidP="00F26482">
      <w:pPr>
        <w:jc w:val="both"/>
        <w:rPr>
          <w:rFonts w:ascii="Times New Roman" w:hAnsi="Times New Roman" w:cs="Times New Roman"/>
          <w:i/>
          <w:iCs/>
          <w:sz w:val="24"/>
          <w:szCs w:val="24"/>
        </w:rPr>
      </w:pPr>
      <w:r w:rsidRPr="00FC5FCC">
        <w:rPr>
          <w:rFonts w:ascii="Times New Roman" w:hAnsi="Times New Roman" w:cs="Times New Roman"/>
          <w:sz w:val="24"/>
          <w:szCs w:val="24"/>
        </w:rPr>
        <w:t xml:space="preserve">Samuel, N. H. &amp; Abdual Majeed, T. (2018). </w:t>
      </w:r>
      <w:r w:rsidRPr="00FC5FCC">
        <w:rPr>
          <w:rFonts w:ascii="Times New Roman" w:hAnsi="Times New Roman" w:cs="Times New Roman"/>
          <w:i/>
          <w:iCs/>
          <w:sz w:val="24"/>
          <w:szCs w:val="24"/>
        </w:rPr>
        <w:t>Harsh Working Conditions and Poor Eating Habits: Health-Related Concern of Female Head Porters (Kayayei) in the Mallam Atta Market, Accra, Ghana. Hindawi BoiMed Research International, P. 7.</w:t>
      </w:r>
    </w:p>
    <w:p w14:paraId="340546F3" w14:textId="77777777" w:rsidR="004F38BE" w:rsidRPr="00FC5FCC" w:rsidRDefault="004F38BE" w:rsidP="00F26482">
      <w:pPr>
        <w:jc w:val="both"/>
        <w:rPr>
          <w:rFonts w:ascii="Times New Roman" w:hAnsi="Times New Roman" w:cs="Times New Roman"/>
          <w:sz w:val="24"/>
          <w:szCs w:val="24"/>
        </w:rPr>
      </w:pPr>
      <w:r w:rsidRPr="00FC5FCC">
        <w:rPr>
          <w:rFonts w:ascii="Times New Roman" w:hAnsi="Times New Roman" w:cs="Times New Roman"/>
          <w:color w:val="222222"/>
          <w:sz w:val="24"/>
          <w:szCs w:val="24"/>
          <w:shd w:val="clear" w:color="auto" w:fill="FFFFFF"/>
        </w:rPr>
        <w:t>Schoon, I., &amp; Heckhausen, J. (2019). Conceptualizing individual agency in the transition from school to work: A social-ecological developmental perspective. </w:t>
      </w:r>
      <w:r w:rsidRPr="00FC5FCC">
        <w:rPr>
          <w:rFonts w:ascii="Times New Roman" w:hAnsi="Times New Roman" w:cs="Times New Roman"/>
          <w:i/>
          <w:iCs/>
          <w:color w:val="222222"/>
          <w:sz w:val="24"/>
          <w:szCs w:val="24"/>
          <w:shd w:val="clear" w:color="auto" w:fill="FFFFFF"/>
        </w:rPr>
        <w:t>Adolescent Research Review</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4</w:t>
      </w:r>
      <w:r w:rsidRPr="00FC5FCC">
        <w:rPr>
          <w:rFonts w:ascii="Times New Roman" w:hAnsi="Times New Roman" w:cs="Times New Roman"/>
          <w:color w:val="222222"/>
          <w:sz w:val="24"/>
          <w:szCs w:val="24"/>
          <w:shd w:val="clear" w:color="auto" w:fill="FFFFFF"/>
        </w:rPr>
        <w:t>(2), 135-148.</w:t>
      </w:r>
    </w:p>
    <w:p w14:paraId="497FAA79" w14:textId="77777777" w:rsidR="004F38BE" w:rsidRPr="00FC5FCC" w:rsidRDefault="004F38BE" w:rsidP="00F26482">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Servaes J (2004). </w:t>
      </w:r>
      <w:r w:rsidRPr="00FC5FCC">
        <w:rPr>
          <w:rFonts w:ascii="Times New Roman" w:hAnsi="Times New Roman" w:cs="Times New Roman"/>
          <w:i/>
          <w:iCs/>
          <w:sz w:val="24"/>
          <w:szCs w:val="24"/>
        </w:rPr>
        <w:t>“Multiple Perspective on Development communication” In Development and Communication in Africa, ed .C.C Okigbo and F. Eribo, 55-64. USA: Rowman &amp; little Publications, Inc.</w:t>
      </w:r>
    </w:p>
    <w:p w14:paraId="41BBC7C3"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Social Watch Coalition. National Reports—Ghana: MDGs Remain Elusive. Available online: http: //www.socialwatch.org/node/12082 (accessed on 31 May 2020).</w:t>
      </w:r>
    </w:p>
    <w:p w14:paraId="5BEB5B94" w14:textId="77777777" w:rsidR="004F38BE" w:rsidRPr="00FC5FCC" w:rsidRDefault="004F38BE" w:rsidP="00F26482">
      <w:pPr>
        <w:spacing w:before="24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Sofield, T., &amp; Li, S. (2011). Tourism governance and sustainable national development in China: A macro-level synthesis. </w:t>
      </w:r>
      <w:r w:rsidRPr="00FC5FCC">
        <w:rPr>
          <w:rFonts w:ascii="Times New Roman" w:hAnsi="Times New Roman" w:cs="Times New Roman"/>
          <w:i/>
          <w:iCs/>
          <w:color w:val="222222"/>
          <w:sz w:val="24"/>
          <w:szCs w:val="24"/>
          <w:shd w:val="clear" w:color="auto" w:fill="FFFFFF"/>
        </w:rPr>
        <w:t>Journal of Sustainable Tourism</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19</w:t>
      </w:r>
      <w:r w:rsidRPr="00FC5FCC">
        <w:rPr>
          <w:rFonts w:ascii="Times New Roman" w:hAnsi="Times New Roman" w:cs="Times New Roman"/>
          <w:color w:val="222222"/>
          <w:sz w:val="24"/>
          <w:szCs w:val="24"/>
          <w:shd w:val="clear" w:color="auto" w:fill="FFFFFF"/>
        </w:rPr>
        <w:t>(4-5), 501-534.</w:t>
      </w:r>
    </w:p>
    <w:p w14:paraId="6F253180"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Songsore, J. (1989). 'The Spatial Impress and Dynamics of Underdevelopment in Ghana. In Swindell, K., Baba, J.M., and Mortimore, M.J. (eds), Inequality and Development: Case Studies from the Third World (London: Macmillan).</w:t>
      </w:r>
    </w:p>
    <w:p w14:paraId="00E8FB8E"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SP, I. W. (2014). Part A: Global and sectoral aspects, summary for policymakers. </w:t>
      </w:r>
      <w:r w:rsidRPr="00FC5FCC">
        <w:rPr>
          <w:rFonts w:ascii="Times New Roman" w:hAnsi="Times New Roman" w:cs="Times New Roman"/>
          <w:i/>
          <w:iCs/>
          <w:color w:val="222222"/>
          <w:sz w:val="24"/>
          <w:szCs w:val="24"/>
          <w:shd w:val="clear" w:color="auto" w:fill="FFFFFF"/>
        </w:rPr>
        <w:t>AR5 Climate Change</w:t>
      </w:r>
      <w:r w:rsidRPr="00FC5FCC">
        <w:rPr>
          <w:rFonts w:ascii="Times New Roman" w:hAnsi="Times New Roman" w:cs="Times New Roman"/>
          <w:color w:val="222222"/>
          <w:sz w:val="24"/>
          <w:szCs w:val="24"/>
          <w:shd w:val="clear" w:color="auto" w:fill="FFFFFF"/>
        </w:rPr>
        <w:t>.</w:t>
      </w:r>
    </w:p>
    <w:p w14:paraId="05073A66"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Stark, O., &amp; Bloom, D. E. (1985). The new economics of labor migration. </w:t>
      </w:r>
      <w:r w:rsidRPr="00FC5FCC">
        <w:rPr>
          <w:rFonts w:ascii="Times New Roman" w:hAnsi="Times New Roman" w:cs="Times New Roman"/>
          <w:i/>
          <w:iCs/>
          <w:color w:val="222222"/>
          <w:sz w:val="24"/>
          <w:szCs w:val="24"/>
          <w:shd w:val="clear" w:color="auto" w:fill="FFFFFF"/>
        </w:rPr>
        <w:t>The american Economic review</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75</w:t>
      </w:r>
      <w:r w:rsidRPr="00FC5FCC">
        <w:rPr>
          <w:rFonts w:ascii="Times New Roman" w:hAnsi="Times New Roman" w:cs="Times New Roman"/>
          <w:color w:val="222222"/>
          <w:sz w:val="24"/>
          <w:szCs w:val="24"/>
          <w:shd w:val="clear" w:color="auto" w:fill="FFFFFF"/>
        </w:rPr>
        <w:t>(2), 173-178.</w:t>
      </w:r>
    </w:p>
    <w:p w14:paraId="01581D4C" w14:textId="77777777" w:rsidR="004F38BE" w:rsidRPr="00FC5FCC" w:rsidRDefault="004F38BE" w:rsidP="001B151B">
      <w:pPr>
        <w:rPr>
          <w:rFonts w:ascii="Times New Roman" w:hAnsi="Times New Roman" w:cs="Times New Roman"/>
          <w:sz w:val="24"/>
          <w:szCs w:val="24"/>
        </w:rPr>
      </w:pPr>
      <w:r w:rsidRPr="00FC5FCC">
        <w:rPr>
          <w:rFonts w:ascii="Times New Roman" w:hAnsi="Times New Roman" w:cs="Times New Roman"/>
          <w:color w:val="222222"/>
          <w:sz w:val="24"/>
          <w:szCs w:val="24"/>
          <w:shd w:val="clear" w:color="auto" w:fill="FFFFFF"/>
        </w:rPr>
        <w:t>Steel, G., &amp; Van Lindert, P. (2017). </w:t>
      </w:r>
      <w:r w:rsidRPr="00FC5FCC">
        <w:rPr>
          <w:rFonts w:ascii="Times New Roman" w:hAnsi="Times New Roman" w:cs="Times New Roman"/>
          <w:i/>
          <w:iCs/>
          <w:color w:val="222222"/>
          <w:sz w:val="24"/>
          <w:szCs w:val="24"/>
          <w:shd w:val="clear" w:color="auto" w:fill="FFFFFF"/>
        </w:rPr>
        <w:t>Rural livelihood transformations and local development in Cameroon, Ghana and Tanzania</w:t>
      </w:r>
      <w:r w:rsidRPr="00FC5FCC">
        <w:rPr>
          <w:rFonts w:ascii="Times New Roman" w:hAnsi="Times New Roman" w:cs="Times New Roman"/>
          <w:color w:val="222222"/>
          <w:sz w:val="24"/>
          <w:szCs w:val="24"/>
          <w:shd w:val="clear" w:color="auto" w:fill="FFFFFF"/>
        </w:rPr>
        <w:t>. London: International Institute for Environment and Development</w:t>
      </w:r>
    </w:p>
    <w:p w14:paraId="2C689B19"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Suttie, D. (2016). IFAD RESEARCH SERIES 2-Migration and transformative pathways: a rural perspective. </w:t>
      </w:r>
      <w:r w:rsidRPr="00FC5FCC">
        <w:rPr>
          <w:rFonts w:ascii="Times New Roman" w:hAnsi="Times New Roman" w:cs="Times New Roman"/>
          <w:i/>
          <w:iCs/>
          <w:color w:val="222222"/>
          <w:sz w:val="24"/>
          <w:szCs w:val="24"/>
          <w:shd w:val="clear" w:color="auto" w:fill="FFFFFF"/>
        </w:rPr>
        <w:t xml:space="preserve">IFAD </w:t>
      </w:r>
      <w:r w:rsidRPr="00FC5FCC">
        <w:rPr>
          <w:rFonts w:ascii="Times New Roman" w:hAnsi="Times New Roman" w:cs="Times New Roman"/>
          <w:color w:val="222222"/>
          <w:sz w:val="24"/>
          <w:szCs w:val="24"/>
          <w:shd w:val="clear" w:color="auto" w:fill="FFFFFF"/>
        </w:rPr>
        <w:t>Research Series.</w:t>
      </w:r>
    </w:p>
    <w:p w14:paraId="4412E846" w14:textId="77777777" w:rsidR="004F38BE" w:rsidRPr="00FC5FCC" w:rsidRDefault="004F38BE" w:rsidP="00F26482">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Todaro &amp; Smith, 2003. Todaro MP, Smith SC (2003). </w:t>
      </w:r>
      <w:r w:rsidRPr="00FC5FCC">
        <w:rPr>
          <w:rFonts w:ascii="Times New Roman" w:hAnsi="Times New Roman" w:cs="Times New Roman"/>
          <w:i/>
          <w:iCs/>
          <w:sz w:val="24"/>
          <w:szCs w:val="24"/>
        </w:rPr>
        <w:t>Economic development. India: Pearson Education.</w:t>
      </w:r>
    </w:p>
    <w:p w14:paraId="24659F4F" w14:textId="77777777" w:rsidR="004F38BE" w:rsidRPr="00FC5FCC" w:rsidRDefault="004F38BE" w:rsidP="00F26482">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 xml:space="preserve">UNDP (1996). </w:t>
      </w:r>
      <w:r w:rsidRPr="00FC5FCC">
        <w:rPr>
          <w:rFonts w:ascii="Times New Roman" w:hAnsi="Times New Roman" w:cs="Times New Roman"/>
          <w:i/>
          <w:iCs/>
          <w:sz w:val="24"/>
          <w:szCs w:val="24"/>
        </w:rPr>
        <w:t>Human development report 1996: Economic growth and human development New York: Oxford University Press. WFP (2009).</w:t>
      </w:r>
    </w:p>
    <w:p w14:paraId="699D5BA2" w14:textId="77777777" w:rsidR="004F38BE" w:rsidRPr="00FC5FCC" w:rsidRDefault="004F38BE" w:rsidP="00F26482">
      <w:pPr>
        <w:spacing w:after="0" w:line="360" w:lineRule="auto"/>
        <w:jc w:val="both"/>
        <w:rPr>
          <w:rFonts w:ascii="Times New Roman" w:eastAsia="Times New Roman" w:hAnsi="Times New Roman" w:cs="Times New Roman"/>
          <w:b/>
          <w:bCs/>
          <w:color w:val="0E101A"/>
          <w:sz w:val="24"/>
          <w:szCs w:val="24"/>
          <w:lang w:eastAsia="en-CA"/>
        </w:rPr>
      </w:pPr>
      <w:r w:rsidRPr="00FC5FCC">
        <w:rPr>
          <w:rFonts w:ascii="Times New Roman" w:hAnsi="Times New Roman" w:cs="Times New Roman"/>
          <w:sz w:val="24"/>
          <w:szCs w:val="24"/>
        </w:rPr>
        <w:t>United Nations (2011), “The Millennium Development Goals reports 2011”, United Nations, New York, NY.</w:t>
      </w:r>
    </w:p>
    <w:p w14:paraId="54D1500F" w14:textId="77777777" w:rsidR="004F38BE" w:rsidRPr="00FC5FCC" w:rsidRDefault="004F38BE" w:rsidP="00F26482">
      <w:pPr>
        <w:spacing w:before="240"/>
        <w:jc w:val="both"/>
        <w:rPr>
          <w:rFonts w:ascii="Times New Roman" w:hAnsi="Times New Roman" w:cs="Times New Roman"/>
          <w:sz w:val="24"/>
          <w:szCs w:val="24"/>
        </w:rPr>
      </w:pPr>
      <w:r w:rsidRPr="00FC5FCC">
        <w:rPr>
          <w:rFonts w:ascii="Times New Roman" w:hAnsi="Times New Roman" w:cs="Times New Roman"/>
          <w:color w:val="222222"/>
          <w:sz w:val="24"/>
          <w:szCs w:val="24"/>
          <w:shd w:val="clear" w:color="auto" w:fill="FFFFFF"/>
        </w:rPr>
        <w:t>Volkart, E. H. (1951). Social behavior and personality: contributions of WI Thomas to theory and social research.</w:t>
      </w:r>
    </w:p>
    <w:p w14:paraId="7CF9331A" w14:textId="77777777" w:rsidR="004F38BE" w:rsidRPr="00FC5FCC" w:rsidRDefault="004F38BE" w:rsidP="00F26482">
      <w:pPr>
        <w:spacing w:line="360" w:lineRule="auto"/>
        <w:jc w:val="both"/>
        <w:rPr>
          <w:rFonts w:ascii="Times New Roman" w:hAnsi="Times New Roman" w:cs="Times New Roman"/>
          <w:sz w:val="24"/>
          <w:szCs w:val="24"/>
        </w:rPr>
      </w:pPr>
      <w:r w:rsidRPr="00FC5FCC">
        <w:rPr>
          <w:rFonts w:ascii="Times New Roman" w:hAnsi="Times New Roman" w:cs="Times New Roman"/>
          <w:sz w:val="24"/>
          <w:szCs w:val="24"/>
        </w:rPr>
        <w:t xml:space="preserve">World Bank (2001). </w:t>
      </w:r>
      <w:r w:rsidRPr="00FC5FCC">
        <w:rPr>
          <w:rFonts w:ascii="Times New Roman" w:hAnsi="Times New Roman" w:cs="Times New Roman"/>
          <w:i/>
          <w:iCs/>
          <w:sz w:val="24"/>
          <w:szCs w:val="24"/>
        </w:rPr>
        <w:t>World Bank rural development strategy: reaching the rural poor. Washington DC: World Bank</w:t>
      </w:r>
      <w:r w:rsidRPr="00FC5FCC">
        <w:rPr>
          <w:rFonts w:ascii="Times New Roman" w:hAnsi="Times New Roman" w:cs="Times New Roman"/>
          <w:sz w:val="24"/>
          <w:szCs w:val="24"/>
        </w:rPr>
        <w:t>.</w:t>
      </w:r>
    </w:p>
    <w:p w14:paraId="7F2A5C9C"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World Bank (2009). World Development Indicators. (online) Available from: http//www.worldbank.prg/org/data/countrydata.Html.</w:t>
      </w:r>
    </w:p>
    <w:p w14:paraId="172FC9BB" w14:textId="77777777" w:rsidR="004F38BE" w:rsidRPr="00FC5FCC" w:rsidRDefault="004F38BE" w:rsidP="00F26482">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World Bank. (2020). Poverty and equity brief: Sub-Saharan Africa, Nigeria.</w:t>
      </w:r>
    </w:p>
    <w:p w14:paraId="1F5AC48E" w14:textId="77777777" w:rsidR="004F38BE" w:rsidRPr="00FC5FCC" w:rsidRDefault="004F38BE" w:rsidP="00F26482">
      <w:pPr>
        <w:spacing w:before="24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Yeboah-Boateng, E. O., &amp; Essandoh, K. A. (2014). Factors influencing the adoption of cloud computing by small and medium enterprises in developing economies. </w:t>
      </w:r>
      <w:r w:rsidRPr="00FC5FCC">
        <w:rPr>
          <w:rFonts w:ascii="Times New Roman" w:hAnsi="Times New Roman" w:cs="Times New Roman"/>
          <w:i/>
          <w:iCs/>
          <w:color w:val="222222"/>
          <w:sz w:val="24"/>
          <w:szCs w:val="24"/>
          <w:shd w:val="clear" w:color="auto" w:fill="FFFFFF"/>
        </w:rPr>
        <w:t>International Journal of Emerging Science and Engineering</w:t>
      </w:r>
      <w:r w:rsidRPr="00FC5FCC">
        <w:rPr>
          <w:rFonts w:ascii="Times New Roman" w:hAnsi="Times New Roman" w:cs="Times New Roman"/>
          <w:color w:val="222222"/>
          <w:sz w:val="24"/>
          <w:szCs w:val="24"/>
          <w:shd w:val="clear" w:color="auto" w:fill="FFFFFF"/>
        </w:rPr>
        <w:t>, </w:t>
      </w:r>
      <w:r w:rsidRPr="00FC5FCC">
        <w:rPr>
          <w:rFonts w:ascii="Times New Roman" w:hAnsi="Times New Roman" w:cs="Times New Roman"/>
          <w:i/>
          <w:iCs/>
          <w:color w:val="222222"/>
          <w:sz w:val="24"/>
          <w:szCs w:val="24"/>
          <w:shd w:val="clear" w:color="auto" w:fill="FFFFFF"/>
        </w:rPr>
        <w:t>2</w:t>
      </w:r>
      <w:r w:rsidRPr="00FC5FCC">
        <w:rPr>
          <w:rFonts w:ascii="Times New Roman" w:hAnsi="Times New Roman" w:cs="Times New Roman"/>
          <w:color w:val="222222"/>
          <w:sz w:val="24"/>
          <w:szCs w:val="24"/>
          <w:shd w:val="clear" w:color="auto" w:fill="FFFFFF"/>
        </w:rPr>
        <w:t xml:space="preserve">(4), 13-20. </w:t>
      </w:r>
    </w:p>
    <w:p w14:paraId="78334935" w14:textId="77777777" w:rsidR="004F38BE" w:rsidRPr="00FC5FCC" w:rsidRDefault="004F38BE" w:rsidP="004C084F">
      <w:pPr>
        <w:spacing w:line="360" w:lineRule="auto"/>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Ypserle, J. P. (2014). </w:t>
      </w:r>
      <w:r w:rsidRPr="00FC5FCC">
        <w:rPr>
          <w:rFonts w:ascii="Times New Roman" w:hAnsi="Times New Roman" w:cs="Times New Roman"/>
          <w:i/>
          <w:iCs/>
          <w:color w:val="222222"/>
          <w:sz w:val="24"/>
          <w:szCs w:val="24"/>
          <w:shd w:val="clear" w:color="auto" w:fill="FFFFFF"/>
        </w:rPr>
        <w:t>Climate change 2014: synthesis report. Contribution of Working Groups I, II and III to the fifth assessment report of the Intergovernmental Panel on Climate Change</w:t>
      </w:r>
      <w:r w:rsidRPr="00FC5FCC">
        <w:rPr>
          <w:rFonts w:ascii="Times New Roman" w:hAnsi="Times New Roman" w:cs="Times New Roman"/>
          <w:color w:val="222222"/>
          <w:sz w:val="24"/>
          <w:szCs w:val="24"/>
          <w:shd w:val="clear" w:color="auto" w:fill="FFFFFF"/>
        </w:rPr>
        <w:t> (p. 151). Ipcc.</w:t>
      </w:r>
    </w:p>
    <w:p w14:paraId="628C7D59" w14:textId="77777777" w:rsidR="004F38BE" w:rsidRPr="00FC5FCC" w:rsidRDefault="004F38BE" w:rsidP="00F26482">
      <w:pPr>
        <w:spacing w:line="360" w:lineRule="auto"/>
        <w:jc w:val="both"/>
        <w:rPr>
          <w:rFonts w:ascii="Times New Roman" w:hAnsi="Times New Roman" w:cs="Times New Roman"/>
          <w:i/>
          <w:iCs/>
          <w:sz w:val="24"/>
          <w:szCs w:val="24"/>
        </w:rPr>
      </w:pPr>
      <w:r w:rsidRPr="00FC5FCC">
        <w:rPr>
          <w:rFonts w:ascii="Times New Roman" w:hAnsi="Times New Roman" w:cs="Times New Roman"/>
          <w:sz w:val="24"/>
          <w:szCs w:val="24"/>
        </w:rPr>
        <w:t>Zacher, H. &amp; Froidevaux, A</w:t>
      </w:r>
      <w:r w:rsidRPr="00FC5FCC">
        <w:rPr>
          <w:rFonts w:ascii="Times New Roman" w:hAnsi="Times New Roman" w:cs="Times New Roman"/>
          <w:i/>
          <w:iCs/>
          <w:sz w:val="24"/>
          <w:szCs w:val="24"/>
        </w:rPr>
        <w:t>. (in press). Life stage, lifespan, and life course perspectives on vocational behavior and development: A theoretical framework, review, and research agenda. Journal of Vocational Behavior.</w:t>
      </w:r>
    </w:p>
    <w:p w14:paraId="42B1AC5A" w14:textId="77777777" w:rsidR="004F38BE" w:rsidRPr="00FC5FCC" w:rsidRDefault="004F38BE" w:rsidP="00F26482">
      <w:pPr>
        <w:shd w:val="clear" w:color="auto" w:fill="FFFFFF"/>
        <w:spacing w:before="100" w:beforeAutospacing="1" w:after="100" w:afterAutospacing="1" w:line="360" w:lineRule="auto"/>
        <w:jc w:val="both"/>
        <w:rPr>
          <w:rFonts w:ascii="Times New Roman" w:hAnsi="Times New Roman" w:cs="Times New Roman"/>
          <w:sz w:val="24"/>
          <w:szCs w:val="24"/>
        </w:rPr>
      </w:pPr>
      <w:r w:rsidRPr="00FC5FCC">
        <w:rPr>
          <w:rFonts w:ascii="Times New Roman" w:hAnsi="Times New Roman" w:cs="Times New Roman"/>
          <w:sz w:val="24"/>
          <w:szCs w:val="24"/>
        </w:rPr>
        <w:t>Zhou, Y., H. Hua, and S. Harrell. 2008. “From Labour to Capital: Intra-Village Inequality in Rural China, 1988–2006.” The China Quarterly 195:513–34</w:t>
      </w:r>
    </w:p>
    <w:p w14:paraId="352DDD8D" w14:textId="77777777" w:rsidR="004F38BE" w:rsidRDefault="004F38BE" w:rsidP="00F26482">
      <w:pPr>
        <w:spacing w:before="240"/>
        <w:jc w:val="both"/>
        <w:rPr>
          <w:rFonts w:ascii="Times New Roman" w:hAnsi="Times New Roman" w:cs="Times New Roman"/>
          <w:color w:val="222222"/>
          <w:sz w:val="24"/>
          <w:szCs w:val="24"/>
          <w:shd w:val="clear" w:color="auto" w:fill="FFFFFF"/>
        </w:rPr>
      </w:pPr>
      <w:r w:rsidRPr="00FC5FCC">
        <w:rPr>
          <w:rFonts w:ascii="Times New Roman" w:hAnsi="Times New Roman" w:cs="Times New Roman"/>
          <w:color w:val="222222"/>
          <w:sz w:val="24"/>
          <w:szCs w:val="24"/>
          <w:shd w:val="clear" w:color="auto" w:fill="FFFFFF"/>
        </w:rPr>
        <w:t>Zhu, K. (2007). </w:t>
      </w:r>
      <w:r w:rsidRPr="00FC5FCC">
        <w:rPr>
          <w:rFonts w:ascii="Times New Roman" w:hAnsi="Times New Roman" w:cs="Times New Roman"/>
          <w:i/>
          <w:iCs/>
          <w:color w:val="222222"/>
          <w:sz w:val="24"/>
          <w:szCs w:val="24"/>
          <w:shd w:val="clear" w:color="auto" w:fill="FFFFFF"/>
        </w:rPr>
        <w:t>Operator theory in function spaces</w:t>
      </w:r>
      <w:r w:rsidRPr="00FC5FCC">
        <w:rPr>
          <w:rFonts w:ascii="Times New Roman" w:hAnsi="Times New Roman" w:cs="Times New Roman"/>
          <w:color w:val="222222"/>
          <w:sz w:val="24"/>
          <w:szCs w:val="24"/>
          <w:shd w:val="clear" w:color="auto" w:fill="FFFFFF"/>
        </w:rPr>
        <w:t> (No. 138). American Mathematical Soc.</w:t>
      </w:r>
      <w:bookmarkStart w:id="91" w:name="_GoBack"/>
      <w:bookmarkEnd w:id="91"/>
    </w:p>
    <w:p w14:paraId="1AAA6F46" w14:textId="77777777" w:rsidR="001B151B" w:rsidRPr="007A5BEF" w:rsidRDefault="001B151B" w:rsidP="007A5BEF">
      <w:pPr>
        <w:spacing w:line="360" w:lineRule="auto"/>
        <w:rPr>
          <w:rFonts w:ascii="Times New Roman" w:hAnsi="Times New Roman" w:cs="Times New Roman"/>
          <w:color w:val="222222"/>
          <w:sz w:val="24"/>
          <w:szCs w:val="24"/>
          <w:shd w:val="clear" w:color="auto" w:fill="FFFFFF"/>
        </w:rPr>
      </w:pPr>
    </w:p>
    <w:p w14:paraId="3D5CFCD8" w14:textId="77777777" w:rsidR="009A4E0C" w:rsidRPr="00DE0FCE" w:rsidRDefault="009A4E0C" w:rsidP="007462D3">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lang w:eastAsia="en-CA"/>
        </w:rPr>
      </w:pPr>
    </w:p>
    <w:sectPr w:rsidR="009A4E0C" w:rsidRPr="00DE0FCE" w:rsidSect="000A2B52">
      <w:footerReference w:type="default" r:id="rId20"/>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7080BB" w14:textId="77777777" w:rsidR="003C745C" w:rsidRDefault="003C745C" w:rsidP="00BE2334">
      <w:pPr>
        <w:spacing w:after="0" w:line="240" w:lineRule="auto"/>
      </w:pPr>
      <w:r>
        <w:separator/>
      </w:r>
    </w:p>
  </w:endnote>
  <w:endnote w:type="continuationSeparator" w:id="0">
    <w:p w14:paraId="6740A22B" w14:textId="77777777" w:rsidR="003C745C" w:rsidRDefault="003C745C" w:rsidP="00BE23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2222601"/>
      <w:docPartObj>
        <w:docPartGallery w:val="Page Numbers (Bottom of Page)"/>
        <w:docPartUnique/>
      </w:docPartObj>
    </w:sdtPr>
    <w:sdtEndPr>
      <w:rPr>
        <w:noProof/>
      </w:rPr>
    </w:sdtEndPr>
    <w:sdtContent>
      <w:p w14:paraId="5B3D0490" w14:textId="3E012120" w:rsidR="00543BA9" w:rsidRDefault="00543B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E71CFEC" w14:textId="77777777" w:rsidR="00543BA9" w:rsidRDefault="00543B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60790025"/>
      <w:docPartObj>
        <w:docPartGallery w:val="Page Numbers (Bottom of Page)"/>
        <w:docPartUnique/>
      </w:docPartObj>
    </w:sdtPr>
    <w:sdtEndPr>
      <w:rPr>
        <w:noProof/>
      </w:rPr>
    </w:sdtEndPr>
    <w:sdtContent>
      <w:p w14:paraId="0F1CC6C9" w14:textId="77777777" w:rsidR="00543BA9" w:rsidRDefault="00543B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E02B721" w14:textId="77777777" w:rsidR="00543BA9" w:rsidRDefault="00543B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8103008"/>
      <w:docPartObj>
        <w:docPartGallery w:val="Page Numbers (Bottom of Page)"/>
        <w:docPartUnique/>
      </w:docPartObj>
    </w:sdtPr>
    <w:sdtEndPr>
      <w:rPr>
        <w:noProof/>
      </w:rPr>
    </w:sdtEndPr>
    <w:sdtContent>
      <w:p w14:paraId="7CD69B06" w14:textId="77777777" w:rsidR="00543BA9" w:rsidRDefault="00543B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006347B" w14:textId="77777777" w:rsidR="00543BA9" w:rsidRDefault="00543BA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7123358"/>
      <w:docPartObj>
        <w:docPartGallery w:val="Page Numbers (Bottom of Page)"/>
        <w:docPartUnique/>
      </w:docPartObj>
    </w:sdtPr>
    <w:sdtEndPr>
      <w:rPr>
        <w:noProof/>
      </w:rPr>
    </w:sdtEndPr>
    <w:sdtContent>
      <w:p w14:paraId="1422EE56" w14:textId="77777777" w:rsidR="00543BA9" w:rsidRDefault="00543B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B1E14F6" w14:textId="77777777" w:rsidR="00543BA9" w:rsidRDefault="00543B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1D95F7" w14:textId="77777777" w:rsidR="003C745C" w:rsidRDefault="003C745C" w:rsidP="00BE2334">
      <w:pPr>
        <w:spacing w:after="0" w:line="240" w:lineRule="auto"/>
      </w:pPr>
      <w:r>
        <w:separator/>
      </w:r>
    </w:p>
  </w:footnote>
  <w:footnote w:type="continuationSeparator" w:id="0">
    <w:p w14:paraId="7193B559" w14:textId="77777777" w:rsidR="003C745C" w:rsidRDefault="003C745C" w:rsidP="00BE23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C28F5"/>
    <w:multiLevelType w:val="hybridMultilevel"/>
    <w:tmpl w:val="3E7A1AFE"/>
    <w:lvl w:ilvl="0" w:tplc="10090013">
      <w:start w:val="1"/>
      <w:numFmt w:val="upp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2B923F10"/>
    <w:multiLevelType w:val="hybridMultilevel"/>
    <w:tmpl w:val="0DA836E6"/>
    <w:lvl w:ilvl="0" w:tplc="10090013">
      <w:start w:val="1"/>
      <w:numFmt w:val="upp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624F2E65"/>
    <w:multiLevelType w:val="hybridMultilevel"/>
    <w:tmpl w:val="348E9D44"/>
    <w:lvl w:ilvl="0" w:tplc="10090013">
      <w:start w:val="1"/>
      <w:numFmt w:val="upp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1"/>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B69"/>
    <w:rsid w:val="00005CB5"/>
    <w:rsid w:val="00033594"/>
    <w:rsid w:val="00033CE5"/>
    <w:rsid w:val="000407B4"/>
    <w:rsid w:val="000429A2"/>
    <w:rsid w:val="00047D85"/>
    <w:rsid w:val="00050DB9"/>
    <w:rsid w:val="00060976"/>
    <w:rsid w:val="00064F8B"/>
    <w:rsid w:val="0007256C"/>
    <w:rsid w:val="00074AD7"/>
    <w:rsid w:val="00075C5F"/>
    <w:rsid w:val="00083700"/>
    <w:rsid w:val="00087AED"/>
    <w:rsid w:val="000A2B52"/>
    <w:rsid w:val="000A5F2B"/>
    <w:rsid w:val="000B5051"/>
    <w:rsid w:val="000B6E90"/>
    <w:rsid w:val="000C09A8"/>
    <w:rsid w:val="000D0D8F"/>
    <w:rsid w:val="000F6B7E"/>
    <w:rsid w:val="00101B62"/>
    <w:rsid w:val="00116B3C"/>
    <w:rsid w:val="00117990"/>
    <w:rsid w:val="001221C2"/>
    <w:rsid w:val="00140C8F"/>
    <w:rsid w:val="00140CD8"/>
    <w:rsid w:val="00170DDC"/>
    <w:rsid w:val="00171628"/>
    <w:rsid w:val="00173B1A"/>
    <w:rsid w:val="0018106D"/>
    <w:rsid w:val="00183159"/>
    <w:rsid w:val="001A0964"/>
    <w:rsid w:val="001A297E"/>
    <w:rsid w:val="001A3719"/>
    <w:rsid w:val="001A5C0A"/>
    <w:rsid w:val="001A5D74"/>
    <w:rsid w:val="001A7D18"/>
    <w:rsid w:val="001B151B"/>
    <w:rsid w:val="001B3E6F"/>
    <w:rsid w:val="001B49E9"/>
    <w:rsid w:val="001C1969"/>
    <w:rsid w:val="001C3043"/>
    <w:rsid w:val="001C6D03"/>
    <w:rsid w:val="001D0DE5"/>
    <w:rsid w:val="001D506E"/>
    <w:rsid w:val="001F1BFE"/>
    <w:rsid w:val="001F31F0"/>
    <w:rsid w:val="0020296C"/>
    <w:rsid w:val="0020541F"/>
    <w:rsid w:val="00205D73"/>
    <w:rsid w:val="00210B69"/>
    <w:rsid w:val="00212FD0"/>
    <w:rsid w:val="00222C46"/>
    <w:rsid w:val="00237723"/>
    <w:rsid w:val="002423B7"/>
    <w:rsid w:val="0024300C"/>
    <w:rsid w:val="0025719F"/>
    <w:rsid w:val="002637EB"/>
    <w:rsid w:val="00275B56"/>
    <w:rsid w:val="002823D3"/>
    <w:rsid w:val="002A0C30"/>
    <w:rsid w:val="002A4018"/>
    <w:rsid w:val="002A44B4"/>
    <w:rsid w:val="002B0FF6"/>
    <w:rsid w:val="002B46D2"/>
    <w:rsid w:val="002B6681"/>
    <w:rsid w:val="002C7B35"/>
    <w:rsid w:val="002D0029"/>
    <w:rsid w:val="002D422A"/>
    <w:rsid w:val="002E0270"/>
    <w:rsid w:val="002F31F9"/>
    <w:rsid w:val="002F3DCD"/>
    <w:rsid w:val="00304080"/>
    <w:rsid w:val="003358F7"/>
    <w:rsid w:val="0035026E"/>
    <w:rsid w:val="003511F1"/>
    <w:rsid w:val="003547D1"/>
    <w:rsid w:val="00362B3D"/>
    <w:rsid w:val="003630EB"/>
    <w:rsid w:val="00382063"/>
    <w:rsid w:val="00394456"/>
    <w:rsid w:val="00395E9D"/>
    <w:rsid w:val="003A544E"/>
    <w:rsid w:val="003B3700"/>
    <w:rsid w:val="003C5730"/>
    <w:rsid w:val="003C745C"/>
    <w:rsid w:val="003C748A"/>
    <w:rsid w:val="003D2386"/>
    <w:rsid w:val="003D30FF"/>
    <w:rsid w:val="003D41CF"/>
    <w:rsid w:val="003D7ACC"/>
    <w:rsid w:val="003F5DC3"/>
    <w:rsid w:val="0040021A"/>
    <w:rsid w:val="004023B6"/>
    <w:rsid w:val="0042322A"/>
    <w:rsid w:val="004453A2"/>
    <w:rsid w:val="00460B4F"/>
    <w:rsid w:val="0046658B"/>
    <w:rsid w:val="00495322"/>
    <w:rsid w:val="004A366D"/>
    <w:rsid w:val="004A5762"/>
    <w:rsid w:val="004C084F"/>
    <w:rsid w:val="004D18F0"/>
    <w:rsid w:val="004D1F9A"/>
    <w:rsid w:val="004D3E59"/>
    <w:rsid w:val="004E2E8D"/>
    <w:rsid w:val="004E53F9"/>
    <w:rsid w:val="004F38BE"/>
    <w:rsid w:val="005036E9"/>
    <w:rsid w:val="0051663C"/>
    <w:rsid w:val="00527A14"/>
    <w:rsid w:val="005403E4"/>
    <w:rsid w:val="00541363"/>
    <w:rsid w:val="00543BA9"/>
    <w:rsid w:val="0054455F"/>
    <w:rsid w:val="00545288"/>
    <w:rsid w:val="0054651C"/>
    <w:rsid w:val="00560A5A"/>
    <w:rsid w:val="0056225C"/>
    <w:rsid w:val="005633C5"/>
    <w:rsid w:val="00564594"/>
    <w:rsid w:val="00580E5B"/>
    <w:rsid w:val="00583A97"/>
    <w:rsid w:val="00591768"/>
    <w:rsid w:val="00592D4B"/>
    <w:rsid w:val="00595D4B"/>
    <w:rsid w:val="005A1BA2"/>
    <w:rsid w:val="005A2B4C"/>
    <w:rsid w:val="005A6812"/>
    <w:rsid w:val="005D26D4"/>
    <w:rsid w:val="005D35D6"/>
    <w:rsid w:val="005D435A"/>
    <w:rsid w:val="005F40CD"/>
    <w:rsid w:val="006103FF"/>
    <w:rsid w:val="00614A59"/>
    <w:rsid w:val="00621316"/>
    <w:rsid w:val="00634187"/>
    <w:rsid w:val="00634280"/>
    <w:rsid w:val="006629B3"/>
    <w:rsid w:val="00666C29"/>
    <w:rsid w:val="006670A0"/>
    <w:rsid w:val="006735FC"/>
    <w:rsid w:val="00684D92"/>
    <w:rsid w:val="00686103"/>
    <w:rsid w:val="006A0390"/>
    <w:rsid w:val="006A30A6"/>
    <w:rsid w:val="006B0897"/>
    <w:rsid w:val="006B1AD9"/>
    <w:rsid w:val="006B4991"/>
    <w:rsid w:val="006C1BBA"/>
    <w:rsid w:val="006C5494"/>
    <w:rsid w:val="006D2658"/>
    <w:rsid w:val="006E2A1B"/>
    <w:rsid w:val="00707853"/>
    <w:rsid w:val="00712186"/>
    <w:rsid w:val="00720F8C"/>
    <w:rsid w:val="00722616"/>
    <w:rsid w:val="007317F1"/>
    <w:rsid w:val="00734733"/>
    <w:rsid w:val="00737390"/>
    <w:rsid w:val="007462D3"/>
    <w:rsid w:val="007524BF"/>
    <w:rsid w:val="007631FB"/>
    <w:rsid w:val="00764A6E"/>
    <w:rsid w:val="00766A48"/>
    <w:rsid w:val="00782360"/>
    <w:rsid w:val="007854CE"/>
    <w:rsid w:val="007951D7"/>
    <w:rsid w:val="00795308"/>
    <w:rsid w:val="00795EF1"/>
    <w:rsid w:val="00796B28"/>
    <w:rsid w:val="007A5BEF"/>
    <w:rsid w:val="007B573D"/>
    <w:rsid w:val="007B5FEB"/>
    <w:rsid w:val="007C06C9"/>
    <w:rsid w:val="007C132A"/>
    <w:rsid w:val="007C1603"/>
    <w:rsid w:val="007C1A1F"/>
    <w:rsid w:val="007C3B69"/>
    <w:rsid w:val="007C4ED2"/>
    <w:rsid w:val="007E23F1"/>
    <w:rsid w:val="0080139D"/>
    <w:rsid w:val="0080199E"/>
    <w:rsid w:val="00806A0E"/>
    <w:rsid w:val="00812E99"/>
    <w:rsid w:val="0081700C"/>
    <w:rsid w:val="00836F43"/>
    <w:rsid w:val="008601AA"/>
    <w:rsid w:val="00861F65"/>
    <w:rsid w:val="00871227"/>
    <w:rsid w:val="00871AD0"/>
    <w:rsid w:val="00880EAF"/>
    <w:rsid w:val="0088482B"/>
    <w:rsid w:val="00887EC0"/>
    <w:rsid w:val="00893390"/>
    <w:rsid w:val="008A1272"/>
    <w:rsid w:val="008A2DC5"/>
    <w:rsid w:val="008B302D"/>
    <w:rsid w:val="008C1F85"/>
    <w:rsid w:val="008C661F"/>
    <w:rsid w:val="008E16DB"/>
    <w:rsid w:val="008F1FA6"/>
    <w:rsid w:val="009028CB"/>
    <w:rsid w:val="00910E28"/>
    <w:rsid w:val="00925606"/>
    <w:rsid w:val="009256ED"/>
    <w:rsid w:val="00926582"/>
    <w:rsid w:val="00934FCB"/>
    <w:rsid w:val="00935A3A"/>
    <w:rsid w:val="009361A3"/>
    <w:rsid w:val="00966532"/>
    <w:rsid w:val="009708DF"/>
    <w:rsid w:val="00980BE6"/>
    <w:rsid w:val="00982042"/>
    <w:rsid w:val="00996D3D"/>
    <w:rsid w:val="009A4E0C"/>
    <w:rsid w:val="009A6FB6"/>
    <w:rsid w:val="009B4E4D"/>
    <w:rsid w:val="009C50A4"/>
    <w:rsid w:val="009E039F"/>
    <w:rsid w:val="009F1F21"/>
    <w:rsid w:val="009F31E0"/>
    <w:rsid w:val="009F5C42"/>
    <w:rsid w:val="00A06B6B"/>
    <w:rsid w:val="00A11610"/>
    <w:rsid w:val="00A13021"/>
    <w:rsid w:val="00A21217"/>
    <w:rsid w:val="00A3569F"/>
    <w:rsid w:val="00A37269"/>
    <w:rsid w:val="00A42693"/>
    <w:rsid w:val="00A46F5B"/>
    <w:rsid w:val="00A50659"/>
    <w:rsid w:val="00A516DE"/>
    <w:rsid w:val="00A60DA2"/>
    <w:rsid w:val="00A731A5"/>
    <w:rsid w:val="00A85A2F"/>
    <w:rsid w:val="00A86FE8"/>
    <w:rsid w:val="00A902C0"/>
    <w:rsid w:val="00A95387"/>
    <w:rsid w:val="00AA1EBC"/>
    <w:rsid w:val="00AA23F2"/>
    <w:rsid w:val="00AA373A"/>
    <w:rsid w:val="00AB413E"/>
    <w:rsid w:val="00AC004A"/>
    <w:rsid w:val="00AC09CE"/>
    <w:rsid w:val="00AC11BC"/>
    <w:rsid w:val="00AC2CDB"/>
    <w:rsid w:val="00AC789D"/>
    <w:rsid w:val="00AD0447"/>
    <w:rsid w:val="00AD0EDE"/>
    <w:rsid w:val="00AD62A6"/>
    <w:rsid w:val="00AE5402"/>
    <w:rsid w:val="00AF4052"/>
    <w:rsid w:val="00B003CA"/>
    <w:rsid w:val="00B17AA1"/>
    <w:rsid w:val="00B46165"/>
    <w:rsid w:val="00B54C41"/>
    <w:rsid w:val="00B64C4F"/>
    <w:rsid w:val="00B7673D"/>
    <w:rsid w:val="00B86D7F"/>
    <w:rsid w:val="00B8721B"/>
    <w:rsid w:val="00B9447A"/>
    <w:rsid w:val="00BA4CC5"/>
    <w:rsid w:val="00BB0AE4"/>
    <w:rsid w:val="00BB5C73"/>
    <w:rsid w:val="00BC2F28"/>
    <w:rsid w:val="00BD1308"/>
    <w:rsid w:val="00BD5F0B"/>
    <w:rsid w:val="00BD605C"/>
    <w:rsid w:val="00BE2334"/>
    <w:rsid w:val="00BF39DB"/>
    <w:rsid w:val="00BF5B93"/>
    <w:rsid w:val="00C03FF0"/>
    <w:rsid w:val="00C11632"/>
    <w:rsid w:val="00C13462"/>
    <w:rsid w:val="00C259D5"/>
    <w:rsid w:val="00C33497"/>
    <w:rsid w:val="00C5077A"/>
    <w:rsid w:val="00C6269F"/>
    <w:rsid w:val="00C67BBF"/>
    <w:rsid w:val="00C71FA4"/>
    <w:rsid w:val="00C74962"/>
    <w:rsid w:val="00C74E50"/>
    <w:rsid w:val="00C760D3"/>
    <w:rsid w:val="00C86117"/>
    <w:rsid w:val="00C932D8"/>
    <w:rsid w:val="00C94DB9"/>
    <w:rsid w:val="00CA222A"/>
    <w:rsid w:val="00CA7E1A"/>
    <w:rsid w:val="00CB2376"/>
    <w:rsid w:val="00CD16B2"/>
    <w:rsid w:val="00CD33C7"/>
    <w:rsid w:val="00D01201"/>
    <w:rsid w:val="00D04F89"/>
    <w:rsid w:val="00D219CB"/>
    <w:rsid w:val="00D22848"/>
    <w:rsid w:val="00D26317"/>
    <w:rsid w:val="00D300DE"/>
    <w:rsid w:val="00D378EC"/>
    <w:rsid w:val="00D4770A"/>
    <w:rsid w:val="00D543CD"/>
    <w:rsid w:val="00D546DA"/>
    <w:rsid w:val="00D55099"/>
    <w:rsid w:val="00D55FF3"/>
    <w:rsid w:val="00D62485"/>
    <w:rsid w:val="00D63493"/>
    <w:rsid w:val="00D66AA5"/>
    <w:rsid w:val="00D77F87"/>
    <w:rsid w:val="00D8628A"/>
    <w:rsid w:val="00D900F2"/>
    <w:rsid w:val="00D95B0D"/>
    <w:rsid w:val="00DA1481"/>
    <w:rsid w:val="00DA1949"/>
    <w:rsid w:val="00DA252F"/>
    <w:rsid w:val="00DB0F24"/>
    <w:rsid w:val="00DB6808"/>
    <w:rsid w:val="00DB68D6"/>
    <w:rsid w:val="00DD3463"/>
    <w:rsid w:val="00DF3C36"/>
    <w:rsid w:val="00E01C84"/>
    <w:rsid w:val="00E01FAF"/>
    <w:rsid w:val="00E07EB0"/>
    <w:rsid w:val="00E10B07"/>
    <w:rsid w:val="00E138E3"/>
    <w:rsid w:val="00E16728"/>
    <w:rsid w:val="00E35616"/>
    <w:rsid w:val="00E4106E"/>
    <w:rsid w:val="00E512A3"/>
    <w:rsid w:val="00E64434"/>
    <w:rsid w:val="00E65477"/>
    <w:rsid w:val="00E805FF"/>
    <w:rsid w:val="00E82AC2"/>
    <w:rsid w:val="00E8687C"/>
    <w:rsid w:val="00E87CAA"/>
    <w:rsid w:val="00EA066A"/>
    <w:rsid w:val="00EA6D88"/>
    <w:rsid w:val="00EC215D"/>
    <w:rsid w:val="00ED17A2"/>
    <w:rsid w:val="00ED35AE"/>
    <w:rsid w:val="00ED5655"/>
    <w:rsid w:val="00EE434C"/>
    <w:rsid w:val="00EE65F7"/>
    <w:rsid w:val="00EF60CC"/>
    <w:rsid w:val="00F00F78"/>
    <w:rsid w:val="00F0578B"/>
    <w:rsid w:val="00F11217"/>
    <w:rsid w:val="00F21111"/>
    <w:rsid w:val="00F26482"/>
    <w:rsid w:val="00F33F76"/>
    <w:rsid w:val="00F4360F"/>
    <w:rsid w:val="00F449DA"/>
    <w:rsid w:val="00F47BF9"/>
    <w:rsid w:val="00F51BF0"/>
    <w:rsid w:val="00F52C36"/>
    <w:rsid w:val="00F52FD9"/>
    <w:rsid w:val="00F53AC5"/>
    <w:rsid w:val="00F61438"/>
    <w:rsid w:val="00F61801"/>
    <w:rsid w:val="00F61D71"/>
    <w:rsid w:val="00F76028"/>
    <w:rsid w:val="00F8490A"/>
    <w:rsid w:val="00F90DF7"/>
    <w:rsid w:val="00FA4EAD"/>
    <w:rsid w:val="00FA74F7"/>
    <w:rsid w:val="00FB3E18"/>
    <w:rsid w:val="00FB3ECC"/>
    <w:rsid w:val="00FC108C"/>
    <w:rsid w:val="00FC48C0"/>
    <w:rsid w:val="00FC5FCC"/>
    <w:rsid w:val="00FD2D81"/>
    <w:rsid w:val="00FD6B8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E00A79"/>
  <w15:chartTrackingRefBased/>
  <w15:docId w15:val="{BED40054-3CD0-40E8-A281-22BF68CA4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222A"/>
    <w:pPr>
      <w:spacing w:after="160" w:line="256" w:lineRule="auto"/>
    </w:pPr>
    <w:rPr>
      <w:lang w:val="en-US"/>
    </w:rPr>
  </w:style>
  <w:style w:type="paragraph" w:styleId="Heading1">
    <w:name w:val="heading 1"/>
    <w:basedOn w:val="Normal"/>
    <w:next w:val="Normal"/>
    <w:link w:val="Heading1Char"/>
    <w:uiPriority w:val="9"/>
    <w:qFormat/>
    <w:rsid w:val="00A902C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7C4ED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7C4ED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A222A"/>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 w:type="paragraph" w:styleId="ListParagraph">
    <w:name w:val="List Paragraph"/>
    <w:basedOn w:val="Normal"/>
    <w:uiPriority w:val="34"/>
    <w:qFormat/>
    <w:rsid w:val="003511F1"/>
    <w:pPr>
      <w:ind w:left="720"/>
      <w:contextualSpacing/>
    </w:pPr>
  </w:style>
  <w:style w:type="character" w:styleId="Strong">
    <w:name w:val="Strong"/>
    <w:basedOn w:val="DefaultParagraphFont"/>
    <w:uiPriority w:val="22"/>
    <w:qFormat/>
    <w:rsid w:val="00966532"/>
    <w:rPr>
      <w:b/>
      <w:bCs/>
    </w:rPr>
  </w:style>
  <w:style w:type="paragraph" w:styleId="NormalWeb">
    <w:name w:val="Normal (Web)"/>
    <w:basedOn w:val="Normal"/>
    <w:uiPriority w:val="99"/>
    <w:unhideWhenUsed/>
    <w:rsid w:val="005A681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table" w:customStyle="1" w:styleId="TableGrid">
    <w:name w:val="TableGrid"/>
    <w:rsid w:val="006E2A1B"/>
    <w:pPr>
      <w:spacing w:after="0" w:line="240" w:lineRule="auto"/>
    </w:pPr>
    <w:rPr>
      <w:rFonts w:eastAsiaTheme="minorEastAsia"/>
      <w:lang w:val="en-US"/>
    </w:rPr>
    <w:tblPr>
      <w:tblCellMar>
        <w:top w:w="0" w:type="dxa"/>
        <w:left w:w="0" w:type="dxa"/>
        <w:bottom w:w="0" w:type="dxa"/>
        <w:right w:w="0" w:type="dxa"/>
      </w:tblCellMar>
    </w:tblPr>
  </w:style>
  <w:style w:type="paragraph" w:styleId="Header">
    <w:name w:val="header"/>
    <w:basedOn w:val="Normal"/>
    <w:link w:val="HeaderChar"/>
    <w:uiPriority w:val="99"/>
    <w:unhideWhenUsed/>
    <w:rsid w:val="00BE23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2334"/>
    <w:rPr>
      <w:lang w:val="en-US"/>
    </w:rPr>
  </w:style>
  <w:style w:type="paragraph" w:styleId="Footer">
    <w:name w:val="footer"/>
    <w:basedOn w:val="Normal"/>
    <w:link w:val="FooterChar"/>
    <w:uiPriority w:val="99"/>
    <w:unhideWhenUsed/>
    <w:rsid w:val="00BE23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2334"/>
    <w:rPr>
      <w:lang w:val="en-US"/>
    </w:rPr>
  </w:style>
  <w:style w:type="character" w:customStyle="1" w:styleId="Heading1Char">
    <w:name w:val="Heading 1 Char"/>
    <w:basedOn w:val="DefaultParagraphFont"/>
    <w:link w:val="Heading1"/>
    <w:uiPriority w:val="9"/>
    <w:rsid w:val="00A902C0"/>
    <w:rPr>
      <w:rFonts w:asciiTheme="majorHAnsi" w:eastAsiaTheme="majorEastAsia" w:hAnsiTheme="majorHAnsi" w:cstheme="majorBidi"/>
      <w:color w:val="365F91" w:themeColor="accent1" w:themeShade="BF"/>
      <w:sz w:val="32"/>
      <w:szCs w:val="32"/>
      <w:lang w:val="en-US"/>
    </w:rPr>
  </w:style>
  <w:style w:type="paragraph" w:styleId="TOCHeading">
    <w:name w:val="TOC Heading"/>
    <w:basedOn w:val="Heading1"/>
    <w:next w:val="Normal"/>
    <w:uiPriority w:val="39"/>
    <w:unhideWhenUsed/>
    <w:qFormat/>
    <w:rsid w:val="00A902C0"/>
    <w:pPr>
      <w:spacing w:line="259" w:lineRule="auto"/>
      <w:outlineLvl w:val="9"/>
    </w:pPr>
  </w:style>
  <w:style w:type="paragraph" w:styleId="TOC1">
    <w:name w:val="toc 1"/>
    <w:basedOn w:val="Normal"/>
    <w:next w:val="Normal"/>
    <w:autoRedefine/>
    <w:uiPriority w:val="39"/>
    <w:unhideWhenUsed/>
    <w:rsid w:val="00A902C0"/>
    <w:pPr>
      <w:spacing w:after="100"/>
    </w:pPr>
  </w:style>
  <w:style w:type="character" w:styleId="Hyperlink">
    <w:name w:val="Hyperlink"/>
    <w:basedOn w:val="DefaultParagraphFont"/>
    <w:uiPriority w:val="99"/>
    <w:unhideWhenUsed/>
    <w:rsid w:val="00A902C0"/>
    <w:rPr>
      <w:color w:val="0000FF" w:themeColor="hyperlink"/>
      <w:u w:val="single"/>
    </w:rPr>
  </w:style>
  <w:style w:type="character" w:customStyle="1" w:styleId="Heading2Char">
    <w:name w:val="Heading 2 Char"/>
    <w:basedOn w:val="DefaultParagraphFont"/>
    <w:link w:val="Heading2"/>
    <w:uiPriority w:val="9"/>
    <w:rsid w:val="007C4ED2"/>
    <w:rPr>
      <w:rFonts w:asciiTheme="majorHAnsi" w:eastAsiaTheme="majorEastAsia" w:hAnsiTheme="majorHAnsi" w:cstheme="majorBidi"/>
      <w:color w:val="365F91" w:themeColor="accent1" w:themeShade="BF"/>
      <w:sz w:val="26"/>
      <w:szCs w:val="26"/>
      <w:lang w:val="en-US"/>
    </w:rPr>
  </w:style>
  <w:style w:type="character" w:customStyle="1" w:styleId="Heading3Char">
    <w:name w:val="Heading 3 Char"/>
    <w:basedOn w:val="DefaultParagraphFont"/>
    <w:link w:val="Heading3"/>
    <w:uiPriority w:val="9"/>
    <w:rsid w:val="007C4ED2"/>
    <w:rPr>
      <w:rFonts w:asciiTheme="majorHAnsi" w:eastAsiaTheme="majorEastAsia" w:hAnsiTheme="majorHAnsi" w:cstheme="majorBidi"/>
      <w:color w:val="243F60" w:themeColor="accent1" w:themeShade="7F"/>
      <w:sz w:val="24"/>
      <w:szCs w:val="24"/>
      <w:lang w:val="en-US"/>
    </w:rPr>
  </w:style>
  <w:style w:type="paragraph" w:styleId="TOC2">
    <w:name w:val="toc 2"/>
    <w:basedOn w:val="Normal"/>
    <w:next w:val="Normal"/>
    <w:autoRedefine/>
    <w:uiPriority w:val="39"/>
    <w:unhideWhenUsed/>
    <w:rsid w:val="007C4ED2"/>
    <w:pPr>
      <w:spacing w:after="100"/>
      <w:ind w:left="220"/>
    </w:pPr>
  </w:style>
  <w:style w:type="paragraph" w:styleId="TOC3">
    <w:name w:val="toc 3"/>
    <w:basedOn w:val="Normal"/>
    <w:next w:val="Normal"/>
    <w:autoRedefine/>
    <w:uiPriority w:val="39"/>
    <w:unhideWhenUsed/>
    <w:rsid w:val="007C4ED2"/>
    <w:pPr>
      <w:spacing w:after="100"/>
      <w:ind w:left="440"/>
    </w:pPr>
  </w:style>
  <w:style w:type="character" w:styleId="Emphasis">
    <w:name w:val="Emphasis"/>
    <w:basedOn w:val="DefaultParagraphFont"/>
    <w:uiPriority w:val="20"/>
    <w:qFormat/>
    <w:rsid w:val="001221C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1534174">
      <w:bodyDiv w:val="1"/>
      <w:marLeft w:val="0"/>
      <w:marRight w:val="0"/>
      <w:marTop w:val="0"/>
      <w:marBottom w:val="0"/>
      <w:divBdr>
        <w:top w:val="none" w:sz="0" w:space="0" w:color="auto"/>
        <w:left w:val="none" w:sz="0" w:space="0" w:color="auto"/>
        <w:bottom w:val="none" w:sz="0" w:space="0" w:color="auto"/>
        <w:right w:val="none" w:sz="0" w:space="0" w:color="auto"/>
      </w:divBdr>
    </w:div>
    <w:div w:id="1548102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hyperlink" Target="http://mpra.ub.uni-muenchen.de/50608/"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tandfonline.com/page/terms-and-conditions" TargetMode="External"/><Relationship Id="rId2" Type="http://schemas.openxmlformats.org/officeDocument/2006/relationships/numbering" Target="numbering.xml"/><Relationship Id="rId16" Type="http://schemas.openxmlformats.org/officeDocument/2006/relationships/hyperlink" Target="https://scholar.google.com/scholar_lookup?journal=Child+Development&amp;title=The+life+course+as+developmental+theory&amp;volume=69&amp;publication_year=1998&amp;pages=1-12&amp;pmid=9499552&amp;doi=10.1111/j.1467-8624.1998.tb06128.x&amp;"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dx.doi.org/10.1111%2Fj.1467-8624.1998.tb06128.x" TargetMode="External"/><Relationship Id="rId10" Type="http://schemas.openxmlformats.org/officeDocument/2006/relationships/footer" Target="footer3.xml"/><Relationship Id="rId19" Type="http://schemas.openxmlformats.org/officeDocument/2006/relationships/hyperlink" Target="http://www.pdgfup.org"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ncbi.nlm.nih.gov/pubmed/949955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044F8C-608B-8143-9D62-274A0F6CE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18084</Words>
  <Characters>103083</Characters>
  <Application>Microsoft Office Word</Application>
  <DocSecurity>0</DocSecurity>
  <Lines>859</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Kamara Faisal</dc:creator>
  <cp:keywords/>
  <dc:description/>
  <cp:lastModifiedBy>Willow Scobie</cp:lastModifiedBy>
  <cp:revision>3</cp:revision>
  <dcterms:created xsi:type="dcterms:W3CDTF">2021-04-27T15:15:00Z</dcterms:created>
  <dcterms:modified xsi:type="dcterms:W3CDTF">2021-04-27T17:58:00Z</dcterms:modified>
</cp:coreProperties>
</file>