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653CEC" w14:textId="77777777" w:rsidR="006B4910" w:rsidRPr="006B4910" w:rsidRDefault="006B4910" w:rsidP="006B4910">
      <w:pPr>
        <w:spacing w:line="240" w:lineRule="auto"/>
        <w:ind w:firstLine="0"/>
        <w:jc w:val="center"/>
        <w:rPr>
          <w:rFonts w:eastAsia="Aptos"/>
          <w:kern w:val="2"/>
          <w:sz w:val="28"/>
          <w:szCs w:val="28"/>
          <w14:ligatures w14:val="standardContextual"/>
        </w:rPr>
      </w:pPr>
      <w:r w:rsidRPr="006B4910">
        <w:rPr>
          <w:rFonts w:eastAsia="Aptos"/>
          <w:kern w:val="2"/>
          <w:sz w:val="28"/>
          <w:szCs w:val="28"/>
          <w14:ligatures w14:val="standardContextual"/>
        </w:rPr>
        <w:t>Improving Inclusivity and Accessibility in the Performing Arts:</w:t>
      </w:r>
    </w:p>
    <w:p w14:paraId="47DF29C9" w14:textId="77777777" w:rsidR="006B4910" w:rsidRPr="006B4910" w:rsidRDefault="006B4910" w:rsidP="006B4910">
      <w:pPr>
        <w:spacing w:line="240" w:lineRule="auto"/>
        <w:ind w:firstLine="0"/>
        <w:jc w:val="center"/>
        <w:rPr>
          <w:rFonts w:eastAsia="Aptos"/>
          <w:kern w:val="2"/>
          <w:sz w:val="28"/>
          <w:szCs w:val="28"/>
          <w14:ligatures w14:val="standardContextual"/>
        </w:rPr>
      </w:pPr>
      <w:r w:rsidRPr="006B4910">
        <w:rPr>
          <w:rFonts w:eastAsia="Aptos"/>
          <w:kern w:val="2"/>
          <w:sz w:val="28"/>
          <w:szCs w:val="28"/>
          <w14:ligatures w14:val="standardContextual"/>
        </w:rPr>
        <w:t>Adaptive Performance Resources, Practices, and Learning Materials</w:t>
      </w:r>
    </w:p>
    <w:p w14:paraId="1D8A820B" w14:textId="77777777" w:rsidR="006B4910" w:rsidRPr="006B4910" w:rsidRDefault="006B4910" w:rsidP="006B4910">
      <w:pPr>
        <w:spacing w:line="240" w:lineRule="auto"/>
        <w:ind w:firstLine="0"/>
        <w:outlineLvl w:val="2"/>
        <w:rPr>
          <w:rFonts w:eastAsia="Times New Roman"/>
          <w:b/>
          <w:bCs/>
          <w:color w:val="000000"/>
        </w:rPr>
      </w:pPr>
    </w:p>
    <w:p w14:paraId="0B9601FF" w14:textId="4F41774C" w:rsidR="006B4910" w:rsidRPr="006B4910" w:rsidRDefault="006B4910" w:rsidP="006B4910">
      <w:pPr>
        <w:spacing w:line="240" w:lineRule="auto"/>
        <w:ind w:firstLine="0"/>
        <w:outlineLvl w:val="2"/>
        <w:rPr>
          <w:rFonts w:eastAsia="Times New Roman"/>
          <w:b/>
          <w:bCs/>
          <w:color w:val="000000"/>
        </w:rPr>
      </w:pPr>
      <w:r w:rsidRPr="006B4910">
        <w:rPr>
          <w:rFonts w:eastAsia="Times New Roman"/>
          <w:b/>
          <w:bCs/>
          <w:color w:val="000000"/>
        </w:rPr>
        <w:t>Authors:</w:t>
      </w:r>
    </w:p>
    <w:p w14:paraId="14D747DD" w14:textId="77777777" w:rsidR="006B4910" w:rsidRPr="006B4910" w:rsidRDefault="006B4910" w:rsidP="006B4910">
      <w:pPr>
        <w:spacing w:line="240" w:lineRule="auto"/>
        <w:ind w:firstLine="0"/>
        <w:outlineLvl w:val="2"/>
        <w:rPr>
          <w:rFonts w:eastAsia="Times New Roman"/>
          <w:b/>
          <w:bCs/>
          <w:color w:val="000000"/>
        </w:rPr>
      </w:pPr>
      <w:r w:rsidRPr="006B4910">
        <w:rPr>
          <w:rFonts w:eastAsia="Times New Roman"/>
          <w:b/>
          <w:bCs/>
          <w:color w:val="000000"/>
        </w:rPr>
        <w:t xml:space="preserve">Dr. Erin Parks, </w:t>
      </w:r>
      <w:r w:rsidRPr="006B4910">
        <w:rPr>
          <w:rFonts w:eastAsia="Times New Roman"/>
          <w:color w:val="000000"/>
        </w:rPr>
        <w:t>University of Ottawa; Lotus Centre for Special Music Education</w:t>
      </w:r>
    </w:p>
    <w:p w14:paraId="21ECB3EA" w14:textId="77777777" w:rsidR="006B4910" w:rsidRPr="006B4910" w:rsidRDefault="006B4910" w:rsidP="006B4910">
      <w:pPr>
        <w:spacing w:line="240" w:lineRule="auto"/>
        <w:ind w:firstLine="0"/>
        <w:outlineLvl w:val="2"/>
        <w:rPr>
          <w:rFonts w:eastAsia="Times New Roman"/>
          <w:b/>
          <w:bCs/>
          <w:color w:val="000000"/>
        </w:rPr>
      </w:pPr>
      <w:r w:rsidRPr="006B4910">
        <w:rPr>
          <w:rFonts w:eastAsia="Times New Roman"/>
          <w:b/>
          <w:bCs/>
          <w:color w:val="000000"/>
        </w:rPr>
        <w:t xml:space="preserve">Jenna Richards, </w:t>
      </w:r>
      <w:r w:rsidRPr="006B4910">
        <w:rPr>
          <w:rFonts w:eastAsia="Times New Roman"/>
          <w:color w:val="000000"/>
        </w:rPr>
        <w:t xml:space="preserve">University of Ottawa; Ottawa </w:t>
      </w:r>
      <w:proofErr w:type="spellStart"/>
      <w:r w:rsidRPr="006B4910">
        <w:rPr>
          <w:rFonts w:eastAsia="Times New Roman"/>
          <w:color w:val="000000"/>
        </w:rPr>
        <w:t>Chamberfest</w:t>
      </w:r>
      <w:proofErr w:type="spellEnd"/>
    </w:p>
    <w:p w14:paraId="10BEEE8E" w14:textId="77777777" w:rsidR="006B4910" w:rsidRPr="006B4910" w:rsidRDefault="006B4910" w:rsidP="006B4910">
      <w:pPr>
        <w:spacing w:line="240" w:lineRule="auto"/>
        <w:ind w:firstLine="0"/>
        <w:outlineLvl w:val="2"/>
        <w:rPr>
          <w:rFonts w:eastAsia="Times New Roman"/>
          <w:color w:val="000000"/>
        </w:rPr>
      </w:pPr>
      <w:r w:rsidRPr="006B4910">
        <w:rPr>
          <w:rFonts w:eastAsia="Times New Roman"/>
          <w:color w:val="000000"/>
        </w:rPr>
        <w:t xml:space="preserve">Special thanks to the University of Ottawa Library for their granting program that enabled this project, and to the staff/librarians who helped along the way. </w:t>
      </w:r>
    </w:p>
    <w:p w14:paraId="6D0A4296" w14:textId="432AC5F3" w:rsidR="006B4910" w:rsidRDefault="006B4910" w:rsidP="006B4910">
      <w:pPr>
        <w:spacing w:line="240" w:lineRule="auto"/>
        <w:ind w:firstLine="0"/>
        <w:outlineLvl w:val="2"/>
        <w:rPr>
          <w:rFonts w:eastAsia="Times New Roman"/>
          <w:color w:val="000000"/>
        </w:rPr>
      </w:pPr>
      <w:r w:rsidRPr="006B4910">
        <w:rPr>
          <w:rFonts w:eastAsia="Times New Roman"/>
          <w:color w:val="000000"/>
        </w:rPr>
        <w:t xml:space="preserve">Additional thanks to the Lotus Centre for Special Music Education, Ottawa </w:t>
      </w:r>
      <w:proofErr w:type="spellStart"/>
      <w:r w:rsidRPr="006B4910">
        <w:rPr>
          <w:rFonts w:eastAsia="Times New Roman"/>
          <w:color w:val="000000"/>
        </w:rPr>
        <w:t>Chamberfest</w:t>
      </w:r>
      <w:proofErr w:type="spellEnd"/>
      <w:r w:rsidRPr="006B4910">
        <w:rPr>
          <w:rFonts w:eastAsia="Times New Roman"/>
          <w:color w:val="000000"/>
        </w:rPr>
        <w:t>, and Xenia Concerts Inc. for their expertise and various resources provided to explore these topics.</w:t>
      </w:r>
    </w:p>
    <w:p w14:paraId="41349249" w14:textId="77777777" w:rsidR="006B4910" w:rsidRPr="006B4910" w:rsidRDefault="006B4910" w:rsidP="006B4910">
      <w:pPr>
        <w:spacing w:line="240" w:lineRule="auto"/>
        <w:ind w:firstLine="0"/>
        <w:outlineLvl w:val="2"/>
        <w:rPr>
          <w:rFonts w:eastAsia="Times New Roman"/>
          <w:color w:val="000000"/>
        </w:rPr>
      </w:pPr>
    </w:p>
    <w:p w14:paraId="4F0ED5D8" w14:textId="77777777" w:rsidR="006B4910" w:rsidRPr="00B42586" w:rsidRDefault="006B4910" w:rsidP="006B4910">
      <w:pPr>
        <w:spacing w:line="240" w:lineRule="auto"/>
        <w:ind w:firstLine="0"/>
      </w:pPr>
      <w:r w:rsidRPr="00B42586">
        <w:rPr>
          <w:b/>
          <w:bCs/>
        </w:rPr>
        <w:t>Subject:</w:t>
      </w:r>
      <w:r w:rsidRPr="00B42586">
        <w:t xml:space="preserve"> </w:t>
      </w:r>
    </w:p>
    <w:p w14:paraId="072E921E" w14:textId="77777777" w:rsidR="006B4910" w:rsidRDefault="006B4910" w:rsidP="006B4910">
      <w:pPr>
        <w:spacing w:line="240" w:lineRule="auto"/>
        <w:ind w:firstLine="0"/>
      </w:pPr>
      <w:r w:rsidRPr="00B42586">
        <w:t>Inclusivity and Accessibility within the Performing Arts (focus on music)</w:t>
      </w:r>
    </w:p>
    <w:p w14:paraId="6D6F472A" w14:textId="77777777" w:rsidR="006B4910" w:rsidRDefault="006B4910" w:rsidP="006B4910">
      <w:pPr>
        <w:spacing w:line="240" w:lineRule="auto"/>
        <w:ind w:firstLine="0"/>
        <w:rPr>
          <w:b/>
          <w:bCs/>
        </w:rPr>
      </w:pPr>
    </w:p>
    <w:p w14:paraId="48DA9EF2" w14:textId="5491074A" w:rsidR="006B4910" w:rsidRPr="006B4910" w:rsidRDefault="006B4910" w:rsidP="006B4910">
      <w:pPr>
        <w:spacing w:line="240" w:lineRule="auto"/>
        <w:ind w:firstLine="0"/>
        <w:rPr>
          <w:b/>
          <w:bCs/>
        </w:rPr>
      </w:pPr>
      <w:r>
        <w:rPr>
          <w:b/>
          <w:bCs/>
        </w:rPr>
        <w:t>Keywords:</w:t>
      </w:r>
    </w:p>
    <w:tbl>
      <w:tblPr>
        <w:tblW w:w="0" w:type="auto"/>
        <w:tblInd w:w="183" w:type="dxa"/>
        <w:tblLook w:val="0000" w:firstRow="0" w:lastRow="0" w:firstColumn="0" w:lastColumn="0" w:noHBand="0" w:noVBand="0"/>
      </w:tblPr>
      <w:tblGrid>
        <w:gridCol w:w="3965"/>
        <w:gridCol w:w="4341"/>
      </w:tblGrid>
      <w:tr w:rsidR="006B4910" w14:paraId="27A31798" w14:textId="0095CEA2" w:rsidTr="006B4910">
        <w:tblPrEx>
          <w:tblCellMar>
            <w:top w:w="0" w:type="dxa"/>
            <w:bottom w:w="0" w:type="dxa"/>
          </w:tblCellMar>
        </w:tblPrEx>
        <w:trPr>
          <w:trHeight w:val="273"/>
        </w:trPr>
        <w:tc>
          <w:tcPr>
            <w:tcW w:w="3965" w:type="dxa"/>
          </w:tcPr>
          <w:p w14:paraId="68FF5D17" w14:textId="4762AE4F"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Performing arts accessibility</w:t>
            </w:r>
          </w:p>
        </w:tc>
        <w:tc>
          <w:tcPr>
            <w:tcW w:w="4341" w:type="dxa"/>
          </w:tcPr>
          <w:p w14:paraId="0E24CDA2" w14:textId="122D3F9D"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Music and accessibility</w:t>
            </w:r>
          </w:p>
        </w:tc>
      </w:tr>
      <w:tr w:rsidR="006B4910" w14:paraId="4D4D55B6" w14:textId="77777777" w:rsidTr="006B4910">
        <w:tblPrEx>
          <w:tblCellMar>
            <w:top w:w="0" w:type="dxa"/>
            <w:bottom w:w="0" w:type="dxa"/>
          </w:tblCellMar>
        </w:tblPrEx>
        <w:trPr>
          <w:trHeight w:val="292"/>
        </w:trPr>
        <w:tc>
          <w:tcPr>
            <w:tcW w:w="3965" w:type="dxa"/>
          </w:tcPr>
          <w:p w14:paraId="0E1373BE" w14:textId="75C5B674"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Adaptive performance</w:t>
            </w:r>
          </w:p>
        </w:tc>
        <w:tc>
          <w:tcPr>
            <w:tcW w:w="4341" w:type="dxa"/>
          </w:tcPr>
          <w:p w14:paraId="1B4BFD9E" w14:textId="766819D6"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Arts educatio</w:t>
            </w:r>
            <w:r>
              <w:rPr>
                <w:rFonts w:eastAsia="Times New Roman"/>
              </w:rPr>
              <w:t>n</w:t>
            </w:r>
          </w:p>
        </w:tc>
      </w:tr>
      <w:tr w:rsidR="006B4910" w14:paraId="75872498" w14:textId="77777777" w:rsidTr="006B4910">
        <w:tblPrEx>
          <w:tblCellMar>
            <w:top w:w="0" w:type="dxa"/>
            <w:bottom w:w="0" w:type="dxa"/>
          </w:tblCellMar>
        </w:tblPrEx>
        <w:trPr>
          <w:trHeight w:val="260"/>
        </w:trPr>
        <w:tc>
          <w:tcPr>
            <w:tcW w:w="3965" w:type="dxa"/>
          </w:tcPr>
          <w:p w14:paraId="27202D04" w14:textId="0F58C108"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Sensory Friendly Performance</w:t>
            </w:r>
          </w:p>
        </w:tc>
        <w:tc>
          <w:tcPr>
            <w:tcW w:w="4341" w:type="dxa"/>
          </w:tcPr>
          <w:p w14:paraId="186BAAE0" w14:textId="7060B5C1"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Equitable arts practices</w:t>
            </w:r>
          </w:p>
        </w:tc>
      </w:tr>
      <w:tr w:rsidR="006B4910" w14:paraId="4CD9BE11" w14:textId="77777777" w:rsidTr="006B4910">
        <w:tblPrEx>
          <w:tblCellMar>
            <w:top w:w="0" w:type="dxa"/>
            <w:bottom w:w="0" w:type="dxa"/>
          </w:tblCellMar>
        </w:tblPrEx>
        <w:trPr>
          <w:trHeight w:val="271"/>
        </w:trPr>
        <w:tc>
          <w:tcPr>
            <w:tcW w:w="3965" w:type="dxa"/>
          </w:tcPr>
          <w:p w14:paraId="414E6436" w14:textId="49508CBA"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Neurodiversity</w:t>
            </w:r>
          </w:p>
        </w:tc>
        <w:tc>
          <w:tcPr>
            <w:tcW w:w="4341" w:type="dxa"/>
          </w:tcPr>
          <w:p w14:paraId="77673143" w14:textId="3AD25574"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Postsecondary performing art</w:t>
            </w:r>
            <w:r>
              <w:rPr>
                <w:rFonts w:eastAsia="Times New Roman"/>
              </w:rPr>
              <w:t>s</w:t>
            </w:r>
          </w:p>
        </w:tc>
      </w:tr>
      <w:tr w:rsidR="006B4910" w14:paraId="0278377C" w14:textId="77777777" w:rsidTr="006B4910">
        <w:tblPrEx>
          <w:tblCellMar>
            <w:top w:w="0" w:type="dxa"/>
            <w:bottom w:w="0" w:type="dxa"/>
          </w:tblCellMar>
        </w:tblPrEx>
        <w:trPr>
          <w:trHeight w:val="260"/>
        </w:trPr>
        <w:tc>
          <w:tcPr>
            <w:tcW w:w="3965" w:type="dxa"/>
          </w:tcPr>
          <w:p w14:paraId="666DBFE8" w14:textId="5723E28A"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Disability arts</w:t>
            </w:r>
          </w:p>
        </w:tc>
        <w:tc>
          <w:tcPr>
            <w:tcW w:w="4341" w:type="dxa"/>
          </w:tcPr>
          <w:p w14:paraId="1B68119B" w14:textId="184F2E44"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Cultural inclusion</w:t>
            </w:r>
          </w:p>
        </w:tc>
      </w:tr>
      <w:tr w:rsidR="006B4910" w14:paraId="3EAC3DAE" w14:textId="77777777" w:rsidTr="006B4910">
        <w:tblPrEx>
          <w:tblCellMar>
            <w:top w:w="0" w:type="dxa"/>
            <w:bottom w:w="0" w:type="dxa"/>
          </w:tblCellMar>
        </w:tblPrEx>
        <w:trPr>
          <w:trHeight w:val="647"/>
        </w:trPr>
        <w:tc>
          <w:tcPr>
            <w:tcW w:w="3965" w:type="dxa"/>
          </w:tcPr>
          <w:p w14:paraId="2E4D9F48" w14:textId="0B2B0D0E" w:rsidR="006B4910" w:rsidRPr="006B4910" w:rsidRDefault="006B4910" w:rsidP="006B4910">
            <w:pPr>
              <w:pStyle w:val="ListParagraph"/>
              <w:numPr>
                <w:ilvl w:val="0"/>
                <w:numId w:val="4"/>
              </w:numPr>
              <w:spacing w:line="276" w:lineRule="auto"/>
              <w:rPr>
                <w:rFonts w:eastAsia="Times New Roman"/>
              </w:rPr>
            </w:pPr>
            <w:r w:rsidRPr="006B4910">
              <w:rPr>
                <w:rFonts w:eastAsia="Times New Roman"/>
              </w:rPr>
              <w:t>Inclusive education</w:t>
            </w:r>
          </w:p>
        </w:tc>
        <w:tc>
          <w:tcPr>
            <w:tcW w:w="4341" w:type="dxa"/>
          </w:tcPr>
          <w:p w14:paraId="72E462B9" w14:textId="2336A663" w:rsidR="006B4910" w:rsidRDefault="006B4910" w:rsidP="006B4910">
            <w:pPr>
              <w:pStyle w:val="ListParagraph"/>
              <w:numPr>
                <w:ilvl w:val="0"/>
                <w:numId w:val="4"/>
              </w:numPr>
              <w:spacing w:line="276" w:lineRule="auto"/>
              <w:rPr>
                <w:rFonts w:eastAsia="Times New Roman"/>
              </w:rPr>
            </w:pPr>
            <w:r w:rsidRPr="006B4910">
              <w:rPr>
                <w:rFonts w:eastAsia="Times New Roman"/>
              </w:rPr>
              <w:t>Arts and health</w:t>
            </w:r>
          </w:p>
        </w:tc>
      </w:tr>
    </w:tbl>
    <w:p w14:paraId="724B5528" w14:textId="77777777" w:rsidR="006B4910" w:rsidRPr="006B4910" w:rsidRDefault="006B4910" w:rsidP="006B4910">
      <w:pPr>
        <w:spacing w:line="240" w:lineRule="auto"/>
        <w:ind w:firstLine="0"/>
        <w:outlineLvl w:val="2"/>
        <w:rPr>
          <w:rFonts w:eastAsia="Times New Roman"/>
          <w:b/>
          <w:bCs/>
          <w:color w:val="000000"/>
        </w:rPr>
      </w:pPr>
    </w:p>
    <w:p w14:paraId="782EAB70" w14:textId="4DF44790" w:rsidR="006B4910" w:rsidRPr="006B4910" w:rsidRDefault="006B4910" w:rsidP="006B4910">
      <w:pPr>
        <w:spacing w:line="240" w:lineRule="auto"/>
        <w:ind w:firstLine="0"/>
        <w:outlineLvl w:val="2"/>
        <w:rPr>
          <w:rFonts w:eastAsia="Times New Roman"/>
          <w:b/>
          <w:bCs/>
          <w:color w:val="000000"/>
        </w:rPr>
      </w:pPr>
      <w:r w:rsidRPr="006B4910">
        <w:rPr>
          <w:rFonts w:eastAsia="Times New Roman"/>
          <w:b/>
          <w:bCs/>
          <w:color w:val="000000"/>
        </w:rPr>
        <w:t>Abstract</w:t>
      </w:r>
      <w:r>
        <w:rPr>
          <w:rFonts w:eastAsia="Times New Roman"/>
          <w:b/>
          <w:bCs/>
          <w:color w:val="000000"/>
        </w:rPr>
        <w:t>:</w:t>
      </w:r>
    </w:p>
    <w:p w14:paraId="5C61B742" w14:textId="5FD73758" w:rsidR="006B4910" w:rsidRDefault="006B4910" w:rsidP="006B4910">
      <w:pPr>
        <w:spacing w:line="240" w:lineRule="auto"/>
        <w:ind w:firstLine="0"/>
        <w:rPr>
          <w:rFonts w:eastAsia="Times New Roman"/>
          <w:color w:val="000000"/>
        </w:rPr>
      </w:pPr>
      <w:r w:rsidRPr="006B4910">
        <w:rPr>
          <w:rFonts w:eastAsia="Times New Roman"/>
          <w:color w:val="000000"/>
        </w:rPr>
        <w:t>This Open Educational Resource (OER), </w:t>
      </w:r>
      <w:r w:rsidRPr="006B4910">
        <w:rPr>
          <w:rFonts w:eastAsia="Times New Roman"/>
          <w:i/>
          <w:iCs/>
          <w:color w:val="000000"/>
        </w:rPr>
        <w:t>Adaptive Performance Resources, Practices, and Learning Materials</w:t>
      </w:r>
      <w:r w:rsidRPr="006B4910">
        <w:rPr>
          <w:rFonts w:eastAsia="Times New Roman"/>
          <w:color w:val="000000"/>
        </w:rPr>
        <w:t>, provides a comprehensive and practical toolkit to support inclusivity and accessibility in the performing arts, with a particular focus on music. Designed for undergraduate students, instructors, and independent learners, the resource addresses a significant gap in free, adaptable educational content that supports inclusive artistic practices for disability and neurodiverse communities.</w:t>
      </w:r>
    </w:p>
    <w:p w14:paraId="444C61C1" w14:textId="7E88ACFF" w:rsidR="006B4910" w:rsidRPr="006B4910" w:rsidRDefault="006B4910" w:rsidP="006B4910">
      <w:pPr>
        <w:spacing w:before="100" w:beforeAutospacing="1" w:after="100" w:afterAutospacing="1" w:line="240" w:lineRule="auto"/>
        <w:ind w:firstLine="0"/>
        <w:rPr>
          <w:rFonts w:eastAsia="Times New Roman"/>
          <w:color w:val="000000"/>
        </w:rPr>
      </w:pPr>
      <w:r w:rsidRPr="006B4910">
        <w:rPr>
          <w:rFonts w:eastAsia="Times New Roman"/>
          <w:color w:val="000000"/>
        </w:rPr>
        <w:t>Structured as four modules—including an introductory pre-module—this OER covers foundational knowledge of disability and neurodiversity, broad inclusive and accessible practices, and in-depth approaches to adaptive performances in contexts such as dementia and palliative care. It incorporates diverse formats such as PowerPoint presentations, learning activities, quizzes, readings, videos, and case studies, enabling flexible use across disciplines and institutions.</w:t>
      </w:r>
    </w:p>
    <w:p w14:paraId="414EFB16" w14:textId="77777777" w:rsidR="006B4910" w:rsidRPr="006B4910" w:rsidRDefault="006B4910" w:rsidP="006B4910">
      <w:pPr>
        <w:spacing w:before="100" w:beforeAutospacing="1" w:after="100" w:afterAutospacing="1" w:line="240" w:lineRule="auto"/>
        <w:ind w:firstLine="0"/>
        <w:rPr>
          <w:rFonts w:eastAsia="Times New Roman"/>
          <w:color w:val="000000"/>
        </w:rPr>
      </w:pPr>
      <w:r w:rsidRPr="006B4910">
        <w:rPr>
          <w:rFonts w:eastAsia="Times New Roman"/>
          <w:color w:val="000000"/>
        </w:rPr>
        <w:t>By offering tools that support the creation and delivery of inclusive performances, this OER empowers future artists, educators, and arts leaders to foster equitable cultural participation. It advances students' understanding of emerging inclusive practices while contributing to their employability, creativity, and critical engagement with the arts in a changing society.</w:t>
      </w:r>
    </w:p>
    <w:p w14:paraId="7D8B9571" w14:textId="77777777" w:rsidR="00E52EB0" w:rsidRDefault="00E52EB0" w:rsidP="006B4910">
      <w:pPr>
        <w:spacing w:line="240" w:lineRule="auto"/>
        <w:ind w:firstLine="0"/>
      </w:pPr>
    </w:p>
    <w:p w14:paraId="0DEAC68B" w14:textId="77777777" w:rsidR="006B4910" w:rsidRPr="00B42586" w:rsidRDefault="006B4910" w:rsidP="006B4910"/>
    <w:p w14:paraId="02CF7125" w14:textId="77777777" w:rsidR="006B4910" w:rsidRPr="00B42586" w:rsidRDefault="006B4910" w:rsidP="006B4910">
      <w:pPr>
        <w:spacing w:line="240" w:lineRule="auto"/>
        <w:ind w:firstLine="0"/>
      </w:pPr>
      <w:r w:rsidRPr="00B42586">
        <w:rPr>
          <w:b/>
          <w:bCs/>
        </w:rPr>
        <w:lastRenderedPageBreak/>
        <w:t>Target Audience:</w:t>
      </w:r>
      <w:r w:rsidRPr="00B42586">
        <w:t xml:space="preserve"> </w:t>
      </w:r>
    </w:p>
    <w:p w14:paraId="6B343B78" w14:textId="7D143D58" w:rsidR="006B4910" w:rsidRDefault="006B4910" w:rsidP="006B4910">
      <w:pPr>
        <w:pStyle w:val="ListParagraph"/>
        <w:numPr>
          <w:ilvl w:val="0"/>
          <w:numId w:val="2"/>
        </w:numPr>
        <w:spacing w:line="240" w:lineRule="auto"/>
      </w:pPr>
      <w:r w:rsidRPr="00B42586">
        <w:t>Undergraduate students in the performing arts (may be applicable for graduate students and non-performing arts majors) via instructors/professors/</w:t>
      </w:r>
      <w:proofErr w:type="gramStart"/>
      <w:r w:rsidRPr="00B42586">
        <w:t>educators</w:t>
      </w:r>
      <w:r>
        <w:t>;</w:t>
      </w:r>
      <w:proofErr w:type="gramEnd"/>
    </w:p>
    <w:p w14:paraId="4DDA546F" w14:textId="4323B413" w:rsidR="006B4910" w:rsidRPr="00B42586" w:rsidRDefault="006B4910" w:rsidP="006B4910">
      <w:pPr>
        <w:pStyle w:val="ListParagraph"/>
        <w:numPr>
          <w:ilvl w:val="0"/>
          <w:numId w:val="2"/>
        </w:numPr>
        <w:spacing w:line="240" w:lineRule="auto"/>
      </w:pPr>
      <w:r>
        <w:t>Students seeking self-learning materials</w:t>
      </w:r>
    </w:p>
    <w:p w14:paraId="4BE5F36D" w14:textId="77777777" w:rsidR="006B4910" w:rsidRPr="00B42586" w:rsidRDefault="006B4910" w:rsidP="006B4910"/>
    <w:p w14:paraId="4FB872EA" w14:textId="77777777" w:rsidR="006B4910" w:rsidRPr="00B42586" w:rsidRDefault="006B4910" w:rsidP="006B4910">
      <w:pPr>
        <w:spacing w:line="240" w:lineRule="auto"/>
        <w:ind w:firstLine="0"/>
        <w:rPr>
          <w:b/>
          <w:bCs/>
        </w:rPr>
      </w:pPr>
      <w:r w:rsidRPr="00B42586">
        <w:rPr>
          <w:b/>
          <w:bCs/>
        </w:rPr>
        <w:t xml:space="preserve">Scope and Objectives: </w:t>
      </w:r>
    </w:p>
    <w:p w14:paraId="721D5E6F" w14:textId="77777777" w:rsidR="006B4910" w:rsidRPr="00B42586" w:rsidRDefault="006B4910" w:rsidP="006B4910">
      <w:pPr>
        <w:pStyle w:val="ListParagraph"/>
        <w:numPr>
          <w:ilvl w:val="0"/>
          <w:numId w:val="1"/>
        </w:numPr>
        <w:spacing w:line="240" w:lineRule="auto"/>
      </w:pPr>
      <w:r w:rsidRPr="00B42586">
        <w:t xml:space="preserve">To create modules for instructors that are applicable for teaching post-secondary music </w:t>
      </w:r>
      <w:r>
        <w:t xml:space="preserve">or other performing arts disciplines, </w:t>
      </w:r>
      <w:r w:rsidRPr="00B42586">
        <w:t>and performing arts students about inclusive practices appropriate to their discipline within a relevant course</w:t>
      </w:r>
    </w:p>
    <w:p w14:paraId="6BBCC9F3" w14:textId="77777777" w:rsidR="006B4910" w:rsidRPr="00B42586" w:rsidRDefault="006B4910" w:rsidP="006B4910">
      <w:pPr>
        <w:pStyle w:val="ListParagraph"/>
        <w:numPr>
          <w:ilvl w:val="0"/>
          <w:numId w:val="1"/>
        </w:numPr>
        <w:spacing w:line="240" w:lineRule="auto"/>
      </w:pPr>
      <w:r w:rsidRPr="00B42586">
        <w:t>To provide practical materials including learning activities, reading and resource lists, links, and written material for adaptation or application by instructors in educational and training settings</w:t>
      </w:r>
    </w:p>
    <w:p w14:paraId="449C5242" w14:textId="77777777" w:rsidR="006B4910" w:rsidRPr="00B42586" w:rsidRDefault="006B4910" w:rsidP="006B4910">
      <w:pPr>
        <w:pStyle w:val="ListParagraph"/>
        <w:numPr>
          <w:ilvl w:val="0"/>
          <w:numId w:val="1"/>
        </w:numPr>
        <w:spacing w:line="240" w:lineRule="auto"/>
      </w:pPr>
      <w:r w:rsidRPr="00B42586">
        <w:t>To provide an overview of current artistic practices for increased inclusivity and accessibility</w:t>
      </w:r>
    </w:p>
    <w:p w14:paraId="3C0C85DE" w14:textId="77777777" w:rsidR="006B4910" w:rsidRPr="00B42586" w:rsidRDefault="006B4910" w:rsidP="006B4910">
      <w:pPr>
        <w:pStyle w:val="ListParagraph"/>
        <w:numPr>
          <w:ilvl w:val="0"/>
          <w:numId w:val="1"/>
        </w:numPr>
        <w:spacing w:line="240" w:lineRule="auto"/>
      </w:pPr>
      <w:r w:rsidRPr="00B42586">
        <w:t xml:space="preserve">To increase resources and knowledge on current inclusive artistic practices </w:t>
      </w:r>
    </w:p>
    <w:p w14:paraId="477871F6" w14:textId="77777777" w:rsidR="006B4910" w:rsidRPr="00B42586" w:rsidRDefault="006B4910" w:rsidP="006B4910"/>
    <w:p w14:paraId="72B8BBD0" w14:textId="77777777" w:rsidR="006B4910" w:rsidRPr="00B42586" w:rsidRDefault="006B4910" w:rsidP="006B4910">
      <w:pPr>
        <w:spacing w:line="240" w:lineRule="auto"/>
        <w:ind w:firstLine="0"/>
        <w:rPr>
          <w:b/>
          <w:bCs/>
        </w:rPr>
      </w:pPr>
      <w:r w:rsidRPr="00B42586">
        <w:rPr>
          <w:b/>
          <w:bCs/>
        </w:rPr>
        <w:t>Introduction:</w:t>
      </w:r>
    </w:p>
    <w:p w14:paraId="340A0569" w14:textId="77777777" w:rsidR="006B4910" w:rsidRPr="00B42586" w:rsidRDefault="006B4910" w:rsidP="006B4910">
      <w:pPr>
        <w:rPr>
          <w:spacing w:val="-8"/>
        </w:rPr>
      </w:pPr>
      <w:r w:rsidRPr="00B42586">
        <w:rPr>
          <w:spacing w:val="-8"/>
        </w:rPr>
        <w:t>Academics, artists, students, and policymakers face challenges when searching for resources on improving inclusivity and accessibility in the performing arts for educational and training purposes with limited options available and none that are cost-free as of 2024. The purpose of this project was to create modules on adaptive performances for neurodiverse and disability communities to advance inclusive artistic practice in education and beyond. Adaptive performances are events with performing arts elements that are created with special considerations for inclusivity and accessibility that remove potential barriers to access and engagement for individuals with disabilities or exceptionalities and their families/caregivers (Richards and Parkes, 2023; Shiloh and Lagasse, 2021).</w:t>
      </w:r>
    </w:p>
    <w:p w14:paraId="7F7E67BB" w14:textId="77777777" w:rsidR="006B4910" w:rsidRPr="00B42586" w:rsidRDefault="006B4910" w:rsidP="006B4910"/>
    <w:p w14:paraId="2F5E61ED" w14:textId="77777777" w:rsidR="006B4910" w:rsidRPr="00B42586" w:rsidRDefault="006B4910" w:rsidP="006B4910">
      <w:pPr>
        <w:rPr>
          <w:spacing w:val="-8"/>
        </w:rPr>
      </w:pPr>
      <w:r w:rsidRPr="00B42586">
        <w:rPr>
          <w:spacing w:val="-8"/>
        </w:rPr>
        <w:t xml:space="preserve">The modules in this OER include topics of long-term, dementia/Alzheimer care, palliative care and healthcare performances, overall adaptive performances, and general inclusivity, accessibility, and equitable practices broadly applicable to the performing arts for presenters, practitioners, performers, volunteers, policy makers, and educators. Original PowerPoints, learning activities, written source material, case scenarios, sample work, open-access journal articles, quizzes, polls, and existing shareable </w:t>
      </w:r>
      <w:r w:rsidRPr="00B42586">
        <w:rPr>
          <w:spacing w:val="-8"/>
        </w:rPr>
        <w:lastRenderedPageBreak/>
        <w:t>video content have been combined into comprehensive educational sections for use as-is within the performing arts or as inspiration for other fields. An introductory module (pre-module) provides context on disability and neurodivergent communities to ensure a shared understanding and foundation of knowledge on the broader-level topic is available to those who need further background information before the specific artistic content is presented.</w:t>
      </w:r>
    </w:p>
    <w:p w14:paraId="52DF97A4" w14:textId="77777777" w:rsidR="006B4910" w:rsidRPr="00B42586" w:rsidRDefault="006B4910" w:rsidP="006B4910">
      <w:pPr>
        <w:rPr>
          <w:spacing w:val="-8"/>
        </w:rPr>
      </w:pPr>
    </w:p>
    <w:p w14:paraId="66C9408C" w14:textId="77777777" w:rsidR="006B4910" w:rsidRPr="00B42586" w:rsidRDefault="006B4910" w:rsidP="006B4910">
      <w:pPr>
        <w:rPr>
          <w:spacing w:val="-8"/>
        </w:rPr>
      </w:pPr>
      <w:r w:rsidRPr="00B42586">
        <w:rPr>
          <w:spacing w:val="-8"/>
        </w:rPr>
        <w:t>Accessibility and inclusivity materials can often be resource-dependent (e.g., costly and cumbersome), which may result in individuals choosing to perpetuate norms that prevent access to many individuals in our society, leaving them isolated and affecting their well-being (Shiloh and Lagasse, 2021) and lacking proper representation within curriculum. This OER will provide educators and students with access to practical and timely research and inclusive activities relevant to the changing world around them and cognizant of the need for humanizing and demystifying the performing arts. It will impact students’ ability to practice and gain insight into a burgeoning field that also increases their employability and creative/critical thinking skills.</w:t>
      </w:r>
    </w:p>
    <w:p w14:paraId="51BE301F" w14:textId="77777777" w:rsidR="006B4910" w:rsidRPr="00B42586" w:rsidRDefault="006B4910" w:rsidP="006B4910">
      <w:pPr>
        <w:rPr>
          <w:spacing w:val="-8"/>
        </w:rPr>
      </w:pPr>
    </w:p>
    <w:p w14:paraId="0848F95F" w14:textId="77777777" w:rsidR="006B4910" w:rsidRPr="00B36E46" w:rsidRDefault="006B4910" w:rsidP="006B4910">
      <w:pPr>
        <w:ind w:firstLine="0"/>
        <w:rPr>
          <w:b/>
          <w:bCs/>
          <w:spacing w:val="-8"/>
        </w:rPr>
      </w:pPr>
      <w:r w:rsidRPr="00B36E46">
        <w:rPr>
          <w:b/>
          <w:bCs/>
          <w:spacing w:val="-8"/>
        </w:rPr>
        <w:t>Course Outline:</w:t>
      </w:r>
    </w:p>
    <w:p w14:paraId="72935866" w14:textId="2FA51FAE" w:rsidR="006B4910" w:rsidRPr="00B42586" w:rsidRDefault="006B4910" w:rsidP="006B4910">
      <w:pPr>
        <w:ind w:firstLine="0"/>
        <w:rPr>
          <w:spacing w:val="-8"/>
        </w:rPr>
      </w:pPr>
      <w:r w:rsidRPr="00B42586">
        <w:rPr>
          <w:spacing w:val="-8"/>
        </w:rPr>
        <w:t>Module 0</w:t>
      </w:r>
      <w:r>
        <w:rPr>
          <w:spacing w:val="-8"/>
        </w:rPr>
        <w:t xml:space="preserve"> (</w:t>
      </w:r>
      <w:r>
        <w:rPr>
          <w:spacing w:val="-8"/>
        </w:rPr>
        <w:t>I</w:t>
      </w:r>
      <w:r>
        <w:rPr>
          <w:spacing w:val="-8"/>
        </w:rPr>
        <w:t>ntroductor</w:t>
      </w:r>
      <w:r>
        <w:rPr>
          <w:spacing w:val="-8"/>
        </w:rPr>
        <w:t>y Module</w:t>
      </w:r>
      <w:r>
        <w:rPr>
          <w:spacing w:val="-8"/>
        </w:rPr>
        <w:t>): Knowing your Audience</w:t>
      </w:r>
    </w:p>
    <w:p w14:paraId="19B32550" w14:textId="77777777" w:rsidR="006B4910" w:rsidRPr="00B42586" w:rsidRDefault="006B4910" w:rsidP="006B4910">
      <w:pPr>
        <w:ind w:firstLine="0"/>
        <w:rPr>
          <w:spacing w:val="-8"/>
        </w:rPr>
      </w:pPr>
      <w:r w:rsidRPr="00B42586">
        <w:rPr>
          <w:spacing w:val="-8"/>
        </w:rPr>
        <w:t>Module 1</w:t>
      </w:r>
      <w:r>
        <w:rPr>
          <w:spacing w:val="-8"/>
        </w:rPr>
        <w:t>: Inclusivity and Accessibility in the Performing Arts</w:t>
      </w:r>
    </w:p>
    <w:p w14:paraId="08AB22E4" w14:textId="77777777" w:rsidR="006B4910" w:rsidRPr="00B42586" w:rsidRDefault="006B4910" w:rsidP="006B4910">
      <w:pPr>
        <w:ind w:firstLine="0"/>
        <w:rPr>
          <w:spacing w:val="-8"/>
        </w:rPr>
      </w:pPr>
      <w:r w:rsidRPr="00B42586">
        <w:rPr>
          <w:spacing w:val="-8"/>
        </w:rPr>
        <w:t>Module 2</w:t>
      </w:r>
      <w:r>
        <w:rPr>
          <w:spacing w:val="-8"/>
        </w:rPr>
        <w:t>: Adaptive Performances Part I</w:t>
      </w:r>
    </w:p>
    <w:p w14:paraId="28663A7B" w14:textId="77777777" w:rsidR="006B4910" w:rsidRDefault="006B4910" w:rsidP="006B4910">
      <w:pPr>
        <w:ind w:firstLine="0"/>
        <w:rPr>
          <w:spacing w:val="-8"/>
        </w:rPr>
      </w:pPr>
      <w:r w:rsidRPr="00B42586">
        <w:rPr>
          <w:spacing w:val="-8"/>
        </w:rPr>
        <w:t>Module 3</w:t>
      </w:r>
      <w:r>
        <w:rPr>
          <w:spacing w:val="-8"/>
        </w:rPr>
        <w:t>: Adaptive Performances Part II</w:t>
      </w:r>
    </w:p>
    <w:p w14:paraId="49899BB6" w14:textId="77777777" w:rsidR="006B4910" w:rsidRDefault="006B4910" w:rsidP="006B4910">
      <w:pPr>
        <w:ind w:firstLine="0"/>
      </w:pPr>
    </w:p>
    <w:sectPr w:rsidR="006B491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06614"/>
    <w:multiLevelType w:val="hybridMultilevel"/>
    <w:tmpl w:val="B1C6AEC8"/>
    <w:lvl w:ilvl="0" w:tplc="4006B840">
      <w:start w:val="20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2212931"/>
    <w:multiLevelType w:val="hybridMultilevel"/>
    <w:tmpl w:val="F08857B6"/>
    <w:lvl w:ilvl="0" w:tplc="4006B840">
      <w:start w:val="20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5FB7A95"/>
    <w:multiLevelType w:val="hybridMultilevel"/>
    <w:tmpl w:val="93C45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31685270">
    <w:abstractNumId w:val="1"/>
  </w:num>
  <w:num w:numId="2" w16cid:durableId="1703432875">
    <w:abstractNumId w:val="2"/>
  </w:num>
  <w:num w:numId="3" w16cid:durableId="1483617356">
    <w:abstractNumId w:val="0"/>
  </w:num>
  <w:num w:numId="4" w16cid:durableId="19313121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910"/>
    <w:rsid w:val="0021579D"/>
    <w:rsid w:val="006B4910"/>
    <w:rsid w:val="00B426CF"/>
    <w:rsid w:val="00D674FD"/>
    <w:rsid w:val="00E52EB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380ECD73"/>
  <w15:chartTrackingRefBased/>
  <w15:docId w15:val="{1E9F79D7-0613-154F-9ECF-19BEB6299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CA" w:eastAsia="en-US" w:bidi="ar-SA"/>
      </w:rPr>
    </w:rPrDefault>
    <w:pPrDefault>
      <w:pPr>
        <w:spacing w:line="480" w:lineRule="auto"/>
        <w:ind w:firstLine="425"/>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B49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B49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6B491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B491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B491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B4910"/>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B4910"/>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B4910"/>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B4910"/>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491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B491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6B4910"/>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B4910"/>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6B4910"/>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6B491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6B491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B491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6B491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B49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B49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B4910"/>
    <w:pPr>
      <w:numPr>
        <w:ilvl w:val="1"/>
      </w:numPr>
      <w:spacing w:after="160"/>
      <w:ind w:firstLine="425"/>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B491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6B491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B4910"/>
    <w:rPr>
      <w:i/>
      <w:iCs/>
      <w:color w:val="404040" w:themeColor="text1" w:themeTint="BF"/>
    </w:rPr>
  </w:style>
  <w:style w:type="paragraph" w:styleId="ListParagraph">
    <w:name w:val="List Paragraph"/>
    <w:basedOn w:val="Normal"/>
    <w:uiPriority w:val="34"/>
    <w:qFormat/>
    <w:rsid w:val="006B4910"/>
    <w:pPr>
      <w:ind w:left="720"/>
      <w:contextualSpacing/>
    </w:pPr>
  </w:style>
  <w:style w:type="character" w:styleId="IntenseEmphasis">
    <w:name w:val="Intense Emphasis"/>
    <w:basedOn w:val="DefaultParagraphFont"/>
    <w:uiPriority w:val="21"/>
    <w:qFormat/>
    <w:rsid w:val="006B4910"/>
    <w:rPr>
      <w:i/>
      <w:iCs/>
      <w:color w:val="0F4761" w:themeColor="accent1" w:themeShade="BF"/>
    </w:rPr>
  </w:style>
  <w:style w:type="paragraph" w:styleId="IntenseQuote">
    <w:name w:val="Intense Quote"/>
    <w:basedOn w:val="Normal"/>
    <w:next w:val="Normal"/>
    <w:link w:val="IntenseQuoteChar"/>
    <w:uiPriority w:val="30"/>
    <w:qFormat/>
    <w:rsid w:val="006B49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B4910"/>
    <w:rPr>
      <w:i/>
      <w:iCs/>
      <w:color w:val="0F4761" w:themeColor="accent1" w:themeShade="BF"/>
    </w:rPr>
  </w:style>
  <w:style w:type="character" w:styleId="IntenseReference">
    <w:name w:val="Intense Reference"/>
    <w:basedOn w:val="DefaultParagraphFont"/>
    <w:uiPriority w:val="32"/>
    <w:qFormat/>
    <w:rsid w:val="006B4910"/>
    <w:rPr>
      <w:b/>
      <w:bCs/>
      <w:smallCaps/>
      <w:color w:val="0F4761" w:themeColor="accent1" w:themeShade="BF"/>
      <w:spacing w:val="5"/>
    </w:rPr>
  </w:style>
  <w:style w:type="character" w:styleId="Strong">
    <w:name w:val="Strong"/>
    <w:basedOn w:val="DefaultParagraphFont"/>
    <w:uiPriority w:val="22"/>
    <w:qFormat/>
    <w:rsid w:val="006B4910"/>
    <w:rPr>
      <w:b/>
      <w:bCs/>
    </w:rPr>
  </w:style>
  <w:style w:type="character" w:customStyle="1" w:styleId="apple-converted-space">
    <w:name w:val="apple-converted-space"/>
    <w:basedOn w:val="DefaultParagraphFont"/>
    <w:rsid w:val="006B4910"/>
  </w:style>
  <w:style w:type="character" w:styleId="Emphasis">
    <w:name w:val="Emphasis"/>
    <w:basedOn w:val="DefaultParagraphFont"/>
    <w:uiPriority w:val="20"/>
    <w:qFormat/>
    <w:rsid w:val="006B491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156760">
      <w:bodyDiv w:val="1"/>
      <w:marLeft w:val="0"/>
      <w:marRight w:val="0"/>
      <w:marTop w:val="0"/>
      <w:marBottom w:val="0"/>
      <w:divBdr>
        <w:top w:val="none" w:sz="0" w:space="0" w:color="auto"/>
        <w:left w:val="none" w:sz="0" w:space="0" w:color="auto"/>
        <w:bottom w:val="none" w:sz="0" w:space="0" w:color="auto"/>
        <w:right w:val="none" w:sz="0" w:space="0" w:color="auto"/>
      </w:divBdr>
    </w:div>
    <w:div w:id="813447774">
      <w:bodyDiv w:val="1"/>
      <w:marLeft w:val="0"/>
      <w:marRight w:val="0"/>
      <w:marTop w:val="0"/>
      <w:marBottom w:val="0"/>
      <w:divBdr>
        <w:top w:val="none" w:sz="0" w:space="0" w:color="auto"/>
        <w:left w:val="none" w:sz="0" w:space="0" w:color="auto"/>
        <w:bottom w:val="none" w:sz="0" w:space="0" w:color="auto"/>
        <w:right w:val="none" w:sz="0" w:space="0" w:color="auto"/>
      </w:divBdr>
    </w:div>
    <w:div w:id="1047533883">
      <w:bodyDiv w:val="1"/>
      <w:marLeft w:val="0"/>
      <w:marRight w:val="0"/>
      <w:marTop w:val="0"/>
      <w:marBottom w:val="0"/>
      <w:divBdr>
        <w:top w:val="none" w:sz="0" w:space="0" w:color="auto"/>
        <w:left w:val="none" w:sz="0" w:space="0" w:color="auto"/>
        <w:bottom w:val="none" w:sz="0" w:space="0" w:color="auto"/>
        <w:right w:val="none" w:sz="0" w:space="0" w:color="auto"/>
      </w:divBdr>
    </w:div>
    <w:div w:id="1355495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883</Words>
  <Characters>5038</Characters>
  <Application>Microsoft Office Word</Application>
  <DocSecurity>0</DocSecurity>
  <Lines>41</Lines>
  <Paragraphs>11</Paragraphs>
  <ScaleCrop>false</ScaleCrop>
  <Company/>
  <LinksUpToDate>false</LinksUpToDate>
  <CharactersWithSpaces>5910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1</cp:revision>
  <dcterms:created xsi:type="dcterms:W3CDTF">2025-05-16T14:02:00Z</dcterms:created>
  <dcterms:modified xsi:type="dcterms:W3CDTF">2025-05-16T14:11:00Z</dcterms:modified>
</cp:coreProperties>
</file>