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0D85B8" w14:textId="77777777" w:rsidR="001C472F" w:rsidRDefault="001C472F" w:rsidP="001C472F">
      <w:pPr>
        <w:autoSpaceDE w:val="0"/>
        <w:autoSpaceDN w:val="0"/>
        <w:adjustRightInd w:val="0"/>
        <w:jc w:val="center"/>
      </w:pPr>
      <w:bookmarkStart w:id="0" w:name="OLE_LINK1"/>
      <w:bookmarkStart w:id="1" w:name="OLE_LINK2"/>
    </w:p>
    <w:p w14:paraId="0ACFD3DD" w14:textId="77777777" w:rsidR="001C472F" w:rsidRDefault="001C472F" w:rsidP="001C472F">
      <w:pPr>
        <w:autoSpaceDE w:val="0"/>
        <w:autoSpaceDN w:val="0"/>
        <w:adjustRightInd w:val="0"/>
        <w:jc w:val="center"/>
      </w:pPr>
    </w:p>
    <w:p w14:paraId="5DE997FB" w14:textId="77777777" w:rsidR="001C472F" w:rsidRPr="008A1C6D" w:rsidRDefault="001C472F" w:rsidP="001C472F">
      <w:pPr>
        <w:jc w:val="center"/>
        <w:rPr>
          <w:b/>
          <w:bCs/>
        </w:rPr>
      </w:pPr>
      <w:r w:rsidRPr="008A1C6D">
        <w:rPr>
          <w:b/>
          <w:bCs/>
        </w:rPr>
        <w:t>The Nexus between Remittances, Economic Growth and Institutions: Evidence from South Asia</w:t>
      </w:r>
    </w:p>
    <w:p w14:paraId="1C8A2EF7" w14:textId="77777777" w:rsidR="001C472F" w:rsidRDefault="001C472F" w:rsidP="001C472F">
      <w:pPr>
        <w:autoSpaceDE w:val="0"/>
        <w:autoSpaceDN w:val="0"/>
        <w:adjustRightInd w:val="0"/>
        <w:jc w:val="center"/>
        <w:rPr>
          <w:sz w:val="6"/>
          <w:szCs w:val="6"/>
        </w:rPr>
      </w:pPr>
    </w:p>
    <w:p w14:paraId="7C386F27" w14:textId="77777777" w:rsidR="001C472F" w:rsidRDefault="001C472F" w:rsidP="001C472F">
      <w:pPr>
        <w:autoSpaceDE w:val="0"/>
        <w:autoSpaceDN w:val="0"/>
        <w:adjustRightInd w:val="0"/>
        <w:jc w:val="center"/>
        <w:rPr>
          <w:sz w:val="6"/>
          <w:szCs w:val="6"/>
        </w:rPr>
      </w:pPr>
    </w:p>
    <w:p w14:paraId="1C0D1891" w14:textId="77777777" w:rsidR="001C472F" w:rsidRDefault="001C472F" w:rsidP="001C472F">
      <w:pPr>
        <w:autoSpaceDE w:val="0"/>
        <w:autoSpaceDN w:val="0"/>
        <w:adjustRightInd w:val="0"/>
        <w:jc w:val="center"/>
        <w:rPr>
          <w:sz w:val="6"/>
          <w:szCs w:val="6"/>
        </w:rPr>
      </w:pPr>
    </w:p>
    <w:p w14:paraId="3D742DA5" w14:textId="77777777" w:rsidR="001C472F" w:rsidRDefault="001C472F" w:rsidP="001C472F">
      <w:pPr>
        <w:autoSpaceDE w:val="0"/>
        <w:autoSpaceDN w:val="0"/>
        <w:adjustRightInd w:val="0"/>
        <w:jc w:val="center"/>
        <w:rPr>
          <w:sz w:val="6"/>
          <w:szCs w:val="6"/>
        </w:rPr>
      </w:pPr>
    </w:p>
    <w:p w14:paraId="2D07EAE9" w14:textId="7B788551" w:rsidR="001C472F" w:rsidRDefault="001C472F" w:rsidP="001C472F">
      <w:pPr>
        <w:autoSpaceDE w:val="0"/>
        <w:autoSpaceDN w:val="0"/>
        <w:adjustRightInd w:val="0"/>
        <w:jc w:val="center"/>
        <w:rPr>
          <w:sz w:val="26"/>
          <w:szCs w:val="26"/>
        </w:rPr>
      </w:pPr>
      <w:r>
        <w:t xml:space="preserve">by </w:t>
      </w:r>
      <w:bookmarkStart w:id="2" w:name="_GoBack"/>
      <w:r>
        <w:rPr>
          <w:sz w:val="26"/>
          <w:szCs w:val="26"/>
        </w:rPr>
        <w:t>Fatouma Aden</w:t>
      </w:r>
      <w:bookmarkEnd w:id="2"/>
    </w:p>
    <w:p w14:paraId="23CBA990" w14:textId="77777777" w:rsidR="001C472F" w:rsidRDefault="001C472F" w:rsidP="001C472F">
      <w:pPr>
        <w:autoSpaceDE w:val="0"/>
        <w:autoSpaceDN w:val="0"/>
        <w:adjustRightInd w:val="0"/>
        <w:jc w:val="center"/>
        <w:rPr>
          <w:sz w:val="26"/>
          <w:szCs w:val="26"/>
        </w:rPr>
      </w:pPr>
    </w:p>
    <w:p w14:paraId="5734C6A3" w14:textId="273C3B8B" w:rsidR="001C472F" w:rsidRDefault="001C472F" w:rsidP="001C472F">
      <w:pPr>
        <w:autoSpaceDE w:val="0"/>
        <w:autoSpaceDN w:val="0"/>
        <w:adjustRightInd w:val="0"/>
        <w:jc w:val="center"/>
      </w:pPr>
      <w:r>
        <w:t>(6387714)</w:t>
      </w:r>
    </w:p>
    <w:p w14:paraId="1EB54671" w14:textId="77777777" w:rsidR="001C472F" w:rsidRDefault="001C472F" w:rsidP="001C472F">
      <w:pPr>
        <w:autoSpaceDE w:val="0"/>
        <w:autoSpaceDN w:val="0"/>
        <w:adjustRightInd w:val="0"/>
        <w:jc w:val="center"/>
      </w:pPr>
    </w:p>
    <w:p w14:paraId="2B5C0DC1" w14:textId="77777777" w:rsidR="001C472F" w:rsidRDefault="001C472F" w:rsidP="001C472F">
      <w:pPr>
        <w:autoSpaceDE w:val="0"/>
        <w:autoSpaceDN w:val="0"/>
        <w:adjustRightInd w:val="0"/>
        <w:jc w:val="center"/>
      </w:pPr>
    </w:p>
    <w:p w14:paraId="05888181" w14:textId="77777777" w:rsidR="001C472F" w:rsidRDefault="001C472F" w:rsidP="001C472F">
      <w:pPr>
        <w:autoSpaceDE w:val="0"/>
        <w:autoSpaceDN w:val="0"/>
        <w:adjustRightInd w:val="0"/>
        <w:jc w:val="center"/>
      </w:pPr>
    </w:p>
    <w:p w14:paraId="60DCE3EA" w14:textId="77777777" w:rsidR="001C472F" w:rsidRDefault="001C472F" w:rsidP="001C472F">
      <w:pPr>
        <w:autoSpaceDE w:val="0"/>
        <w:autoSpaceDN w:val="0"/>
        <w:adjustRightInd w:val="0"/>
        <w:jc w:val="center"/>
      </w:pPr>
      <w:r>
        <w:t>Major Paper presented to the</w:t>
      </w:r>
    </w:p>
    <w:p w14:paraId="15206EBD" w14:textId="77777777" w:rsidR="001C472F" w:rsidRDefault="001C472F" w:rsidP="001C472F">
      <w:pPr>
        <w:autoSpaceDE w:val="0"/>
        <w:autoSpaceDN w:val="0"/>
        <w:adjustRightInd w:val="0"/>
        <w:jc w:val="center"/>
      </w:pPr>
      <w:r>
        <w:t>Department of Economics of the University of Ottawa</w:t>
      </w:r>
    </w:p>
    <w:p w14:paraId="1844FD43" w14:textId="77777777" w:rsidR="001C472F" w:rsidRDefault="001C472F" w:rsidP="001C472F">
      <w:pPr>
        <w:autoSpaceDE w:val="0"/>
        <w:autoSpaceDN w:val="0"/>
        <w:adjustRightInd w:val="0"/>
        <w:jc w:val="center"/>
      </w:pPr>
      <w:r>
        <w:t>in partial fulfillment of the requirements of the M.A. Degree</w:t>
      </w:r>
    </w:p>
    <w:p w14:paraId="29B4BA73" w14:textId="4615B4F7" w:rsidR="001C472F" w:rsidRDefault="001C472F" w:rsidP="001C472F">
      <w:pPr>
        <w:autoSpaceDE w:val="0"/>
        <w:autoSpaceDN w:val="0"/>
        <w:adjustRightInd w:val="0"/>
        <w:jc w:val="center"/>
      </w:pPr>
      <w:r>
        <w:t>Supervisor: Professor Yazid Dissou</w:t>
      </w:r>
    </w:p>
    <w:p w14:paraId="15618FB8" w14:textId="77777777" w:rsidR="001C472F" w:rsidRDefault="001C472F" w:rsidP="001C472F">
      <w:pPr>
        <w:autoSpaceDE w:val="0"/>
        <w:autoSpaceDN w:val="0"/>
        <w:adjustRightInd w:val="0"/>
        <w:jc w:val="center"/>
      </w:pPr>
    </w:p>
    <w:p w14:paraId="5AD33353" w14:textId="77777777" w:rsidR="001C472F" w:rsidRDefault="001C472F" w:rsidP="001C472F">
      <w:pPr>
        <w:autoSpaceDE w:val="0"/>
        <w:autoSpaceDN w:val="0"/>
        <w:adjustRightInd w:val="0"/>
        <w:jc w:val="center"/>
      </w:pPr>
    </w:p>
    <w:p w14:paraId="7364DACE" w14:textId="77777777" w:rsidR="001C472F" w:rsidRDefault="001C472F" w:rsidP="001C472F">
      <w:pPr>
        <w:autoSpaceDE w:val="0"/>
        <w:autoSpaceDN w:val="0"/>
        <w:adjustRightInd w:val="0"/>
        <w:jc w:val="center"/>
      </w:pPr>
      <w:r>
        <w:t>ECO 6999</w:t>
      </w:r>
    </w:p>
    <w:p w14:paraId="7F2B0100" w14:textId="77777777" w:rsidR="001C472F" w:rsidRDefault="001C472F" w:rsidP="001C472F">
      <w:pPr>
        <w:autoSpaceDE w:val="0"/>
        <w:autoSpaceDN w:val="0"/>
        <w:adjustRightInd w:val="0"/>
        <w:jc w:val="center"/>
      </w:pPr>
    </w:p>
    <w:p w14:paraId="2FD25A0E" w14:textId="77777777" w:rsidR="001C472F" w:rsidRDefault="001C472F" w:rsidP="001C472F">
      <w:pPr>
        <w:autoSpaceDE w:val="0"/>
        <w:autoSpaceDN w:val="0"/>
        <w:adjustRightInd w:val="0"/>
        <w:jc w:val="center"/>
      </w:pPr>
    </w:p>
    <w:p w14:paraId="33D5AB12" w14:textId="77777777" w:rsidR="001C472F" w:rsidRDefault="001C472F" w:rsidP="001C472F">
      <w:pPr>
        <w:autoSpaceDE w:val="0"/>
        <w:autoSpaceDN w:val="0"/>
        <w:adjustRightInd w:val="0"/>
        <w:jc w:val="center"/>
      </w:pPr>
    </w:p>
    <w:p w14:paraId="27109F2B" w14:textId="77777777" w:rsidR="001C472F" w:rsidRDefault="001C472F" w:rsidP="001C472F">
      <w:pPr>
        <w:autoSpaceDE w:val="0"/>
        <w:autoSpaceDN w:val="0"/>
        <w:adjustRightInd w:val="0"/>
        <w:jc w:val="center"/>
      </w:pPr>
    </w:p>
    <w:p w14:paraId="43B6EEFE" w14:textId="77777777" w:rsidR="001C472F" w:rsidRDefault="001C472F" w:rsidP="001C472F">
      <w:pPr>
        <w:autoSpaceDE w:val="0"/>
        <w:autoSpaceDN w:val="0"/>
        <w:adjustRightInd w:val="0"/>
        <w:jc w:val="center"/>
      </w:pPr>
    </w:p>
    <w:p w14:paraId="5BFB4CDB" w14:textId="77777777" w:rsidR="001C472F" w:rsidRDefault="001C472F" w:rsidP="001C472F">
      <w:pPr>
        <w:autoSpaceDE w:val="0"/>
        <w:autoSpaceDN w:val="0"/>
        <w:adjustRightInd w:val="0"/>
        <w:jc w:val="center"/>
      </w:pPr>
    </w:p>
    <w:p w14:paraId="52C04B71" w14:textId="77777777" w:rsidR="001C472F" w:rsidRDefault="001C472F" w:rsidP="001C472F">
      <w:pPr>
        <w:autoSpaceDE w:val="0"/>
        <w:autoSpaceDN w:val="0"/>
        <w:adjustRightInd w:val="0"/>
        <w:jc w:val="center"/>
      </w:pPr>
    </w:p>
    <w:p w14:paraId="361B1EBE" w14:textId="77777777" w:rsidR="001C472F" w:rsidRDefault="001C472F" w:rsidP="001C472F">
      <w:pPr>
        <w:autoSpaceDE w:val="0"/>
        <w:autoSpaceDN w:val="0"/>
        <w:adjustRightInd w:val="0"/>
        <w:jc w:val="center"/>
      </w:pPr>
    </w:p>
    <w:p w14:paraId="4977400E" w14:textId="77777777" w:rsidR="001C472F" w:rsidRDefault="001C472F" w:rsidP="001C472F">
      <w:pPr>
        <w:autoSpaceDE w:val="0"/>
        <w:autoSpaceDN w:val="0"/>
        <w:adjustRightInd w:val="0"/>
        <w:jc w:val="center"/>
      </w:pPr>
    </w:p>
    <w:p w14:paraId="7EE13B8A" w14:textId="77777777" w:rsidR="001C472F" w:rsidRDefault="001C472F" w:rsidP="001C472F">
      <w:pPr>
        <w:autoSpaceDE w:val="0"/>
        <w:autoSpaceDN w:val="0"/>
        <w:adjustRightInd w:val="0"/>
        <w:jc w:val="center"/>
      </w:pPr>
    </w:p>
    <w:p w14:paraId="21B610E6" w14:textId="77777777" w:rsidR="001C472F" w:rsidRDefault="001C472F" w:rsidP="001C472F">
      <w:pPr>
        <w:autoSpaceDE w:val="0"/>
        <w:autoSpaceDN w:val="0"/>
        <w:adjustRightInd w:val="0"/>
        <w:jc w:val="center"/>
      </w:pPr>
    </w:p>
    <w:p w14:paraId="60B31375" w14:textId="77777777" w:rsidR="001C472F" w:rsidRDefault="001C472F" w:rsidP="001C472F">
      <w:pPr>
        <w:autoSpaceDE w:val="0"/>
        <w:autoSpaceDN w:val="0"/>
        <w:adjustRightInd w:val="0"/>
        <w:jc w:val="center"/>
      </w:pPr>
    </w:p>
    <w:p w14:paraId="50FE496B" w14:textId="77777777" w:rsidR="001C472F" w:rsidRDefault="001C472F" w:rsidP="001C472F">
      <w:pPr>
        <w:autoSpaceDE w:val="0"/>
        <w:autoSpaceDN w:val="0"/>
        <w:adjustRightInd w:val="0"/>
        <w:jc w:val="center"/>
      </w:pPr>
    </w:p>
    <w:p w14:paraId="46536683" w14:textId="77777777" w:rsidR="001C472F" w:rsidRDefault="001C472F" w:rsidP="001C472F">
      <w:pPr>
        <w:autoSpaceDE w:val="0"/>
        <w:autoSpaceDN w:val="0"/>
        <w:adjustRightInd w:val="0"/>
        <w:jc w:val="center"/>
      </w:pPr>
      <w:r>
        <w:t>Ottawa, Ontario</w:t>
      </w:r>
    </w:p>
    <w:p w14:paraId="089084DD" w14:textId="3D04C3D0" w:rsidR="001C472F" w:rsidRDefault="001C472F" w:rsidP="001C472F">
      <w:pPr>
        <w:jc w:val="center"/>
      </w:pPr>
      <w:r>
        <w:t>July 2019</w:t>
      </w:r>
    </w:p>
    <w:p w14:paraId="2B45BA86" w14:textId="77777777" w:rsidR="001C472F" w:rsidRPr="00DD5239" w:rsidRDefault="001C472F" w:rsidP="001C472F">
      <w:pPr>
        <w:jc w:val="center"/>
      </w:pPr>
    </w:p>
    <w:p w14:paraId="5180497B" w14:textId="77777777" w:rsidR="001C472F" w:rsidRDefault="001C472F" w:rsidP="00655406">
      <w:pPr>
        <w:rPr>
          <w:b/>
          <w:bCs/>
        </w:rPr>
      </w:pPr>
    </w:p>
    <w:p w14:paraId="478F7F8A" w14:textId="77777777" w:rsidR="001C472F" w:rsidRDefault="001C472F">
      <w:pPr>
        <w:rPr>
          <w:b/>
          <w:bCs/>
        </w:rPr>
      </w:pPr>
      <w:r>
        <w:rPr>
          <w:b/>
          <w:bCs/>
        </w:rPr>
        <w:br w:type="page"/>
      </w:r>
    </w:p>
    <w:p w14:paraId="56ADC3E6" w14:textId="418FDFF5" w:rsidR="00655406" w:rsidRPr="00DA400B" w:rsidRDefault="00655406" w:rsidP="00655406">
      <w:pPr>
        <w:rPr>
          <w:b/>
          <w:bCs/>
        </w:rPr>
      </w:pPr>
      <w:r w:rsidRPr="00DA400B">
        <w:rPr>
          <w:b/>
          <w:bCs/>
        </w:rPr>
        <w:lastRenderedPageBreak/>
        <w:t>The Nexus between Remittances, Economic Growth and Institutions: Evidence from South Asia</w:t>
      </w:r>
    </w:p>
    <w:p w14:paraId="63412D0A" w14:textId="3B1B9BA4" w:rsidR="00655406" w:rsidRDefault="00655406" w:rsidP="00655406">
      <w:pPr>
        <w:spacing w:line="480" w:lineRule="auto"/>
        <w:rPr>
          <w:b/>
          <w:bCs/>
        </w:rPr>
      </w:pPr>
    </w:p>
    <w:p w14:paraId="47C97DEB" w14:textId="77777777" w:rsidR="006B2BF3" w:rsidRDefault="006B2BF3" w:rsidP="00655406">
      <w:pPr>
        <w:spacing w:line="480" w:lineRule="auto"/>
        <w:rPr>
          <w:b/>
          <w:bCs/>
        </w:rPr>
      </w:pPr>
    </w:p>
    <w:p w14:paraId="7FD2382E" w14:textId="77777777" w:rsidR="006B2BF3" w:rsidRDefault="006B2BF3" w:rsidP="00655406">
      <w:pPr>
        <w:spacing w:line="480" w:lineRule="auto"/>
        <w:rPr>
          <w:b/>
          <w:bCs/>
        </w:rPr>
      </w:pPr>
    </w:p>
    <w:p w14:paraId="7E0928A6" w14:textId="17F07C03" w:rsidR="00C10E9E" w:rsidRDefault="00F42BA4" w:rsidP="00655406">
      <w:pPr>
        <w:spacing w:line="480" w:lineRule="auto"/>
        <w:rPr>
          <w:b/>
          <w:bCs/>
        </w:rPr>
      </w:pPr>
      <w:r w:rsidRPr="006C3996">
        <w:rPr>
          <w:b/>
          <w:bCs/>
        </w:rPr>
        <w:t>Abstract:</w:t>
      </w:r>
      <w:r>
        <w:rPr>
          <w:b/>
          <w:bCs/>
        </w:rPr>
        <w:t xml:space="preserve"> </w:t>
      </w:r>
    </w:p>
    <w:p w14:paraId="2D2EBD9E" w14:textId="337A833A" w:rsidR="00F42BA4" w:rsidRPr="00DA400B" w:rsidRDefault="00E3477C" w:rsidP="009312CC">
      <w:pPr>
        <w:spacing w:line="480" w:lineRule="auto"/>
        <w:jc w:val="both"/>
        <w:rPr>
          <w:b/>
          <w:bCs/>
        </w:rPr>
      </w:pPr>
      <w:r w:rsidRPr="009312CC">
        <w:t>In recent year</w:t>
      </w:r>
      <w:r w:rsidR="001030A4">
        <w:t>s</w:t>
      </w:r>
      <w:r w:rsidRPr="009312CC">
        <w:t xml:space="preserve">, remittances have become an important source of finance for developing countries. This paper examines the </w:t>
      </w:r>
      <w:r w:rsidR="00D30933" w:rsidRPr="00D30933">
        <w:t>ca</w:t>
      </w:r>
      <w:r w:rsidR="00D30933">
        <w:t>usa</w:t>
      </w:r>
      <w:r w:rsidR="00D30933" w:rsidRPr="00D30933">
        <w:t>l</w:t>
      </w:r>
      <w:r w:rsidRPr="00D30933">
        <w:t xml:space="preserve"> links between remittances, economic growth, and institutions in a panel of </w:t>
      </w:r>
      <w:r w:rsidR="00D30933">
        <w:t>four</w:t>
      </w:r>
      <w:r w:rsidRPr="00D30933">
        <w:t xml:space="preserve"> South Asian countries, namely Bangladesh, India, Pakistan, and Sri Lanka. We apply both fixed effects and system of generalized method of moments (GMM) in our analysis and we find evidence that while remittances do have a positive relationship with economic growth, the growth effect of remittances decreases with the level of in</w:t>
      </w:r>
      <w:r w:rsidR="006C3996" w:rsidRPr="00D30933">
        <w:t xml:space="preserve">stitutional </w:t>
      </w:r>
      <w:r w:rsidRPr="00D30933">
        <w:t xml:space="preserve">quality. </w:t>
      </w:r>
      <w:r w:rsidR="006C3996" w:rsidRPr="00D30933">
        <w:t>These</w:t>
      </w:r>
      <w:r w:rsidRPr="00D30933">
        <w:t xml:space="preserve"> result</w:t>
      </w:r>
      <w:r w:rsidR="006C3996" w:rsidRPr="00D30933">
        <w:t>s</w:t>
      </w:r>
      <w:r w:rsidRPr="00D30933">
        <w:t xml:space="preserve"> suggest that in South Asia</w:t>
      </w:r>
      <w:r w:rsidR="00D30933">
        <w:t>,</w:t>
      </w:r>
      <w:r w:rsidRPr="00D30933">
        <w:t xml:space="preserve"> remittances and ins</w:t>
      </w:r>
      <w:r w:rsidR="006C3996" w:rsidRPr="00D30933">
        <w:t xml:space="preserve">titutional </w:t>
      </w:r>
      <w:r w:rsidRPr="00D30933">
        <w:t xml:space="preserve">quality are </w:t>
      </w:r>
      <w:r w:rsidR="006C3996" w:rsidRPr="00D30933">
        <w:t>substitutes</w:t>
      </w:r>
      <w:r w:rsidRPr="00D30933">
        <w:t>.</w:t>
      </w:r>
      <w:r>
        <w:rPr>
          <w:b/>
          <w:bCs/>
        </w:rPr>
        <w:t xml:space="preserve">  </w:t>
      </w:r>
    </w:p>
    <w:p w14:paraId="4A246CFE" w14:textId="77777777" w:rsidR="00F42BA4" w:rsidRDefault="00F42BA4" w:rsidP="00655406">
      <w:pPr>
        <w:spacing w:line="480" w:lineRule="auto"/>
        <w:rPr>
          <w:b/>
          <w:bCs/>
        </w:rPr>
      </w:pPr>
    </w:p>
    <w:p w14:paraId="56B9DDB0" w14:textId="77777777" w:rsidR="00C10E9E" w:rsidRDefault="00C10E9E">
      <w:pPr>
        <w:rPr>
          <w:b/>
          <w:bCs/>
        </w:rPr>
      </w:pPr>
      <w:r>
        <w:rPr>
          <w:b/>
          <w:bCs/>
        </w:rPr>
        <w:br w:type="page"/>
      </w:r>
    </w:p>
    <w:sdt>
      <w:sdtPr>
        <w:rPr>
          <w:rFonts w:ascii="Times New Roman" w:eastAsia="Times New Roman" w:hAnsi="Times New Roman" w:cs="Times New Roman"/>
          <w:b w:val="0"/>
          <w:bCs w:val="0"/>
          <w:color w:val="000000" w:themeColor="text1"/>
          <w:sz w:val="24"/>
          <w:szCs w:val="24"/>
          <w:lang w:val="en-CA"/>
        </w:rPr>
        <w:id w:val="1750918548"/>
        <w:docPartObj>
          <w:docPartGallery w:val="Table of Contents"/>
          <w:docPartUnique/>
        </w:docPartObj>
      </w:sdtPr>
      <w:sdtEndPr>
        <w:rPr>
          <w:noProof/>
        </w:rPr>
      </w:sdtEndPr>
      <w:sdtContent>
        <w:p w14:paraId="0262A6FE" w14:textId="008CCA02" w:rsidR="00575C28" w:rsidRPr="00575C28" w:rsidRDefault="00575C28">
          <w:pPr>
            <w:pStyle w:val="TOCHeading"/>
            <w:rPr>
              <w:rFonts w:ascii="Times New Roman" w:hAnsi="Times New Roman" w:cs="Times New Roman"/>
              <w:color w:val="000000" w:themeColor="text1"/>
              <w:sz w:val="24"/>
              <w:szCs w:val="24"/>
            </w:rPr>
          </w:pPr>
          <w:r w:rsidRPr="00575C28">
            <w:rPr>
              <w:rFonts w:ascii="Times New Roman" w:hAnsi="Times New Roman" w:cs="Times New Roman"/>
              <w:color w:val="000000" w:themeColor="text1"/>
              <w:sz w:val="24"/>
              <w:szCs w:val="24"/>
            </w:rPr>
            <w:t>Table of Contents</w:t>
          </w:r>
        </w:p>
        <w:p w14:paraId="5899CEB2" w14:textId="04443A23" w:rsidR="00575C28" w:rsidRPr="00575C28" w:rsidRDefault="00575C28">
          <w:pPr>
            <w:pStyle w:val="TOC1"/>
            <w:tabs>
              <w:tab w:val="right" w:leader="dot" w:pos="9350"/>
            </w:tabs>
            <w:rPr>
              <w:rFonts w:ascii="Times New Roman" w:eastAsiaTheme="minorEastAsia" w:hAnsi="Times New Roman"/>
              <w:b w:val="0"/>
              <w:bCs w:val="0"/>
              <w:i w:val="0"/>
              <w:iCs w:val="0"/>
              <w:noProof/>
              <w:color w:val="000000" w:themeColor="text1"/>
            </w:rPr>
          </w:pPr>
          <w:r w:rsidRPr="00575C28">
            <w:rPr>
              <w:rFonts w:ascii="Times New Roman" w:hAnsi="Times New Roman"/>
              <w:b w:val="0"/>
              <w:bCs w:val="0"/>
              <w:i w:val="0"/>
              <w:iCs w:val="0"/>
              <w:color w:val="000000" w:themeColor="text1"/>
            </w:rPr>
            <w:fldChar w:fldCharType="begin"/>
          </w:r>
          <w:r w:rsidRPr="00575C28">
            <w:rPr>
              <w:rFonts w:ascii="Times New Roman" w:hAnsi="Times New Roman"/>
              <w:i w:val="0"/>
              <w:iCs w:val="0"/>
              <w:color w:val="000000" w:themeColor="text1"/>
            </w:rPr>
            <w:instrText xml:space="preserve"> TOC \o "1-3" \h \z \u </w:instrText>
          </w:r>
          <w:r w:rsidRPr="00575C28">
            <w:rPr>
              <w:rFonts w:ascii="Times New Roman" w:hAnsi="Times New Roman"/>
              <w:b w:val="0"/>
              <w:bCs w:val="0"/>
              <w:i w:val="0"/>
              <w:iCs w:val="0"/>
              <w:color w:val="000000" w:themeColor="text1"/>
            </w:rPr>
            <w:fldChar w:fldCharType="separate"/>
          </w:r>
          <w:hyperlink w:anchor="_Toc15420055" w:history="1">
            <w:r w:rsidRPr="00575C28">
              <w:rPr>
                <w:rStyle w:val="Hyperlink"/>
                <w:rFonts w:ascii="Times New Roman" w:hAnsi="Times New Roman"/>
                <w:i w:val="0"/>
                <w:iCs w:val="0"/>
                <w:noProof/>
                <w:color w:val="000000" w:themeColor="text1"/>
              </w:rPr>
              <w:t>Introduction</w:t>
            </w:r>
            <w:r w:rsidRPr="00575C28">
              <w:rPr>
                <w:rFonts w:ascii="Times New Roman" w:hAnsi="Times New Roman"/>
                <w:i w:val="0"/>
                <w:iCs w:val="0"/>
                <w:noProof/>
                <w:webHidden/>
                <w:color w:val="000000" w:themeColor="text1"/>
              </w:rPr>
              <w:tab/>
            </w:r>
            <w:r w:rsidRPr="00575C28">
              <w:rPr>
                <w:rFonts w:ascii="Times New Roman" w:hAnsi="Times New Roman"/>
                <w:i w:val="0"/>
                <w:iCs w:val="0"/>
                <w:noProof/>
                <w:webHidden/>
                <w:color w:val="000000" w:themeColor="text1"/>
              </w:rPr>
              <w:fldChar w:fldCharType="begin"/>
            </w:r>
            <w:r w:rsidRPr="00575C28">
              <w:rPr>
                <w:rFonts w:ascii="Times New Roman" w:hAnsi="Times New Roman"/>
                <w:i w:val="0"/>
                <w:iCs w:val="0"/>
                <w:noProof/>
                <w:webHidden/>
                <w:color w:val="000000" w:themeColor="text1"/>
              </w:rPr>
              <w:instrText xml:space="preserve"> PAGEREF _Toc15420055 \h </w:instrText>
            </w:r>
            <w:r w:rsidRPr="00575C28">
              <w:rPr>
                <w:rFonts w:ascii="Times New Roman" w:hAnsi="Times New Roman"/>
                <w:i w:val="0"/>
                <w:iCs w:val="0"/>
                <w:noProof/>
                <w:webHidden/>
                <w:color w:val="000000" w:themeColor="text1"/>
              </w:rPr>
            </w:r>
            <w:r w:rsidRPr="00575C28">
              <w:rPr>
                <w:rFonts w:ascii="Times New Roman" w:hAnsi="Times New Roman"/>
                <w:i w:val="0"/>
                <w:iCs w:val="0"/>
                <w:noProof/>
                <w:webHidden/>
                <w:color w:val="000000" w:themeColor="text1"/>
              </w:rPr>
              <w:fldChar w:fldCharType="separate"/>
            </w:r>
            <w:r w:rsidRPr="00575C28">
              <w:rPr>
                <w:rFonts w:ascii="Times New Roman" w:hAnsi="Times New Roman"/>
                <w:i w:val="0"/>
                <w:iCs w:val="0"/>
                <w:noProof/>
                <w:webHidden/>
                <w:color w:val="000000" w:themeColor="text1"/>
              </w:rPr>
              <w:t>3</w:t>
            </w:r>
            <w:r w:rsidRPr="00575C28">
              <w:rPr>
                <w:rFonts w:ascii="Times New Roman" w:hAnsi="Times New Roman"/>
                <w:i w:val="0"/>
                <w:iCs w:val="0"/>
                <w:noProof/>
                <w:webHidden/>
                <w:color w:val="000000" w:themeColor="text1"/>
              </w:rPr>
              <w:fldChar w:fldCharType="end"/>
            </w:r>
          </w:hyperlink>
        </w:p>
        <w:p w14:paraId="1F9B78D4" w14:textId="1B893F37" w:rsidR="00575C28" w:rsidRPr="00575C28" w:rsidRDefault="004E36EA">
          <w:pPr>
            <w:pStyle w:val="TOC1"/>
            <w:tabs>
              <w:tab w:val="right" w:leader="dot" w:pos="9350"/>
            </w:tabs>
            <w:rPr>
              <w:rFonts w:ascii="Times New Roman" w:eastAsiaTheme="minorEastAsia" w:hAnsi="Times New Roman"/>
              <w:b w:val="0"/>
              <w:bCs w:val="0"/>
              <w:i w:val="0"/>
              <w:iCs w:val="0"/>
              <w:noProof/>
              <w:color w:val="000000" w:themeColor="text1"/>
            </w:rPr>
          </w:pPr>
          <w:hyperlink w:anchor="_Toc15420056" w:history="1">
            <w:r w:rsidR="00575C28" w:rsidRPr="00575C28">
              <w:rPr>
                <w:rStyle w:val="Hyperlink"/>
                <w:rFonts w:ascii="Times New Roman" w:hAnsi="Times New Roman"/>
                <w:i w:val="0"/>
                <w:iCs w:val="0"/>
                <w:noProof/>
                <w:color w:val="000000" w:themeColor="text1"/>
              </w:rPr>
              <w:t>Section I Remittance Inflows in South Asia</w:t>
            </w:r>
            <w:r w:rsidR="00575C28" w:rsidRPr="00575C28">
              <w:rPr>
                <w:rFonts w:ascii="Times New Roman" w:hAnsi="Times New Roman"/>
                <w:i w:val="0"/>
                <w:iCs w:val="0"/>
                <w:noProof/>
                <w:webHidden/>
                <w:color w:val="000000" w:themeColor="text1"/>
              </w:rPr>
              <w:tab/>
            </w:r>
            <w:r w:rsidR="00575C28" w:rsidRPr="00575C28">
              <w:rPr>
                <w:rFonts w:ascii="Times New Roman" w:hAnsi="Times New Roman"/>
                <w:i w:val="0"/>
                <w:iCs w:val="0"/>
                <w:noProof/>
                <w:webHidden/>
                <w:color w:val="000000" w:themeColor="text1"/>
              </w:rPr>
              <w:fldChar w:fldCharType="begin"/>
            </w:r>
            <w:r w:rsidR="00575C28" w:rsidRPr="00575C28">
              <w:rPr>
                <w:rFonts w:ascii="Times New Roman" w:hAnsi="Times New Roman"/>
                <w:i w:val="0"/>
                <w:iCs w:val="0"/>
                <w:noProof/>
                <w:webHidden/>
                <w:color w:val="000000" w:themeColor="text1"/>
              </w:rPr>
              <w:instrText xml:space="preserve"> PAGEREF _Toc15420056 \h </w:instrText>
            </w:r>
            <w:r w:rsidR="00575C28" w:rsidRPr="00575C28">
              <w:rPr>
                <w:rFonts w:ascii="Times New Roman" w:hAnsi="Times New Roman"/>
                <w:i w:val="0"/>
                <w:iCs w:val="0"/>
                <w:noProof/>
                <w:webHidden/>
                <w:color w:val="000000" w:themeColor="text1"/>
              </w:rPr>
            </w:r>
            <w:r w:rsidR="00575C28" w:rsidRPr="00575C28">
              <w:rPr>
                <w:rFonts w:ascii="Times New Roman" w:hAnsi="Times New Roman"/>
                <w:i w:val="0"/>
                <w:iCs w:val="0"/>
                <w:noProof/>
                <w:webHidden/>
                <w:color w:val="000000" w:themeColor="text1"/>
              </w:rPr>
              <w:fldChar w:fldCharType="separate"/>
            </w:r>
            <w:r w:rsidR="00575C28" w:rsidRPr="00575C28">
              <w:rPr>
                <w:rFonts w:ascii="Times New Roman" w:hAnsi="Times New Roman"/>
                <w:i w:val="0"/>
                <w:iCs w:val="0"/>
                <w:noProof/>
                <w:webHidden/>
                <w:color w:val="000000" w:themeColor="text1"/>
              </w:rPr>
              <w:t>5</w:t>
            </w:r>
            <w:r w:rsidR="00575C28" w:rsidRPr="00575C28">
              <w:rPr>
                <w:rFonts w:ascii="Times New Roman" w:hAnsi="Times New Roman"/>
                <w:i w:val="0"/>
                <w:iCs w:val="0"/>
                <w:noProof/>
                <w:webHidden/>
                <w:color w:val="000000" w:themeColor="text1"/>
              </w:rPr>
              <w:fldChar w:fldCharType="end"/>
            </w:r>
          </w:hyperlink>
        </w:p>
        <w:p w14:paraId="2A7721A7" w14:textId="7B4ACEC2" w:rsidR="00575C28" w:rsidRPr="00575C28" w:rsidRDefault="004E36EA">
          <w:pPr>
            <w:pStyle w:val="TOC1"/>
            <w:tabs>
              <w:tab w:val="right" w:leader="dot" w:pos="9350"/>
            </w:tabs>
            <w:rPr>
              <w:rFonts w:ascii="Times New Roman" w:eastAsiaTheme="minorEastAsia" w:hAnsi="Times New Roman"/>
              <w:b w:val="0"/>
              <w:bCs w:val="0"/>
              <w:i w:val="0"/>
              <w:iCs w:val="0"/>
              <w:noProof/>
              <w:color w:val="000000" w:themeColor="text1"/>
            </w:rPr>
          </w:pPr>
          <w:hyperlink w:anchor="_Toc15420057" w:history="1">
            <w:r w:rsidR="00575C28" w:rsidRPr="00575C28">
              <w:rPr>
                <w:rStyle w:val="Hyperlink"/>
                <w:rFonts w:ascii="Times New Roman" w:hAnsi="Times New Roman"/>
                <w:i w:val="0"/>
                <w:iCs w:val="0"/>
                <w:noProof/>
                <w:color w:val="000000" w:themeColor="text1"/>
              </w:rPr>
              <w:t>Section II Literature Review</w:t>
            </w:r>
            <w:r w:rsidR="00575C28" w:rsidRPr="00575C28">
              <w:rPr>
                <w:rFonts w:ascii="Times New Roman" w:hAnsi="Times New Roman"/>
                <w:i w:val="0"/>
                <w:iCs w:val="0"/>
                <w:noProof/>
                <w:webHidden/>
                <w:color w:val="000000" w:themeColor="text1"/>
              </w:rPr>
              <w:tab/>
            </w:r>
            <w:r w:rsidR="00575C28" w:rsidRPr="00575C28">
              <w:rPr>
                <w:rFonts w:ascii="Times New Roman" w:hAnsi="Times New Roman"/>
                <w:i w:val="0"/>
                <w:iCs w:val="0"/>
                <w:noProof/>
                <w:webHidden/>
                <w:color w:val="000000" w:themeColor="text1"/>
              </w:rPr>
              <w:fldChar w:fldCharType="begin"/>
            </w:r>
            <w:r w:rsidR="00575C28" w:rsidRPr="00575C28">
              <w:rPr>
                <w:rFonts w:ascii="Times New Roman" w:hAnsi="Times New Roman"/>
                <w:i w:val="0"/>
                <w:iCs w:val="0"/>
                <w:noProof/>
                <w:webHidden/>
                <w:color w:val="000000" w:themeColor="text1"/>
              </w:rPr>
              <w:instrText xml:space="preserve"> PAGEREF _Toc15420057 \h </w:instrText>
            </w:r>
            <w:r w:rsidR="00575C28" w:rsidRPr="00575C28">
              <w:rPr>
                <w:rFonts w:ascii="Times New Roman" w:hAnsi="Times New Roman"/>
                <w:i w:val="0"/>
                <w:iCs w:val="0"/>
                <w:noProof/>
                <w:webHidden/>
                <w:color w:val="000000" w:themeColor="text1"/>
              </w:rPr>
            </w:r>
            <w:r w:rsidR="00575C28" w:rsidRPr="00575C28">
              <w:rPr>
                <w:rFonts w:ascii="Times New Roman" w:hAnsi="Times New Roman"/>
                <w:i w:val="0"/>
                <w:iCs w:val="0"/>
                <w:noProof/>
                <w:webHidden/>
                <w:color w:val="000000" w:themeColor="text1"/>
              </w:rPr>
              <w:fldChar w:fldCharType="separate"/>
            </w:r>
            <w:r w:rsidR="00575C28" w:rsidRPr="00575C28">
              <w:rPr>
                <w:rFonts w:ascii="Times New Roman" w:hAnsi="Times New Roman"/>
                <w:i w:val="0"/>
                <w:iCs w:val="0"/>
                <w:noProof/>
                <w:webHidden/>
                <w:color w:val="000000" w:themeColor="text1"/>
              </w:rPr>
              <w:t>9</w:t>
            </w:r>
            <w:r w:rsidR="00575C28" w:rsidRPr="00575C28">
              <w:rPr>
                <w:rFonts w:ascii="Times New Roman" w:hAnsi="Times New Roman"/>
                <w:i w:val="0"/>
                <w:iCs w:val="0"/>
                <w:noProof/>
                <w:webHidden/>
                <w:color w:val="000000" w:themeColor="text1"/>
              </w:rPr>
              <w:fldChar w:fldCharType="end"/>
            </w:r>
          </w:hyperlink>
        </w:p>
        <w:p w14:paraId="3752C5D5" w14:textId="7FEAE800" w:rsidR="00575C28" w:rsidRPr="00575C28" w:rsidRDefault="004E36EA">
          <w:pPr>
            <w:pStyle w:val="TOC1"/>
            <w:tabs>
              <w:tab w:val="right" w:leader="dot" w:pos="9350"/>
            </w:tabs>
            <w:rPr>
              <w:rFonts w:ascii="Times New Roman" w:eastAsiaTheme="minorEastAsia" w:hAnsi="Times New Roman"/>
              <w:b w:val="0"/>
              <w:bCs w:val="0"/>
              <w:i w:val="0"/>
              <w:iCs w:val="0"/>
              <w:noProof/>
              <w:color w:val="000000" w:themeColor="text1"/>
            </w:rPr>
          </w:pPr>
          <w:hyperlink w:anchor="_Toc15420058" w:history="1">
            <w:r w:rsidR="00575C28" w:rsidRPr="00575C28">
              <w:rPr>
                <w:rStyle w:val="Hyperlink"/>
                <w:rFonts w:ascii="Times New Roman" w:hAnsi="Times New Roman"/>
                <w:i w:val="0"/>
                <w:iCs w:val="0"/>
                <w:noProof/>
                <w:color w:val="000000" w:themeColor="text1"/>
              </w:rPr>
              <w:t>Section III Empirical Methodology</w:t>
            </w:r>
            <w:r w:rsidR="00575C28" w:rsidRPr="00575C28">
              <w:rPr>
                <w:rFonts w:ascii="Times New Roman" w:hAnsi="Times New Roman"/>
                <w:i w:val="0"/>
                <w:iCs w:val="0"/>
                <w:noProof/>
                <w:webHidden/>
                <w:color w:val="000000" w:themeColor="text1"/>
              </w:rPr>
              <w:tab/>
            </w:r>
            <w:r w:rsidR="00575C28" w:rsidRPr="00575C28">
              <w:rPr>
                <w:rFonts w:ascii="Times New Roman" w:hAnsi="Times New Roman"/>
                <w:i w:val="0"/>
                <w:iCs w:val="0"/>
                <w:noProof/>
                <w:webHidden/>
                <w:color w:val="000000" w:themeColor="text1"/>
              </w:rPr>
              <w:fldChar w:fldCharType="begin"/>
            </w:r>
            <w:r w:rsidR="00575C28" w:rsidRPr="00575C28">
              <w:rPr>
                <w:rFonts w:ascii="Times New Roman" w:hAnsi="Times New Roman"/>
                <w:i w:val="0"/>
                <w:iCs w:val="0"/>
                <w:noProof/>
                <w:webHidden/>
                <w:color w:val="000000" w:themeColor="text1"/>
              </w:rPr>
              <w:instrText xml:space="preserve"> PAGEREF _Toc15420058 \h </w:instrText>
            </w:r>
            <w:r w:rsidR="00575C28" w:rsidRPr="00575C28">
              <w:rPr>
                <w:rFonts w:ascii="Times New Roman" w:hAnsi="Times New Roman"/>
                <w:i w:val="0"/>
                <w:iCs w:val="0"/>
                <w:noProof/>
                <w:webHidden/>
                <w:color w:val="000000" w:themeColor="text1"/>
              </w:rPr>
            </w:r>
            <w:r w:rsidR="00575C28" w:rsidRPr="00575C28">
              <w:rPr>
                <w:rFonts w:ascii="Times New Roman" w:hAnsi="Times New Roman"/>
                <w:i w:val="0"/>
                <w:iCs w:val="0"/>
                <w:noProof/>
                <w:webHidden/>
                <w:color w:val="000000" w:themeColor="text1"/>
              </w:rPr>
              <w:fldChar w:fldCharType="separate"/>
            </w:r>
            <w:r w:rsidR="00575C28" w:rsidRPr="00575C28">
              <w:rPr>
                <w:rFonts w:ascii="Times New Roman" w:hAnsi="Times New Roman"/>
                <w:i w:val="0"/>
                <w:iCs w:val="0"/>
                <w:noProof/>
                <w:webHidden/>
                <w:color w:val="000000" w:themeColor="text1"/>
              </w:rPr>
              <w:t>13</w:t>
            </w:r>
            <w:r w:rsidR="00575C28" w:rsidRPr="00575C28">
              <w:rPr>
                <w:rFonts w:ascii="Times New Roman" w:hAnsi="Times New Roman"/>
                <w:i w:val="0"/>
                <w:iCs w:val="0"/>
                <w:noProof/>
                <w:webHidden/>
                <w:color w:val="000000" w:themeColor="text1"/>
              </w:rPr>
              <w:fldChar w:fldCharType="end"/>
            </w:r>
          </w:hyperlink>
        </w:p>
        <w:p w14:paraId="7D7C3EC3" w14:textId="71D34E32" w:rsidR="00575C28" w:rsidRPr="00575C28" w:rsidRDefault="004E36EA">
          <w:pPr>
            <w:pStyle w:val="TOC1"/>
            <w:tabs>
              <w:tab w:val="right" w:leader="dot" w:pos="9350"/>
            </w:tabs>
            <w:rPr>
              <w:rFonts w:ascii="Times New Roman" w:eastAsiaTheme="minorEastAsia" w:hAnsi="Times New Roman"/>
              <w:b w:val="0"/>
              <w:bCs w:val="0"/>
              <w:i w:val="0"/>
              <w:iCs w:val="0"/>
              <w:noProof/>
              <w:color w:val="000000" w:themeColor="text1"/>
            </w:rPr>
          </w:pPr>
          <w:hyperlink w:anchor="_Toc15420059" w:history="1">
            <w:r w:rsidR="00575C28" w:rsidRPr="00575C28">
              <w:rPr>
                <w:rStyle w:val="Hyperlink"/>
                <w:rFonts w:ascii="Times New Roman" w:hAnsi="Times New Roman"/>
                <w:i w:val="0"/>
                <w:iCs w:val="0"/>
                <w:noProof/>
                <w:color w:val="000000" w:themeColor="text1"/>
              </w:rPr>
              <w:t>Section IV Data</w:t>
            </w:r>
            <w:r w:rsidR="00575C28" w:rsidRPr="00575C28">
              <w:rPr>
                <w:rFonts w:ascii="Times New Roman" w:hAnsi="Times New Roman"/>
                <w:i w:val="0"/>
                <w:iCs w:val="0"/>
                <w:noProof/>
                <w:webHidden/>
                <w:color w:val="000000" w:themeColor="text1"/>
              </w:rPr>
              <w:tab/>
            </w:r>
            <w:r w:rsidR="00575C28" w:rsidRPr="00575C28">
              <w:rPr>
                <w:rFonts w:ascii="Times New Roman" w:hAnsi="Times New Roman"/>
                <w:i w:val="0"/>
                <w:iCs w:val="0"/>
                <w:noProof/>
                <w:webHidden/>
                <w:color w:val="000000" w:themeColor="text1"/>
              </w:rPr>
              <w:fldChar w:fldCharType="begin"/>
            </w:r>
            <w:r w:rsidR="00575C28" w:rsidRPr="00575C28">
              <w:rPr>
                <w:rFonts w:ascii="Times New Roman" w:hAnsi="Times New Roman"/>
                <w:i w:val="0"/>
                <w:iCs w:val="0"/>
                <w:noProof/>
                <w:webHidden/>
                <w:color w:val="000000" w:themeColor="text1"/>
              </w:rPr>
              <w:instrText xml:space="preserve"> PAGEREF _Toc15420059 \h </w:instrText>
            </w:r>
            <w:r w:rsidR="00575C28" w:rsidRPr="00575C28">
              <w:rPr>
                <w:rFonts w:ascii="Times New Roman" w:hAnsi="Times New Roman"/>
                <w:i w:val="0"/>
                <w:iCs w:val="0"/>
                <w:noProof/>
                <w:webHidden/>
                <w:color w:val="000000" w:themeColor="text1"/>
              </w:rPr>
            </w:r>
            <w:r w:rsidR="00575C28" w:rsidRPr="00575C28">
              <w:rPr>
                <w:rFonts w:ascii="Times New Roman" w:hAnsi="Times New Roman"/>
                <w:i w:val="0"/>
                <w:iCs w:val="0"/>
                <w:noProof/>
                <w:webHidden/>
                <w:color w:val="000000" w:themeColor="text1"/>
              </w:rPr>
              <w:fldChar w:fldCharType="separate"/>
            </w:r>
            <w:r w:rsidR="00575C28" w:rsidRPr="00575C28">
              <w:rPr>
                <w:rFonts w:ascii="Times New Roman" w:hAnsi="Times New Roman"/>
                <w:i w:val="0"/>
                <w:iCs w:val="0"/>
                <w:noProof/>
                <w:webHidden/>
                <w:color w:val="000000" w:themeColor="text1"/>
              </w:rPr>
              <w:t>15</w:t>
            </w:r>
            <w:r w:rsidR="00575C28" w:rsidRPr="00575C28">
              <w:rPr>
                <w:rFonts w:ascii="Times New Roman" w:hAnsi="Times New Roman"/>
                <w:i w:val="0"/>
                <w:iCs w:val="0"/>
                <w:noProof/>
                <w:webHidden/>
                <w:color w:val="000000" w:themeColor="text1"/>
              </w:rPr>
              <w:fldChar w:fldCharType="end"/>
            </w:r>
          </w:hyperlink>
        </w:p>
        <w:p w14:paraId="2280BC7F" w14:textId="526BBA4A" w:rsidR="00575C28" w:rsidRPr="00575C28" w:rsidRDefault="004E36EA">
          <w:pPr>
            <w:pStyle w:val="TOC1"/>
            <w:tabs>
              <w:tab w:val="right" w:leader="dot" w:pos="9350"/>
            </w:tabs>
            <w:rPr>
              <w:rFonts w:ascii="Times New Roman" w:eastAsiaTheme="minorEastAsia" w:hAnsi="Times New Roman"/>
              <w:b w:val="0"/>
              <w:bCs w:val="0"/>
              <w:i w:val="0"/>
              <w:iCs w:val="0"/>
              <w:noProof/>
              <w:color w:val="000000" w:themeColor="text1"/>
            </w:rPr>
          </w:pPr>
          <w:hyperlink w:anchor="_Toc15420060" w:history="1">
            <w:r w:rsidR="00575C28" w:rsidRPr="00575C28">
              <w:rPr>
                <w:rStyle w:val="Hyperlink"/>
                <w:rFonts w:ascii="Times New Roman" w:hAnsi="Times New Roman"/>
                <w:i w:val="0"/>
                <w:iCs w:val="0"/>
                <w:noProof/>
                <w:color w:val="000000" w:themeColor="text1"/>
              </w:rPr>
              <w:t>Section V Empirical Results</w:t>
            </w:r>
            <w:r w:rsidR="00575C28" w:rsidRPr="00575C28">
              <w:rPr>
                <w:rFonts w:ascii="Times New Roman" w:hAnsi="Times New Roman"/>
                <w:i w:val="0"/>
                <w:iCs w:val="0"/>
                <w:noProof/>
                <w:webHidden/>
                <w:color w:val="000000" w:themeColor="text1"/>
              </w:rPr>
              <w:tab/>
            </w:r>
            <w:r w:rsidR="00575C28" w:rsidRPr="00575C28">
              <w:rPr>
                <w:rFonts w:ascii="Times New Roman" w:hAnsi="Times New Roman"/>
                <w:i w:val="0"/>
                <w:iCs w:val="0"/>
                <w:noProof/>
                <w:webHidden/>
                <w:color w:val="000000" w:themeColor="text1"/>
              </w:rPr>
              <w:fldChar w:fldCharType="begin"/>
            </w:r>
            <w:r w:rsidR="00575C28" w:rsidRPr="00575C28">
              <w:rPr>
                <w:rFonts w:ascii="Times New Roman" w:hAnsi="Times New Roman"/>
                <w:i w:val="0"/>
                <w:iCs w:val="0"/>
                <w:noProof/>
                <w:webHidden/>
                <w:color w:val="000000" w:themeColor="text1"/>
              </w:rPr>
              <w:instrText xml:space="preserve"> PAGEREF _Toc15420060 \h </w:instrText>
            </w:r>
            <w:r w:rsidR="00575C28" w:rsidRPr="00575C28">
              <w:rPr>
                <w:rFonts w:ascii="Times New Roman" w:hAnsi="Times New Roman"/>
                <w:i w:val="0"/>
                <w:iCs w:val="0"/>
                <w:noProof/>
                <w:webHidden/>
                <w:color w:val="000000" w:themeColor="text1"/>
              </w:rPr>
            </w:r>
            <w:r w:rsidR="00575C28" w:rsidRPr="00575C28">
              <w:rPr>
                <w:rFonts w:ascii="Times New Roman" w:hAnsi="Times New Roman"/>
                <w:i w:val="0"/>
                <w:iCs w:val="0"/>
                <w:noProof/>
                <w:webHidden/>
                <w:color w:val="000000" w:themeColor="text1"/>
              </w:rPr>
              <w:fldChar w:fldCharType="separate"/>
            </w:r>
            <w:r w:rsidR="00575C28" w:rsidRPr="00575C28">
              <w:rPr>
                <w:rFonts w:ascii="Times New Roman" w:hAnsi="Times New Roman"/>
                <w:i w:val="0"/>
                <w:iCs w:val="0"/>
                <w:noProof/>
                <w:webHidden/>
                <w:color w:val="000000" w:themeColor="text1"/>
              </w:rPr>
              <w:t>17</w:t>
            </w:r>
            <w:r w:rsidR="00575C28" w:rsidRPr="00575C28">
              <w:rPr>
                <w:rFonts w:ascii="Times New Roman" w:hAnsi="Times New Roman"/>
                <w:i w:val="0"/>
                <w:iCs w:val="0"/>
                <w:noProof/>
                <w:webHidden/>
                <w:color w:val="000000" w:themeColor="text1"/>
              </w:rPr>
              <w:fldChar w:fldCharType="end"/>
            </w:r>
          </w:hyperlink>
        </w:p>
        <w:p w14:paraId="3FCC1F24" w14:textId="09D698E7" w:rsidR="00575C28" w:rsidRPr="00575C28" w:rsidRDefault="004E36EA">
          <w:pPr>
            <w:pStyle w:val="TOC1"/>
            <w:tabs>
              <w:tab w:val="right" w:leader="dot" w:pos="9350"/>
            </w:tabs>
            <w:rPr>
              <w:rFonts w:ascii="Times New Roman" w:eastAsiaTheme="minorEastAsia" w:hAnsi="Times New Roman"/>
              <w:b w:val="0"/>
              <w:bCs w:val="0"/>
              <w:i w:val="0"/>
              <w:iCs w:val="0"/>
              <w:noProof/>
              <w:color w:val="000000" w:themeColor="text1"/>
            </w:rPr>
          </w:pPr>
          <w:hyperlink w:anchor="_Toc15420061" w:history="1">
            <w:r w:rsidR="00575C28" w:rsidRPr="00575C28">
              <w:rPr>
                <w:rStyle w:val="Hyperlink"/>
                <w:rFonts w:ascii="Times New Roman" w:hAnsi="Times New Roman"/>
                <w:i w:val="0"/>
                <w:iCs w:val="0"/>
                <w:noProof/>
                <w:color w:val="000000" w:themeColor="text1"/>
              </w:rPr>
              <w:t>Section VI Conclusion</w:t>
            </w:r>
            <w:r w:rsidR="00575C28" w:rsidRPr="00575C28">
              <w:rPr>
                <w:rFonts w:ascii="Times New Roman" w:hAnsi="Times New Roman"/>
                <w:i w:val="0"/>
                <w:iCs w:val="0"/>
                <w:noProof/>
                <w:webHidden/>
                <w:color w:val="000000" w:themeColor="text1"/>
              </w:rPr>
              <w:tab/>
            </w:r>
            <w:r w:rsidR="00575C28" w:rsidRPr="00575C28">
              <w:rPr>
                <w:rFonts w:ascii="Times New Roman" w:hAnsi="Times New Roman"/>
                <w:i w:val="0"/>
                <w:iCs w:val="0"/>
                <w:noProof/>
                <w:webHidden/>
                <w:color w:val="000000" w:themeColor="text1"/>
              </w:rPr>
              <w:fldChar w:fldCharType="begin"/>
            </w:r>
            <w:r w:rsidR="00575C28" w:rsidRPr="00575C28">
              <w:rPr>
                <w:rFonts w:ascii="Times New Roman" w:hAnsi="Times New Roman"/>
                <w:i w:val="0"/>
                <w:iCs w:val="0"/>
                <w:noProof/>
                <w:webHidden/>
                <w:color w:val="000000" w:themeColor="text1"/>
              </w:rPr>
              <w:instrText xml:space="preserve"> PAGEREF _Toc15420061 \h </w:instrText>
            </w:r>
            <w:r w:rsidR="00575C28" w:rsidRPr="00575C28">
              <w:rPr>
                <w:rFonts w:ascii="Times New Roman" w:hAnsi="Times New Roman"/>
                <w:i w:val="0"/>
                <w:iCs w:val="0"/>
                <w:noProof/>
                <w:webHidden/>
                <w:color w:val="000000" w:themeColor="text1"/>
              </w:rPr>
            </w:r>
            <w:r w:rsidR="00575C28" w:rsidRPr="00575C28">
              <w:rPr>
                <w:rFonts w:ascii="Times New Roman" w:hAnsi="Times New Roman"/>
                <w:i w:val="0"/>
                <w:iCs w:val="0"/>
                <w:noProof/>
                <w:webHidden/>
                <w:color w:val="000000" w:themeColor="text1"/>
              </w:rPr>
              <w:fldChar w:fldCharType="separate"/>
            </w:r>
            <w:r w:rsidR="00575C28" w:rsidRPr="00575C28">
              <w:rPr>
                <w:rFonts w:ascii="Times New Roman" w:hAnsi="Times New Roman"/>
                <w:i w:val="0"/>
                <w:iCs w:val="0"/>
                <w:noProof/>
                <w:webHidden/>
                <w:color w:val="000000" w:themeColor="text1"/>
              </w:rPr>
              <w:t>21</w:t>
            </w:r>
            <w:r w:rsidR="00575C28" w:rsidRPr="00575C28">
              <w:rPr>
                <w:rFonts w:ascii="Times New Roman" w:hAnsi="Times New Roman"/>
                <w:i w:val="0"/>
                <w:iCs w:val="0"/>
                <w:noProof/>
                <w:webHidden/>
                <w:color w:val="000000" w:themeColor="text1"/>
              </w:rPr>
              <w:fldChar w:fldCharType="end"/>
            </w:r>
          </w:hyperlink>
        </w:p>
        <w:p w14:paraId="14D37B1A" w14:textId="08B49E9A" w:rsidR="00575C28" w:rsidRPr="00575C28" w:rsidRDefault="004E36EA">
          <w:pPr>
            <w:pStyle w:val="TOC1"/>
            <w:tabs>
              <w:tab w:val="right" w:leader="dot" w:pos="9350"/>
            </w:tabs>
            <w:rPr>
              <w:rFonts w:ascii="Times New Roman" w:eastAsiaTheme="minorEastAsia" w:hAnsi="Times New Roman"/>
              <w:b w:val="0"/>
              <w:bCs w:val="0"/>
              <w:i w:val="0"/>
              <w:iCs w:val="0"/>
              <w:noProof/>
              <w:color w:val="000000" w:themeColor="text1"/>
            </w:rPr>
          </w:pPr>
          <w:hyperlink w:anchor="_Toc15420062" w:history="1">
            <w:r w:rsidR="00575C28" w:rsidRPr="00575C28">
              <w:rPr>
                <w:rStyle w:val="Hyperlink"/>
                <w:rFonts w:ascii="Times New Roman" w:hAnsi="Times New Roman"/>
                <w:i w:val="0"/>
                <w:iCs w:val="0"/>
                <w:noProof/>
                <w:color w:val="000000" w:themeColor="text1"/>
              </w:rPr>
              <w:t>References</w:t>
            </w:r>
            <w:r w:rsidR="00575C28" w:rsidRPr="00575C28">
              <w:rPr>
                <w:rFonts w:ascii="Times New Roman" w:hAnsi="Times New Roman"/>
                <w:i w:val="0"/>
                <w:iCs w:val="0"/>
                <w:noProof/>
                <w:webHidden/>
                <w:color w:val="000000" w:themeColor="text1"/>
              </w:rPr>
              <w:tab/>
            </w:r>
            <w:r w:rsidR="00575C28" w:rsidRPr="00575C28">
              <w:rPr>
                <w:rFonts w:ascii="Times New Roman" w:hAnsi="Times New Roman"/>
                <w:i w:val="0"/>
                <w:iCs w:val="0"/>
                <w:noProof/>
                <w:webHidden/>
                <w:color w:val="000000" w:themeColor="text1"/>
              </w:rPr>
              <w:fldChar w:fldCharType="begin"/>
            </w:r>
            <w:r w:rsidR="00575C28" w:rsidRPr="00575C28">
              <w:rPr>
                <w:rFonts w:ascii="Times New Roman" w:hAnsi="Times New Roman"/>
                <w:i w:val="0"/>
                <w:iCs w:val="0"/>
                <w:noProof/>
                <w:webHidden/>
                <w:color w:val="000000" w:themeColor="text1"/>
              </w:rPr>
              <w:instrText xml:space="preserve"> PAGEREF _Toc15420062 \h </w:instrText>
            </w:r>
            <w:r w:rsidR="00575C28" w:rsidRPr="00575C28">
              <w:rPr>
                <w:rFonts w:ascii="Times New Roman" w:hAnsi="Times New Roman"/>
                <w:i w:val="0"/>
                <w:iCs w:val="0"/>
                <w:noProof/>
                <w:webHidden/>
                <w:color w:val="000000" w:themeColor="text1"/>
              </w:rPr>
            </w:r>
            <w:r w:rsidR="00575C28" w:rsidRPr="00575C28">
              <w:rPr>
                <w:rFonts w:ascii="Times New Roman" w:hAnsi="Times New Roman"/>
                <w:i w:val="0"/>
                <w:iCs w:val="0"/>
                <w:noProof/>
                <w:webHidden/>
                <w:color w:val="000000" w:themeColor="text1"/>
              </w:rPr>
              <w:fldChar w:fldCharType="separate"/>
            </w:r>
            <w:r w:rsidR="00575C28" w:rsidRPr="00575C28">
              <w:rPr>
                <w:rFonts w:ascii="Times New Roman" w:hAnsi="Times New Roman"/>
                <w:i w:val="0"/>
                <w:iCs w:val="0"/>
                <w:noProof/>
                <w:webHidden/>
                <w:color w:val="000000" w:themeColor="text1"/>
              </w:rPr>
              <w:t>22</w:t>
            </w:r>
            <w:r w:rsidR="00575C28" w:rsidRPr="00575C28">
              <w:rPr>
                <w:rFonts w:ascii="Times New Roman" w:hAnsi="Times New Roman"/>
                <w:i w:val="0"/>
                <w:iCs w:val="0"/>
                <w:noProof/>
                <w:webHidden/>
                <w:color w:val="000000" w:themeColor="text1"/>
              </w:rPr>
              <w:fldChar w:fldCharType="end"/>
            </w:r>
          </w:hyperlink>
        </w:p>
        <w:p w14:paraId="1DAD01A4" w14:textId="1A210A17" w:rsidR="00575C28" w:rsidRPr="00575C28" w:rsidRDefault="00575C28">
          <w:pPr>
            <w:rPr>
              <w:color w:val="000000" w:themeColor="text1"/>
            </w:rPr>
          </w:pPr>
          <w:r w:rsidRPr="00575C28">
            <w:rPr>
              <w:b/>
              <w:bCs/>
              <w:noProof/>
              <w:color w:val="000000" w:themeColor="text1"/>
            </w:rPr>
            <w:fldChar w:fldCharType="end"/>
          </w:r>
        </w:p>
      </w:sdtContent>
    </w:sdt>
    <w:p w14:paraId="33ABC5B0" w14:textId="77777777" w:rsidR="00575C28" w:rsidRPr="00575C28" w:rsidRDefault="00575C28">
      <w:pPr>
        <w:rPr>
          <w:b/>
          <w:bCs/>
          <w:color w:val="000000" w:themeColor="text1"/>
        </w:rPr>
      </w:pPr>
      <w:r w:rsidRPr="00575C28">
        <w:rPr>
          <w:b/>
          <w:bCs/>
          <w:color w:val="000000" w:themeColor="text1"/>
        </w:rPr>
        <w:br w:type="page"/>
      </w:r>
    </w:p>
    <w:p w14:paraId="5669B458" w14:textId="4F726968" w:rsidR="00655406" w:rsidRPr="00575C28" w:rsidRDefault="00655406" w:rsidP="00575C28">
      <w:pPr>
        <w:pStyle w:val="Heading1"/>
        <w:rPr>
          <w:rFonts w:ascii="Times New Roman" w:hAnsi="Times New Roman" w:cs="Times New Roman"/>
          <w:b/>
          <w:bCs/>
          <w:color w:val="000000" w:themeColor="text1"/>
          <w:sz w:val="24"/>
          <w:szCs w:val="24"/>
        </w:rPr>
      </w:pPr>
      <w:bookmarkStart w:id="3" w:name="_Toc15420055"/>
      <w:r w:rsidRPr="00575C28">
        <w:rPr>
          <w:rFonts w:ascii="Times New Roman" w:hAnsi="Times New Roman" w:cs="Times New Roman"/>
          <w:b/>
          <w:bCs/>
          <w:color w:val="000000" w:themeColor="text1"/>
          <w:sz w:val="24"/>
          <w:szCs w:val="24"/>
        </w:rPr>
        <w:lastRenderedPageBreak/>
        <w:t>Introduction:</w:t>
      </w:r>
      <w:bookmarkEnd w:id="3"/>
    </w:p>
    <w:p w14:paraId="73429178" w14:textId="77777777" w:rsidR="00575C28" w:rsidRPr="00575C28" w:rsidRDefault="00575C28" w:rsidP="00575C28">
      <w:pPr>
        <w:rPr>
          <w:color w:val="000000" w:themeColor="text1"/>
        </w:rPr>
      </w:pPr>
    </w:p>
    <w:p w14:paraId="3CC2BAB6" w14:textId="14942F93" w:rsidR="00655406" w:rsidRPr="00575C28" w:rsidRDefault="00655406" w:rsidP="009312CC">
      <w:pPr>
        <w:spacing w:line="480" w:lineRule="auto"/>
        <w:jc w:val="both"/>
        <w:rPr>
          <w:color w:val="000000" w:themeColor="text1"/>
        </w:rPr>
      </w:pPr>
      <w:r w:rsidRPr="00575C28">
        <w:rPr>
          <w:color w:val="000000" w:themeColor="text1"/>
        </w:rPr>
        <w:t>Remittances have grown to become an important source of foreign resources for several developing countries. In recent years, the developing world has seen a generally upward trend in remittance inflows. In 2013, remittances were significantly higher than foreign direct investment for developing countries (excluding China) and were three times as large as official development assistance. The World Bank estimates that officially recorded remittances to developing countries amounted to $529 billion USD in 2018, which is a 9.6 percent increase over the previous record high of $483 billion in 2017 (World Bank, 2019).</w:t>
      </w:r>
      <w:r w:rsidR="006B2BF3" w:rsidRPr="00575C28">
        <w:rPr>
          <w:color w:val="000000" w:themeColor="text1"/>
        </w:rPr>
        <w:t xml:space="preserve"> </w:t>
      </w:r>
      <w:r w:rsidRPr="00575C28">
        <w:rPr>
          <w:color w:val="000000" w:themeColor="text1"/>
        </w:rPr>
        <w:t xml:space="preserve">In terms of remittance inflows on a regional level, South Asia leads in volume. In 2017, the region </w:t>
      </w:r>
      <w:r w:rsidR="001C6F2F" w:rsidRPr="00575C28">
        <w:rPr>
          <w:color w:val="000000" w:themeColor="text1"/>
        </w:rPr>
        <w:t xml:space="preserve">received </w:t>
      </w:r>
      <w:r w:rsidR="001C6F2F">
        <w:rPr>
          <w:color w:val="000000" w:themeColor="text1"/>
        </w:rPr>
        <w:t>$</w:t>
      </w:r>
      <w:r w:rsidRPr="00575C28">
        <w:rPr>
          <w:color w:val="000000" w:themeColor="text1"/>
        </w:rPr>
        <w:t>116 billion in remittances, which accounted for approximately 20% of all remittances payments that year (World Bank</w:t>
      </w:r>
      <w:r w:rsidR="001C6F2F">
        <w:rPr>
          <w:color w:val="000000" w:themeColor="text1"/>
        </w:rPr>
        <w:t>,</w:t>
      </w:r>
      <w:r w:rsidRPr="00575C28">
        <w:rPr>
          <w:color w:val="000000" w:themeColor="text1"/>
        </w:rPr>
        <w:t xml:space="preserve"> 2018). On a country by country basis, we can see other interesting facts.  For instance, with an estimate of $80 billion in 2018, India has </w:t>
      </w:r>
      <w:r w:rsidR="001C6F2F">
        <w:rPr>
          <w:color w:val="000000" w:themeColor="text1"/>
        </w:rPr>
        <w:t xml:space="preserve">the </w:t>
      </w:r>
      <w:r w:rsidRPr="00575C28">
        <w:rPr>
          <w:color w:val="000000" w:themeColor="text1"/>
        </w:rPr>
        <w:t>highest amount of remittance inflows in the world (World Bank, 2018). When we look to remittances as</w:t>
      </w:r>
      <w:r w:rsidR="001C6F2F">
        <w:rPr>
          <w:color w:val="000000" w:themeColor="text1"/>
        </w:rPr>
        <w:t xml:space="preserve"> a</w:t>
      </w:r>
      <w:r w:rsidRPr="00575C28">
        <w:rPr>
          <w:color w:val="000000" w:themeColor="text1"/>
        </w:rPr>
        <w:t xml:space="preserve"> fraction of GDP, Nepal has one of the highest ratios at 30% (World Bank, 2018)</w:t>
      </w:r>
      <w:r w:rsidR="00111692" w:rsidRPr="00575C28">
        <w:rPr>
          <w:color w:val="000000" w:themeColor="text1"/>
        </w:rPr>
        <w:t xml:space="preserve">. </w:t>
      </w:r>
    </w:p>
    <w:p w14:paraId="2A7E0239" w14:textId="673D6409" w:rsidR="00655406" w:rsidRPr="00575C28" w:rsidRDefault="00655406" w:rsidP="00EC4D5A">
      <w:pPr>
        <w:spacing w:line="480" w:lineRule="auto"/>
        <w:ind w:firstLine="720"/>
        <w:jc w:val="both"/>
        <w:rPr>
          <w:color w:val="000000" w:themeColor="text1"/>
        </w:rPr>
      </w:pPr>
      <w:r w:rsidRPr="00575C28">
        <w:rPr>
          <w:color w:val="000000" w:themeColor="text1"/>
        </w:rPr>
        <w:t xml:space="preserve">While there has been a generally upwards trend in remittance inflows, the effect that remittances have on economic growth is unclear. The literature on the relationship between remittances and economic growth has produced conflicting results. For instance, Catrinescu </w:t>
      </w:r>
      <w:r w:rsidR="00D82E27" w:rsidRPr="00575C28">
        <w:rPr>
          <w:color w:val="000000" w:themeColor="text1"/>
        </w:rPr>
        <w:t>et al.</w:t>
      </w:r>
      <w:r w:rsidRPr="00575C28">
        <w:rPr>
          <w:color w:val="000000" w:themeColor="text1"/>
        </w:rPr>
        <w:t xml:space="preserve"> (2009) and Mundaca (2009) both found evidence that remittances positively effect economic growth, especially in countries with good financial intermediation and institutions. They argue that this positive impact comes from the fact that remittances help reduce poverty, smooth consumption and ease capital constraints.</w:t>
      </w:r>
      <w:r w:rsidR="001C6F2F">
        <w:rPr>
          <w:color w:val="000000" w:themeColor="text1"/>
        </w:rPr>
        <w:t xml:space="preserve"> </w:t>
      </w:r>
      <w:r w:rsidRPr="00575C28">
        <w:rPr>
          <w:color w:val="000000" w:themeColor="text1"/>
        </w:rPr>
        <w:t>In contrast, some studies have found the relationship between remittances and GDP to be statistical</w:t>
      </w:r>
      <w:r w:rsidR="00D82E27" w:rsidRPr="00575C28">
        <w:rPr>
          <w:color w:val="000000" w:themeColor="text1"/>
        </w:rPr>
        <w:t>ly</w:t>
      </w:r>
      <w:r w:rsidRPr="00575C28">
        <w:rPr>
          <w:color w:val="000000" w:themeColor="text1"/>
        </w:rPr>
        <w:t xml:space="preserve"> insignificant (Rao &amp; Hassan, 2011). </w:t>
      </w:r>
      <w:r w:rsidR="004C624C" w:rsidRPr="00575C28">
        <w:rPr>
          <w:color w:val="000000" w:themeColor="text1"/>
        </w:rPr>
        <w:t xml:space="preserve">Other studies even present evidence that remittances can have adverse effects on economic growth due to the Dutch </w:t>
      </w:r>
      <w:r w:rsidR="004C624C" w:rsidRPr="00575C28">
        <w:rPr>
          <w:color w:val="000000" w:themeColor="text1"/>
        </w:rPr>
        <w:lastRenderedPageBreak/>
        <w:t>Disease effect, moral hazard, and the increase in inequality (Rabbi et al., 2013; Alvarez-Tinajero, 2010; Chami et al., 200</w:t>
      </w:r>
      <w:r w:rsidR="001C6F2F">
        <w:rPr>
          <w:color w:val="000000" w:themeColor="text1"/>
        </w:rPr>
        <w:t>5</w:t>
      </w:r>
      <w:r w:rsidR="004C624C" w:rsidRPr="00575C28">
        <w:rPr>
          <w:color w:val="000000" w:themeColor="text1"/>
        </w:rPr>
        <w:t>).</w:t>
      </w:r>
    </w:p>
    <w:p w14:paraId="7DC1B9B7" w14:textId="307F761C" w:rsidR="00655406" w:rsidRPr="00575C28" w:rsidRDefault="00655406" w:rsidP="00EC4D5A">
      <w:pPr>
        <w:spacing w:line="480" w:lineRule="auto"/>
        <w:ind w:firstLine="720"/>
        <w:jc w:val="both"/>
        <w:rPr>
          <w:color w:val="000000" w:themeColor="text1"/>
        </w:rPr>
      </w:pPr>
      <w:r w:rsidRPr="00575C28">
        <w:rPr>
          <w:color w:val="000000" w:themeColor="text1"/>
        </w:rPr>
        <w:t xml:space="preserve">While there have been a number of studies that looked at the relationship between remittances, growth, and institutions, few have focused on South Asia. This paper will contribute to the literature by providing a dynamic panel analysis of the nexus between remittances growth and institutions in South Asia. </w:t>
      </w:r>
      <w:r w:rsidRPr="00575C28" w:rsidDel="00456FA4">
        <w:rPr>
          <w:color w:val="000000" w:themeColor="text1"/>
        </w:rPr>
        <w:t xml:space="preserve"> </w:t>
      </w:r>
      <w:r w:rsidRPr="00575C28">
        <w:rPr>
          <w:color w:val="000000" w:themeColor="text1"/>
        </w:rPr>
        <w:t xml:space="preserve">Due to its large diaspora and the fact that it is a major supplier of migrant workers, this region has some interesting remittances characteristics </w:t>
      </w:r>
      <w:r w:rsidR="001C6F2F" w:rsidRPr="00575C28">
        <w:rPr>
          <w:color w:val="000000" w:themeColor="text1"/>
        </w:rPr>
        <w:t>that make</w:t>
      </w:r>
      <w:r w:rsidRPr="00575C28">
        <w:rPr>
          <w:color w:val="000000" w:themeColor="text1"/>
        </w:rPr>
        <w:t xml:space="preserve"> it worth studying.</w:t>
      </w:r>
      <w:r w:rsidR="001C6F2F">
        <w:rPr>
          <w:color w:val="000000" w:themeColor="text1"/>
        </w:rPr>
        <w:t xml:space="preserve"> </w:t>
      </w:r>
      <w:r w:rsidRPr="00575C28">
        <w:rPr>
          <w:color w:val="000000" w:themeColor="text1"/>
        </w:rPr>
        <w:t xml:space="preserve">For instance, in terms of volume, South Asia receives more remittance inflows than East Asia and the Pacific, the Middle East and North Africa, Sub-Saharan Africa, and Latin American and the Caribbean.  Also, to the best of our knowledge, no paper has utilized the system GMM method to study the relationship between economic growth, remittances, and institutions in South Asia. </w:t>
      </w:r>
    </w:p>
    <w:p w14:paraId="3FE4470C" w14:textId="7B26F3BD" w:rsidR="00655406" w:rsidRPr="00575C28" w:rsidRDefault="00655406" w:rsidP="00EC4D5A">
      <w:pPr>
        <w:spacing w:line="480" w:lineRule="auto"/>
        <w:ind w:firstLine="720"/>
        <w:jc w:val="both"/>
        <w:rPr>
          <w:color w:val="000000" w:themeColor="text1"/>
        </w:rPr>
      </w:pPr>
      <w:r w:rsidRPr="00575C28">
        <w:rPr>
          <w:color w:val="000000" w:themeColor="text1"/>
          <w:lang w:val="en-US"/>
        </w:rPr>
        <w:t>In this paper, we consider a sample of countries comprised of Bangladesh, India, Pakistan and Sri Lanka. While the aim of th</w:t>
      </w:r>
      <w:r w:rsidR="00B25214" w:rsidRPr="00575C28">
        <w:rPr>
          <w:color w:val="000000" w:themeColor="text1"/>
          <w:lang w:val="en-US"/>
        </w:rPr>
        <w:t>is</w:t>
      </w:r>
      <w:r w:rsidRPr="00575C28">
        <w:rPr>
          <w:color w:val="000000" w:themeColor="text1"/>
          <w:lang w:val="en-US"/>
        </w:rPr>
        <w:t xml:space="preserve"> study is to analyze the relationship between remittances, economic growth, and institutions in South Asia, the data for Afghanistan, Bhutan, the Maldives, and Nepal contain gaps that make analysis difficult</w:t>
      </w:r>
      <w:r w:rsidR="00B25214" w:rsidRPr="00575C28">
        <w:rPr>
          <w:color w:val="000000" w:themeColor="text1"/>
          <w:lang w:val="en-US"/>
        </w:rPr>
        <w:t>. I</w:t>
      </w:r>
      <w:r w:rsidRPr="00575C28">
        <w:rPr>
          <w:color w:val="000000" w:themeColor="text1"/>
          <w:lang w:val="en-US"/>
        </w:rPr>
        <w:t>t should be noted</w:t>
      </w:r>
      <w:r w:rsidR="00B25214" w:rsidRPr="00575C28">
        <w:rPr>
          <w:color w:val="000000" w:themeColor="text1"/>
          <w:lang w:val="en-US"/>
        </w:rPr>
        <w:t xml:space="preserve"> though </w:t>
      </w:r>
      <w:r w:rsidRPr="00575C28">
        <w:rPr>
          <w:color w:val="000000" w:themeColor="text1"/>
          <w:lang w:val="en-US"/>
        </w:rPr>
        <w:t xml:space="preserve"> that these countries make up a small fraction of the total remittances flowing into the region. For instance, remittances from the aforementioned countries only accounted for approximately 6% of the total remittances sent to South Asia in 2018 (World Bank, 2018). Using data spanning from 1975–2016, we evaluate the impact of remittances on economic growth, taking into account institutional quality</w:t>
      </w:r>
      <w:r w:rsidR="001C6F2F">
        <w:rPr>
          <w:color w:val="000000" w:themeColor="text1"/>
          <w:lang w:val="en-US"/>
        </w:rPr>
        <w:t xml:space="preserve"> </w:t>
      </w:r>
      <w:r w:rsidRPr="00575C28">
        <w:rPr>
          <w:color w:val="000000" w:themeColor="text1"/>
          <w:lang w:val="en-US"/>
        </w:rPr>
        <w:t xml:space="preserve">using the Fraser Institute’s Economic Freedom Index as a proxy for institutional quality. </w:t>
      </w:r>
      <w:r w:rsidRPr="00575C28">
        <w:rPr>
          <w:color w:val="000000" w:themeColor="text1"/>
        </w:rPr>
        <w:t xml:space="preserve">Through </w:t>
      </w:r>
      <w:r w:rsidR="00D30933" w:rsidRPr="00575C28">
        <w:rPr>
          <w:color w:val="000000" w:themeColor="text1"/>
        </w:rPr>
        <w:t xml:space="preserve">fixed effects and </w:t>
      </w:r>
      <w:r w:rsidRPr="00575C28">
        <w:rPr>
          <w:color w:val="000000" w:themeColor="text1"/>
        </w:rPr>
        <w:t xml:space="preserve">the system GMM method, we show evidence that remittances have a positive and significant effect on economic growth in South Asia. Still, this impact is mitigated as institutional </w:t>
      </w:r>
      <w:r w:rsidRPr="00575C28">
        <w:rPr>
          <w:color w:val="000000" w:themeColor="text1"/>
        </w:rPr>
        <w:lastRenderedPageBreak/>
        <w:t xml:space="preserve">quality rises. This suggests that the growth effect of remittances decreases with the level of institutional development. </w:t>
      </w:r>
    </w:p>
    <w:p w14:paraId="469AAFBE" w14:textId="2B3B98F8" w:rsidR="00655406" w:rsidRPr="00575C28" w:rsidRDefault="00655406" w:rsidP="00EC4D5A">
      <w:pPr>
        <w:spacing w:line="480" w:lineRule="auto"/>
        <w:ind w:firstLine="720"/>
        <w:jc w:val="both"/>
        <w:rPr>
          <w:color w:val="000000" w:themeColor="text1"/>
        </w:rPr>
      </w:pPr>
      <w:r w:rsidRPr="00575C28">
        <w:rPr>
          <w:color w:val="000000" w:themeColor="text1"/>
        </w:rPr>
        <w:t>The rest of the paper is structured as follows. In</w:t>
      </w:r>
      <w:r w:rsidR="001C6F2F">
        <w:rPr>
          <w:color w:val="000000" w:themeColor="text1"/>
        </w:rPr>
        <w:t xml:space="preserve"> </w:t>
      </w:r>
      <w:r w:rsidRPr="00575C28">
        <w:rPr>
          <w:color w:val="000000" w:themeColor="text1"/>
        </w:rPr>
        <w:t>Section I, we summarize the trend and current state of remittance inflows in South Asia. In Section II, we provide a literature review on a number of studies that investigate the relationship between remittances and economic growth. Section III</w:t>
      </w:r>
      <w:r w:rsidR="00125BF0" w:rsidRPr="00575C28">
        <w:rPr>
          <w:color w:val="000000" w:themeColor="text1"/>
        </w:rPr>
        <w:t xml:space="preserve"> presents the empirical methodology</w:t>
      </w:r>
      <w:r w:rsidRPr="00575C28">
        <w:rPr>
          <w:color w:val="000000" w:themeColor="text1"/>
        </w:rPr>
        <w:t xml:space="preserve"> and Section IV</w:t>
      </w:r>
      <w:r w:rsidR="00125BF0" w:rsidRPr="00575C28">
        <w:rPr>
          <w:color w:val="000000" w:themeColor="text1"/>
        </w:rPr>
        <w:t xml:space="preserve"> discusses the dataset</w:t>
      </w:r>
      <w:r w:rsidRPr="00575C28">
        <w:rPr>
          <w:color w:val="000000" w:themeColor="text1"/>
        </w:rPr>
        <w:t xml:space="preserve">. In Section V, we discuss the empirical results and summarize the key findings in the last section. </w:t>
      </w:r>
    </w:p>
    <w:p w14:paraId="515BE5ED" w14:textId="20F9C6EE" w:rsidR="00655406" w:rsidRPr="008A1C6D" w:rsidRDefault="00655406" w:rsidP="00575C28">
      <w:pPr>
        <w:pStyle w:val="Heading1"/>
        <w:rPr>
          <w:rFonts w:ascii="Times New Roman" w:hAnsi="Times New Roman" w:cs="Times New Roman"/>
          <w:b/>
          <w:bCs/>
          <w:color w:val="000000" w:themeColor="text1"/>
          <w:sz w:val="24"/>
          <w:szCs w:val="24"/>
        </w:rPr>
      </w:pPr>
      <w:bookmarkStart w:id="4" w:name="_Toc15420056"/>
      <w:r w:rsidRPr="008A1C6D">
        <w:rPr>
          <w:rFonts w:ascii="Times New Roman" w:hAnsi="Times New Roman" w:cs="Times New Roman"/>
          <w:b/>
          <w:bCs/>
          <w:color w:val="000000" w:themeColor="text1"/>
          <w:sz w:val="24"/>
          <w:szCs w:val="24"/>
        </w:rPr>
        <w:t>Section I Remittance Inflows in South Asia:</w:t>
      </w:r>
      <w:bookmarkEnd w:id="4"/>
    </w:p>
    <w:p w14:paraId="62E8414E" w14:textId="77777777" w:rsidR="00575C28" w:rsidRPr="00575C28" w:rsidRDefault="00575C28" w:rsidP="00575C28">
      <w:pPr>
        <w:rPr>
          <w:color w:val="000000" w:themeColor="text1"/>
        </w:rPr>
      </w:pPr>
    </w:p>
    <w:p w14:paraId="4D90A38B" w14:textId="77777777" w:rsidR="00655406" w:rsidRPr="00575C28" w:rsidRDefault="00655406" w:rsidP="00EC4D5A">
      <w:pPr>
        <w:spacing w:line="480" w:lineRule="auto"/>
        <w:jc w:val="both"/>
        <w:rPr>
          <w:color w:val="000000" w:themeColor="text1"/>
        </w:rPr>
      </w:pPr>
      <w:r w:rsidRPr="00575C28">
        <w:rPr>
          <w:color w:val="000000" w:themeColor="text1"/>
        </w:rPr>
        <w:t>South Asia has long been a source of migrant workers. The region has a long tradition of migration, which can be seen from the South Asian diaspora communities populating North America, Europe, East Africa and the Caribbean. While it is difficult to estimate the sheer volume of South Asian workers, the Asian Development Bank estimates their number to 70 million in 2017 (ADB, 2018).</w:t>
      </w:r>
    </w:p>
    <w:p w14:paraId="408FB73E" w14:textId="6D6B3535" w:rsidR="00655406" w:rsidRPr="00575C28" w:rsidRDefault="00655406" w:rsidP="00EC4D5A">
      <w:pPr>
        <w:spacing w:line="480" w:lineRule="auto"/>
        <w:ind w:firstLine="720"/>
        <w:jc w:val="both"/>
        <w:rPr>
          <w:color w:val="000000" w:themeColor="text1"/>
        </w:rPr>
      </w:pPr>
      <w:r w:rsidRPr="00575C28">
        <w:rPr>
          <w:color w:val="000000" w:themeColor="text1"/>
        </w:rPr>
        <w:t>Remittances are a natural by-product of migration. In terms of remittance inflows going into South Asia, in Figure 1, we see that there has been a generally upward trend in remittance inflows to South Asia and in Figure 2 we can see</w:t>
      </w:r>
      <w:r w:rsidR="001C6F2F">
        <w:rPr>
          <w:color w:val="000000" w:themeColor="text1"/>
        </w:rPr>
        <w:t xml:space="preserve"> that</w:t>
      </w:r>
      <w:r w:rsidRPr="00575C28">
        <w:rPr>
          <w:color w:val="000000" w:themeColor="text1"/>
        </w:rPr>
        <w:t xml:space="preserve"> the volume of remittances coming into South Asia surpasses that of East Asia and the Pacific, the Middle East and North Africa, and Sub-Saharan Africa. The bulk of these remittance inflows come from migrant workers in four regions; Europe, East Asia, North America and the Persian Gulf. </w:t>
      </w:r>
    </w:p>
    <w:p w14:paraId="09F2EB02" w14:textId="77777777" w:rsidR="00EC4D5A" w:rsidRPr="00575C28" w:rsidRDefault="00EC4D5A" w:rsidP="00EC4D5A">
      <w:pPr>
        <w:jc w:val="both"/>
        <w:rPr>
          <w:color w:val="000000" w:themeColor="text1"/>
        </w:rPr>
      </w:pPr>
    </w:p>
    <w:p w14:paraId="59579BF1" w14:textId="77777777" w:rsidR="00EC4D5A" w:rsidRPr="00575C28" w:rsidRDefault="00EC4D5A" w:rsidP="00EC4D5A">
      <w:pPr>
        <w:jc w:val="both"/>
        <w:rPr>
          <w:color w:val="000000" w:themeColor="text1"/>
        </w:rPr>
      </w:pPr>
    </w:p>
    <w:p w14:paraId="38AA7D4B" w14:textId="77777777" w:rsidR="00EC4D5A" w:rsidRPr="00575C28" w:rsidRDefault="00EC4D5A" w:rsidP="00EC4D5A">
      <w:pPr>
        <w:jc w:val="both"/>
        <w:rPr>
          <w:color w:val="000000" w:themeColor="text1"/>
        </w:rPr>
      </w:pPr>
    </w:p>
    <w:p w14:paraId="25BB9987" w14:textId="77777777" w:rsidR="00EC4D5A" w:rsidRPr="00575C28" w:rsidRDefault="00EC4D5A" w:rsidP="00EC4D5A">
      <w:pPr>
        <w:jc w:val="both"/>
        <w:rPr>
          <w:color w:val="000000" w:themeColor="text1"/>
        </w:rPr>
      </w:pPr>
    </w:p>
    <w:p w14:paraId="23DBB243" w14:textId="77777777" w:rsidR="00EC4D5A" w:rsidRPr="00575C28" w:rsidRDefault="00EC4D5A" w:rsidP="00EC4D5A">
      <w:pPr>
        <w:jc w:val="both"/>
        <w:rPr>
          <w:color w:val="000000" w:themeColor="text1"/>
        </w:rPr>
      </w:pPr>
    </w:p>
    <w:p w14:paraId="7D28AEC8" w14:textId="77777777" w:rsidR="00EC4D5A" w:rsidRPr="00575C28" w:rsidRDefault="00EC4D5A" w:rsidP="00EC4D5A">
      <w:pPr>
        <w:jc w:val="both"/>
        <w:rPr>
          <w:color w:val="000000" w:themeColor="text1"/>
        </w:rPr>
      </w:pPr>
    </w:p>
    <w:p w14:paraId="777C9CA2" w14:textId="77777777" w:rsidR="00EC4D5A" w:rsidRPr="00575C28" w:rsidRDefault="00EC4D5A" w:rsidP="00EC4D5A">
      <w:pPr>
        <w:jc w:val="both"/>
        <w:rPr>
          <w:color w:val="000000" w:themeColor="text1"/>
        </w:rPr>
      </w:pPr>
    </w:p>
    <w:p w14:paraId="357C4285" w14:textId="77777777" w:rsidR="00EC4D5A" w:rsidRPr="00575C28" w:rsidRDefault="00EC4D5A" w:rsidP="00EC4D5A">
      <w:pPr>
        <w:jc w:val="both"/>
        <w:rPr>
          <w:color w:val="000000" w:themeColor="text1"/>
        </w:rPr>
      </w:pPr>
    </w:p>
    <w:p w14:paraId="4A7A1DC9" w14:textId="77777777" w:rsidR="00EC4D5A" w:rsidRPr="00575C28" w:rsidRDefault="00EC4D5A" w:rsidP="00EC4D5A">
      <w:pPr>
        <w:jc w:val="both"/>
        <w:rPr>
          <w:color w:val="000000" w:themeColor="text1"/>
        </w:rPr>
      </w:pPr>
    </w:p>
    <w:p w14:paraId="21B80601" w14:textId="77777777" w:rsidR="00EC4D5A" w:rsidRPr="00575C28" w:rsidRDefault="00EC4D5A" w:rsidP="00EC4D5A">
      <w:pPr>
        <w:jc w:val="both"/>
        <w:rPr>
          <w:color w:val="000000" w:themeColor="text1"/>
        </w:rPr>
      </w:pPr>
    </w:p>
    <w:p w14:paraId="46A5091E" w14:textId="49D594BD" w:rsidR="00EC4D5A" w:rsidRPr="00575C28" w:rsidRDefault="00EC4D5A" w:rsidP="00EC4D5A">
      <w:pPr>
        <w:jc w:val="both"/>
        <w:rPr>
          <w:color w:val="000000" w:themeColor="text1"/>
        </w:rPr>
      </w:pPr>
      <w:r w:rsidRPr="00575C28">
        <w:rPr>
          <w:color w:val="000000" w:themeColor="text1"/>
        </w:rPr>
        <w:lastRenderedPageBreak/>
        <w:t>Figure 1:</w:t>
      </w:r>
    </w:p>
    <w:p w14:paraId="11A2EB1D" w14:textId="1DAB1082" w:rsidR="00655406" w:rsidRPr="00575C28" w:rsidRDefault="00655406" w:rsidP="00EC4D5A">
      <w:pPr>
        <w:jc w:val="both"/>
        <w:rPr>
          <w:color w:val="000000" w:themeColor="text1"/>
        </w:rPr>
      </w:pPr>
      <w:r w:rsidRPr="00575C28">
        <w:rPr>
          <w:noProof/>
          <w:color w:val="000000" w:themeColor="text1"/>
          <w:lang w:eastAsia="en-CA"/>
        </w:rPr>
        <w:drawing>
          <wp:inline distT="0" distB="0" distL="0" distR="0" wp14:anchorId="4E699D45" wp14:editId="260758B0">
            <wp:extent cx="5856270" cy="3164440"/>
            <wp:effectExtent l="0" t="0" r="11430" b="10795"/>
            <wp:docPr id="2" name="Chart 2">
              <a:extLst xmlns:a="http://schemas.openxmlformats.org/drawingml/2006/main">
                <a:ext uri="{FF2B5EF4-FFF2-40B4-BE49-F238E27FC236}">
                  <a16:creationId xmlns:a16="http://schemas.microsoft.com/office/drawing/2014/main" id="{00000000-0008-0000-01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2226877" w14:textId="77777777" w:rsidR="00655406" w:rsidRPr="00575C28" w:rsidRDefault="00655406" w:rsidP="00EC4D5A">
      <w:pPr>
        <w:jc w:val="both"/>
        <w:rPr>
          <w:color w:val="000000" w:themeColor="text1"/>
        </w:rPr>
      </w:pPr>
      <w:r w:rsidRPr="00575C28">
        <w:rPr>
          <w:color w:val="000000" w:themeColor="text1"/>
        </w:rPr>
        <w:t>Source: World Development Indicators, World Bank (2018)</w:t>
      </w:r>
    </w:p>
    <w:p w14:paraId="6D0E6828" w14:textId="77777777" w:rsidR="00655406" w:rsidRPr="00575C28" w:rsidRDefault="00655406" w:rsidP="00EC4D5A">
      <w:pPr>
        <w:jc w:val="both"/>
        <w:rPr>
          <w:color w:val="000000" w:themeColor="text1"/>
        </w:rPr>
      </w:pPr>
    </w:p>
    <w:p w14:paraId="5CBEB8F2" w14:textId="77777777" w:rsidR="00655406" w:rsidRPr="00575C28" w:rsidRDefault="00655406" w:rsidP="00EC4D5A">
      <w:pPr>
        <w:jc w:val="both"/>
        <w:rPr>
          <w:color w:val="000000" w:themeColor="text1"/>
        </w:rPr>
      </w:pPr>
    </w:p>
    <w:p w14:paraId="544B216E" w14:textId="77777777" w:rsidR="00655406" w:rsidRPr="00575C28" w:rsidRDefault="00655406" w:rsidP="00EC4D5A">
      <w:pPr>
        <w:jc w:val="both"/>
        <w:rPr>
          <w:color w:val="000000" w:themeColor="text1"/>
        </w:rPr>
      </w:pPr>
    </w:p>
    <w:p w14:paraId="60AB9D0E" w14:textId="77777777" w:rsidR="00655406" w:rsidRPr="00575C28" w:rsidRDefault="00655406" w:rsidP="00EC4D5A">
      <w:pPr>
        <w:jc w:val="both"/>
        <w:rPr>
          <w:color w:val="000000" w:themeColor="text1"/>
        </w:rPr>
      </w:pPr>
    </w:p>
    <w:p w14:paraId="673B167B" w14:textId="77777777" w:rsidR="00655406" w:rsidRPr="00575C28" w:rsidRDefault="00655406" w:rsidP="00EC4D5A">
      <w:pPr>
        <w:jc w:val="both"/>
        <w:rPr>
          <w:color w:val="000000" w:themeColor="text1"/>
        </w:rPr>
      </w:pPr>
    </w:p>
    <w:p w14:paraId="1BCA03D8" w14:textId="3567B943" w:rsidR="00655406" w:rsidRPr="00575C28" w:rsidRDefault="00655406" w:rsidP="00EC4D5A">
      <w:pPr>
        <w:jc w:val="both"/>
        <w:rPr>
          <w:color w:val="000000" w:themeColor="text1"/>
        </w:rPr>
      </w:pPr>
      <w:r w:rsidRPr="00575C28">
        <w:rPr>
          <w:color w:val="000000" w:themeColor="text1"/>
        </w:rPr>
        <w:t>Figure 2:</w:t>
      </w:r>
    </w:p>
    <w:p w14:paraId="30022679" w14:textId="13C8B574" w:rsidR="00655406" w:rsidRPr="00575C28" w:rsidRDefault="001C6F2F" w:rsidP="00EC4D5A">
      <w:pPr>
        <w:jc w:val="both"/>
        <w:rPr>
          <w:color w:val="000000" w:themeColor="text1"/>
        </w:rPr>
      </w:pPr>
      <w:r>
        <w:rPr>
          <w:noProof/>
          <w:lang w:eastAsia="en-CA"/>
        </w:rPr>
        <w:drawing>
          <wp:inline distT="0" distB="0" distL="0" distR="0" wp14:anchorId="15E5DC9D" wp14:editId="2E4D32BA">
            <wp:extent cx="5855970" cy="2588895"/>
            <wp:effectExtent l="0" t="0" r="11430" b="14605"/>
            <wp:docPr id="1" name="Chart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D8AC1DA" w14:textId="77777777" w:rsidR="00655406" w:rsidRPr="00575C28" w:rsidRDefault="00655406" w:rsidP="00EC4D5A">
      <w:pPr>
        <w:jc w:val="both"/>
        <w:rPr>
          <w:color w:val="000000" w:themeColor="text1"/>
        </w:rPr>
      </w:pPr>
      <w:r w:rsidRPr="00575C28">
        <w:rPr>
          <w:color w:val="000000" w:themeColor="text1"/>
        </w:rPr>
        <w:t>Source: World Development Indicators, World Bank (2018)</w:t>
      </w:r>
    </w:p>
    <w:p w14:paraId="2F3BB67E" w14:textId="77777777" w:rsidR="00655406" w:rsidRPr="00575C28" w:rsidRDefault="00655406" w:rsidP="00EC4D5A">
      <w:pPr>
        <w:jc w:val="both"/>
        <w:rPr>
          <w:color w:val="000000" w:themeColor="text1"/>
        </w:rPr>
      </w:pPr>
    </w:p>
    <w:p w14:paraId="20D4C1A3" w14:textId="77777777" w:rsidR="00655406" w:rsidRPr="00575C28" w:rsidRDefault="00655406" w:rsidP="00EC4D5A">
      <w:pPr>
        <w:jc w:val="both"/>
        <w:rPr>
          <w:color w:val="000000" w:themeColor="text1"/>
        </w:rPr>
      </w:pPr>
    </w:p>
    <w:p w14:paraId="1D155718" w14:textId="4BB4F858" w:rsidR="00655406" w:rsidRPr="00575C28" w:rsidRDefault="00655406" w:rsidP="00EC4D5A">
      <w:pPr>
        <w:spacing w:line="480" w:lineRule="auto"/>
        <w:jc w:val="both"/>
        <w:rPr>
          <w:color w:val="000000" w:themeColor="text1"/>
        </w:rPr>
      </w:pPr>
      <w:r w:rsidRPr="00575C28">
        <w:rPr>
          <w:color w:val="000000" w:themeColor="text1"/>
        </w:rPr>
        <w:lastRenderedPageBreak/>
        <w:t>The first wave of South Asian migration started in the 70s. Remittance inflows to South Asia went through a boom period in the late 90s and 2000s. This is partially due to migration to OECD countries. During this period, thousands of highly skilled professionals in sectors such as health, engineering, and IT, moved to high income countries such as the United States and Canada.  As a result, remittances outflows from these OECD destination countries grew, in fact in recent years North America has become the second major source of remittances after East Asia (Ahmed</w:t>
      </w:r>
      <w:r w:rsidR="00023A64">
        <w:rPr>
          <w:color w:val="000000" w:themeColor="text1"/>
        </w:rPr>
        <w:t xml:space="preserve"> and Mughal</w:t>
      </w:r>
      <w:r w:rsidRPr="00575C28">
        <w:rPr>
          <w:color w:val="000000" w:themeColor="text1"/>
        </w:rPr>
        <w:t xml:space="preserve">, 2018). While there has been an increase in the migration highly trained South Asian workers, the majority of remittance inflows comes from low-skilled workers (ADB, 2018). </w:t>
      </w:r>
    </w:p>
    <w:p w14:paraId="5D5AE2C8" w14:textId="0A83E9F0" w:rsidR="00655406" w:rsidRPr="00575C28" w:rsidRDefault="00655406" w:rsidP="00EC4D5A">
      <w:pPr>
        <w:spacing w:line="480" w:lineRule="auto"/>
        <w:ind w:firstLine="720"/>
        <w:jc w:val="both"/>
        <w:rPr>
          <w:color w:val="000000" w:themeColor="text1"/>
        </w:rPr>
      </w:pPr>
      <w:r w:rsidRPr="00575C28">
        <w:rPr>
          <w:color w:val="000000" w:themeColor="text1"/>
        </w:rPr>
        <w:t xml:space="preserve">The increased remittance inflows in recent years is also due in part to </w:t>
      </w:r>
      <w:r w:rsidR="00D82E27" w:rsidRPr="00575C28">
        <w:rPr>
          <w:color w:val="000000" w:themeColor="text1"/>
        </w:rPr>
        <w:t xml:space="preserve">the </w:t>
      </w:r>
      <w:r w:rsidRPr="00575C28">
        <w:rPr>
          <w:color w:val="000000" w:themeColor="text1"/>
        </w:rPr>
        <w:t>decreasing cost of sending remittances and improved recording of international transfers (Clemens and McKenzie</w:t>
      </w:r>
      <w:r w:rsidR="00023A64">
        <w:rPr>
          <w:color w:val="000000" w:themeColor="text1"/>
        </w:rPr>
        <w:t>,</w:t>
      </w:r>
      <w:r w:rsidRPr="00575C28">
        <w:rPr>
          <w:color w:val="000000" w:themeColor="text1"/>
        </w:rPr>
        <w:t xml:space="preserve"> 2018). In an effort to reduce money laundering, countries have been increasingly getting better at tracking remittance inflows, but there are still large amounts of remittance inflows that are unaccounted for. The International Monetary Fund (2009) argued that, if informal remittances were also considered, worldwide remittances may increase by 50%.</w:t>
      </w:r>
    </w:p>
    <w:p w14:paraId="581B154A" w14:textId="78A81C69" w:rsidR="00655406" w:rsidRPr="00575C28" w:rsidRDefault="00655406" w:rsidP="00EC4D5A">
      <w:pPr>
        <w:spacing w:line="480" w:lineRule="auto"/>
        <w:ind w:firstLine="720"/>
        <w:jc w:val="both"/>
        <w:rPr>
          <w:color w:val="000000" w:themeColor="text1"/>
        </w:rPr>
      </w:pPr>
      <w:r w:rsidRPr="00575C28">
        <w:rPr>
          <w:color w:val="000000" w:themeColor="text1"/>
        </w:rPr>
        <w:t>With these increased inflows, remittances have become an important component in South Asian economies by being a significant source of capital. For instance, in the early 80s,</w:t>
      </w:r>
      <w:r w:rsidR="00D82E27" w:rsidRPr="00575C28">
        <w:rPr>
          <w:color w:val="000000" w:themeColor="text1"/>
        </w:rPr>
        <w:t xml:space="preserve"> </w:t>
      </w:r>
      <w:r w:rsidRPr="00575C28">
        <w:rPr>
          <w:color w:val="000000" w:themeColor="text1"/>
        </w:rPr>
        <w:t>Pakistan’s remittance inflows exceeded 10% of its national output (Mughal, 2013). In 2017, remittances accounted for over 3% of the whole region’s GDP. Table 1 illustrates remittance inflows as a percentage of GDP, and we can see that for Nepal, in 2016 remittances accounted for over 31% of GDP.</w:t>
      </w:r>
    </w:p>
    <w:p w14:paraId="63BAEEAD" w14:textId="660C5990" w:rsidR="00B458F9" w:rsidRPr="00575C28" w:rsidRDefault="00B458F9">
      <w:pPr>
        <w:rPr>
          <w:color w:val="000000" w:themeColor="text1"/>
        </w:rPr>
      </w:pPr>
      <w:r w:rsidRPr="00575C28">
        <w:rPr>
          <w:color w:val="000000" w:themeColor="text1"/>
        </w:rPr>
        <w:br w:type="page"/>
      </w:r>
    </w:p>
    <w:p w14:paraId="5A7569E5" w14:textId="088C6828" w:rsidR="00655406" w:rsidRPr="00575C28" w:rsidRDefault="00655406" w:rsidP="00EC4D5A">
      <w:pPr>
        <w:jc w:val="both"/>
        <w:rPr>
          <w:color w:val="000000" w:themeColor="text1"/>
        </w:rPr>
      </w:pPr>
      <w:r w:rsidRPr="00575C28">
        <w:rPr>
          <w:color w:val="000000" w:themeColor="text1"/>
        </w:rPr>
        <w:lastRenderedPageBreak/>
        <w:t xml:space="preserve">Table 1: Remittance inflows as </w:t>
      </w:r>
      <w:r w:rsidR="006F4716" w:rsidRPr="00575C28">
        <w:rPr>
          <w:color w:val="000000" w:themeColor="text1"/>
        </w:rPr>
        <w:t xml:space="preserve">a </w:t>
      </w:r>
      <w:r w:rsidRPr="00575C28">
        <w:rPr>
          <w:color w:val="000000" w:themeColor="text1"/>
        </w:rPr>
        <w:t>percentage of GDP</w:t>
      </w:r>
    </w:p>
    <w:tbl>
      <w:tblPr>
        <w:tblStyle w:val="TableGrid"/>
        <w:tblW w:w="0" w:type="auto"/>
        <w:tblLook w:val="04A0" w:firstRow="1" w:lastRow="0" w:firstColumn="1" w:lastColumn="0" w:noHBand="0" w:noVBand="1"/>
      </w:tblPr>
      <w:tblGrid>
        <w:gridCol w:w="1870"/>
        <w:gridCol w:w="1870"/>
        <w:gridCol w:w="1870"/>
        <w:gridCol w:w="1870"/>
        <w:gridCol w:w="1870"/>
      </w:tblGrid>
      <w:tr w:rsidR="00575C28" w:rsidRPr="00575C28" w14:paraId="3ED25B16" w14:textId="77777777" w:rsidTr="006C3996">
        <w:tc>
          <w:tcPr>
            <w:tcW w:w="1870" w:type="dxa"/>
            <w:tcBorders>
              <w:bottom w:val="single" w:sz="4" w:space="0" w:color="auto"/>
              <w:right w:val="nil"/>
            </w:tcBorders>
          </w:tcPr>
          <w:p w14:paraId="656C5127" w14:textId="77777777" w:rsidR="00655406" w:rsidRPr="00575C28" w:rsidRDefault="00655406" w:rsidP="00EC4D5A">
            <w:pPr>
              <w:jc w:val="both"/>
              <w:rPr>
                <w:color w:val="000000" w:themeColor="text1"/>
              </w:rPr>
            </w:pPr>
            <w:r w:rsidRPr="00575C28">
              <w:rPr>
                <w:color w:val="000000" w:themeColor="text1"/>
              </w:rPr>
              <w:t>Country</w:t>
            </w:r>
          </w:p>
          <w:p w14:paraId="077232A4" w14:textId="77777777" w:rsidR="00655406" w:rsidRPr="00575C28" w:rsidRDefault="00655406" w:rsidP="00EC4D5A">
            <w:pPr>
              <w:jc w:val="both"/>
              <w:rPr>
                <w:color w:val="000000" w:themeColor="text1"/>
              </w:rPr>
            </w:pPr>
          </w:p>
        </w:tc>
        <w:tc>
          <w:tcPr>
            <w:tcW w:w="1870" w:type="dxa"/>
            <w:tcBorders>
              <w:left w:val="nil"/>
              <w:bottom w:val="single" w:sz="4" w:space="0" w:color="auto"/>
              <w:right w:val="nil"/>
            </w:tcBorders>
          </w:tcPr>
          <w:p w14:paraId="430D7F84" w14:textId="77777777" w:rsidR="00655406" w:rsidRPr="00575C28" w:rsidRDefault="00655406" w:rsidP="00EC4D5A">
            <w:pPr>
              <w:jc w:val="both"/>
              <w:rPr>
                <w:color w:val="000000" w:themeColor="text1"/>
              </w:rPr>
            </w:pPr>
            <w:r w:rsidRPr="00575C28">
              <w:rPr>
                <w:color w:val="000000" w:themeColor="text1"/>
              </w:rPr>
              <w:t>1986</w:t>
            </w:r>
          </w:p>
        </w:tc>
        <w:tc>
          <w:tcPr>
            <w:tcW w:w="1870" w:type="dxa"/>
            <w:tcBorders>
              <w:left w:val="nil"/>
              <w:bottom w:val="single" w:sz="4" w:space="0" w:color="auto"/>
              <w:right w:val="nil"/>
            </w:tcBorders>
          </w:tcPr>
          <w:p w14:paraId="77E1BECB" w14:textId="77777777" w:rsidR="00655406" w:rsidRPr="00575C28" w:rsidRDefault="00655406" w:rsidP="00EC4D5A">
            <w:pPr>
              <w:jc w:val="both"/>
              <w:rPr>
                <w:color w:val="000000" w:themeColor="text1"/>
              </w:rPr>
            </w:pPr>
            <w:r w:rsidRPr="00575C28">
              <w:rPr>
                <w:color w:val="000000" w:themeColor="text1"/>
              </w:rPr>
              <w:t>1996</w:t>
            </w:r>
          </w:p>
        </w:tc>
        <w:tc>
          <w:tcPr>
            <w:tcW w:w="1870" w:type="dxa"/>
            <w:tcBorders>
              <w:left w:val="nil"/>
              <w:bottom w:val="single" w:sz="4" w:space="0" w:color="auto"/>
              <w:right w:val="nil"/>
            </w:tcBorders>
          </w:tcPr>
          <w:p w14:paraId="2A617BC4" w14:textId="77777777" w:rsidR="00655406" w:rsidRPr="00575C28" w:rsidRDefault="00655406" w:rsidP="00EC4D5A">
            <w:pPr>
              <w:jc w:val="both"/>
              <w:rPr>
                <w:color w:val="000000" w:themeColor="text1"/>
              </w:rPr>
            </w:pPr>
            <w:r w:rsidRPr="00575C28">
              <w:rPr>
                <w:color w:val="000000" w:themeColor="text1"/>
              </w:rPr>
              <w:t>2006</w:t>
            </w:r>
          </w:p>
        </w:tc>
        <w:tc>
          <w:tcPr>
            <w:tcW w:w="1870" w:type="dxa"/>
            <w:tcBorders>
              <w:left w:val="nil"/>
              <w:bottom w:val="single" w:sz="4" w:space="0" w:color="auto"/>
            </w:tcBorders>
          </w:tcPr>
          <w:p w14:paraId="78D5D827" w14:textId="77777777" w:rsidR="00655406" w:rsidRPr="00575C28" w:rsidRDefault="00655406" w:rsidP="00EC4D5A">
            <w:pPr>
              <w:jc w:val="both"/>
              <w:rPr>
                <w:color w:val="000000" w:themeColor="text1"/>
              </w:rPr>
            </w:pPr>
            <w:r w:rsidRPr="00575C28">
              <w:rPr>
                <w:color w:val="000000" w:themeColor="text1"/>
              </w:rPr>
              <w:t>2016</w:t>
            </w:r>
          </w:p>
        </w:tc>
      </w:tr>
      <w:tr w:rsidR="00575C28" w:rsidRPr="00575C28" w14:paraId="7668ED6C" w14:textId="77777777" w:rsidTr="006C3996">
        <w:tc>
          <w:tcPr>
            <w:tcW w:w="1870" w:type="dxa"/>
            <w:tcBorders>
              <w:bottom w:val="nil"/>
              <w:right w:val="nil"/>
            </w:tcBorders>
          </w:tcPr>
          <w:p w14:paraId="26FD2BD7" w14:textId="77777777" w:rsidR="00655406" w:rsidRPr="00575C28" w:rsidRDefault="00655406" w:rsidP="00EC4D5A">
            <w:pPr>
              <w:jc w:val="both"/>
              <w:rPr>
                <w:color w:val="000000" w:themeColor="text1"/>
              </w:rPr>
            </w:pPr>
            <w:r w:rsidRPr="00575C28">
              <w:rPr>
                <w:color w:val="000000" w:themeColor="text1"/>
              </w:rPr>
              <w:t>Bangladesh</w:t>
            </w:r>
          </w:p>
        </w:tc>
        <w:tc>
          <w:tcPr>
            <w:tcW w:w="1870" w:type="dxa"/>
            <w:tcBorders>
              <w:left w:val="nil"/>
              <w:bottom w:val="nil"/>
              <w:right w:val="nil"/>
            </w:tcBorders>
          </w:tcPr>
          <w:p w14:paraId="5987B092" w14:textId="77777777" w:rsidR="00655406" w:rsidRPr="00575C28" w:rsidRDefault="00655406" w:rsidP="00EC4D5A">
            <w:pPr>
              <w:jc w:val="both"/>
              <w:rPr>
                <w:color w:val="000000" w:themeColor="text1"/>
              </w:rPr>
            </w:pPr>
            <w:r w:rsidRPr="00575C28">
              <w:rPr>
                <w:color w:val="000000" w:themeColor="text1"/>
              </w:rPr>
              <w:t>2.65</w:t>
            </w:r>
          </w:p>
        </w:tc>
        <w:tc>
          <w:tcPr>
            <w:tcW w:w="1870" w:type="dxa"/>
            <w:tcBorders>
              <w:left w:val="nil"/>
              <w:bottom w:val="nil"/>
              <w:right w:val="nil"/>
            </w:tcBorders>
          </w:tcPr>
          <w:p w14:paraId="458DA63C" w14:textId="77777777" w:rsidR="00655406" w:rsidRPr="00575C28" w:rsidRDefault="00655406" w:rsidP="00EC4D5A">
            <w:pPr>
              <w:jc w:val="both"/>
              <w:rPr>
                <w:color w:val="000000" w:themeColor="text1"/>
              </w:rPr>
            </w:pPr>
            <w:r w:rsidRPr="00575C28">
              <w:rPr>
                <w:color w:val="000000" w:themeColor="text1"/>
              </w:rPr>
              <w:t>2.90</w:t>
            </w:r>
          </w:p>
        </w:tc>
        <w:tc>
          <w:tcPr>
            <w:tcW w:w="1870" w:type="dxa"/>
            <w:tcBorders>
              <w:left w:val="nil"/>
              <w:bottom w:val="nil"/>
              <w:right w:val="nil"/>
            </w:tcBorders>
          </w:tcPr>
          <w:p w14:paraId="662F136D" w14:textId="77777777" w:rsidR="00655406" w:rsidRPr="00575C28" w:rsidRDefault="00655406" w:rsidP="00EC4D5A">
            <w:pPr>
              <w:jc w:val="both"/>
              <w:rPr>
                <w:color w:val="000000" w:themeColor="text1"/>
              </w:rPr>
            </w:pPr>
            <w:r w:rsidRPr="00575C28">
              <w:rPr>
                <w:color w:val="000000" w:themeColor="text1"/>
              </w:rPr>
              <w:t>7.56</w:t>
            </w:r>
          </w:p>
        </w:tc>
        <w:tc>
          <w:tcPr>
            <w:tcW w:w="1870" w:type="dxa"/>
            <w:tcBorders>
              <w:left w:val="nil"/>
              <w:bottom w:val="nil"/>
            </w:tcBorders>
          </w:tcPr>
          <w:p w14:paraId="37092F50" w14:textId="77777777" w:rsidR="00655406" w:rsidRPr="00575C28" w:rsidRDefault="00655406" w:rsidP="00EC4D5A">
            <w:pPr>
              <w:jc w:val="both"/>
              <w:rPr>
                <w:color w:val="000000" w:themeColor="text1"/>
              </w:rPr>
            </w:pPr>
            <w:r w:rsidRPr="00575C28">
              <w:rPr>
                <w:color w:val="000000" w:themeColor="text1"/>
              </w:rPr>
              <w:t>6.13</w:t>
            </w:r>
          </w:p>
        </w:tc>
      </w:tr>
      <w:tr w:rsidR="00575C28" w:rsidRPr="00575C28" w14:paraId="3290AE6F" w14:textId="77777777" w:rsidTr="006C3996">
        <w:tc>
          <w:tcPr>
            <w:tcW w:w="1870" w:type="dxa"/>
            <w:tcBorders>
              <w:top w:val="nil"/>
              <w:bottom w:val="nil"/>
              <w:right w:val="nil"/>
            </w:tcBorders>
          </w:tcPr>
          <w:p w14:paraId="32692E83" w14:textId="77777777" w:rsidR="00655406" w:rsidRPr="00575C28" w:rsidRDefault="00655406" w:rsidP="00EC4D5A">
            <w:pPr>
              <w:jc w:val="both"/>
              <w:rPr>
                <w:color w:val="000000" w:themeColor="text1"/>
              </w:rPr>
            </w:pPr>
            <w:r w:rsidRPr="00575C28">
              <w:rPr>
                <w:color w:val="000000" w:themeColor="text1"/>
              </w:rPr>
              <w:t>India</w:t>
            </w:r>
          </w:p>
        </w:tc>
        <w:tc>
          <w:tcPr>
            <w:tcW w:w="1870" w:type="dxa"/>
            <w:tcBorders>
              <w:top w:val="nil"/>
              <w:left w:val="nil"/>
              <w:bottom w:val="nil"/>
              <w:right w:val="nil"/>
            </w:tcBorders>
          </w:tcPr>
          <w:p w14:paraId="082A2F2F" w14:textId="77777777" w:rsidR="00655406" w:rsidRPr="00575C28" w:rsidRDefault="00655406" w:rsidP="00EC4D5A">
            <w:pPr>
              <w:jc w:val="both"/>
              <w:rPr>
                <w:color w:val="000000" w:themeColor="text1"/>
              </w:rPr>
            </w:pPr>
            <w:r w:rsidRPr="00575C28">
              <w:rPr>
                <w:color w:val="000000" w:themeColor="text1"/>
              </w:rPr>
              <w:t>0.9</w:t>
            </w:r>
          </w:p>
        </w:tc>
        <w:tc>
          <w:tcPr>
            <w:tcW w:w="1870" w:type="dxa"/>
            <w:tcBorders>
              <w:top w:val="nil"/>
              <w:left w:val="nil"/>
              <w:bottom w:val="nil"/>
              <w:right w:val="nil"/>
            </w:tcBorders>
          </w:tcPr>
          <w:p w14:paraId="5560DE83" w14:textId="77777777" w:rsidR="00655406" w:rsidRPr="00575C28" w:rsidRDefault="00655406" w:rsidP="00EC4D5A">
            <w:pPr>
              <w:jc w:val="both"/>
              <w:rPr>
                <w:color w:val="000000" w:themeColor="text1"/>
              </w:rPr>
            </w:pPr>
            <w:r w:rsidRPr="00575C28">
              <w:rPr>
                <w:color w:val="000000" w:themeColor="text1"/>
              </w:rPr>
              <w:t>2.23</w:t>
            </w:r>
          </w:p>
        </w:tc>
        <w:tc>
          <w:tcPr>
            <w:tcW w:w="1870" w:type="dxa"/>
            <w:tcBorders>
              <w:top w:val="nil"/>
              <w:left w:val="nil"/>
              <w:bottom w:val="nil"/>
              <w:right w:val="nil"/>
            </w:tcBorders>
          </w:tcPr>
          <w:p w14:paraId="00452986" w14:textId="77777777" w:rsidR="00655406" w:rsidRPr="00575C28" w:rsidRDefault="00655406" w:rsidP="00EC4D5A">
            <w:pPr>
              <w:jc w:val="both"/>
              <w:rPr>
                <w:color w:val="000000" w:themeColor="text1"/>
              </w:rPr>
            </w:pPr>
            <w:r w:rsidRPr="00575C28">
              <w:rPr>
                <w:color w:val="000000" w:themeColor="text1"/>
              </w:rPr>
              <w:t>3.01</w:t>
            </w:r>
          </w:p>
        </w:tc>
        <w:tc>
          <w:tcPr>
            <w:tcW w:w="1870" w:type="dxa"/>
            <w:tcBorders>
              <w:top w:val="nil"/>
              <w:left w:val="nil"/>
              <w:bottom w:val="nil"/>
            </w:tcBorders>
          </w:tcPr>
          <w:p w14:paraId="7856BCAA" w14:textId="77777777" w:rsidR="00655406" w:rsidRPr="00575C28" w:rsidRDefault="00655406" w:rsidP="00EC4D5A">
            <w:pPr>
              <w:jc w:val="both"/>
              <w:rPr>
                <w:color w:val="000000" w:themeColor="text1"/>
              </w:rPr>
            </w:pPr>
            <w:r w:rsidRPr="00575C28">
              <w:rPr>
                <w:color w:val="000000" w:themeColor="text1"/>
              </w:rPr>
              <w:t>2.73</w:t>
            </w:r>
          </w:p>
        </w:tc>
      </w:tr>
      <w:tr w:rsidR="00575C28" w:rsidRPr="00575C28" w14:paraId="3B40FDB7" w14:textId="77777777" w:rsidTr="006C3996">
        <w:tc>
          <w:tcPr>
            <w:tcW w:w="1870" w:type="dxa"/>
            <w:tcBorders>
              <w:top w:val="nil"/>
              <w:bottom w:val="nil"/>
              <w:right w:val="nil"/>
            </w:tcBorders>
          </w:tcPr>
          <w:p w14:paraId="7380B71B" w14:textId="77777777" w:rsidR="00655406" w:rsidRPr="00575C28" w:rsidRDefault="00655406" w:rsidP="00EC4D5A">
            <w:pPr>
              <w:jc w:val="both"/>
              <w:rPr>
                <w:color w:val="000000" w:themeColor="text1"/>
              </w:rPr>
            </w:pPr>
            <w:r w:rsidRPr="00575C28">
              <w:rPr>
                <w:color w:val="000000" w:themeColor="text1"/>
              </w:rPr>
              <w:t>Nepal</w:t>
            </w:r>
          </w:p>
        </w:tc>
        <w:tc>
          <w:tcPr>
            <w:tcW w:w="1870" w:type="dxa"/>
            <w:tcBorders>
              <w:top w:val="nil"/>
              <w:left w:val="nil"/>
              <w:bottom w:val="nil"/>
              <w:right w:val="nil"/>
            </w:tcBorders>
          </w:tcPr>
          <w:p w14:paraId="2BFD7E65" w14:textId="77777777" w:rsidR="00655406" w:rsidRPr="00575C28" w:rsidRDefault="00655406" w:rsidP="00EC4D5A">
            <w:pPr>
              <w:jc w:val="both"/>
              <w:rPr>
                <w:color w:val="000000" w:themeColor="text1"/>
              </w:rPr>
            </w:pPr>
            <w:r w:rsidRPr="00575C28">
              <w:rPr>
                <w:color w:val="000000" w:themeColor="text1"/>
              </w:rPr>
              <w:t>---</w:t>
            </w:r>
          </w:p>
        </w:tc>
        <w:tc>
          <w:tcPr>
            <w:tcW w:w="1870" w:type="dxa"/>
            <w:tcBorders>
              <w:top w:val="nil"/>
              <w:left w:val="nil"/>
              <w:bottom w:val="nil"/>
              <w:right w:val="nil"/>
            </w:tcBorders>
          </w:tcPr>
          <w:p w14:paraId="36E6BEA3" w14:textId="77777777" w:rsidR="00655406" w:rsidRPr="00575C28" w:rsidRDefault="00655406" w:rsidP="00EC4D5A">
            <w:pPr>
              <w:jc w:val="both"/>
              <w:rPr>
                <w:color w:val="000000" w:themeColor="text1"/>
              </w:rPr>
            </w:pPr>
            <w:r w:rsidRPr="00575C28">
              <w:rPr>
                <w:color w:val="000000" w:themeColor="text1"/>
              </w:rPr>
              <w:t>0.98</w:t>
            </w:r>
          </w:p>
        </w:tc>
        <w:tc>
          <w:tcPr>
            <w:tcW w:w="1870" w:type="dxa"/>
            <w:tcBorders>
              <w:top w:val="nil"/>
              <w:left w:val="nil"/>
              <w:bottom w:val="nil"/>
              <w:right w:val="nil"/>
            </w:tcBorders>
          </w:tcPr>
          <w:p w14:paraId="4D2C33CD" w14:textId="77777777" w:rsidR="00655406" w:rsidRPr="00575C28" w:rsidRDefault="00655406" w:rsidP="00EC4D5A">
            <w:pPr>
              <w:jc w:val="both"/>
              <w:rPr>
                <w:color w:val="000000" w:themeColor="text1"/>
              </w:rPr>
            </w:pPr>
            <w:r w:rsidRPr="00575C28">
              <w:rPr>
                <w:color w:val="000000" w:themeColor="text1"/>
              </w:rPr>
              <w:t>16.01</w:t>
            </w:r>
          </w:p>
        </w:tc>
        <w:tc>
          <w:tcPr>
            <w:tcW w:w="1870" w:type="dxa"/>
            <w:tcBorders>
              <w:top w:val="nil"/>
              <w:left w:val="nil"/>
              <w:bottom w:val="nil"/>
            </w:tcBorders>
          </w:tcPr>
          <w:p w14:paraId="33CC2F57" w14:textId="77777777" w:rsidR="00655406" w:rsidRPr="00575C28" w:rsidRDefault="00655406" w:rsidP="00EC4D5A">
            <w:pPr>
              <w:jc w:val="both"/>
              <w:rPr>
                <w:color w:val="000000" w:themeColor="text1"/>
              </w:rPr>
            </w:pPr>
            <w:r w:rsidRPr="00575C28">
              <w:rPr>
                <w:color w:val="000000" w:themeColor="text1"/>
              </w:rPr>
              <w:t>31.21</w:t>
            </w:r>
          </w:p>
        </w:tc>
      </w:tr>
      <w:tr w:rsidR="00575C28" w:rsidRPr="00575C28" w14:paraId="417E885C" w14:textId="77777777" w:rsidTr="006C3996">
        <w:tc>
          <w:tcPr>
            <w:tcW w:w="1870" w:type="dxa"/>
            <w:tcBorders>
              <w:top w:val="nil"/>
              <w:bottom w:val="nil"/>
              <w:right w:val="nil"/>
            </w:tcBorders>
          </w:tcPr>
          <w:p w14:paraId="4752188B" w14:textId="77777777" w:rsidR="00655406" w:rsidRPr="00575C28" w:rsidRDefault="00655406" w:rsidP="00EC4D5A">
            <w:pPr>
              <w:jc w:val="both"/>
              <w:rPr>
                <w:color w:val="000000" w:themeColor="text1"/>
              </w:rPr>
            </w:pPr>
            <w:r w:rsidRPr="00575C28">
              <w:rPr>
                <w:color w:val="000000" w:themeColor="text1"/>
              </w:rPr>
              <w:t>Pakistan</w:t>
            </w:r>
          </w:p>
        </w:tc>
        <w:tc>
          <w:tcPr>
            <w:tcW w:w="1870" w:type="dxa"/>
            <w:tcBorders>
              <w:top w:val="nil"/>
              <w:left w:val="nil"/>
              <w:bottom w:val="nil"/>
              <w:right w:val="nil"/>
            </w:tcBorders>
          </w:tcPr>
          <w:p w14:paraId="338455C7" w14:textId="77777777" w:rsidR="00655406" w:rsidRPr="00575C28" w:rsidRDefault="00655406" w:rsidP="00EC4D5A">
            <w:pPr>
              <w:jc w:val="both"/>
              <w:rPr>
                <w:color w:val="000000" w:themeColor="text1"/>
              </w:rPr>
            </w:pPr>
            <w:r w:rsidRPr="00575C28">
              <w:rPr>
                <w:color w:val="000000" w:themeColor="text1"/>
              </w:rPr>
              <w:t>7.67</w:t>
            </w:r>
          </w:p>
        </w:tc>
        <w:tc>
          <w:tcPr>
            <w:tcW w:w="1870" w:type="dxa"/>
            <w:tcBorders>
              <w:top w:val="nil"/>
              <w:left w:val="nil"/>
              <w:bottom w:val="nil"/>
              <w:right w:val="nil"/>
            </w:tcBorders>
          </w:tcPr>
          <w:p w14:paraId="76DB7F7E" w14:textId="77777777" w:rsidR="00655406" w:rsidRPr="00575C28" w:rsidRDefault="00655406" w:rsidP="00EC4D5A">
            <w:pPr>
              <w:jc w:val="both"/>
              <w:rPr>
                <w:color w:val="000000" w:themeColor="text1"/>
              </w:rPr>
            </w:pPr>
            <w:r w:rsidRPr="00575C28">
              <w:rPr>
                <w:color w:val="000000" w:themeColor="text1"/>
              </w:rPr>
              <w:t>2.03</w:t>
            </w:r>
          </w:p>
        </w:tc>
        <w:tc>
          <w:tcPr>
            <w:tcW w:w="1870" w:type="dxa"/>
            <w:tcBorders>
              <w:top w:val="nil"/>
              <w:left w:val="nil"/>
              <w:bottom w:val="nil"/>
              <w:right w:val="nil"/>
            </w:tcBorders>
          </w:tcPr>
          <w:p w14:paraId="5DB6FA8F" w14:textId="77777777" w:rsidR="00655406" w:rsidRPr="00575C28" w:rsidRDefault="00655406" w:rsidP="00EC4D5A">
            <w:pPr>
              <w:jc w:val="both"/>
              <w:rPr>
                <w:color w:val="000000" w:themeColor="text1"/>
              </w:rPr>
            </w:pPr>
            <w:r w:rsidRPr="00575C28">
              <w:rPr>
                <w:color w:val="000000" w:themeColor="text1"/>
              </w:rPr>
              <w:t>3.73</w:t>
            </w:r>
          </w:p>
        </w:tc>
        <w:tc>
          <w:tcPr>
            <w:tcW w:w="1870" w:type="dxa"/>
            <w:tcBorders>
              <w:top w:val="nil"/>
              <w:left w:val="nil"/>
              <w:bottom w:val="nil"/>
            </w:tcBorders>
          </w:tcPr>
          <w:p w14:paraId="4FB72E78" w14:textId="77777777" w:rsidR="00655406" w:rsidRPr="00575C28" w:rsidRDefault="00655406" w:rsidP="00EC4D5A">
            <w:pPr>
              <w:jc w:val="both"/>
              <w:rPr>
                <w:color w:val="000000" w:themeColor="text1"/>
              </w:rPr>
            </w:pPr>
            <w:r w:rsidRPr="00575C28">
              <w:rPr>
                <w:color w:val="000000" w:themeColor="text1"/>
              </w:rPr>
              <w:t>7.11</w:t>
            </w:r>
          </w:p>
        </w:tc>
      </w:tr>
      <w:tr w:rsidR="00575C28" w:rsidRPr="00575C28" w14:paraId="10D10FC2" w14:textId="77777777" w:rsidTr="006C3996">
        <w:tc>
          <w:tcPr>
            <w:tcW w:w="1870" w:type="dxa"/>
            <w:tcBorders>
              <w:top w:val="nil"/>
              <w:right w:val="nil"/>
            </w:tcBorders>
          </w:tcPr>
          <w:p w14:paraId="2E42184D" w14:textId="77777777" w:rsidR="00655406" w:rsidRPr="00575C28" w:rsidRDefault="00655406" w:rsidP="00EC4D5A">
            <w:pPr>
              <w:jc w:val="both"/>
              <w:rPr>
                <w:color w:val="000000" w:themeColor="text1"/>
              </w:rPr>
            </w:pPr>
            <w:r w:rsidRPr="00575C28">
              <w:rPr>
                <w:color w:val="000000" w:themeColor="text1"/>
              </w:rPr>
              <w:t>Sri Lanka</w:t>
            </w:r>
          </w:p>
        </w:tc>
        <w:tc>
          <w:tcPr>
            <w:tcW w:w="1870" w:type="dxa"/>
            <w:tcBorders>
              <w:top w:val="nil"/>
              <w:left w:val="nil"/>
              <w:right w:val="nil"/>
            </w:tcBorders>
          </w:tcPr>
          <w:p w14:paraId="38AB0482" w14:textId="77777777" w:rsidR="00655406" w:rsidRPr="00575C28" w:rsidRDefault="00655406" w:rsidP="00EC4D5A">
            <w:pPr>
              <w:jc w:val="both"/>
              <w:rPr>
                <w:color w:val="000000" w:themeColor="text1"/>
              </w:rPr>
            </w:pPr>
            <w:r w:rsidRPr="00575C28">
              <w:rPr>
                <w:color w:val="000000" w:themeColor="text1"/>
              </w:rPr>
              <w:t>5.09</w:t>
            </w:r>
          </w:p>
        </w:tc>
        <w:tc>
          <w:tcPr>
            <w:tcW w:w="1870" w:type="dxa"/>
            <w:tcBorders>
              <w:top w:val="nil"/>
              <w:left w:val="nil"/>
              <w:right w:val="nil"/>
            </w:tcBorders>
          </w:tcPr>
          <w:p w14:paraId="13D8D475" w14:textId="77777777" w:rsidR="00655406" w:rsidRPr="00575C28" w:rsidRDefault="00655406" w:rsidP="00EC4D5A">
            <w:pPr>
              <w:jc w:val="both"/>
              <w:rPr>
                <w:color w:val="000000" w:themeColor="text1"/>
              </w:rPr>
            </w:pPr>
            <w:r w:rsidRPr="00575C28">
              <w:rPr>
                <w:color w:val="000000" w:themeColor="text1"/>
              </w:rPr>
              <w:t>6.07</w:t>
            </w:r>
          </w:p>
        </w:tc>
        <w:tc>
          <w:tcPr>
            <w:tcW w:w="1870" w:type="dxa"/>
            <w:tcBorders>
              <w:top w:val="nil"/>
              <w:left w:val="nil"/>
              <w:right w:val="nil"/>
            </w:tcBorders>
          </w:tcPr>
          <w:p w14:paraId="005B4F32" w14:textId="77777777" w:rsidR="00655406" w:rsidRPr="00575C28" w:rsidRDefault="00655406" w:rsidP="00EC4D5A">
            <w:pPr>
              <w:jc w:val="both"/>
              <w:rPr>
                <w:color w:val="000000" w:themeColor="text1"/>
              </w:rPr>
            </w:pPr>
            <w:r w:rsidRPr="00575C28">
              <w:rPr>
                <w:color w:val="000000" w:themeColor="text1"/>
              </w:rPr>
              <w:t>7.66</w:t>
            </w:r>
          </w:p>
        </w:tc>
        <w:tc>
          <w:tcPr>
            <w:tcW w:w="1870" w:type="dxa"/>
            <w:tcBorders>
              <w:top w:val="nil"/>
              <w:left w:val="nil"/>
            </w:tcBorders>
          </w:tcPr>
          <w:p w14:paraId="49F9D79A" w14:textId="77777777" w:rsidR="00655406" w:rsidRPr="00575C28" w:rsidRDefault="00655406" w:rsidP="00EC4D5A">
            <w:pPr>
              <w:jc w:val="both"/>
              <w:rPr>
                <w:color w:val="000000" w:themeColor="text1"/>
              </w:rPr>
            </w:pPr>
            <w:r w:rsidRPr="00575C28">
              <w:rPr>
                <w:color w:val="000000" w:themeColor="text1"/>
              </w:rPr>
              <w:t>8.23</w:t>
            </w:r>
          </w:p>
        </w:tc>
      </w:tr>
    </w:tbl>
    <w:p w14:paraId="3F563B0D" w14:textId="77777777" w:rsidR="00655406" w:rsidRPr="00575C28" w:rsidRDefault="00655406" w:rsidP="00EC4D5A">
      <w:pPr>
        <w:jc w:val="both"/>
        <w:rPr>
          <w:color w:val="000000" w:themeColor="text1"/>
        </w:rPr>
      </w:pPr>
      <w:r w:rsidRPr="00575C28">
        <w:rPr>
          <w:color w:val="000000" w:themeColor="text1"/>
        </w:rPr>
        <w:t>Source: World Development Indicators, World Bank (2018)</w:t>
      </w:r>
    </w:p>
    <w:p w14:paraId="6A2436B0" w14:textId="77777777" w:rsidR="00655406" w:rsidRPr="00575C28" w:rsidRDefault="00655406" w:rsidP="00EC4D5A">
      <w:pPr>
        <w:jc w:val="both"/>
        <w:rPr>
          <w:color w:val="000000" w:themeColor="text1"/>
        </w:rPr>
      </w:pPr>
    </w:p>
    <w:p w14:paraId="0A52FD65" w14:textId="77777777" w:rsidR="00655406" w:rsidRPr="00575C28" w:rsidRDefault="00655406" w:rsidP="00EC4D5A">
      <w:pPr>
        <w:jc w:val="both"/>
        <w:rPr>
          <w:color w:val="000000" w:themeColor="text1"/>
        </w:rPr>
      </w:pPr>
    </w:p>
    <w:p w14:paraId="2CCFBE0B" w14:textId="77777777" w:rsidR="00655406" w:rsidRPr="00575C28" w:rsidRDefault="00655406" w:rsidP="00EC4D5A">
      <w:pPr>
        <w:spacing w:line="480" w:lineRule="auto"/>
        <w:ind w:firstLine="720"/>
        <w:jc w:val="both"/>
        <w:rPr>
          <w:color w:val="000000" w:themeColor="text1"/>
        </w:rPr>
      </w:pPr>
      <w:r w:rsidRPr="00575C28">
        <w:rPr>
          <w:color w:val="000000" w:themeColor="text1"/>
        </w:rPr>
        <w:t xml:space="preserve">While there has certainly been an upward trend in remittance inflows, the impact of these inflows is a question that has challenged researchers. Positive impacts resulting from remittances have been well documented. In Asia, remittances have acted as a catalyst to domestic consumption; they have been used to cushion household incomes during bad times and/or during natural disasters and have been a means to enhance the welfare of migrant households by addressing their credit constraints (ADB, 2018). Remittances have also supported entrepreneurial activities in the region, increased human capital accumulation, and been linked to declining rates of child labor (ADB, 2018). </w:t>
      </w:r>
    </w:p>
    <w:p w14:paraId="668DDC65" w14:textId="300BCDC9" w:rsidR="00655406" w:rsidRPr="00575C28" w:rsidRDefault="00655406" w:rsidP="00EC4D5A">
      <w:pPr>
        <w:spacing w:line="480" w:lineRule="auto"/>
        <w:ind w:firstLine="720"/>
        <w:jc w:val="both"/>
        <w:rPr>
          <w:color w:val="000000" w:themeColor="text1"/>
        </w:rPr>
      </w:pPr>
      <w:r w:rsidRPr="00575C28">
        <w:rPr>
          <w:color w:val="000000" w:themeColor="text1"/>
        </w:rPr>
        <w:t>Even though the positive benefits of remittances are widely reported, there ha</w:t>
      </w:r>
      <w:r w:rsidR="00D82E27" w:rsidRPr="00575C28">
        <w:rPr>
          <w:color w:val="000000" w:themeColor="text1"/>
        </w:rPr>
        <w:t>s</w:t>
      </w:r>
      <w:r w:rsidRPr="00575C28">
        <w:rPr>
          <w:color w:val="000000" w:themeColor="text1"/>
        </w:rPr>
        <w:t xml:space="preserve"> been evidence that they can lead to adverse effects to recipient countries. There has been evidence showing that remittances may lead to Dutch Disease effect, may lower the average skill level of a countr</w:t>
      </w:r>
      <w:r w:rsidR="008F4733">
        <w:rPr>
          <w:color w:val="000000" w:themeColor="text1"/>
        </w:rPr>
        <w:t>y’</w:t>
      </w:r>
      <w:r w:rsidRPr="00575C28">
        <w:rPr>
          <w:color w:val="000000" w:themeColor="text1"/>
        </w:rPr>
        <w:t>s labour force through brain drain, and</w:t>
      </w:r>
      <w:r w:rsidR="008F4733">
        <w:rPr>
          <w:color w:val="000000" w:themeColor="text1"/>
        </w:rPr>
        <w:t xml:space="preserve"> </w:t>
      </w:r>
      <w:r w:rsidRPr="00575C28">
        <w:rPr>
          <w:color w:val="000000" w:themeColor="text1"/>
        </w:rPr>
        <w:t xml:space="preserve">may lead to a reduction in the labor force participation of migrant households (ADB, 2018). Overall, there is no consensus in the literature on the net effect of remittances on economic growth in recipient countries. </w:t>
      </w:r>
      <w:r w:rsidR="00B458F9" w:rsidRPr="00575C28">
        <w:rPr>
          <w:color w:val="000000" w:themeColor="text1"/>
        </w:rPr>
        <w:t xml:space="preserve"> </w:t>
      </w:r>
      <w:r w:rsidRPr="00575C28">
        <w:rPr>
          <w:color w:val="000000" w:themeColor="text1"/>
        </w:rPr>
        <w:t>In the next se</w:t>
      </w:r>
      <w:r w:rsidR="008F4733">
        <w:rPr>
          <w:color w:val="000000" w:themeColor="text1"/>
        </w:rPr>
        <w:t>ction</w:t>
      </w:r>
      <w:r w:rsidRPr="00575C28">
        <w:rPr>
          <w:color w:val="000000" w:themeColor="text1"/>
        </w:rPr>
        <w:t xml:space="preserve">, we will analyze a number of studies that look into the connection between remittances and economic growth. </w:t>
      </w:r>
    </w:p>
    <w:p w14:paraId="75A8D34E" w14:textId="77777777" w:rsidR="00B458F9" w:rsidRPr="00575C28" w:rsidRDefault="00B458F9">
      <w:pPr>
        <w:rPr>
          <w:b/>
          <w:bCs/>
          <w:color w:val="000000" w:themeColor="text1"/>
        </w:rPr>
      </w:pPr>
      <w:r w:rsidRPr="00575C28">
        <w:rPr>
          <w:b/>
          <w:bCs/>
          <w:color w:val="000000" w:themeColor="text1"/>
        </w:rPr>
        <w:br w:type="page"/>
      </w:r>
    </w:p>
    <w:p w14:paraId="064F9838" w14:textId="4FE2730F" w:rsidR="00655406" w:rsidRPr="00575C28" w:rsidRDefault="00655406" w:rsidP="00575C28">
      <w:pPr>
        <w:pStyle w:val="Heading1"/>
        <w:rPr>
          <w:rFonts w:ascii="Times New Roman" w:hAnsi="Times New Roman" w:cs="Times New Roman"/>
          <w:b/>
          <w:bCs/>
          <w:color w:val="000000" w:themeColor="text1"/>
          <w:sz w:val="24"/>
          <w:szCs w:val="24"/>
        </w:rPr>
      </w:pPr>
      <w:bookmarkStart w:id="5" w:name="_Toc15420057"/>
      <w:r w:rsidRPr="00575C28">
        <w:rPr>
          <w:rFonts w:ascii="Times New Roman" w:hAnsi="Times New Roman" w:cs="Times New Roman"/>
          <w:b/>
          <w:bCs/>
          <w:color w:val="000000" w:themeColor="text1"/>
          <w:sz w:val="24"/>
          <w:szCs w:val="24"/>
        </w:rPr>
        <w:lastRenderedPageBreak/>
        <w:t>Section II Literature Review</w:t>
      </w:r>
      <w:bookmarkEnd w:id="5"/>
      <w:r w:rsidR="008F4733">
        <w:rPr>
          <w:rFonts w:ascii="Times New Roman" w:hAnsi="Times New Roman" w:cs="Times New Roman"/>
          <w:b/>
          <w:bCs/>
          <w:color w:val="000000" w:themeColor="text1"/>
          <w:sz w:val="24"/>
          <w:szCs w:val="24"/>
        </w:rPr>
        <w:t>:</w:t>
      </w:r>
      <w:r w:rsidRPr="00575C28">
        <w:rPr>
          <w:rFonts w:ascii="Times New Roman" w:hAnsi="Times New Roman" w:cs="Times New Roman"/>
          <w:b/>
          <w:bCs/>
          <w:color w:val="000000" w:themeColor="text1"/>
          <w:sz w:val="24"/>
          <w:szCs w:val="24"/>
        </w:rPr>
        <w:t xml:space="preserve"> </w:t>
      </w:r>
    </w:p>
    <w:p w14:paraId="38784802" w14:textId="77777777" w:rsidR="00575C28" w:rsidRPr="00575C28" w:rsidRDefault="00575C28" w:rsidP="00575C28">
      <w:pPr>
        <w:rPr>
          <w:color w:val="000000" w:themeColor="text1"/>
        </w:rPr>
      </w:pPr>
    </w:p>
    <w:p w14:paraId="3590DEF5" w14:textId="7AD05C8C" w:rsidR="00655406" w:rsidRPr="00575C28" w:rsidRDefault="00655406" w:rsidP="00EC4D5A">
      <w:pPr>
        <w:spacing w:line="480" w:lineRule="auto"/>
        <w:jc w:val="both"/>
        <w:rPr>
          <w:color w:val="000000" w:themeColor="text1"/>
        </w:rPr>
      </w:pPr>
      <w:r w:rsidRPr="00575C28">
        <w:rPr>
          <w:color w:val="000000" w:themeColor="text1"/>
        </w:rPr>
        <w:t>The purpose of this section is to analyze several significant bodies of work that are relevant to our research. The connection between remittances and economic growth has been analyzed from different points in the literature. Studies on the topic have produced contradicting results</w:t>
      </w:r>
      <w:r w:rsidR="00884B8B">
        <w:rPr>
          <w:color w:val="000000" w:themeColor="text1"/>
        </w:rPr>
        <w:t xml:space="preserve">. </w:t>
      </w:r>
      <w:r w:rsidRPr="00575C28">
        <w:rPr>
          <w:color w:val="000000" w:themeColor="text1"/>
        </w:rPr>
        <w:t>We will review the different methodologies and conclusions found in those studies.</w:t>
      </w:r>
    </w:p>
    <w:p w14:paraId="7C9489BD" w14:textId="4F069404" w:rsidR="00655406" w:rsidRPr="00575C28" w:rsidRDefault="00655406" w:rsidP="00EC4D5A">
      <w:pPr>
        <w:spacing w:line="480" w:lineRule="auto"/>
        <w:ind w:firstLine="720"/>
        <w:jc w:val="both"/>
        <w:rPr>
          <w:color w:val="000000" w:themeColor="text1"/>
        </w:rPr>
      </w:pPr>
      <w:r w:rsidRPr="00575C28">
        <w:rPr>
          <w:color w:val="000000" w:themeColor="text1"/>
        </w:rPr>
        <w:t xml:space="preserve">Chami </w:t>
      </w:r>
      <w:r w:rsidR="00D82E27" w:rsidRPr="00575C28">
        <w:rPr>
          <w:color w:val="000000" w:themeColor="text1"/>
        </w:rPr>
        <w:t>et al.</w:t>
      </w:r>
      <w:r w:rsidRPr="00575C28">
        <w:rPr>
          <w:color w:val="000000" w:themeColor="text1"/>
        </w:rPr>
        <w:t xml:space="preserve"> (2005) examine whether remittances play the same role in economic development as direct investment and other capital flows. They construct a model that suggests that remittances fluctuate </w:t>
      </w:r>
      <w:r w:rsidR="00884B8B" w:rsidRPr="00575C28">
        <w:rPr>
          <w:color w:val="000000" w:themeColor="text1"/>
        </w:rPr>
        <w:t>countercyclically</w:t>
      </w:r>
      <w:r w:rsidR="00884B8B">
        <w:rPr>
          <w:color w:val="000000" w:themeColor="text1"/>
        </w:rPr>
        <w:t>.</w:t>
      </w:r>
      <w:r w:rsidR="00884B8B" w:rsidRPr="00575C28">
        <w:rPr>
          <w:color w:val="000000" w:themeColor="text1"/>
        </w:rPr>
        <w:t xml:space="preserve"> According</w:t>
      </w:r>
      <w:r w:rsidRPr="00575C28">
        <w:rPr>
          <w:color w:val="000000" w:themeColor="text1"/>
        </w:rPr>
        <w:t xml:space="preserve"> to their model, remittances </w:t>
      </w:r>
      <w:r w:rsidR="00D82E27" w:rsidRPr="00575C28">
        <w:rPr>
          <w:color w:val="000000" w:themeColor="text1"/>
        </w:rPr>
        <w:t>are</w:t>
      </w:r>
      <w:r w:rsidRPr="00575C28">
        <w:rPr>
          <w:color w:val="000000" w:themeColor="text1"/>
        </w:rPr>
        <w:t xml:space="preserve"> compensatory in nature, i.e., </w:t>
      </w:r>
      <w:r w:rsidR="00884B8B">
        <w:rPr>
          <w:color w:val="000000" w:themeColor="text1"/>
        </w:rPr>
        <w:t>they</w:t>
      </w:r>
      <w:r w:rsidRPr="00575C28">
        <w:rPr>
          <w:color w:val="000000" w:themeColor="text1"/>
        </w:rPr>
        <w:t xml:space="preserve"> rise with the level of altruism and fall as wages increase in the recipient country. They show that there is a negative relationship between remittances and recipients’ income, which is the opposite of what would happen if remittances functioned as investment flows. Their findings also show that remittances have a negative externality on both the immigrant and the recipient country. This gives way to a moral hazard issue, where recipients are using remittances to purchase a reduction in labour. This in turn has a negative effect on aggregate output. The authors test their model using data from 113 countries during the 1970-1998 period. To control for endogeneity, they use as instruments the income gap and the interest rate gap between the U.S. and the remittances receiving country. Their econometric results suggest that remittances have a negative effect on growth, giving credence to their hypothesis. </w:t>
      </w:r>
    </w:p>
    <w:p w14:paraId="4E0FB4CA" w14:textId="59AAB04F" w:rsidR="00655406" w:rsidRPr="00575C28" w:rsidRDefault="00655406" w:rsidP="00EC4D5A">
      <w:pPr>
        <w:spacing w:line="480" w:lineRule="auto"/>
        <w:ind w:firstLine="720"/>
        <w:jc w:val="both"/>
        <w:rPr>
          <w:color w:val="000000" w:themeColor="text1"/>
        </w:rPr>
      </w:pPr>
      <w:r w:rsidRPr="00575C28">
        <w:rPr>
          <w:color w:val="000000" w:themeColor="text1"/>
        </w:rPr>
        <w:t>Th</w:t>
      </w:r>
      <w:r w:rsidR="00B458F9" w:rsidRPr="00575C28">
        <w:rPr>
          <w:color w:val="000000" w:themeColor="text1"/>
        </w:rPr>
        <w:t>e</w:t>
      </w:r>
      <w:r w:rsidRPr="00575C28">
        <w:rPr>
          <w:color w:val="000000" w:themeColor="text1"/>
        </w:rPr>
        <w:t xml:space="preserve"> latter study has been influential in the literature; its methodology and results have been scrutinized by subsequent papers on the topic. For instance, Catrinescu </w:t>
      </w:r>
      <w:r w:rsidR="00D82E27" w:rsidRPr="00575C28">
        <w:rPr>
          <w:color w:val="000000" w:themeColor="text1"/>
        </w:rPr>
        <w:t>et al.</w:t>
      </w:r>
      <w:r w:rsidRPr="00575C28">
        <w:rPr>
          <w:color w:val="000000" w:themeColor="text1"/>
        </w:rPr>
        <w:t xml:space="preserve"> (2009) argue that the Chami </w:t>
      </w:r>
      <w:r w:rsidR="00D82E27" w:rsidRPr="00575C28">
        <w:rPr>
          <w:color w:val="000000" w:themeColor="text1"/>
        </w:rPr>
        <w:t>et al.</w:t>
      </w:r>
      <w:r w:rsidRPr="00575C28">
        <w:rPr>
          <w:color w:val="000000" w:themeColor="text1"/>
        </w:rPr>
        <w:t xml:space="preserve"> (2005) fail to address some of the problems associated with running panel estimations. One of these problems is the possibility that estimated coefficients may be biased if the errors are autocorrelated because of misspecified dynamics. As mentioned above, Chami </w:t>
      </w:r>
      <w:r w:rsidR="00D82E27" w:rsidRPr="00575C28">
        <w:rPr>
          <w:color w:val="000000" w:themeColor="text1"/>
        </w:rPr>
        <w:t>et al.</w:t>
      </w:r>
      <w:r w:rsidRPr="00575C28">
        <w:rPr>
          <w:color w:val="000000" w:themeColor="text1"/>
        </w:rPr>
        <w:t xml:space="preserve"> (2005) use </w:t>
      </w:r>
      <w:r w:rsidRPr="00575C28">
        <w:rPr>
          <w:color w:val="000000" w:themeColor="text1"/>
        </w:rPr>
        <w:lastRenderedPageBreak/>
        <w:t xml:space="preserve">the income gap and interest rate gap between the United States and the remittances receiving country as instruments. The validity of their strategy has been challenged. Some authors argue that their instruments are not effective in eliminating estimation bias in the parameters. This is corroborated by the insignificance of the parameter of the interest rate gap differential in the first stage (Lucas, 2005). Moreover, their choice of instrument is not the most appropriate, </w:t>
      </w:r>
      <w:r w:rsidR="00832D10">
        <w:rPr>
          <w:color w:val="000000" w:themeColor="text1"/>
        </w:rPr>
        <w:t xml:space="preserve">for </w:t>
      </w:r>
      <w:r w:rsidRPr="00575C28">
        <w:rPr>
          <w:color w:val="000000" w:themeColor="text1"/>
        </w:rPr>
        <w:t xml:space="preserve">the US is not the main source of remittances of many developing countries (Aziz, 2018.)  </w:t>
      </w:r>
    </w:p>
    <w:p w14:paraId="0CCEA7B0" w14:textId="5218A986" w:rsidR="00655406" w:rsidRPr="00575C28" w:rsidRDefault="00655406" w:rsidP="00EC4D5A">
      <w:pPr>
        <w:spacing w:line="480" w:lineRule="auto"/>
        <w:ind w:firstLine="720"/>
        <w:jc w:val="both"/>
        <w:rPr>
          <w:color w:val="000000" w:themeColor="text1"/>
        </w:rPr>
      </w:pPr>
      <w:r w:rsidRPr="00575C28">
        <w:rPr>
          <w:color w:val="000000" w:themeColor="text1"/>
        </w:rPr>
        <w:t xml:space="preserve">In contrast, Faini (2007) found evidence that remittances have a positive effect on economic growth. The author investigates the impact of remittances on growth using a dataset of 64 countries. </w:t>
      </w:r>
      <w:r w:rsidR="00832D10">
        <w:rPr>
          <w:color w:val="000000" w:themeColor="text1"/>
        </w:rPr>
        <w:t>He</w:t>
      </w:r>
      <w:r w:rsidRPr="00575C28">
        <w:rPr>
          <w:color w:val="000000" w:themeColor="text1"/>
        </w:rPr>
        <w:t xml:space="preserve"> do</w:t>
      </w:r>
      <w:r w:rsidR="00832D10">
        <w:rPr>
          <w:color w:val="000000" w:themeColor="text1"/>
        </w:rPr>
        <w:t xml:space="preserve">es </w:t>
      </w:r>
      <w:r w:rsidRPr="00575C28">
        <w:rPr>
          <w:color w:val="000000" w:themeColor="text1"/>
        </w:rPr>
        <w:t xml:space="preserve">not include investment in </w:t>
      </w:r>
      <w:r w:rsidR="00832D10">
        <w:rPr>
          <w:color w:val="000000" w:themeColor="text1"/>
        </w:rPr>
        <w:t>his</w:t>
      </w:r>
      <w:r w:rsidR="00832D10" w:rsidRPr="00575C28">
        <w:rPr>
          <w:color w:val="000000" w:themeColor="text1"/>
        </w:rPr>
        <w:t xml:space="preserve"> </w:t>
      </w:r>
      <w:r w:rsidRPr="00575C28">
        <w:rPr>
          <w:color w:val="000000" w:themeColor="text1"/>
        </w:rPr>
        <w:t>regression model, but include</w:t>
      </w:r>
      <w:r w:rsidR="00832D10">
        <w:rPr>
          <w:color w:val="000000" w:themeColor="text1"/>
        </w:rPr>
        <w:t>s</w:t>
      </w:r>
      <w:r w:rsidRPr="00575C28">
        <w:rPr>
          <w:color w:val="000000" w:themeColor="text1"/>
        </w:rPr>
        <w:t xml:space="preserve"> secondary school enrollment as a proxy for human capital, the number of telephone lines per 1000 inhabitants as a measure of physical capital, and the International Country Risk Guide index as a measure for institutional quality. The paper utilizes Ordinary Least Squares (OLS) and instrumental variables to assess the relationship between remittances and growth. The paper concludes that the net effect of remittances on economic growth is positive. </w:t>
      </w:r>
    </w:p>
    <w:p w14:paraId="7CD523E0" w14:textId="1DC8C1BF" w:rsidR="00655406" w:rsidRPr="00575C28" w:rsidRDefault="00655406" w:rsidP="00EC4D5A">
      <w:pPr>
        <w:spacing w:line="480" w:lineRule="auto"/>
        <w:ind w:firstLine="720"/>
        <w:jc w:val="both"/>
        <w:rPr>
          <w:color w:val="000000" w:themeColor="text1"/>
        </w:rPr>
      </w:pPr>
      <w:r w:rsidRPr="00575C28">
        <w:rPr>
          <w:color w:val="000000" w:themeColor="text1"/>
        </w:rPr>
        <w:t xml:space="preserve">Barajas </w:t>
      </w:r>
      <w:r w:rsidR="00D82E27" w:rsidRPr="00575C28">
        <w:rPr>
          <w:color w:val="000000" w:themeColor="text1"/>
        </w:rPr>
        <w:t>et al.</w:t>
      </w:r>
      <w:r w:rsidRPr="00575C28">
        <w:rPr>
          <w:color w:val="000000" w:themeColor="text1"/>
        </w:rPr>
        <w:t xml:space="preserve"> (2009) use panel data to examine the impact of remittances on growth in 84 remittances recipient countries during the period of 1970-2004.  The paper argues that remittances speed</w:t>
      </w:r>
      <w:r w:rsidR="00832D10">
        <w:rPr>
          <w:color w:val="000000" w:themeColor="text1"/>
        </w:rPr>
        <w:t xml:space="preserve"> up</w:t>
      </w:r>
      <w:r w:rsidRPr="00575C28">
        <w:rPr>
          <w:color w:val="000000" w:themeColor="text1"/>
        </w:rPr>
        <w:t xml:space="preserve"> capital accumulation in remittances receiving economies directly or indirectly by raising their credit worthiness or contributing to output stability. The authors also argue that remittances might have a negative impact on labour supply. Due to these opposing impacts, the net effect of remittances on growth is unclear. The paper argues that the inconclusiveness found in the literature on the relationship between remittances and economic growth is due in part to their use of inappropriate instruments. In order to mitigate the endogeneity problems that arise when studying remittances and economic growth, the authors use alternative instruments for worker’s </w:t>
      </w:r>
      <w:r w:rsidRPr="00575C28">
        <w:rPr>
          <w:color w:val="000000" w:themeColor="text1"/>
        </w:rPr>
        <w:lastRenderedPageBreak/>
        <w:t>remittances. They use the ratio of remittances to GDP of all other recipient countries (i.e. workers’ remittances to the rest of the world). They argue that their instrument captures the effects of global reductions in transactions cost and other systematic changes in the microeconomic determinants of remittances. They conclude that there does not seem to be a significant relationship between remittances and economic growth.</w:t>
      </w:r>
    </w:p>
    <w:p w14:paraId="1D70F325" w14:textId="33C3FF98" w:rsidR="00655406" w:rsidRPr="00575C28" w:rsidRDefault="00655406" w:rsidP="00EC4D5A">
      <w:pPr>
        <w:spacing w:line="480" w:lineRule="auto"/>
        <w:ind w:firstLine="720"/>
        <w:jc w:val="both"/>
        <w:rPr>
          <w:color w:val="000000" w:themeColor="text1"/>
        </w:rPr>
      </w:pPr>
      <w:r w:rsidRPr="00575C28">
        <w:rPr>
          <w:color w:val="000000" w:themeColor="text1"/>
        </w:rPr>
        <w:t xml:space="preserve">In terms of studies focusing on South Asia, one can first turn to work found in Rahman (2009). The </w:t>
      </w:r>
      <w:r w:rsidR="00E14BF0" w:rsidRPr="00575C28">
        <w:rPr>
          <w:color w:val="000000" w:themeColor="text1"/>
        </w:rPr>
        <w:t>paper analyzes</w:t>
      </w:r>
      <w:r w:rsidRPr="00575C28">
        <w:rPr>
          <w:color w:val="000000" w:themeColor="text1"/>
        </w:rPr>
        <w:t xml:space="preserve"> the effects of exports, FDI</w:t>
      </w:r>
      <w:r w:rsidR="00875549" w:rsidRPr="00575C28">
        <w:rPr>
          <w:color w:val="000000" w:themeColor="text1"/>
        </w:rPr>
        <w:t>,</w:t>
      </w:r>
      <w:r w:rsidRPr="00575C28">
        <w:rPr>
          <w:color w:val="000000" w:themeColor="text1"/>
        </w:rPr>
        <w:t xml:space="preserve"> and remittances on the real GDP of Bangladesh, India, Pakistan, and Sri Lanka. The study uses a dataset spanning the period 1976-2006 and employs the Autoregressive Distributed Lag (ARDL) model to examine the relationship between GDP and the above-mentioned explanatory variables. The study did not find substantial evidence of a significant relationship between remittances and real GDP. Siddique </w:t>
      </w:r>
      <w:r w:rsidR="004C624C" w:rsidRPr="00575C28">
        <w:rPr>
          <w:color w:val="000000" w:themeColor="text1"/>
        </w:rPr>
        <w:t>et al.</w:t>
      </w:r>
      <w:r w:rsidRPr="00575C28">
        <w:rPr>
          <w:color w:val="000000" w:themeColor="text1"/>
        </w:rPr>
        <w:t xml:space="preserve"> (2012) also stud</w:t>
      </w:r>
      <w:r w:rsidR="00832D10">
        <w:rPr>
          <w:color w:val="000000" w:themeColor="text1"/>
        </w:rPr>
        <w:t>y</w:t>
      </w:r>
      <w:r w:rsidRPr="00575C28">
        <w:rPr>
          <w:color w:val="000000" w:themeColor="text1"/>
        </w:rPr>
        <w:t xml:space="preserve"> the relationship between remittances and economic growth in Bangladesh, India, and Sri Lanka. The paper uses annual time series data from 1976 to 2006 and utilizes the Granger causality test under a Vector Autoregression (VAR).  For Bangladesh, they found that remittances do lead to economic growth. In the case of India, they found that there was no causal relationship between growth in remittances and economic growth and for Sri Lanka, the authors find two-way directional causality, meaning that economic growth influences growth in remittances and vice-versa. </w:t>
      </w:r>
    </w:p>
    <w:p w14:paraId="78D1A3B9" w14:textId="672C66CE" w:rsidR="00655406" w:rsidRPr="00575C28" w:rsidRDefault="00655406" w:rsidP="00EC4D5A">
      <w:pPr>
        <w:spacing w:line="480" w:lineRule="auto"/>
        <w:ind w:firstLine="720"/>
        <w:jc w:val="both"/>
        <w:rPr>
          <w:color w:val="000000" w:themeColor="text1"/>
        </w:rPr>
      </w:pPr>
      <w:r w:rsidRPr="00575C28">
        <w:rPr>
          <w:color w:val="000000" w:themeColor="text1"/>
        </w:rPr>
        <w:t xml:space="preserve">Catrinescu </w:t>
      </w:r>
      <w:r w:rsidR="00D82E27" w:rsidRPr="00575C28">
        <w:rPr>
          <w:color w:val="000000" w:themeColor="text1"/>
        </w:rPr>
        <w:t>et al.</w:t>
      </w:r>
      <w:r w:rsidRPr="00575C28">
        <w:rPr>
          <w:color w:val="000000" w:themeColor="text1"/>
        </w:rPr>
        <w:t xml:space="preserve"> (2009) expand on of Chami </w:t>
      </w:r>
      <w:r w:rsidR="00D82E27" w:rsidRPr="00575C28">
        <w:rPr>
          <w:color w:val="000000" w:themeColor="text1"/>
        </w:rPr>
        <w:t>et al.</w:t>
      </w:r>
      <w:r w:rsidRPr="00575C28">
        <w:rPr>
          <w:color w:val="000000" w:themeColor="text1"/>
        </w:rPr>
        <w:t xml:space="preserve"> (2005) and stud</w:t>
      </w:r>
      <w:r w:rsidR="00832D10">
        <w:rPr>
          <w:color w:val="000000" w:themeColor="text1"/>
        </w:rPr>
        <w:t>y</w:t>
      </w:r>
      <w:r w:rsidRPr="00575C28">
        <w:rPr>
          <w:color w:val="000000" w:themeColor="text1"/>
        </w:rPr>
        <w:t xml:space="preserve"> the relationship between remittances, institution</w:t>
      </w:r>
      <w:r w:rsidR="00832D10">
        <w:rPr>
          <w:color w:val="000000" w:themeColor="text1"/>
        </w:rPr>
        <w:t>s</w:t>
      </w:r>
      <w:r w:rsidRPr="00575C28">
        <w:rPr>
          <w:color w:val="000000" w:themeColor="text1"/>
        </w:rPr>
        <w:t xml:space="preserve">, and economic growth. In order to address some of the limitations </w:t>
      </w:r>
      <w:r w:rsidR="005508CC">
        <w:rPr>
          <w:color w:val="000000" w:themeColor="text1"/>
        </w:rPr>
        <w:t>of</w:t>
      </w:r>
      <w:r w:rsidRPr="00575C28">
        <w:rPr>
          <w:color w:val="000000" w:themeColor="text1"/>
        </w:rPr>
        <w:t xml:space="preserve"> Chami </w:t>
      </w:r>
      <w:r w:rsidR="004C624C" w:rsidRPr="00575C28">
        <w:rPr>
          <w:color w:val="000000" w:themeColor="text1"/>
        </w:rPr>
        <w:t>et al.,</w:t>
      </w:r>
      <w:r w:rsidRPr="00575C28">
        <w:rPr>
          <w:color w:val="000000" w:themeColor="text1"/>
        </w:rPr>
        <w:t xml:space="preserve"> the authors use dynamic panel regressions, following the methodologies of Anderson and Hsiao (1981) and Arellano and Bond (1991). The study argues that there is endogeneity between remittances and growth because it is likely that countries experiencing lower </w:t>
      </w:r>
      <w:r w:rsidRPr="00575C28">
        <w:rPr>
          <w:color w:val="000000" w:themeColor="text1"/>
        </w:rPr>
        <w:lastRenderedPageBreak/>
        <w:t xml:space="preserve">economic performance will receive larger remittances from their migrant workers. As such, the authors employ the first and second lagged levels of remittances as instruments. The study presents evidence that remittances have a positive and significant impact on long-term economic growth and that the positive impact that remittances have on growth increases </w:t>
      </w:r>
      <w:r w:rsidR="00E14BF0" w:rsidRPr="00575C28">
        <w:rPr>
          <w:color w:val="000000" w:themeColor="text1"/>
        </w:rPr>
        <w:t>with institutional</w:t>
      </w:r>
      <w:r w:rsidRPr="00575C28">
        <w:rPr>
          <w:color w:val="000000" w:themeColor="text1"/>
        </w:rPr>
        <w:t xml:space="preserve"> quality. A similar methodology is used in Fayissa and Nsiah (2010). The paper uses panel data from 1980 to 2004 for 36 African countries and utilizes the methodology introduced in Arellano and Bond (1991). The paper concludes that remittances have a positive impact on economic growth and development in Africa and theorizes that remittances induce growth by providing an alternative way to finance investment. </w:t>
      </w:r>
    </w:p>
    <w:p w14:paraId="4290066D" w14:textId="67097F60" w:rsidR="00655406" w:rsidRPr="00575C28" w:rsidRDefault="00655406" w:rsidP="00EC4D5A">
      <w:pPr>
        <w:spacing w:line="480" w:lineRule="auto"/>
        <w:ind w:firstLine="720"/>
        <w:jc w:val="both"/>
        <w:rPr>
          <w:color w:val="000000" w:themeColor="text1"/>
        </w:rPr>
      </w:pPr>
      <w:r w:rsidRPr="00575C28">
        <w:rPr>
          <w:color w:val="000000" w:themeColor="text1"/>
        </w:rPr>
        <w:t xml:space="preserve">Singh </w:t>
      </w:r>
      <w:r w:rsidR="00D82E27" w:rsidRPr="00575C28">
        <w:rPr>
          <w:color w:val="000000" w:themeColor="text1"/>
        </w:rPr>
        <w:t>et al.</w:t>
      </w:r>
      <w:r w:rsidRPr="00575C28">
        <w:rPr>
          <w:color w:val="000000" w:themeColor="text1"/>
        </w:rPr>
        <w:t xml:space="preserve"> (2010) analyze the determinants and the macroeconomic role of remittances in Sub-Saharan Africa. The paper utilizes a homogenous panel model on a dataset that covers the period of 1990 to 2008 and that includes 36 developing countries. The study concluded that remittances have a negative impact on economic growth, but this impact is mitigated in countries with developed financial systems and more stable political institutions. The authors state that remittances may reduce the volatility of consumption or help ease financial constraints. On average, however, the evidence indicates that the joint effect of the resulting real appreciation of the exchange rate caused by remittance inflows, the brain-drain from emigrants, and the adverse incentives remittances have on labour force participation offset the positive attributes of remittances.</w:t>
      </w:r>
    </w:p>
    <w:p w14:paraId="5CB2B228" w14:textId="72686734" w:rsidR="00655406" w:rsidRPr="00575C28" w:rsidRDefault="00655406" w:rsidP="00EC4D5A">
      <w:pPr>
        <w:spacing w:line="480" w:lineRule="auto"/>
        <w:ind w:firstLine="720"/>
        <w:jc w:val="both"/>
        <w:rPr>
          <w:color w:val="000000" w:themeColor="text1"/>
        </w:rPr>
      </w:pPr>
      <w:r w:rsidRPr="00575C28">
        <w:rPr>
          <w:color w:val="000000" w:themeColor="text1"/>
        </w:rPr>
        <w:t xml:space="preserve">For a more recent study one can turn to Zghidi </w:t>
      </w:r>
      <w:r w:rsidR="00D82E27" w:rsidRPr="00575C28">
        <w:rPr>
          <w:color w:val="000000" w:themeColor="text1"/>
        </w:rPr>
        <w:t>et al.</w:t>
      </w:r>
      <w:r w:rsidRPr="00575C28">
        <w:rPr>
          <w:color w:val="000000" w:themeColor="text1"/>
        </w:rPr>
        <w:t xml:space="preserve"> (2018). The paper studies the ca</w:t>
      </w:r>
      <w:r w:rsidR="00290E0D" w:rsidRPr="00575C28">
        <w:rPr>
          <w:color w:val="000000" w:themeColor="text1"/>
        </w:rPr>
        <w:t>us</w:t>
      </w:r>
      <w:r w:rsidRPr="00575C28">
        <w:rPr>
          <w:color w:val="000000" w:themeColor="text1"/>
        </w:rPr>
        <w:t xml:space="preserve">al links between remittances, economic freedom, and economic growth in Tunisia, Morocco, Algeria, and Egypt. The study uses panel data from 1980 to 2012 and utilizes system GMM for the estimation strategy. It concludes that there is strong evidence of a positive relationship between </w:t>
      </w:r>
      <w:r w:rsidRPr="00575C28">
        <w:rPr>
          <w:color w:val="000000" w:themeColor="text1"/>
        </w:rPr>
        <w:lastRenderedPageBreak/>
        <w:t xml:space="preserve">remittances and economic growth. The study also presents evidence that economic freedom appears to work as a complement to remittances, meaning that the positive effect of remittances is greater if there is more economic freedom. </w:t>
      </w:r>
    </w:p>
    <w:p w14:paraId="5EF4CD72" w14:textId="7F75928A" w:rsidR="00E14BF0" w:rsidRPr="00575C28" w:rsidRDefault="00E14BF0" w:rsidP="00575C28">
      <w:pPr>
        <w:pStyle w:val="Heading1"/>
        <w:rPr>
          <w:rFonts w:ascii="Times New Roman" w:hAnsi="Times New Roman" w:cs="Times New Roman"/>
          <w:b/>
          <w:bCs/>
          <w:color w:val="000000" w:themeColor="text1"/>
          <w:sz w:val="24"/>
          <w:szCs w:val="24"/>
        </w:rPr>
      </w:pPr>
      <w:bookmarkStart w:id="6" w:name="_Toc15420058"/>
      <w:bookmarkEnd w:id="0"/>
      <w:bookmarkEnd w:id="1"/>
      <w:r w:rsidRPr="00575C28">
        <w:rPr>
          <w:rFonts w:ascii="Times New Roman" w:hAnsi="Times New Roman" w:cs="Times New Roman"/>
          <w:b/>
          <w:bCs/>
          <w:color w:val="000000" w:themeColor="text1"/>
          <w:sz w:val="24"/>
          <w:szCs w:val="24"/>
        </w:rPr>
        <w:t>Section III Empirical Methodology</w:t>
      </w:r>
      <w:bookmarkEnd w:id="6"/>
      <w:r w:rsidR="005508CC">
        <w:rPr>
          <w:rFonts w:ascii="Times New Roman" w:hAnsi="Times New Roman" w:cs="Times New Roman"/>
          <w:b/>
          <w:bCs/>
          <w:color w:val="000000" w:themeColor="text1"/>
          <w:sz w:val="24"/>
          <w:szCs w:val="24"/>
        </w:rPr>
        <w:t>:</w:t>
      </w:r>
    </w:p>
    <w:p w14:paraId="3F484C4A" w14:textId="77777777" w:rsidR="00575C28" w:rsidRPr="00575C28" w:rsidRDefault="00575C28" w:rsidP="00575C28">
      <w:pPr>
        <w:rPr>
          <w:color w:val="000000" w:themeColor="text1"/>
        </w:rPr>
      </w:pPr>
    </w:p>
    <w:p w14:paraId="24E1418F" w14:textId="657AF70E" w:rsidR="00E14BF0" w:rsidRPr="00575C28" w:rsidRDefault="00E14BF0" w:rsidP="00EC4D5A">
      <w:pPr>
        <w:spacing w:line="480" w:lineRule="auto"/>
        <w:jc w:val="both"/>
        <w:rPr>
          <w:color w:val="000000" w:themeColor="text1"/>
        </w:rPr>
      </w:pPr>
      <w:r w:rsidRPr="00575C28">
        <w:rPr>
          <w:color w:val="000000" w:themeColor="text1"/>
        </w:rPr>
        <w:t xml:space="preserve">In order to study the nexus between economic growth, remittance, and institutions, we will follow a similar technique as in Zghidi </w:t>
      </w:r>
      <w:r w:rsidR="00D82E27" w:rsidRPr="00575C28">
        <w:rPr>
          <w:color w:val="000000" w:themeColor="text1"/>
        </w:rPr>
        <w:t>et al.</w:t>
      </w:r>
      <w:r w:rsidRPr="00575C28">
        <w:rPr>
          <w:color w:val="000000" w:themeColor="text1"/>
        </w:rPr>
        <w:t xml:space="preserve"> (2018). As a starting exercise, we will look at the growth effects of remittances using a fixed effect</w:t>
      </w:r>
      <w:r w:rsidR="005508CC">
        <w:rPr>
          <w:color w:val="000000" w:themeColor="text1"/>
        </w:rPr>
        <w:t>s</w:t>
      </w:r>
      <w:r w:rsidRPr="00575C28">
        <w:rPr>
          <w:color w:val="000000" w:themeColor="text1"/>
        </w:rPr>
        <w:t xml:space="preserve"> model (FE). For this initial exercise, we will estimate the following equation:  </w:t>
      </w:r>
    </w:p>
    <w:p w14:paraId="709CE2B0" w14:textId="08DEA592" w:rsidR="00E14BF0" w:rsidRPr="00575C28" w:rsidRDefault="00E14BF0" w:rsidP="00EC4D5A">
      <w:pPr>
        <w:spacing w:line="480" w:lineRule="auto"/>
        <w:jc w:val="both"/>
        <w:rPr>
          <w:color w:val="000000" w:themeColor="text1"/>
        </w:rPr>
      </w:pPr>
    </w:p>
    <w:p w14:paraId="4DB16EAD" w14:textId="77777777" w:rsidR="00E14BF0" w:rsidRPr="00575C28" w:rsidRDefault="00E14BF0" w:rsidP="00EC4D5A">
      <w:pPr>
        <w:spacing w:line="480" w:lineRule="auto"/>
        <w:jc w:val="both"/>
        <w:rPr>
          <w:rFonts w:eastAsiaTheme="minorEastAsia"/>
          <w:color w:val="000000" w:themeColor="text1"/>
          <w:lang w:val="fr-CA"/>
        </w:rPr>
      </w:pPr>
      <w:r w:rsidRPr="00575C28">
        <w:rPr>
          <w:color w:val="000000" w:themeColor="text1"/>
          <w:lang w:val="fr-CA"/>
        </w:rPr>
        <w:t>y</w:t>
      </w:r>
      <w:r w:rsidRPr="00575C28">
        <w:rPr>
          <w:i/>
          <w:iCs/>
          <w:color w:val="000000" w:themeColor="text1"/>
          <w:vertAlign w:val="subscript"/>
          <w:lang w:val="fr-CA"/>
        </w:rPr>
        <w:t>i,t</w:t>
      </w:r>
      <w:r w:rsidRPr="00575C28">
        <w:rPr>
          <w:color w:val="000000" w:themeColor="text1"/>
          <w:lang w:val="fr-CA"/>
        </w:rPr>
        <w:t xml:space="preserve"> = </w:t>
      </w:r>
      <m:oMath>
        <m:r>
          <w:rPr>
            <w:rFonts w:ascii="Cambria Math" w:hAnsi="Cambria Math"/>
            <w:color w:val="000000" w:themeColor="text1"/>
          </w:rPr>
          <m:t>β</m:t>
        </m:r>
      </m:oMath>
      <w:r w:rsidRPr="00575C28">
        <w:rPr>
          <w:color w:val="000000" w:themeColor="text1"/>
          <w:vertAlign w:val="subscript"/>
          <w:lang w:val="fr-CA"/>
        </w:rPr>
        <w:t>0</w:t>
      </w:r>
      <w:r w:rsidRPr="00575C28">
        <w:rPr>
          <w:color w:val="000000" w:themeColor="text1"/>
          <w:lang w:val="fr-CA"/>
        </w:rPr>
        <w:t xml:space="preserve">  + </w:t>
      </w:r>
      <m:oMath>
        <m:r>
          <w:rPr>
            <w:rFonts w:ascii="Cambria Math" w:hAnsi="Cambria Math"/>
            <w:color w:val="000000" w:themeColor="text1"/>
          </w:rPr>
          <m:t>β</m:t>
        </m:r>
      </m:oMath>
      <w:r w:rsidRPr="00575C28">
        <w:rPr>
          <w:rFonts w:eastAsiaTheme="minorEastAsia"/>
          <w:color w:val="000000" w:themeColor="text1"/>
          <w:vertAlign w:val="subscript"/>
          <w:lang w:val="fr-CA"/>
        </w:rPr>
        <w:t>1</w:t>
      </w:r>
      <w:r w:rsidRPr="00575C28">
        <w:rPr>
          <w:color w:val="000000" w:themeColor="text1"/>
          <w:lang w:val="fr-CA"/>
        </w:rPr>
        <w:t>y</w:t>
      </w:r>
      <w:r w:rsidRPr="00575C28">
        <w:rPr>
          <w:i/>
          <w:iCs/>
          <w:color w:val="000000" w:themeColor="text1"/>
          <w:vertAlign w:val="subscript"/>
          <w:lang w:val="fr-CA"/>
        </w:rPr>
        <w:t>i</w:t>
      </w:r>
      <w:r w:rsidRPr="00575C28">
        <w:rPr>
          <w:i/>
          <w:iCs/>
          <w:color w:val="000000" w:themeColor="text1"/>
          <w:lang w:val="fr-CA"/>
        </w:rPr>
        <w:t>,</w:t>
      </w:r>
      <w:r w:rsidRPr="00575C28">
        <w:rPr>
          <w:i/>
          <w:iCs/>
          <w:color w:val="000000" w:themeColor="text1"/>
          <w:vertAlign w:val="subscript"/>
          <w:lang w:val="fr-CA"/>
        </w:rPr>
        <w:t>t−</w:t>
      </w:r>
      <w:r w:rsidRPr="00575C28">
        <w:rPr>
          <w:color w:val="000000" w:themeColor="text1"/>
          <w:vertAlign w:val="subscript"/>
          <w:lang w:val="fr-CA"/>
        </w:rPr>
        <w:t>1</w:t>
      </w:r>
      <w:r w:rsidRPr="00575C28">
        <w:rPr>
          <w:color w:val="000000" w:themeColor="text1"/>
          <w:lang w:val="fr-CA"/>
        </w:rPr>
        <w:t xml:space="preserve"> + </w:t>
      </w:r>
      <m:oMath>
        <m:r>
          <w:rPr>
            <w:rFonts w:ascii="Cambria Math" w:hAnsi="Cambria Math"/>
            <w:color w:val="000000" w:themeColor="text1"/>
          </w:rPr>
          <m:t>β</m:t>
        </m:r>
      </m:oMath>
      <w:r w:rsidRPr="00575C28">
        <w:rPr>
          <w:color w:val="000000" w:themeColor="text1"/>
          <w:vertAlign w:val="subscript"/>
          <w:lang w:val="fr-CA"/>
        </w:rPr>
        <w:t>2</w:t>
      </w:r>
      <w:r w:rsidRPr="00575C28">
        <w:rPr>
          <w:color w:val="000000" w:themeColor="text1"/>
          <w:lang w:val="fr-CA"/>
        </w:rPr>
        <w:t xml:space="preserve"> REM</w:t>
      </w:r>
      <w:r w:rsidRPr="00575C28">
        <w:rPr>
          <w:i/>
          <w:iCs/>
          <w:color w:val="000000" w:themeColor="text1"/>
          <w:vertAlign w:val="subscript"/>
          <w:lang w:val="fr-CA"/>
        </w:rPr>
        <w:t xml:space="preserve">i,t </w:t>
      </w:r>
      <w:r w:rsidRPr="00575C28">
        <w:rPr>
          <w:color w:val="000000" w:themeColor="text1"/>
          <w:lang w:val="fr-CA"/>
        </w:rPr>
        <w:t xml:space="preserve">+ </w:t>
      </w:r>
      <m:oMath>
        <m:r>
          <w:rPr>
            <w:rFonts w:ascii="Cambria Math" w:hAnsi="Cambria Math"/>
            <w:color w:val="000000" w:themeColor="text1"/>
          </w:rPr>
          <m:t>β</m:t>
        </m:r>
      </m:oMath>
      <w:r w:rsidRPr="00575C28">
        <w:rPr>
          <w:color w:val="000000" w:themeColor="text1"/>
          <w:vertAlign w:val="subscript"/>
          <w:lang w:val="fr-CA"/>
        </w:rPr>
        <w:t>3</w:t>
      </w:r>
      <w:r w:rsidRPr="00575C28">
        <w:rPr>
          <w:color w:val="000000" w:themeColor="text1"/>
          <w:lang w:val="fr-CA"/>
        </w:rPr>
        <w:t>X</w:t>
      </w:r>
      <w:r w:rsidRPr="00575C28">
        <w:rPr>
          <w:i/>
          <w:iCs/>
          <w:color w:val="000000" w:themeColor="text1"/>
          <w:vertAlign w:val="subscript"/>
          <w:lang w:val="fr-CA"/>
        </w:rPr>
        <w:t>i,t</w:t>
      </w:r>
      <w:r w:rsidRPr="00575C28">
        <w:rPr>
          <w:color w:val="000000" w:themeColor="text1"/>
          <w:lang w:val="fr-CA"/>
        </w:rPr>
        <w:t xml:space="preserve">  + </w:t>
      </w:r>
      <m:oMath>
        <m:r>
          <w:rPr>
            <w:rFonts w:ascii="Cambria Math" w:hAnsi="Cambria Math"/>
            <w:color w:val="000000" w:themeColor="text1"/>
          </w:rPr>
          <m:t>μ</m:t>
        </m:r>
      </m:oMath>
      <w:r w:rsidRPr="00575C28">
        <w:rPr>
          <w:i/>
          <w:iCs/>
          <w:color w:val="000000" w:themeColor="text1"/>
          <w:vertAlign w:val="subscript"/>
          <w:lang w:val="fr-CA"/>
        </w:rPr>
        <w:t>t</w:t>
      </w:r>
      <w:r w:rsidRPr="00575C28">
        <w:rPr>
          <w:color w:val="000000" w:themeColor="text1"/>
          <w:lang w:val="fr-CA"/>
        </w:rPr>
        <w:t xml:space="preserve">+ </w:t>
      </w:r>
      <m:oMath>
        <m:r>
          <w:rPr>
            <w:rFonts w:ascii="Cambria Math" w:hAnsi="Cambria Math"/>
            <w:color w:val="000000" w:themeColor="text1"/>
          </w:rPr>
          <m:t>η</m:t>
        </m:r>
      </m:oMath>
      <w:r w:rsidRPr="00575C28">
        <w:rPr>
          <w:rFonts w:eastAsiaTheme="minorEastAsia"/>
          <w:i/>
          <w:iCs/>
          <w:color w:val="000000" w:themeColor="text1"/>
          <w:vertAlign w:val="subscript"/>
          <w:lang w:val="fr-CA"/>
        </w:rPr>
        <w:t>i</w:t>
      </w:r>
      <w:r w:rsidRPr="00575C28">
        <w:rPr>
          <w:rFonts w:eastAsiaTheme="minorEastAsia"/>
          <w:color w:val="000000" w:themeColor="text1"/>
          <w:lang w:val="fr-CA"/>
        </w:rPr>
        <w:t xml:space="preserve"> + </w:t>
      </w:r>
      <m:oMath>
        <m:r>
          <w:rPr>
            <w:rFonts w:ascii="Cambria Math" w:eastAsiaTheme="minorEastAsia" w:hAnsi="Cambria Math"/>
            <w:color w:val="000000" w:themeColor="text1"/>
          </w:rPr>
          <m:t>ε</m:t>
        </m:r>
      </m:oMath>
      <w:r w:rsidRPr="00575C28">
        <w:rPr>
          <w:rFonts w:eastAsiaTheme="minorEastAsia"/>
          <w:i/>
          <w:iCs/>
          <w:color w:val="000000" w:themeColor="text1"/>
          <w:vertAlign w:val="subscript"/>
          <w:lang w:val="fr-CA"/>
        </w:rPr>
        <w:t>i,t</w:t>
      </w:r>
      <w:r w:rsidRPr="00575C28">
        <w:rPr>
          <w:rFonts w:eastAsiaTheme="minorEastAsia"/>
          <w:color w:val="000000" w:themeColor="text1"/>
          <w:lang w:val="fr-CA"/>
        </w:rPr>
        <w:t xml:space="preserve"> </w:t>
      </w:r>
      <w:r w:rsidRPr="00575C28">
        <w:rPr>
          <w:rFonts w:eastAsiaTheme="minorEastAsia"/>
          <w:color w:val="000000" w:themeColor="text1"/>
          <w:lang w:val="fr-CA"/>
        </w:rPr>
        <w:tab/>
      </w:r>
      <w:r w:rsidRPr="00575C28">
        <w:rPr>
          <w:rFonts w:eastAsiaTheme="minorEastAsia"/>
          <w:color w:val="000000" w:themeColor="text1"/>
          <w:lang w:val="fr-CA"/>
        </w:rPr>
        <w:tab/>
      </w:r>
      <w:r w:rsidRPr="00575C28">
        <w:rPr>
          <w:rFonts w:eastAsiaTheme="minorEastAsia"/>
          <w:color w:val="000000" w:themeColor="text1"/>
          <w:lang w:val="fr-CA"/>
        </w:rPr>
        <w:tab/>
      </w:r>
      <w:r w:rsidRPr="00575C28">
        <w:rPr>
          <w:rFonts w:eastAsiaTheme="minorEastAsia"/>
          <w:color w:val="000000" w:themeColor="text1"/>
          <w:lang w:val="fr-CA"/>
        </w:rPr>
        <w:tab/>
      </w:r>
      <w:r w:rsidRPr="00575C28">
        <w:rPr>
          <w:rFonts w:eastAsiaTheme="minorEastAsia"/>
          <w:color w:val="000000" w:themeColor="text1"/>
          <w:lang w:val="fr-CA"/>
        </w:rPr>
        <w:tab/>
        <w:t>(1)</w:t>
      </w:r>
    </w:p>
    <w:p w14:paraId="4A267D9C" w14:textId="6790A432" w:rsidR="00E14BF0" w:rsidRPr="00575C28" w:rsidRDefault="00E14BF0" w:rsidP="00EC4D5A">
      <w:pPr>
        <w:spacing w:line="480" w:lineRule="auto"/>
        <w:jc w:val="both"/>
        <w:rPr>
          <w:rFonts w:eastAsiaTheme="minorEastAsia"/>
          <w:color w:val="000000" w:themeColor="text1"/>
        </w:rPr>
      </w:pPr>
      <w:r w:rsidRPr="00575C28">
        <w:rPr>
          <w:rFonts w:eastAsiaTheme="minorEastAsia"/>
          <w:color w:val="000000" w:themeColor="text1"/>
        </w:rPr>
        <w:t xml:space="preserve">where </w:t>
      </w:r>
      <w:r w:rsidRPr="00575C28">
        <w:rPr>
          <w:rFonts w:eastAsiaTheme="minorEastAsia"/>
          <w:i/>
          <w:color w:val="000000" w:themeColor="text1"/>
        </w:rPr>
        <w:t xml:space="preserve">i </w:t>
      </w:r>
      <w:r w:rsidRPr="00575C28">
        <w:rPr>
          <w:rFonts w:eastAsiaTheme="minorEastAsia"/>
          <w:color w:val="000000" w:themeColor="text1"/>
        </w:rPr>
        <w:t xml:space="preserve">is the country index, </w:t>
      </w:r>
      <w:r w:rsidRPr="00575C28">
        <w:rPr>
          <w:color w:val="000000" w:themeColor="text1"/>
        </w:rPr>
        <w:t>y</w:t>
      </w:r>
      <w:r w:rsidRPr="00575C28">
        <w:rPr>
          <w:i/>
          <w:iCs/>
          <w:color w:val="000000" w:themeColor="text1"/>
          <w:vertAlign w:val="subscript"/>
        </w:rPr>
        <w:t>i</w:t>
      </w:r>
      <w:r w:rsidRPr="00575C28">
        <w:rPr>
          <w:i/>
          <w:iCs/>
          <w:color w:val="000000" w:themeColor="text1"/>
        </w:rPr>
        <w:t>,</w:t>
      </w:r>
      <w:r w:rsidRPr="00575C28">
        <w:rPr>
          <w:i/>
          <w:iCs/>
          <w:color w:val="000000" w:themeColor="text1"/>
          <w:vertAlign w:val="subscript"/>
        </w:rPr>
        <w:t>t−</w:t>
      </w:r>
      <w:r w:rsidRPr="00575C28">
        <w:rPr>
          <w:color w:val="000000" w:themeColor="text1"/>
          <w:vertAlign w:val="subscript"/>
        </w:rPr>
        <w:t>1</w:t>
      </w:r>
      <w:r w:rsidRPr="00575C28">
        <w:rPr>
          <w:color w:val="000000" w:themeColor="text1"/>
        </w:rPr>
        <w:t xml:space="preserve"> represents</w:t>
      </w:r>
      <w:r w:rsidRPr="00575C28">
        <w:rPr>
          <w:rFonts w:eastAsiaTheme="minorEastAsia"/>
          <w:color w:val="000000" w:themeColor="text1"/>
        </w:rPr>
        <w:t xml:space="preserve"> the logarithm GDP per capita of country </w:t>
      </w:r>
      <w:r w:rsidRPr="00575C28">
        <w:rPr>
          <w:rFonts w:eastAsiaTheme="minorEastAsia"/>
          <w:i/>
          <w:color w:val="000000" w:themeColor="text1"/>
        </w:rPr>
        <w:t xml:space="preserve">i </w:t>
      </w:r>
      <w:r w:rsidRPr="00575C28">
        <w:rPr>
          <w:rFonts w:eastAsiaTheme="minorEastAsia"/>
          <w:color w:val="000000" w:themeColor="text1"/>
        </w:rPr>
        <w:t>at the end of period</w:t>
      </w:r>
      <w:r w:rsidRPr="008A1C6D">
        <w:rPr>
          <w:rFonts w:eastAsiaTheme="minorEastAsia"/>
          <w:i/>
          <w:iCs/>
          <w:color w:val="000000" w:themeColor="text1"/>
        </w:rPr>
        <w:t xml:space="preserve"> t</w:t>
      </w:r>
      <w:r w:rsidRPr="00575C28">
        <w:rPr>
          <w:rFonts w:eastAsiaTheme="minorEastAsia"/>
          <w:color w:val="000000" w:themeColor="text1"/>
        </w:rPr>
        <w:t xml:space="preserve">. REM represents the logarithm of remittances as a percentage of GDP, </w:t>
      </w:r>
      <w:r w:rsidRPr="00575C28">
        <w:rPr>
          <w:color w:val="000000" w:themeColor="text1"/>
        </w:rPr>
        <w:t>X</w:t>
      </w:r>
      <w:r w:rsidRPr="00575C28">
        <w:rPr>
          <w:i/>
          <w:iCs/>
          <w:color w:val="000000" w:themeColor="text1"/>
          <w:vertAlign w:val="subscript"/>
        </w:rPr>
        <w:t>i,t</w:t>
      </w:r>
      <w:r w:rsidRPr="00575C28">
        <w:rPr>
          <w:color w:val="000000" w:themeColor="text1"/>
        </w:rPr>
        <w:t xml:space="preserve"> </w:t>
      </w:r>
      <w:r w:rsidRPr="00575C28">
        <w:rPr>
          <w:rFonts w:eastAsiaTheme="minorEastAsia"/>
          <w:color w:val="000000" w:themeColor="text1"/>
        </w:rPr>
        <w:t xml:space="preserve">is the matrix of the control variables described in the data section of the paper. </w:t>
      </w:r>
      <m:oMath>
        <m:r>
          <w:rPr>
            <w:rFonts w:ascii="Cambria Math" w:hAnsi="Cambria Math"/>
            <w:color w:val="000000" w:themeColor="text1"/>
          </w:rPr>
          <m:t>μ</m:t>
        </m:r>
      </m:oMath>
      <w:r w:rsidR="005508CC">
        <w:rPr>
          <w:i/>
          <w:iCs/>
          <w:color w:val="000000" w:themeColor="text1"/>
          <w:vertAlign w:val="subscript"/>
        </w:rPr>
        <w:t>t</w:t>
      </w:r>
      <w:r w:rsidR="005508CC">
        <w:rPr>
          <w:color w:val="000000" w:themeColor="text1"/>
        </w:rPr>
        <w:t xml:space="preserve"> </w:t>
      </w:r>
      <w:r w:rsidRPr="00575C28">
        <w:rPr>
          <w:color w:val="000000" w:themeColor="text1"/>
        </w:rPr>
        <w:t xml:space="preserve">represents the time specific effects while </w:t>
      </w:r>
      <m:oMath>
        <m:r>
          <w:rPr>
            <w:rFonts w:ascii="Cambria Math" w:hAnsi="Cambria Math"/>
            <w:color w:val="000000" w:themeColor="text1"/>
          </w:rPr>
          <m:t>η</m:t>
        </m:r>
      </m:oMath>
      <w:r w:rsidRPr="008A1C6D">
        <w:rPr>
          <w:rFonts w:eastAsiaTheme="minorEastAsia"/>
          <w:i/>
          <w:iCs/>
          <w:color w:val="000000" w:themeColor="text1"/>
          <w:vertAlign w:val="subscript"/>
        </w:rPr>
        <w:t>i</w:t>
      </w:r>
      <w:r w:rsidRPr="00575C28">
        <w:rPr>
          <w:rFonts w:eastAsiaTheme="minorEastAsia"/>
          <w:color w:val="000000" w:themeColor="text1"/>
        </w:rPr>
        <w:t xml:space="preserve"> represents the unobserved country specific effects. Finally, </w:t>
      </w:r>
      <m:oMath>
        <m:r>
          <w:rPr>
            <w:rFonts w:ascii="Cambria Math" w:eastAsiaTheme="minorEastAsia" w:hAnsi="Cambria Math"/>
            <w:color w:val="000000" w:themeColor="text1"/>
          </w:rPr>
          <m:t>ε</m:t>
        </m:r>
      </m:oMath>
      <w:r w:rsidRPr="008A1C6D">
        <w:rPr>
          <w:rFonts w:eastAsiaTheme="minorEastAsia"/>
          <w:i/>
          <w:iCs/>
          <w:color w:val="000000" w:themeColor="text1"/>
          <w:vertAlign w:val="subscript"/>
        </w:rPr>
        <w:t xml:space="preserve">i </w:t>
      </w:r>
      <w:r w:rsidRPr="00575C28">
        <w:rPr>
          <w:rFonts w:eastAsiaTheme="minorEastAsia"/>
          <w:color w:val="000000" w:themeColor="text1"/>
        </w:rPr>
        <w:t xml:space="preserve">represents the error term. In this equation, the </w:t>
      </w:r>
      <w:r w:rsidR="003E6F6B">
        <w:rPr>
          <w:rFonts w:eastAsiaTheme="minorEastAsia"/>
          <w:color w:val="000000" w:themeColor="text1"/>
        </w:rPr>
        <w:t>coefficient</w:t>
      </w:r>
      <w:r w:rsidR="003E6F6B" w:rsidRPr="00575C28">
        <w:rPr>
          <w:rFonts w:eastAsiaTheme="minorEastAsia"/>
          <w:color w:val="000000" w:themeColor="text1"/>
        </w:rPr>
        <w:t xml:space="preserve"> </w:t>
      </w:r>
      <w:r w:rsidRPr="00575C28">
        <w:rPr>
          <w:rFonts w:eastAsiaTheme="minorEastAsia"/>
          <w:color w:val="000000" w:themeColor="text1"/>
        </w:rPr>
        <w:t>of interest is</w:t>
      </w:r>
      <m:oMath>
        <m:r>
          <w:rPr>
            <w:rFonts w:ascii="Cambria Math" w:hAnsi="Cambria Math"/>
            <w:color w:val="000000" w:themeColor="text1"/>
          </w:rPr>
          <m:t xml:space="preserve"> β</m:t>
        </m:r>
      </m:oMath>
      <w:r w:rsidRPr="00575C28">
        <w:rPr>
          <w:color w:val="000000" w:themeColor="text1"/>
          <w:vertAlign w:val="subscript"/>
        </w:rPr>
        <w:t>2</w:t>
      </w:r>
      <w:r w:rsidRPr="00575C28">
        <w:rPr>
          <w:rFonts w:eastAsiaTheme="minorEastAsia"/>
          <w:color w:val="000000" w:themeColor="text1"/>
        </w:rPr>
        <w:t xml:space="preserve">, which can be interpreted as the marginal impact of remittances on growth. </w:t>
      </w:r>
      <w:r w:rsidR="006C3996" w:rsidRPr="00575C28">
        <w:rPr>
          <w:rFonts w:eastAsiaTheme="minorEastAsia"/>
          <w:color w:val="000000" w:themeColor="text1"/>
        </w:rPr>
        <w:t>We</w:t>
      </w:r>
      <w:r w:rsidRPr="00575C28">
        <w:rPr>
          <w:rFonts w:eastAsiaTheme="minorEastAsia"/>
          <w:color w:val="000000" w:themeColor="text1"/>
        </w:rPr>
        <w:t xml:space="preserve"> </w:t>
      </w:r>
      <w:r w:rsidR="00DD2F2A" w:rsidRPr="00575C28">
        <w:rPr>
          <w:rFonts w:eastAsiaTheme="minorEastAsia"/>
          <w:color w:val="000000" w:themeColor="text1"/>
        </w:rPr>
        <w:t xml:space="preserve">test the significance of the parameter </w:t>
      </w:r>
      <m:oMath>
        <m:r>
          <w:rPr>
            <w:rFonts w:ascii="Cambria Math" w:hAnsi="Cambria Math"/>
            <w:color w:val="000000" w:themeColor="text1"/>
          </w:rPr>
          <m:t>β</m:t>
        </m:r>
      </m:oMath>
      <w:r w:rsidRPr="00575C28">
        <w:rPr>
          <w:color w:val="000000" w:themeColor="text1"/>
          <w:vertAlign w:val="subscript"/>
        </w:rPr>
        <w:t>2</w:t>
      </w:r>
      <w:r w:rsidRPr="00575C28">
        <w:rPr>
          <w:rFonts w:eastAsiaTheme="minorEastAsia"/>
          <w:color w:val="000000" w:themeColor="text1"/>
        </w:rPr>
        <w:t xml:space="preserve">.  </w:t>
      </w:r>
    </w:p>
    <w:p w14:paraId="3D556B0A" w14:textId="32F7FCA3" w:rsidR="00E14BF0" w:rsidRPr="00575C28" w:rsidRDefault="00E14BF0" w:rsidP="00EC4D5A">
      <w:pPr>
        <w:spacing w:line="480" w:lineRule="auto"/>
        <w:ind w:firstLine="720"/>
        <w:jc w:val="both"/>
        <w:rPr>
          <w:rFonts w:eastAsiaTheme="minorEastAsia"/>
          <w:color w:val="000000" w:themeColor="text1"/>
        </w:rPr>
      </w:pPr>
      <w:r w:rsidRPr="00575C28">
        <w:rPr>
          <w:rFonts w:eastAsiaTheme="minorEastAsia"/>
          <w:color w:val="000000" w:themeColor="text1"/>
        </w:rPr>
        <w:t xml:space="preserve">In the second set of regressions </w:t>
      </w:r>
      <w:r w:rsidR="006C3996" w:rsidRPr="00575C28">
        <w:rPr>
          <w:rFonts w:eastAsiaTheme="minorEastAsia"/>
          <w:color w:val="000000" w:themeColor="text1"/>
        </w:rPr>
        <w:t>we</w:t>
      </w:r>
      <w:r w:rsidRPr="00575C28">
        <w:rPr>
          <w:rFonts w:eastAsiaTheme="minorEastAsia"/>
          <w:color w:val="000000" w:themeColor="text1"/>
        </w:rPr>
        <w:t xml:space="preserve"> will look at the nexus between economic growth, remittance</w:t>
      </w:r>
      <w:r w:rsidR="003E6F6B">
        <w:rPr>
          <w:rFonts w:eastAsiaTheme="minorEastAsia"/>
          <w:color w:val="000000" w:themeColor="text1"/>
        </w:rPr>
        <w:t>s</w:t>
      </w:r>
      <w:r w:rsidRPr="00575C28">
        <w:rPr>
          <w:rFonts w:eastAsiaTheme="minorEastAsia"/>
          <w:color w:val="000000" w:themeColor="text1"/>
        </w:rPr>
        <w:t xml:space="preserve">, and institutions. To do so, </w:t>
      </w:r>
      <w:r w:rsidR="006C3996" w:rsidRPr="00575C28">
        <w:rPr>
          <w:rFonts w:eastAsiaTheme="minorEastAsia"/>
          <w:color w:val="000000" w:themeColor="text1"/>
        </w:rPr>
        <w:t>we</w:t>
      </w:r>
      <w:r w:rsidRPr="00575C28">
        <w:rPr>
          <w:rFonts w:eastAsiaTheme="minorEastAsia"/>
          <w:color w:val="000000" w:themeColor="text1"/>
        </w:rPr>
        <w:t xml:space="preserve"> will </w:t>
      </w:r>
      <w:r w:rsidR="003E6F6B">
        <w:rPr>
          <w:rFonts w:eastAsiaTheme="minorEastAsia"/>
          <w:color w:val="000000" w:themeColor="text1"/>
        </w:rPr>
        <w:t>estimate</w:t>
      </w:r>
      <w:r w:rsidR="003E6F6B" w:rsidRPr="00575C28">
        <w:rPr>
          <w:rFonts w:eastAsiaTheme="minorEastAsia"/>
          <w:color w:val="000000" w:themeColor="text1"/>
        </w:rPr>
        <w:t xml:space="preserve"> </w:t>
      </w:r>
      <w:r w:rsidRPr="00575C28">
        <w:rPr>
          <w:rFonts w:eastAsiaTheme="minorEastAsia"/>
          <w:color w:val="000000" w:themeColor="text1"/>
        </w:rPr>
        <w:t>following equation;</w:t>
      </w:r>
    </w:p>
    <w:p w14:paraId="1B7EE3F2" w14:textId="77777777" w:rsidR="00E14BF0" w:rsidRPr="00575C28" w:rsidRDefault="00E14BF0" w:rsidP="00EC4D5A">
      <w:pPr>
        <w:spacing w:line="480" w:lineRule="auto"/>
        <w:jc w:val="both"/>
        <w:rPr>
          <w:rFonts w:eastAsiaTheme="minorEastAsia"/>
          <w:color w:val="000000" w:themeColor="text1"/>
          <w:vertAlign w:val="subscript"/>
          <w:lang w:val="fr-CA"/>
        </w:rPr>
      </w:pPr>
      <w:r w:rsidRPr="00575C28">
        <w:rPr>
          <w:color w:val="000000" w:themeColor="text1"/>
          <w:lang w:val="fr-CA"/>
        </w:rPr>
        <w:t>y</w:t>
      </w:r>
      <w:r w:rsidRPr="00575C28">
        <w:rPr>
          <w:i/>
          <w:iCs/>
          <w:color w:val="000000" w:themeColor="text1"/>
          <w:vertAlign w:val="subscript"/>
          <w:lang w:val="fr-CA"/>
        </w:rPr>
        <w:t>i,t</w:t>
      </w:r>
      <w:r w:rsidRPr="00575C28">
        <w:rPr>
          <w:color w:val="000000" w:themeColor="text1"/>
          <w:lang w:val="fr-CA"/>
        </w:rPr>
        <w:t xml:space="preserve"> = </w:t>
      </w:r>
      <m:oMath>
        <m:r>
          <w:rPr>
            <w:rFonts w:ascii="Cambria Math" w:hAnsi="Cambria Math"/>
            <w:color w:val="000000" w:themeColor="text1"/>
          </w:rPr>
          <m:t>β</m:t>
        </m:r>
      </m:oMath>
      <w:r w:rsidRPr="00575C28">
        <w:rPr>
          <w:color w:val="000000" w:themeColor="text1"/>
          <w:vertAlign w:val="subscript"/>
          <w:lang w:val="fr-CA"/>
        </w:rPr>
        <w:t>0</w:t>
      </w:r>
      <w:r w:rsidRPr="00575C28">
        <w:rPr>
          <w:color w:val="000000" w:themeColor="text1"/>
          <w:lang w:val="fr-CA"/>
        </w:rPr>
        <w:t xml:space="preserve"> + </w:t>
      </w:r>
      <m:oMath>
        <m:r>
          <w:rPr>
            <w:rFonts w:ascii="Cambria Math" w:hAnsi="Cambria Math"/>
            <w:color w:val="000000" w:themeColor="text1"/>
          </w:rPr>
          <m:t>β</m:t>
        </m:r>
      </m:oMath>
      <w:r w:rsidRPr="00575C28">
        <w:rPr>
          <w:rFonts w:eastAsiaTheme="minorEastAsia"/>
          <w:color w:val="000000" w:themeColor="text1"/>
          <w:vertAlign w:val="subscript"/>
          <w:lang w:val="fr-CA"/>
        </w:rPr>
        <w:t>1</w:t>
      </w:r>
      <w:r w:rsidRPr="00575C28">
        <w:rPr>
          <w:color w:val="000000" w:themeColor="text1"/>
          <w:lang w:val="fr-CA"/>
        </w:rPr>
        <w:t>y</w:t>
      </w:r>
      <w:r w:rsidRPr="00575C28">
        <w:rPr>
          <w:i/>
          <w:iCs/>
          <w:color w:val="000000" w:themeColor="text1"/>
          <w:vertAlign w:val="subscript"/>
          <w:lang w:val="fr-CA"/>
        </w:rPr>
        <w:t>i</w:t>
      </w:r>
      <w:r w:rsidRPr="00575C28">
        <w:rPr>
          <w:i/>
          <w:iCs/>
          <w:color w:val="000000" w:themeColor="text1"/>
          <w:lang w:val="fr-CA"/>
        </w:rPr>
        <w:t>,</w:t>
      </w:r>
      <w:r w:rsidRPr="00575C28">
        <w:rPr>
          <w:i/>
          <w:iCs/>
          <w:color w:val="000000" w:themeColor="text1"/>
          <w:vertAlign w:val="subscript"/>
          <w:lang w:val="fr-CA"/>
        </w:rPr>
        <w:t>t−</w:t>
      </w:r>
      <w:r w:rsidRPr="00575C28">
        <w:rPr>
          <w:color w:val="000000" w:themeColor="text1"/>
          <w:vertAlign w:val="subscript"/>
          <w:lang w:val="fr-CA"/>
        </w:rPr>
        <w:t>1</w:t>
      </w:r>
      <w:r w:rsidRPr="00575C28">
        <w:rPr>
          <w:color w:val="000000" w:themeColor="text1"/>
          <w:lang w:val="fr-CA"/>
        </w:rPr>
        <w:t xml:space="preserve"> + </w:t>
      </w:r>
      <m:oMath>
        <m:r>
          <w:rPr>
            <w:rFonts w:ascii="Cambria Math" w:hAnsi="Cambria Math"/>
            <w:color w:val="000000" w:themeColor="text1"/>
          </w:rPr>
          <m:t>β</m:t>
        </m:r>
      </m:oMath>
      <w:r w:rsidRPr="00575C28">
        <w:rPr>
          <w:color w:val="000000" w:themeColor="text1"/>
          <w:vertAlign w:val="subscript"/>
          <w:lang w:val="fr-CA"/>
        </w:rPr>
        <w:t>2</w:t>
      </w:r>
      <w:r w:rsidRPr="00575C28">
        <w:rPr>
          <w:color w:val="000000" w:themeColor="text1"/>
          <w:lang w:val="fr-CA"/>
        </w:rPr>
        <w:t xml:space="preserve"> REM</w:t>
      </w:r>
      <w:r w:rsidRPr="00575C28">
        <w:rPr>
          <w:i/>
          <w:iCs/>
          <w:color w:val="000000" w:themeColor="text1"/>
          <w:vertAlign w:val="subscript"/>
          <w:lang w:val="fr-CA"/>
        </w:rPr>
        <w:t xml:space="preserve">i,t </w:t>
      </w:r>
      <w:r w:rsidRPr="00575C28">
        <w:rPr>
          <w:color w:val="000000" w:themeColor="text1"/>
          <w:lang w:val="fr-CA"/>
        </w:rPr>
        <w:t xml:space="preserve">+ </w:t>
      </w:r>
      <m:oMath>
        <m:r>
          <w:rPr>
            <w:rFonts w:ascii="Cambria Math" w:hAnsi="Cambria Math"/>
            <w:color w:val="000000" w:themeColor="text1"/>
          </w:rPr>
          <m:t>β</m:t>
        </m:r>
      </m:oMath>
      <w:r w:rsidRPr="00575C28">
        <w:rPr>
          <w:color w:val="000000" w:themeColor="text1"/>
          <w:vertAlign w:val="subscript"/>
          <w:lang w:val="fr-CA"/>
        </w:rPr>
        <w:t>3</w:t>
      </w:r>
      <w:r w:rsidRPr="00575C28">
        <w:rPr>
          <w:color w:val="000000" w:themeColor="text1"/>
          <w:lang w:val="fr-CA"/>
        </w:rPr>
        <w:t>EFI</w:t>
      </w:r>
      <w:r w:rsidRPr="00575C28">
        <w:rPr>
          <w:i/>
          <w:iCs/>
          <w:color w:val="000000" w:themeColor="text1"/>
          <w:vertAlign w:val="subscript"/>
          <w:lang w:val="fr-CA"/>
        </w:rPr>
        <w:t>i,t</w:t>
      </w:r>
      <w:r w:rsidRPr="00575C28">
        <w:rPr>
          <w:color w:val="000000" w:themeColor="text1"/>
          <w:lang w:val="fr-CA"/>
        </w:rPr>
        <w:t xml:space="preserve">  + </w:t>
      </w:r>
      <m:oMath>
        <m:r>
          <w:rPr>
            <w:rFonts w:ascii="Cambria Math" w:hAnsi="Cambria Math"/>
            <w:color w:val="000000" w:themeColor="text1"/>
          </w:rPr>
          <m:t>β</m:t>
        </m:r>
      </m:oMath>
      <w:r w:rsidRPr="00575C28">
        <w:rPr>
          <w:color w:val="000000" w:themeColor="text1"/>
          <w:vertAlign w:val="subscript"/>
          <w:lang w:val="fr-CA"/>
        </w:rPr>
        <w:t xml:space="preserve">4 </w:t>
      </w:r>
      <w:r w:rsidRPr="00575C28">
        <w:rPr>
          <w:color w:val="000000" w:themeColor="text1"/>
          <w:lang w:val="fr-CA"/>
        </w:rPr>
        <w:t>(REM</w:t>
      </w:r>
      <w:r w:rsidRPr="00575C28">
        <w:rPr>
          <w:i/>
          <w:iCs/>
          <w:color w:val="000000" w:themeColor="text1"/>
          <w:vertAlign w:val="subscript"/>
          <w:lang w:val="fr-CA"/>
        </w:rPr>
        <w:t xml:space="preserve">i,t </w:t>
      </w:r>
      <w:r w:rsidRPr="00575C28">
        <w:rPr>
          <w:color w:val="000000" w:themeColor="text1"/>
          <w:lang w:val="fr-CA"/>
        </w:rPr>
        <w:t>x EFI</w:t>
      </w:r>
      <w:r w:rsidRPr="00575C28">
        <w:rPr>
          <w:i/>
          <w:iCs/>
          <w:color w:val="000000" w:themeColor="text1"/>
          <w:vertAlign w:val="subscript"/>
          <w:lang w:val="fr-CA"/>
        </w:rPr>
        <w:t>i,t</w:t>
      </w:r>
      <w:r w:rsidRPr="00575C28">
        <w:rPr>
          <w:color w:val="000000" w:themeColor="text1"/>
          <w:lang w:val="fr-CA"/>
        </w:rPr>
        <w:t xml:space="preserve"> ) + </w:t>
      </w:r>
      <m:oMath>
        <m:r>
          <w:rPr>
            <w:rFonts w:ascii="Cambria Math" w:hAnsi="Cambria Math"/>
            <w:color w:val="000000" w:themeColor="text1"/>
          </w:rPr>
          <m:t>β</m:t>
        </m:r>
      </m:oMath>
      <w:r w:rsidRPr="00575C28">
        <w:rPr>
          <w:color w:val="000000" w:themeColor="text1"/>
          <w:vertAlign w:val="subscript"/>
          <w:lang w:val="fr-CA"/>
        </w:rPr>
        <w:t>5</w:t>
      </w:r>
      <w:r w:rsidRPr="00575C28">
        <w:rPr>
          <w:color w:val="000000" w:themeColor="text1"/>
          <w:lang w:val="fr-CA"/>
        </w:rPr>
        <w:t>X</w:t>
      </w:r>
      <w:r w:rsidRPr="00575C28">
        <w:rPr>
          <w:i/>
          <w:iCs/>
          <w:color w:val="000000" w:themeColor="text1"/>
          <w:vertAlign w:val="subscript"/>
          <w:lang w:val="fr-CA"/>
        </w:rPr>
        <w:t>i,</w:t>
      </w:r>
      <w:r w:rsidRPr="00575C28">
        <w:rPr>
          <w:color w:val="000000" w:themeColor="text1"/>
          <w:vertAlign w:val="subscript"/>
          <w:lang w:val="fr-CA"/>
        </w:rPr>
        <w:t xml:space="preserve">t </w:t>
      </w:r>
      <w:r w:rsidRPr="00575C28">
        <w:rPr>
          <w:color w:val="000000" w:themeColor="text1"/>
          <w:lang w:val="fr-CA"/>
        </w:rPr>
        <w:t xml:space="preserve">+ </w:t>
      </w:r>
      <m:oMath>
        <m:r>
          <w:rPr>
            <w:rFonts w:ascii="Cambria Math" w:hAnsi="Cambria Math"/>
            <w:color w:val="000000" w:themeColor="text1"/>
          </w:rPr>
          <m:t>μ</m:t>
        </m:r>
      </m:oMath>
      <w:r w:rsidRPr="00575C28">
        <w:rPr>
          <w:color w:val="000000" w:themeColor="text1"/>
          <w:vertAlign w:val="subscript"/>
          <w:lang w:val="fr-CA"/>
        </w:rPr>
        <w:t>t</w:t>
      </w:r>
      <w:r w:rsidRPr="00575C28">
        <w:rPr>
          <w:color w:val="000000" w:themeColor="text1"/>
          <w:lang w:val="fr-CA"/>
        </w:rPr>
        <w:t xml:space="preserve">+ </w:t>
      </w:r>
      <m:oMath>
        <m:r>
          <w:rPr>
            <w:rFonts w:ascii="Cambria Math" w:hAnsi="Cambria Math"/>
            <w:color w:val="000000" w:themeColor="text1"/>
          </w:rPr>
          <m:t>η</m:t>
        </m:r>
      </m:oMath>
      <w:r w:rsidRPr="00575C28">
        <w:rPr>
          <w:rFonts w:eastAsiaTheme="minorEastAsia"/>
          <w:i/>
          <w:iCs/>
          <w:color w:val="000000" w:themeColor="text1"/>
          <w:vertAlign w:val="subscript"/>
          <w:lang w:val="fr-CA"/>
        </w:rPr>
        <w:t>i</w:t>
      </w:r>
      <w:r w:rsidRPr="00575C28">
        <w:rPr>
          <w:rFonts w:eastAsiaTheme="minorEastAsia"/>
          <w:color w:val="000000" w:themeColor="text1"/>
          <w:lang w:val="fr-CA"/>
        </w:rPr>
        <w:t xml:space="preserve"> + </w:t>
      </w:r>
      <m:oMath>
        <m:r>
          <w:rPr>
            <w:rFonts w:ascii="Cambria Math" w:eastAsiaTheme="minorEastAsia" w:hAnsi="Cambria Math"/>
            <w:color w:val="000000" w:themeColor="text1"/>
          </w:rPr>
          <m:t>ε</m:t>
        </m:r>
      </m:oMath>
      <w:r w:rsidRPr="00575C28">
        <w:rPr>
          <w:rFonts w:eastAsiaTheme="minorEastAsia"/>
          <w:i/>
          <w:iCs/>
          <w:color w:val="000000" w:themeColor="text1"/>
          <w:vertAlign w:val="subscript"/>
          <w:lang w:val="fr-CA"/>
        </w:rPr>
        <w:t>i,t</w:t>
      </w:r>
      <w:r w:rsidRPr="00575C28">
        <w:rPr>
          <w:rFonts w:eastAsiaTheme="minorEastAsia"/>
          <w:i/>
          <w:iCs/>
          <w:color w:val="000000" w:themeColor="text1"/>
          <w:vertAlign w:val="subscript"/>
          <w:lang w:val="fr-CA"/>
        </w:rPr>
        <w:tab/>
      </w:r>
      <w:r w:rsidRPr="00575C28">
        <w:rPr>
          <w:rFonts w:eastAsiaTheme="minorEastAsia"/>
          <w:color w:val="000000" w:themeColor="text1"/>
          <w:lang w:val="fr-CA"/>
        </w:rPr>
        <w:t>(2)</w:t>
      </w:r>
    </w:p>
    <w:p w14:paraId="6DFB756E" w14:textId="77777777" w:rsidR="00E14BF0" w:rsidRPr="00575C28" w:rsidRDefault="00E14BF0" w:rsidP="00EC4D5A">
      <w:pPr>
        <w:spacing w:line="480" w:lineRule="auto"/>
        <w:jc w:val="both"/>
        <w:rPr>
          <w:rFonts w:eastAsiaTheme="minorEastAsia"/>
          <w:color w:val="000000" w:themeColor="text1"/>
          <w:lang w:val="fr-CA"/>
        </w:rPr>
      </w:pPr>
    </w:p>
    <w:p w14:paraId="62D4F7D7" w14:textId="6EA3D752" w:rsidR="00E14BF0" w:rsidRPr="00575C28" w:rsidRDefault="00E14BF0" w:rsidP="00EC4D5A">
      <w:pPr>
        <w:spacing w:line="480" w:lineRule="auto"/>
        <w:jc w:val="both"/>
        <w:rPr>
          <w:rFonts w:eastAsiaTheme="minorEastAsia"/>
          <w:color w:val="000000" w:themeColor="text1"/>
        </w:rPr>
      </w:pPr>
      <w:r w:rsidRPr="00575C28">
        <w:rPr>
          <w:rFonts w:eastAsiaTheme="minorEastAsia"/>
          <w:color w:val="000000" w:themeColor="text1"/>
        </w:rPr>
        <w:t xml:space="preserve">where </w:t>
      </w:r>
      <w:r w:rsidR="002B5687" w:rsidRPr="00575C28">
        <w:rPr>
          <w:rFonts w:eastAsiaTheme="minorEastAsia"/>
          <w:color w:val="000000" w:themeColor="text1"/>
        </w:rPr>
        <w:t>EFI represents</w:t>
      </w:r>
      <w:r w:rsidRPr="00575C28">
        <w:rPr>
          <w:rFonts w:eastAsiaTheme="minorEastAsia"/>
          <w:color w:val="000000" w:themeColor="text1"/>
        </w:rPr>
        <w:t xml:space="preserve"> the economic freedom index of country </w:t>
      </w:r>
      <w:r w:rsidRPr="00575C28">
        <w:rPr>
          <w:rFonts w:eastAsiaTheme="minorEastAsia"/>
          <w:i/>
          <w:color w:val="000000" w:themeColor="text1"/>
        </w:rPr>
        <w:t xml:space="preserve">i </w:t>
      </w:r>
      <w:r w:rsidRPr="00575C28">
        <w:rPr>
          <w:rFonts w:eastAsiaTheme="minorEastAsia"/>
          <w:color w:val="000000" w:themeColor="text1"/>
        </w:rPr>
        <w:t xml:space="preserve">at period </w:t>
      </w:r>
      <w:r w:rsidRPr="008A1C6D">
        <w:rPr>
          <w:rFonts w:eastAsiaTheme="minorEastAsia"/>
          <w:i/>
          <w:iCs/>
          <w:color w:val="000000" w:themeColor="text1"/>
        </w:rPr>
        <w:t>t</w:t>
      </w:r>
      <w:r w:rsidRPr="00575C28">
        <w:rPr>
          <w:rFonts w:eastAsiaTheme="minorEastAsia"/>
          <w:color w:val="000000" w:themeColor="text1"/>
        </w:rPr>
        <w:t>. This regressor will be introduced in the estimation of equation (2). In this second set of regressions, we are testing whether the institutional quality of a country (as represented by EFI) affects the impact remittance</w:t>
      </w:r>
      <w:r w:rsidR="003E6F6B">
        <w:rPr>
          <w:rFonts w:eastAsiaTheme="minorEastAsia"/>
          <w:color w:val="000000" w:themeColor="text1"/>
        </w:rPr>
        <w:t>s</w:t>
      </w:r>
      <w:r w:rsidRPr="00575C28">
        <w:rPr>
          <w:rFonts w:eastAsiaTheme="minorEastAsia"/>
          <w:color w:val="000000" w:themeColor="text1"/>
        </w:rPr>
        <w:t xml:space="preserve"> </w:t>
      </w:r>
      <w:r w:rsidRPr="00575C28">
        <w:rPr>
          <w:rFonts w:eastAsiaTheme="minorEastAsia"/>
          <w:color w:val="000000" w:themeColor="text1"/>
        </w:rPr>
        <w:lastRenderedPageBreak/>
        <w:t>ha</w:t>
      </w:r>
      <w:r w:rsidR="003E6F6B">
        <w:rPr>
          <w:rFonts w:eastAsiaTheme="minorEastAsia"/>
          <w:color w:val="000000" w:themeColor="text1"/>
        </w:rPr>
        <w:t>ve</w:t>
      </w:r>
      <w:r w:rsidRPr="00575C28">
        <w:rPr>
          <w:rFonts w:eastAsiaTheme="minorEastAsia"/>
          <w:color w:val="000000" w:themeColor="text1"/>
        </w:rPr>
        <w:t xml:space="preserve"> on economic growth. In order to test this hypothesis, we add the interaction term </w:t>
      </w:r>
      <w:r w:rsidRPr="00575C28">
        <w:rPr>
          <w:color w:val="000000" w:themeColor="text1"/>
        </w:rPr>
        <w:t>REM</w:t>
      </w:r>
      <w:r w:rsidRPr="00575C28">
        <w:rPr>
          <w:i/>
          <w:iCs/>
          <w:color w:val="000000" w:themeColor="text1"/>
          <w:vertAlign w:val="subscript"/>
        </w:rPr>
        <w:t>i</w:t>
      </w:r>
      <w:proofErr w:type="gramStart"/>
      <w:r w:rsidRPr="00575C28">
        <w:rPr>
          <w:i/>
          <w:iCs/>
          <w:color w:val="000000" w:themeColor="text1"/>
          <w:vertAlign w:val="subscript"/>
        </w:rPr>
        <w:t>,t</w:t>
      </w:r>
      <w:proofErr w:type="gramEnd"/>
      <w:r w:rsidRPr="00575C28">
        <w:rPr>
          <w:i/>
          <w:iCs/>
          <w:color w:val="000000" w:themeColor="text1"/>
          <w:vertAlign w:val="subscript"/>
        </w:rPr>
        <w:t xml:space="preserve"> </w:t>
      </w:r>
      <w:r w:rsidRPr="00575C28">
        <w:rPr>
          <w:color w:val="000000" w:themeColor="text1"/>
        </w:rPr>
        <w:t>x EFI</w:t>
      </w:r>
      <w:r w:rsidRPr="00575C28">
        <w:rPr>
          <w:i/>
          <w:iCs/>
          <w:color w:val="000000" w:themeColor="text1"/>
          <w:vertAlign w:val="subscript"/>
        </w:rPr>
        <w:t>i,t</w:t>
      </w:r>
      <w:r w:rsidRPr="00575C28">
        <w:rPr>
          <w:rFonts w:eastAsiaTheme="minorEastAsia"/>
          <w:color w:val="000000" w:themeColor="text1"/>
        </w:rPr>
        <w:t xml:space="preserve">  as shown in equation (2). If the interaction term has a positive value, that would suggest that institutional quality and remittances are complementary, meaning that the growth effects of remittances are enhanced with institutional quality. Conversely, if the interaction term has a negative coefficient, that would suggest institutional quality and remittances are substitutes, meaning that remittances are more effective in enhancing growth when institutional quality is poor. </w:t>
      </w:r>
    </w:p>
    <w:p w14:paraId="4CC5F69D" w14:textId="77777777" w:rsidR="00E14BF0" w:rsidRPr="00575C28" w:rsidRDefault="00E14BF0" w:rsidP="00EC4D5A">
      <w:pPr>
        <w:spacing w:line="480" w:lineRule="auto"/>
        <w:ind w:firstLine="720"/>
        <w:jc w:val="both"/>
        <w:rPr>
          <w:rFonts w:eastAsiaTheme="minorEastAsia"/>
          <w:color w:val="000000" w:themeColor="text1"/>
        </w:rPr>
      </w:pPr>
      <w:r w:rsidRPr="00575C28">
        <w:rPr>
          <w:rFonts w:eastAsiaTheme="minorEastAsia"/>
          <w:color w:val="000000" w:themeColor="text1"/>
        </w:rPr>
        <w:t>With FE estimation, endogeneity issues may arise. It is likely that remittance inflows are endogenous and determined jointly with economic growth, meaning that a country that has poor economic growth would likely receive more remittances inflows from migrants. Basically, there is a high chance that there is a two-way relationship between remittances and economic growth.</w:t>
      </w:r>
    </w:p>
    <w:p w14:paraId="55B728CA" w14:textId="77777777" w:rsidR="00E14BF0" w:rsidRPr="00575C28" w:rsidRDefault="00E14BF0" w:rsidP="00EC4D5A">
      <w:pPr>
        <w:spacing w:line="480" w:lineRule="auto"/>
        <w:ind w:firstLine="720"/>
        <w:jc w:val="both"/>
        <w:rPr>
          <w:color w:val="000000" w:themeColor="text1"/>
        </w:rPr>
      </w:pPr>
      <w:r w:rsidRPr="00575C28">
        <w:rPr>
          <w:rFonts w:eastAsiaTheme="minorEastAsia"/>
          <w:color w:val="000000" w:themeColor="text1"/>
        </w:rPr>
        <w:t xml:space="preserve">Like in many works in the field, to address the endogeneity issues, we will use the Generalized Method of Moments (GMM) methodology. </w:t>
      </w:r>
      <w:r w:rsidRPr="00575C28">
        <w:rPr>
          <w:color w:val="000000" w:themeColor="text1"/>
        </w:rPr>
        <w:t xml:space="preserve">Unlike other estimators such as FE, the system GMM method permits the use of lags of the potential endogenous independent variables as instruments. We use these instruments due to the difficulty of finding appropriate instruments that mitigate the endogeneity issues with economic growth and remittances. </w:t>
      </w:r>
    </w:p>
    <w:p w14:paraId="3C629662" w14:textId="77777777" w:rsidR="00E14BF0" w:rsidRPr="00575C28" w:rsidRDefault="00E14BF0" w:rsidP="00EC4D5A">
      <w:pPr>
        <w:spacing w:line="480" w:lineRule="auto"/>
        <w:ind w:firstLine="720"/>
        <w:jc w:val="both"/>
        <w:rPr>
          <w:rFonts w:eastAsiaTheme="minorEastAsia"/>
          <w:color w:val="000000" w:themeColor="text1"/>
        </w:rPr>
      </w:pPr>
      <w:r w:rsidRPr="00575C28">
        <w:rPr>
          <w:rFonts w:eastAsiaTheme="minorEastAsia"/>
          <w:color w:val="000000" w:themeColor="text1"/>
        </w:rPr>
        <w:t>The system of GMM estimators will enable one to control for the unobserved country-specific effects. With this method, the GMM estimators help combat the endogeneity issues by using instrumental variables based on lagged values of the dependent and the independent variables. For this paper, the instruments for the regression in differences are lagged levels and the instruments for the regression in levels are the lagged differences of the corresponding variables.</w:t>
      </w:r>
    </w:p>
    <w:p w14:paraId="2D2FF276" w14:textId="77777777" w:rsidR="00E14BF0" w:rsidRPr="00575C28" w:rsidRDefault="00E14BF0" w:rsidP="00EC4D5A">
      <w:pPr>
        <w:spacing w:line="480" w:lineRule="auto"/>
        <w:jc w:val="both"/>
        <w:rPr>
          <w:rFonts w:eastAsiaTheme="minorEastAsia"/>
          <w:color w:val="000000" w:themeColor="text1"/>
        </w:rPr>
      </w:pPr>
    </w:p>
    <w:p w14:paraId="23756FF0" w14:textId="449F40C6" w:rsidR="00E14BF0" w:rsidRPr="00575C28" w:rsidRDefault="00E14BF0" w:rsidP="00EC4D5A">
      <w:pPr>
        <w:spacing w:line="480" w:lineRule="auto"/>
        <w:jc w:val="both"/>
        <w:rPr>
          <w:rFonts w:eastAsiaTheme="minorEastAsia"/>
          <w:color w:val="000000" w:themeColor="text1"/>
        </w:rPr>
      </w:pPr>
      <w:r w:rsidRPr="00575C28">
        <w:rPr>
          <w:rFonts w:eastAsiaTheme="minorEastAsia"/>
          <w:color w:val="000000" w:themeColor="text1"/>
        </w:rPr>
        <w:t xml:space="preserve">We will apply the two diagnostic tests suggested in Arellano and Bover (1995) and Blundell and Bond (1998), the Sargan test of over-identifying restrictions, and a test of second-order serial </w:t>
      </w:r>
      <w:r w:rsidRPr="00575C28">
        <w:rPr>
          <w:rFonts w:eastAsiaTheme="minorEastAsia"/>
          <w:color w:val="000000" w:themeColor="text1"/>
        </w:rPr>
        <w:lastRenderedPageBreak/>
        <w:t>correlation in the error term. If we fail to reject</w:t>
      </w:r>
      <w:r w:rsidR="003E6F6B">
        <w:rPr>
          <w:rFonts w:eastAsiaTheme="minorEastAsia"/>
          <w:color w:val="000000" w:themeColor="text1"/>
        </w:rPr>
        <w:t xml:space="preserve"> the</w:t>
      </w:r>
      <w:r w:rsidRPr="00575C28">
        <w:rPr>
          <w:rFonts w:eastAsiaTheme="minorEastAsia"/>
          <w:color w:val="000000" w:themeColor="text1"/>
        </w:rPr>
        <w:t xml:space="preserve"> null hypotheses for both of these tests, that would imply that the model is sufficiently specified and that the instruments are valid. </w:t>
      </w:r>
    </w:p>
    <w:p w14:paraId="6AA0E5DC" w14:textId="72662CB5" w:rsidR="00010DE4" w:rsidRPr="00575C28" w:rsidRDefault="008A7CCF" w:rsidP="00575C28">
      <w:pPr>
        <w:pStyle w:val="Heading1"/>
        <w:rPr>
          <w:rFonts w:ascii="Times New Roman" w:hAnsi="Times New Roman" w:cs="Times New Roman"/>
          <w:b/>
          <w:bCs/>
          <w:color w:val="000000" w:themeColor="text1"/>
          <w:sz w:val="24"/>
          <w:szCs w:val="24"/>
        </w:rPr>
      </w:pPr>
      <w:bookmarkStart w:id="7" w:name="_Toc15420059"/>
      <w:r w:rsidRPr="00575C28">
        <w:rPr>
          <w:rFonts w:ascii="Times New Roman" w:hAnsi="Times New Roman" w:cs="Times New Roman"/>
          <w:b/>
          <w:bCs/>
          <w:color w:val="000000" w:themeColor="text1"/>
          <w:sz w:val="24"/>
          <w:szCs w:val="24"/>
        </w:rPr>
        <w:t xml:space="preserve">Section IV </w:t>
      </w:r>
      <w:r w:rsidR="00E14BF0" w:rsidRPr="00575C28">
        <w:rPr>
          <w:rFonts w:ascii="Times New Roman" w:hAnsi="Times New Roman" w:cs="Times New Roman"/>
          <w:b/>
          <w:bCs/>
          <w:color w:val="000000" w:themeColor="text1"/>
          <w:sz w:val="24"/>
          <w:szCs w:val="24"/>
        </w:rPr>
        <w:t>Dat</w:t>
      </w:r>
      <w:r w:rsidR="00537537">
        <w:rPr>
          <w:rFonts w:ascii="Times New Roman" w:hAnsi="Times New Roman" w:cs="Times New Roman"/>
          <w:b/>
          <w:bCs/>
          <w:color w:val="000000" w:themeColor="text1"/>
          <w:sz w:val="24"/>
          <w:szCs w:val="24"/>
        </w:rPr>
        <w:t xml:space="preserve">a: </w:t>
      </w:r>
      <w:bookmarkEnd w:id="7"/>
    </w:p>
    <w:p w14:paraId="43D06D16" w14:textId="77777777" w:rsidR="00575C28" w:rsidRPr="00575C28" w:rsidRDefault="00575C28" w:rsidP="00575C28">
      <w:pPr>
        <w:rPr>
          <w:color w:val="000000" w:themeColor="text1"/>
        </w:rPr>
      </w:pPr>
    </w:p>
    <w:p w14:paraId="1D33B1CC" w14:textId="67B20BC5" w:rsidR="00E14BF0" w:rsidRPr="00575C28" w:rsidRDefault="00E14BF0" w:rsidP="00EC4D5A">
      <w:pPr>
        <w:spacing w:line="480" w:lineRule="auto"/>
        <w:jc w:val="both"/>
        <w:rPr>
          <w:color w:val="000000" w:themeColor="text1"/>
        </w:rPr>
      </w:pPr>
      <w:r w:rsidRPr="00575C28">
        <w:rPr>
          <w:color w:val="000000" w:themeColor="text1"/>
        </w:rPr>
        <w:t>For this paper we utilize remittances data collected from the World Bank’s World Development Indicators (WDI) database. The countries included in this study are Bangladesh, India,</w:t>
      </w:r>
      <w:r w:rsidR="003E6F6B">
        <w:rPr>
          <w:color w:val="000000" w:themeColor="text1"/>
        </w:rPr>
        <w:t xml:space="preserve"> </w:t>
      </w:r>
      <w:r w:rsidRPr="00575C28">
        <w:rPr>
          <w:color w:val="000000" w:themeColor="text1"/>
        </w:rPr>
        <w:t xml:space="preserve">Pakistan, and Sri Lanka and the data covers the time period of 1976-2017.  In the WDI database, remittances are defined as the sum of two components; personal transfers (i.e. worker’s remittances) and wages/salaries earned by non-resident workers. This data is reported by countries in their balance of payments (BoP). </w:t>
      </w:r>
    </w:p>
    <w:p w14:paraId="0F5EB382" w14:textId="230DC959" w:rsidR="00E14BF0" w:rsidRPr="00575C28" w:rsidRDefault="00E14BF0" w:rsidP="00EC4D5A">
      <w:pPr>
        <w:spacing w:line="480" w:lineRule="auto"/>
        <w:ind w:firstLine="720"/>
        <w:jc w:val="both"/>
        <w:rPr>
          <w:color w:val="000000" w:themeColor="text1"/>
        </w:rPr>
      </w:pPr>
      <w:r w:rsidRPr="00575C28">
        <w:rPr>
          <w:color w:val="000000" w:themeColor="text1"/>
        </w:rPr>
        <w:t xml:space="preserve">It should be noted that there are some issues when it comes to measuring the volume of remittance inflows. There is a consensus in the literature that the remittances data presented in the WDI do not capture the true volume of remittances flowing into a country. This is because large quantities of remittances payments are sent through informal channels. As explained in Catrinescu </w:t>
      </w:r>
      <w:r w:rsidR="00D82E27" w:rsidRPr="00575C28">
        <w:rPr>
          <w:color w:val="000000" w:themeColor="text1"/>
        </w:rPr>
        <w:t>et al</w:t>
      </w:r>
      <w:proofErr w:type="gramStart"/>
      <w:r w:rsidR="00D82E27" w:rsidRPr="00575C28">
        <w:rPr>
          <w:color w:val="000000" w:themeColor="text1"/>
        </w:rPr>
        <w:t>.</w:t>
      </w:r>
      <w:r w:rsidR="003E6F6B">
        <w:rPr>
          <w:color w:val="000000" w:themeColor="text1"/>
        </w:rPr>
        <w:t>(</w:t>
      </w:r>
      <w:proofErr w:type="gramEnd"/>
      <w:r w:rsidRPr="00575C28">
        <w:rPr>
          <w:color w:val="000000" w:themeColor="text1"/>
        </w:rPr>
        <w:t>2009</w:t>
      </w:r>
      <w:r w:rsidR="003E6F6B">
        <w:rPr>
          <w:color w:val="000000" w:themeColor="text1"/>
        </w:rPr>
        <w:t>)</w:t>
      </w:r>
      <w:r w:rsidRPr="00575C28">
        <w:rPr>
          <w:color w:val="000000" w:themeColor="text1"/>
        </w:rPr>
        <w:t xml:space="preserve">, many workers send their remittances through “halwas” service providers, public transportation providers, or have friends/family physically transfer cash payments across borders. These informal channels pose a problem in analysis because they are not tracked in BoP. </w:t>
      </w:r>
    </w:p>
    <w:p w14:paraId="4763DCCC" w14:textId="7FCF3796" w:rsidR="00E14BF0" w:rsidRPr="00575C28" w:rsidRDefault="00E14BF0" w:rsidP="00EC4D5A">
      <w:pPr>
        <w:spacing w:line="480" w:lineRule="auto"/>
        <w:ind w:firstLine="720"/>
        <w:jc w:val="both"/>
        <w:rPr>
          <w:color w:val="000000" w:themeColor="text1"/>
        </w:rPr>
      </w:pPr>
      <w:r w:rsidRPr="00575C28">
        <w:rPr>
          <w:color w:val="000000" w:themeColor="text1"/>
        </w:rPr>
        <w:t>Even though the remittances data found in the WDI database may underestimate the true volume of remittances flows, it should be noted that the WDI database has the best and most consistent remittances data available to researchers. Also, in recent years due to better technology, lower transactions cost, and crackdowns on money laundering, there has been a decrease in unaccounted remittance inflows (Clemens</w:t>
      </w:r>
      <w:r w:rsidR="003E6F6B">
        <w:rPr>
          <w:color w:val="000000" w:themeColor="text1"/>
        </w:rPr>
        <w:t xml:space="preserve"> and Mc</w:t>
      </w:r>
      <w:r w:rsidR="003D4DD5">
        <w:rPr>
          <w:color w:val="000000" w:themeColor="text1"/>
        </w:rPr>
        <w:t>K</w:t>
      </w:r>
      <w:r w:rsidR="003E6F6B">
        <w:rPr>
          <w:color w:val="000000" w:themeColor="text1"/>
        </w:rPr>
        <w:t>e</w:t>
      </w:r>
      <w:r w:rsidR="003D4DD5">
        <w:rPr>
          <w:color w:val="000000" w:themeColor="text1"/>
        </w:rPr>
        <w:t>nzie</w:t>
      </w:r>
      <w:r w:rsidR="00D82E27" w:rsidRPr="00575C28">
        <w:rPr>
          <w:color w:val="000000" w:themeColor="text1"/>
        </w:rPr>
        <w:t>,</w:t>
      </w:r>
      <w:r w:rsidRPr="00575C28">
        <w:rPr>
          <w:color w:val="000000" w:themeColor="text1"/>
        </w:rPr>
        <w:t xml:space="preserve"> 2018)</w:t>
      </w:r>
      <w:r w:rsidR="00B458F9" w:rsidRPr="00575C28">
        <w:rPr>
          <w:color w:val="000000" w:themeColor="text1"/>
        </w:rPr>
        <w:t xml:space="preserve">. </w:t>
      </w:r>
      <w:r w:rsidRPr="00575C28">
        <w:rPr>
          <w:color w:val="000000" w:themeColor="text1"/>
        </w:rPr>
        <w:t>The WDI database will also be the source for the following explanatory variables</w:t>
      </w:r>
      <w:r w:rsidR="00DD2F2A" w:rsidRPr="00575C28">
        <w:rPr>
          <w:color w:val="000000" w:themeColor="text1"/>
        </w:rPr>
        <w:t>.</w:t>
      </w:r>
      <w:r w:rsidRPr="00575C28">
        <w:rPr>
          <w:color w:val="000000" w:themeColor="text1"/>
        </w:rPr>
        <w:t xml:space="preserve">  </w:t>
      </w:r>
    </w:p>
    <w:p w14:paraId="58399C1B" w14:textId="4B946B5B" w:rsidR="00E14BF0" w:rsidRPr="00575C28" w:rsidRDefault="00E14BF0" w:rsidP="00EC4D5A">
      <w:pPr>
        <w:spacing w:line="480" w:lineRule="auto"/>
        <w:jc w:val="both"/>
        <w:rPr>
          <w:color w:val="000000" w:themeColor="text1"/>
        </w:rPr>
      </w:pPr>
      <w:r w:rsidRPr="00575C28">
        <w:rPr>
          <w:b/>
          <w:bCs/>
          <w:iCs/>
          <w:color w:val="000000" w:themeColor="text1"/>
        </w:rPr>
        <w:lastRenderedPageBreak/>
        <w:t>Logged GDP per capita</w:t>
      </w:r>
      <w:r w:rsidRPr="00575C28">
        <w:rPr>
          <w:color w:val="000000" w:themeColor="text1"/>
        </w:rPr>
        <w:t xml:space="preserve">: The reasoning behind the inclusion of this variable is that it controls for economic convergence. In the literature, it is argued that per capita income can serve as a proxy for general development and the maturity of institutions (La porta </w:t>
      </w:r>
      <w:r w:rsidR="00D82E27" w:rsidRPr="00575C28">
        <w:rPr>
          <w:color w:val="000000" w:themeColor="text1"/>
        </w:rPr>
        <w:t>et al.,</w:t>
      </w:r>
      <w:r w:rsidRPr="00575C28">
        <w:rPr>
          <w:color w:val="000000" w:themeColor="text1"/>
        </w:rPr>
        <w:t xml:space="preserve"> 1998). A negative coefficient would indicate that there is conditional convergence between countries. </w:t>
      </w:r>
    </w:p>
    <w:p w14:paraId="234403C3" w14:textId="77777777" w:rsidR="00E14BF0" w:rsidRPr="00575C28" w:rsidRDefault="00E14BF0" w:rsidP="00EC4D5A">
      <w:pPr>
        <w:spacing w:line="480" w:lineRule="auto"/>
        <w:jc w:val="both"/>
        <w:rPr>
          <w:color w:val="000000" w:themeColor="text1"/>
        </w:rPr>
      </w:pPr>
      <w:r w:rsidRPr="00575C28">
        <w:rPr>
          <w:b/>
          <w:bCs/>
          <w:iCs/>
          <w:color w:val="000000" w:themeColor="text1"/>
        </w:rPr>
        <w:t>School Enrollment</w:t>
      </w:r>
      <w:r w:rsidRPr="00575C28">
        <w:rPr>
          <w:color w:val="000000" w:themeColor="text1"/>
        </w:rPr>
        <w:t xml:space="preserve">: We control for human capital by utilizing school enrollment data. Economic literature states that greater enrollment ratio leads to greater human capital accumulation, which in turn positively impacts economic growth. For this paper we use primary school enrollment (PRIM). </w:t>
      </w:r>
    </w:p>
    <w:p w14:paraId="5B822C57" w14:textId="3B5E3BFC" w:rsidR="00E14BF0" w:rsidRPr="00575C28" w:rsidRDefault="00E14BF0" w:rsidP="00EC4D5A">
      <w:pPr>
        <w:spacing w:line="480" w:lineRule="auto"/>
        <w:jc w:val="both"/>
        <w:rPr>
          <w:color w:val="000000" w:themeColor="text1"/>
        </w:rPr>
      </w:pPr>
      <w:r w:rsidRPr="00575C28">
        <w:rPr>
          <w:b/>
          <w:bCs/>
          <w:iCs/>
          <w:color w:val="000000" w:themeColor="text1"/>
        </w:rPr>
        <w:t>Investment ratio:</w:t>
      </w:r>
      <w:r w:rsidRPr="00575C28">
        <w:rPr>
          <w:i/>
          <w:color w:val="000000" w:themeColor="text1"/>
        </w:rPr>
        <w:t xml:space="preserve"> </w:t>
      </w:r>
      <w:r w:rsidRPr="00575C28">
        <w:rPr>
          <w:color w:val="000000" w:themeColor="text1"/>
        </w:rPr>
        <w:t>This variable will be represented as the ratio of gross capital formation (GCF) as a percentage of GDP. It is expected that this variable will have a positive effect on economic growth, and th</w:t>
      </w:r>
      <w:r w:rsidR="003F29F0" w:rsidRPr="00575C28">
        <w:rPr>
          <w:color w:val="000000" w:themeColor="text1"/>
        </w:rPr>
        <w:t>us</w:t>
      </w:r>
      <w:r w:rsidRPr="00575C28">
        <w:rPr>
          <w:color w:val="000000" w:themeColor="text1"/>
        </w:rPr>
        <w:t xml:space="preserve"> a positive coefficient is expected (Mankiw </w:t>
      </w:r>
      <w:r w:rsidR="004C624C" w:rsidRPr="00575C28">
        <w:rPr>
          <w:color w:val="000000" w:themeColor="text1"/>
        </w:rPr>
        <w:t>et al.,</w:t>
      </w:r>
      <w:r w:rsidRPr="00575C28">
        <w:rPr>
          <w:color w:val="000000" w:themeColor="text1"/>
        </w:rPr>
        <w:t xml:space="preserve"> 1992).  </w:t>
      </w:r>
    </w:p>
    <w:p w14:paraId="13131F27" w14:textId="14107BCF" w:rsidR="00E14BF0" w:rsidRPr="00575C28" w:rsidRDefault="00E14BF0" w:rsidP="00EC4D5A">
      <w:pPr>
        <w:spacing w:line="480" w:lineRule="auto"/>
        <w:jc w:val="both"/>
        <w:rPr>
          <w:color w:val="000000" w:themeColor="text1"/>
        </w:rPr>
      </w:pPr>
      <w:r w:rsidRPr="00575C28">
        <w:rPr>
          <w:b/>
          <w:bCs/>
          <w:color w:val="000000" w:themeColor="text1"/>
        </w:rPr>
        <w:t>Trade openness</w:t>
      </w:r>
      <w:r w:rsidRPr="00575C28">
        <w:rPr>
          <w:i/>
          <w:iCs/>
          <w:color w:val="000000" w:themeColor="text1"/>
        </w:rPr>
        <w:t>:</w:t>
      </w:r>
      <w:r w:rsidRPr="00575C28">
        <w:rPr>
          <w:color w:val="000000" w:themeColor="text1"/>
        </w:rPr>
        <w:t xml:space="preserve"> It is generally accepted that openness to international trade has a positive impact on a country’s economic growth. For this paper</w:t>
      </w:r>
      <w:r w:rsidR="003F29F0" w:rsidRPr="00575C28">
        <w:rPr>
          <w:color w:val="000000" w:themeColor="text1"/>
        </w:rPr>
        <w:t>, w</w:t>
      </w:r>
      <w:r w:rsidRPr="00575C28">
        <w:rPr>
          <w:color w:val="000000" w:themeColor="text1"/>
        </w:rPr>
        <w:t>e will use exports plus imports as a percentage of GDP</w:t>
      </w:r>
      <w:r w:rsidR="003F29F0" w:rsidRPr="00575C28">
        <w:rPr>
          <w:color w:val="000000" w:themeColor="text1"/>
        </w:rPr>
        <w:t xml:space="preserve"> to represent trade openness</w:t>
      </w:r>
      <w:r w:rsidRPr="00575C28">
        <w:rPr>
          <w:color w:val="000000" w:themeColor="text1"/>
        </w:rPr>
        <w:t xml:space="preserve"> (TRADE). </w:t>
      </w:r>
    </w:p>
    <w:p w14:paraId="6B39584D" w14:textId="77777777" w:rsidR="00E14BF0" w:rsidRPr="00575C28" w:rsidRDefault="00E14BF0" w:rsidP="00EC4D5A">
      <w:pPr>
        <w:spacing w:line="480" w:lineRule="auto"/>
        <w:jc w:val="both"/>
        <w:rPr>
          <w:color w:val="000000" w:themeColor="text1"/>
        </w:rPr>
      </w:pPr>
      <w:r w:rsidRPr="00575C28">
        <w:rPr>
          <w:b/>
          <w:bCs/>
          <w:color w:val="000000" w:themeColor="text1"/>
        </w:rPr>
        <w:t>Population growth</w:t>
      </w:r>
      <w:r w:rsidRPr="00575C28">
        <w:rPr>
          <w:color w:val="000000" w:themeColor="text1"/>
        </w:rPr>
        <w:t xml:space="preserve">: All else equal, the general consensus in the literature is that greater population growth (POP) leads to lower GDP per capita growth, so a negative coefficient is expected for this variable (Solow 1956). </w:t>
      </w:r>
    </w:p>
    <w:p w14:paraId="412DBB7F" w14:textId="17E75143" w:rsidR="00E14BF0" w:rsidRPr="00575C28" w:rsidRDefault="00E14BF0" w:rsidP="008A1C6D">
      <w:pPr>
        <w:spacing w:line="480" w:lineRule="auto"/>
        <w:ind w:firstLine="720"/>
        <w:jc w:val="both"/>
        <w:rPr>
          <w:color w:val="000000" w:themeColor="text1"/>
        </w:rPr>
      </w:pPr>
      <w:r w:rsidRPr="00575C28">
        <w:rPr>
          <w:color w:val="000000" w:themeColor="text1"/>
        </w:rPr>
        <w:t>To study whether or not institutional quality impacts remittances effectiveness, the paper will utilize the Economic Freedom Index (EFI) developed by the Fraser Institute as a proxy for institutional quality. This index measures institutional quality by analyzing the following five areas</w:t>
      </w:r>
      <w:r w:rsidR="003D4DD5">
        <w:rPr>
          <w:color w:val="000000" w:themeColor="text1"/>
        </w:rPr>
        <w:t>:</w:t>
      </w:r>
      <w:r w:rsidRPr="00575C28">
        <w:rPr>
          <w:color w:val="000000" w:themeColor="text1"/>
        </w:rPr>
        <w:t xml:space="preserve"> the size of government, the legal system and security of property right</w:t>
      </w:r>
      <w:r w:rsidR="003D4DD5">
        <w:rPr>
          <w:color w:val="000000" w:themeColor="text1"/>
        </w:rPr>
        <w:t>s</w:t>
      </w:r>
      <w:r w:rsidRPr="00575C28">
        <w:rPr>
          <w:color w:val="000000" w:themeColor="text1"/>
        </w:rPr>
        <w:t xml:space="preserve">, inflation and access to finance, international trade, and regulation.  </w:t>
      </w:r>
    </w:p>
    <w:p w14:paraId="4126FEA8" w14:textId="5BC08A3D" w:rsidR="00010DE4" w:rsidRPr="00575C28" w:rsidRDefault="00E14BF0" w:rsidP="00EC4D5A">
      <w:pPr>
        <w:spacing w:line="480" w:lineRule="auto"/>
        <w:jc w:val="both"/>
        <w:rPr>
          <w:color w:val="000000" w:themeColor="text1"/>
        </w:rPr>
      </w:pPr>
      <w:r w:rsidRPr="00575C28">
        <w:rPr>
          <w:color w:val="000000" w:themeColor="text1"/>
        </w:rPr>
        <w:lastRenderedPageBreak/>
        <w:t>The index takes these five sections and produces a composite score. A country’s score ranges from 1 to 10, where a score of 1 indicates the lowest level of economic freedom and where a score of 10 indicates the highest level of economic freedom.</w:t>
      </w:r>
    </w:p>
    <w:p w14:paraId="714BE327" w14:textId="20252A98" w:rsidR="00010DE4" w:rsidRPr="00575C28" w:rsidRDefault="008A7CCF" w:rsidP="00575C28">
      <w:pPr>
        <w:pStyle w:val="Heading1"/>
        <w:rPr>
          <w:rFonts w:ascii="Times New Roman" w:hAnsi="Times New Roman" w:cs="Times New Roman"/>
          <w:b/>
          <w:bCs/>
          <w:color w:val="000000" w:themeColor="text1"/>
          <w:sz w:val="24"/>
          <w:szCs w:val="24"/>
        </w:rPr>
      </w:pPr>
      <w:bookmarkStart w:id="8" w:name="_Toc15420060"/>
      <w:r w:rsidRPr="00575C28">
        <w:rPr>
          <w:rFonts w:ascii="Times New Roman" w:hAnsi="Times New Roman" w:cs="Times New Roman"/>
          <w:b/>
          <w:bCs/>
          <w:color w:val="000000" w:themeColor="text1"/>
          <w:sz w:val="24"/>
          <w:szCs w:val="24"/>
        </w:rPr>
        <w:t xml:space="preserve">Section V </w:t>
      </w:r>
      <w:r w:rsidR="00010DE4" w:rsidRPr="00575C28">
        <w:rPr>
          <w:rFonts w:ascii="Times New Roman" w:hAnsi="Times New Roman" w:cs="Times New Roman"/>
          <w:b/>
          <w:bCs/>
          <w:color w:val="000000" w:themeColor="text1"/>
          <w:sz w:val="24"/>
          <w:szCs w:val="24"/>
        </w:rPr>
        <w:t>Empirical Results</w:t>
      </w:r>
      <w:bookmarkEnd w:id="8"/>
      <w:r w:rsidR="003D4DD5">
        <w:rPr>
          <w:rFonts w:ascii="Times New Roman" w:hAnsi="Times New Roman" w:cs="Times New Roman"/>
          <w:b/>
          <w:bCs/>
          <w:color w:val="000000" w:themeColor="text1"/>
          <w:sz w:val="24"/>
          <w:szCs w:val="24"/>
        </w:rPr>
        <w:t>:</w:t>
      </w:r>
    </w:p>
    <w:p w14:paraId="487B797B" w14:textId="77777777" w:rsidR="00575C28" w:rsidRPr="00575C28" w:rsidRDefault="00575C28" w:rsidP="00575C28">
      <w:pPr>
        <w:rPr>
          <w:color w:val="000000" w:themeColor="text1"/>
        </w:rPr>
      </w:pPr>
    </w:p>
    <w:p w14:paraId="0191FD64" w14:textId="02D7EF4E" w:rsidR="00DE51E8" w:rsidRPr="00575C28" w:rsidRDefault="00605D04" w:rsidP="00EC4D5A">
      <w:pPr>
        <w:spacing w:line="480" w:lineRule="auto"/>
        <w:jc w:val="both"/>
        <w:rPr>
          <w:color w:val="000000" w:themeColor="text1"/>
        </w:rPr>
      </w:pPr>
      <w:r w:rsidRPr="00575C28">
        <w:rPr>
          <w:color w:val="000000" w:themeColor="text1"/>
        </w:rPr>
        <w:t xml:space="preserve">Our </w:t>
      </w:r>
      <w:r w:rsidR="00677D03" w:rsidRPr="00575C28">
        <w:rPr>
          <w:color w:val="000000" w:themeColor="text1"/>
        </w:rPr>
        <w:t>estimation</w:t>
      </w:r>
      <w:r w:rsidR="00E0424A" w:rsidRPr="00575C28">
        <w:rPr>
          <w:color w:val="000000" w:themeColor="text1"/>
        </w:rPr>
        <w:t xml:space="preserve"> </w:t>
      </w:r>
      <w:r w:rsidR="00677D03" w:rsidRPr="00575C28">
        <w:rPr>
          <w:color w:val="000000" w:themeColor="text1"/>
        </w:rPr>
        <w:t xml:space="preserve">results are showcased in </w:t>
      </w:r>
      <w:r w:rsidR="002C5EB2" w:rsidRPr="00575C28">
        <w:rPr>
          <w:color w:val="000000" w:themeColor="text1"/>
        </w:rPr>
        <w:t>Table</w:t>
      </w:r>
      <w:r w:rsidR="003D4DD5">
        <w:rPr>
          <w:color w:val="000000" w:themeColor="text1"/>
        </w:rPr>
        <w:t>s</w:t>
      </w:r>
      <w:r w:rsidR="00677D03" w:rsidRPr="00575C28">
        <w:rPr>
          <w:color w:val="000000" w:themeColor="text1"/>
        </w:rPr>
        <w:t xml:space="preserve"> </w:t>
      </w:r>
      <w:r w:rsidR="00455328" w:rsidRPr="00575C28">
        <w:rPr>
          <w:color w:val="000000" w:themeColor="text1"/>
        </w:rPr>
        <w:t>2</w:t>
      </w:r>
      <w:r w:rsidR="00677D03" w:rsidRPr="00575C28">
        <w:rPr>
          <w:color w:val="000000" w:themeColor="text1"/>
        </w:rPr>
        <w:t xml:space="preserve"> and </w:t>
      </w:r>
      <w:r w:rsidR="001F7C18" w:rsidRPr="00575C28">
        <w:rPr>
          <w:color w:val="000000" w:themeColor="text1"/>
        </w:rPr>
        <w:t>3</w:t>
      </w:r>
      <w:r w:rsidR="00677D03" w:rsidRPr="00575C28">
        <w:rPr>
          <w:color w:val="000000" w:themeColor="text1"/>
        </w:rPr>
        <w:t xml:space="preserve">. </w:t>
      </w:r>
      <w:r w:rsidR="002C5EB2" w:rsidRPr="00575C28">
        <w:rPr>
          <w:color w:val="000000" w:themeColor="text1"/>
        </w:rPr>
        <w:t>Table</w:t>
      </w:r>
      <w:r w:rsidR="00E0424A" w:rsidRPr="00575C28">
        <w:rPr>
          <w:color w:val="000000" w:themeColor="text1"/>
        </w:rPr>
        <w:t xml:space="preserve"> </w:t>
      </w:r>
      <w:r w:rsidR="00455328" w:rsidRPr="00575C28">
        <w:rPr>
          <w:color w:val="000000" w:themeColor="text1"/>
        </w:rPr>
        <w:t>2</w:t>
      </w:r>
      <w:r w:rsidR="00E0424A" w:rsidRPr="00575C28">
        <w:rPr>
          <w:color w:val="000000" w:themeColor="text1"/>
        </w:rPr>
        <w:t xml:space="preserve"> presents the results from</w:t>
      </w:r>
      <w:r w:rsidR="006B6D63" w:rsidRPr="00575C28">
        <w:rPr>
          <w:color w:val="000000" w:themeColor="text1"/>
        </w:rPr>
        <w:t xml:space="preserve"> the </w:t>
      </w:r>
      <w:r w:rsidR="004A6DE0" w:rsidRPr="00575C28">
        <w:rPr>
          <w:color w:val="000000" w:themeColor="text1"/>
        </w:rPr>
        <w:t>FE estimation of equation</w:t>
      </w:r>
      <w:r w:rsidR="003D4DD5">
        <w:rPr>
          <w:color w:val="000000" w:themeColor="text1"/>
        </w:rPr>
        <w:t>s</w:t>
      </w:r>
      <w:r w:rsidR="004A6DE0" w:rsidRPr="00575C28">
        <w:rPr>
          <w:color w:val="000000" w:themeColor="text1"/>
        </w:rPr>
        <w:t xml:space="preserve"> 1 and 2</w:t>
      </w:r>
      <w:r w:rsidR="00E0424A" w:rsidRPr="00575C28">
        <w:rPr>
          <w:color w:val="000000" w:themeColor="text1"/>
        </w:rPr>
        <w:t xml:space="preserve">. </w:t>
      </w:r>
      <w:r w:rsidR="004A6DE0" w:rsidRPr="00575C28">
        <w:rPr>
          <w:color w:val="000000" w:themeColor="text1"/>
        </w:rPr>
        <w:t>In column (1) on</w:t>
      </w:r>
      <w:r w:rsidR="00DE51E8" w:rsidRPr="00575C28">
        <w:rPr>
          <w:color w:val="000000" w:themeColor="text1"/>
        </w:rPr>
        <w:t>e</w:t>
      </w:r>
      <w:r w:rsidR="004A6DE0" w:rsidRPr="00575C28">
        <w:rPr>
          <w:color w:val="000000" w:themeColor="text1"/>
        </w:rPr>
        <w:t xml:space="preserve"> can see that the </w:t>
      </w:r>
      <w:r w:rsidR="006B6D63" w:rsidRPr="00575C28">
        <w:rPr>
          <w:color w:val="000000" w:themeColor="text1"/>
        </w:rPr>
        <w:t xml:space="preserve">coefficient </w:t>
      </w:r>
      <w:r w:rsidR="0060689D" w:rsidRPr="00575C28">
        <w:rPr>
          <w:color w:val="000000" w:themeColor="text1"/>
        </w:rPr>
        <w:t>on the v</w:t>
      </w:r>
      <w:r w:rsidR="004A6DE0" w:rsidRPr="00575C28">
        <w:rPr>
          <w:color w:val="000000" w:themeColor="text1"/>
        </w:rPr>
        <w:t xml:space="preserve">ariable of interest, REM, is positive and significant. This would suggest that remittances contribute to economic growth. </w:t>
      </w:r>
      <w:r w:rsidR="0060689D" w:rsidRPr="00575C28">
        <w:rPr>
          <w:color w:val="000000" w:themeColor="text1"/>
        </w:rPr>
        <w:t>Colum</w:t>
      </w:r>
      <w:r w:rsidR="00E474FC" w:rsidRPr="00575C28">
        <w:rPr>
          <w:color w:val="000000" w:themeColor="text1"/>
        </w:rPr>
        <w:t>n</w:t>
      </w:r>
      <w:r w:rsidR="0060689D" w:rsidRPr="00575C28">
        <w:rPr>
          <w:color w:val="000000" w:themeColor="text1"/>
        </w:rPr>
        <w:t xml:space="preserve"> </w:t>
      </w:r>
      <w:r w:rsidR="00455328" w:rsidRPr="00575C28">
        <w:rPr>
          <w:color w:val="000000" w:themeColor="text1"/>
        </w:rPr>
        <w:t>(</w:t>
      </w:r>
      <w:r w:rsidR="0060689D" w:rsidRPr="00575C28">
        <w:rPr>
          <w:color w:val="000000" w:themeColor="text1"/>
        </w:rPr>
        <w:t>2</w:t>
      </w:r>
      <w:r w:rsidR="00455328" w:rsidRPr="00575C28">
        <w:rPr>
          <w:color w:val="000000" w:themeColor="text1"/>
        </w:rPr>
        <w:t>)</w:t>
      </w:r>
      <w:r w:rsidR="0060689D" w:rsidRPr="00575C28">
        <w:rPr>
          <w:color w:val="000000" w:themeColor="text1"/>
        </w:rPr>
        <w:t xml:space="preserve"> of </w:t>
      </w:r>
      <w:r w:rsidR="002C5EB2" w:rsidRPr="00575C28">
        <w:rPr>
          <w:color w:val="000000" w:themeColor="text1"/>
        </w:rPr>
        <w:t>Table</w:t>
      </w:r>
      <w:r w:rsidR="006B6D63" w:rsidRPr="00575C28">
        <w:rPr>
          <w:color w:val="000000" w:themeColor="text1"/>
        </w:rPr>
        <w:t xml:space="preserve"> </w:t>
      </w:r>
      <w:r w:rsidR="001F7C18" w:rsidRPr="00575C28">
        <w:rPr>
          <w:color w:val="000000" w:themeColor="text1"/>
        </w:rPr>
        <w:t>2</w:t>
      </w:r>
      <w:r w:rsidR="0060689D" w:rsidRPr="00575C28">
        <w:rPr>
          <w:color w:val="000000" w:themeColor="text1"/>
        </w:rPr>
        <w:t xml:space="preserve"> shows the FE </w:t>
      </w:r>
      <w:r w:rsidR="00337CDE" w:rsidRPr="00575C28">
        <w:rPr>
          <w:color w:val="000000" w:themeColor="text1"/>
        </w:rPr>
        <w:t>estimation</w:t>
      </w:r>
      <w:r w:rsidR="0060689D" w:rsidRPr="00575C28">
        <w:rPr>
          <w:color w:val="000000" w:themeColor="text1"/>
        </w:rPr>
        <w:t xml:space="preserve"> results</w:t>
      </w:r>
      <w:r w:rsidR="00337CDE" w:rsidRPr="00575C28">
        <w:rPr>
          <w:color w:val="000000" w:themeColor="text1"/>
        </w:rPr>
        <w:t xml:space="preserve"> when the </w:t>
      </w:r>
      <w:r w:rsidR="00752D6B" w:rsidRPr="00575C28">
        <w:rPr>
          <w:color w:val="000000" w:themeColor="text1"/>
        </w:rPr>
        <w:t>interaction effect</w:t>
      </w:r>
      <w:r w:rsidR="00337CDE" w:rsidRPr="00575C28">
        <w:rPr>
          <w:color w:val="000000" w:themeColor="text1"/>
        </w:rPr>
        <w:t xml:space="preserve"> of remittances and institutions is introduced. The variable of interest is REMxEFI</w:t>
      </w:r>
      <w:r w:rsidR="006B6D63" w:rsidRPr="00575C28">
        <w:rPr>
          <w:color w:val="000000" w:themeColor="text1"/>
        </w:rPr>
        <w:t xml:space="preserve"> and </w:t>
      </w:r>
      <w:r w:rsidR="00D1121F" w:rsidRPr="00575C28">
        <w:rPr>
          <w:color w:val="000000" w:themeColor="text1"/>
        </w:rPr>
        <w:t>its coefficient is negative and significant. A negative coefficient means that the positive impact remittances have on growth lessens as institutional quality rises</w:t>
      </w:r>
      <w:r w:rsidR="00DE51E8" w:rsidRPr="00575C28">
        <w:rPr>
          <w:color w:val="000000" w:themeColor="text1"/>
        </w:rPr>
        <w:t>.</w:t>
      </w:r>
    </w:p>
    <w:p w14:paraId="51B51D5A" w14:textId="3104328B" w:rsidR="00E8753D" w:rsidRPr="00575C28" w:rsidRDefault="006D1EB4" w:rsidP="00EC4D5A">
      <w:pPr>
        <w:spacing w:line="480" w:lineRule="auto"/>
        <w:ind w:firstLine="720"/>
        <w:jc w:val="both"/>
        <w:rPr>
          <w:color w:val="000000" w:themeColor="text1"/>
        </w:rPr>
      </w:pPr>
      <w:r w:rsidRPr="00575C28">
        <w:rPr>
          <w:color w:val="000000" w:themeColor="text1"/>
        </w:rPr>
        <w:t>Table 3 presents the results from the system GMM estimation. Colum (1) shows the standalone effect that remittances have on growth. The variable of interest is REM and one can see that its coefficient is positive and significant. This means that remittances have a positive effect on economic growth, which coincides with the results found i</w:t>
      </w:r>
      <w:r w:rsidR="003D4DD5">
        <w:rPr>
          <w:color w:val="000000" w:themeColor="text1"/>
        </w:rPr>
        <w:t>n</w:t>
      </w:r>
      <w:r w:rsidRPr="00575C28">
        <w:rPr>
          <w:color w:val="000000" w:themeColor="text1"/>
        </w:rPr>
        <w:t xml:space="preserve"> works such as Faini (2007). In column (2), we add an interaction term between remittances and institutions. We see that the coefficient for the interaction term for REMXEFI is negative and significant. This suggests that remittances are more effective in boosting economic growth when institutional quality is low, meaning that the marginal impact of remittances on growth is decreasing with the level of institutional quality.</w:t>
      </w:r>
    </w:p>
    <w:p w14:paraId="036A4D1A" w14:textId="77777777" w:rsidR="006D1EB4" w:rsidRPr="00575C28" w:rsidRDefault="006D1EB4">
      <w:pPr>
        <w:rPr>
          <w:color w:val="000000" w:themeColor="text1"/>
        </w:rPr>
      </w:pPr>
      <w:r w:rsidRPr="00575C28">
        <w:rPr>
          <w:color w:val="000000" w:themeColor="text1"/>
        </w:rPr>
        <w:br w:type="page"/>
      </w:r>
    </w:p>
    <w:p w14:paraId="38F5813A" w14:textId="6DC6EC76" w:rsidR="00E8753D" w:rsidRPr="00575C28" w:rsidRDefault="00E8753D" w:rsidP="00EC4D5A">
      <w:pPr>
        <w:jc w:val="both"/>
        <w:rPr>
          <w:color w:val="000000" w:themeColor="text1"/>
        </w:rPr>
      </w:pPr>
      <w:r w:rsidRPr="00575C28">
        <w:rPr>
          <w:color w:val="000000" w:themeColor="text1"/>
        </w:rPr>
        <w:lastRenderedPageBreak/>
        <w:t>Table 2: Remittance and economic growth: Fixed Effects Estimation</w:t>
      </w:r>
    </w:p>
    <w:tbl>
      <w:tblPr>
        <w:tblW w:w="7707" w:type="dxa"/>
        <w:jc w:val="center"/>
        <w:tblLayout w:type="fixed"/>
        <w:tblCellMar>
          <w:left w:w="75" w:type="dxa"/>
          <w:right w:w="75" w:type="dxa"/>
        </w:tblCellMar>
        <w:tblLook w:val="0000" w:firstRow="0" w:lastRow="0" w:firstColumn="0" w:lastColumn="0" w:noHBand="0" w:noVBand="0"/>
      </w:tblPr>
      <w:tblGrid>
        <w:gridCol w:w="2955"/>
        <w:gridCol w:w="1584"/>
        <w:gridCol w:w="1584"/>
        <w:gridCol w:w="1584"/>
      </w:tblGrid>
      <w:tr w:rsidR="00575C28" w:rsidRPr="00575C28" w14:paraId="0BB75F93" w14:textId="77777777" w:rsidTr="001A15C0">
        <w:trPr>
          <w:jc w:val="center"/>
        </w:trPr>
        <w:tc>
          <w:tcPr>
            <w:tcW w:w="2955" w:type="dxa"/>
            <w:tcBorders>
              <w:top w:val="single" w:sz="6" w:space="0" w:color="auto"/>
              <w:left w:val="nil"/>
              <w:bottom w:val="nil"/>
              <w:right w:val="nil"/>
            </w:tcBorders>
          </w:tcPr>
          <w:p w14:paraId="3D6B4EA9"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single" w:sz="6" w:space="0" w:color="auto"/>
              <w:left w:val="nil"/>
              <w:bottom w:val="nil"/>
              <w:right w:val="nil"/>
            </w:tcBorders>
          </w:tcPr>
          <w:p w14:paraId="58B572E6"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(1)</w:t>
            </w:r>
          </w:p>
        </w:tc>
        <w:tc>
          <w:tcPr>
            <w:tcW w:w="1584" w:type="dxa"/>
            <w:tcBorders>
              <w:top w:val="single" w:sz="6" w:space="0" w:color="auto"/>
              <w:left w:val="nil"/>
              <w:bottom w:val="nil"/>
              <w:right w:val="nil"/>
            </w:tcBorders>
          </w:tcPr>
          <w:p w14:paraId="4405C2A9"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single" w:sz="6" w:space="0" w:color="auto"/>
              <w:left w:val="nil"/>
              <w:bottom w:val="nil"/>
              <w:right w:val="nil"/>
            </w:tcBorders>
          </w:tcPr>
          <w:p w14:paraId="2C09B6D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(2)</w:t>
            </w:r>
          </w:p>
        </w:tc>
      </w:tr>
      <w:tr w:rsidR="00575C28" w:rsidRPr="00575C28" w14:paraId="03AD3D63" w14:textId="77777777" w:rsidTr="001A15C0">
        <w:trPr>
          <w:jc w:val="center"/>
        </w:trPr>
        <w:tc>
          <w:tcPr>
            <w:tcW w:w="2955" w:type="dxa"/>
            <w:tcBorders>
              <w:top w:val="nil"/>
              <w:left w:val="nil"/>
              <w:bottom w:val="single" w:sz="6" w:space="0" w:color="auto"/>
              <w:right w:val="nil"/>
            </w:tcBorders>
          </w:tcPr>
          <w:p w14:paraId="14DA303E"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Dependent Variable: GDP growth per captia</w:t>
            </w:r>
          </w:p>
        </w:tc>
        <w:tc>
          <w:tcPr>
            <w:tcW w:w="1584" w:type="dxa"/>
            <w:tcBorders>
              <w:top w:val="nil"/>
              <w:left w:val="nil"/>
              <w:bottom w:val="single" w:sz="6" w:space="0" w:color="auto"/>
              <w:right w:val="nil"/>
            </w:tcBorders>
          </w:tcPr>
          <w:p w14:paraId="117989F3"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single" w:sz="6" w:space="0" w:color="auto"/>
              <w:right w:val="nil"/>
            </w:tcBorders>
          </w:tcPr>
          <w:p w14:paraId="7EADF76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single" w:sz="6" w:space="0" w:color="auto"/>
              <w:right w:val="nil"/>
            </w:tcBorders>
          </w:tcPr>
          <w:p w14:paraId="72FA3417" w14:textId="77777777" w:rsidR="00E8753D" w:rsidRPr="00575C28" w:rsidRDefault="00E8753D" w:rsidP="00EC4D5A">
            <w:pPr>
              <w:widowControl w:val="0"/>
              <w:autoSpaceDE w:val="0"/>
              <w:autoSpaceDN w:val="0"/>
              <w:adjustRightInd w:val="0"/>
              <w:jc w:val="both"/>
              <w:rPr>
                <w:color w:val="000000" w:themeColor="text1"/>
              </w:rPr>
            </w:pPr>
          </w:p>
        </w:tc>
      </w:tr>
      <w:tr w:rsidR="00575C28" w:rsidRPr="00575C28" w14:paraId="35012232" w14:textId="77777777" w:rsidTr="001A15C0">
        <w:trPr>
          <w:jc w:val="center"/>
        </w:trPr>
        <w:tc>
          <w:tcPr>
            <w:tcW w:w="2955" w:type="dxa"/>
            <w:tcBorders>
              <w:top w:val="nil"/>
              <w:left w:val="nil"/>
              <w:bottom w:val="nil"/>
              <w:right w:val="nil"/>
            </w:tcBorders>
          </w:tcPr>
          <w:p w14:paraId="2818A92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Independent Variables</w:t>
            </w:r>
          </w:p>
        </w:tc>
        <w:tc>
          <w:tcPr>
            <w:tcW w:w="1584" w:type="dxa"/>
            <w:tcBorders>
              <w:top w:val="nil"/>
              <w:left w:val="nil"/>
              <w:bottom w:val="nil"/>
              <w:right w:val="nil"/>
            </w:tcBorders>
          </w:tcPr>
          <w:p w14:paraId="551DFAC2"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A29CA27"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03D26AA" w14:textId="77777777" w:rsidR="00E8753D" w:rsidRPr="00575C28" w:rsidRDefault="00E8753D" w:rsidP="00EC4D5A">
            <w:pPr>
              <w:widowControl w:val="0"/>
              <w:autoSpaceDE w:val="0"/>
              <w:autoSpaceDN w:val="0"/>
              <w:adjustRightInd w:val="0"/>
              <w:jc w:val="both"/>
              <w:rPr>
                <w:color w:val="000000" w:themeColor="text1"/>
              </w:rPr>
            </w:pPr>
          </w:p>
        </w:tc>
      </w:tr>
      <w:tr w:rsidR="00575C28" w:rsidRPr="00575C28" w14:paraId="364482E7" w14:textId="77777777" w:rsidTr="001A15C0">
        <w:trPr>
          <w:jc w:val="center"/>
        </w:trPr>
        <w:tc>
          <w:tcPr>
            <w:tcW w:w="2955" w:type="dxa"/>
            <w:tcBorders>
              <w:top w:val="nil"/>
              <w:left w:val="nil"/>
              <w:bottom w:val="nil"/>
              <w:right w:val="nil"/>
            </w:tcBorders>
          </w:tcPr>
          <w:p w14:paraId="0789BB39"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49E03221"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8EFED36"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676C068F" w14:textId="77777777" w:rsidR="00E8753D" w:rsidRPr="00575C28" w:rsidRDefault="00E8753D" w:rsidP="00EC4D5A">
            <w:pPr>
              <w:widowControl w:val="0"/>
              <w:autoSpaceDE w:val="0"/>
              <w:autoSpaceDN w:val="0"/>
              <w:adjustRightInd w:val="0"/>
              <w:jc w:val="both"/>
              <w:rPr>
                <w:color w:val="000000" w:themeColor="text1"/>
              </w:rPr>
            </w:pPr>
          </w:p>
        </w:tc>
      </w:tr>
      <w:tr w:rsidR="00575C28" w:rsidRPr="00575C28" w14:paraId="387115A4" w14:textId="77777777" w:rsidTr="001A15C0">
        <w:trPr>
          <w:jc w:val="center"/>
        </w:trPr>
        <w:tc>
          <w:tcPr>
            <w:tcW w:w="2955" w:type="dxa"/>
            <w:tcBorders>
              <w:top w:val="nil"/>
              <w:left w:val="nil"/>
              <w:bottom w:val="nil"/>
              <w:right w:val="nil"/>
            </w:tcBorders>
          </w:tcPr>
          <w:p w14:paraId="7D5EA16B"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Initial GDP per capita</w:t>
            </w:r>
          </w:p>
        </w:tc>
        <w:tc>
          <w:tcPr>
            <w:tcW w:w="1584" w:type="dxa"/>
            <w:tcBorders>
              <w:top w:val="nil"/>
              <w:left w:val="nil"/>
              <w:bottom w:val="nil"/>
              <w:right w:val="nil"/>
            </w:tcBorders>
          </w:tcPr>
          <w:p w14:paraId="32638D58"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0.905***</w:t>
            </w:r>
          </w:p>
        </w:tc>
        <w:tc>
          <w:tcPr>
            <w:tcW w:w="1584" w:type="dxa"/>
            <w:tcBorders>
              <w:top w:val="nil"/>
              <w:left w:val="nil"/>
              <w:bottom w:val="nil"/>
              <w:right w:val="nil"/>
            </w:tcBorders>
          </w:tcPr>
          <w:p w14:paraId="30322C08"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FCFF830"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0.920***</w:t>
            </w:r>
          </w:p>
        </w:tc>
      </w:tr>
      <w:tr w:rsidR="00575C28" w:rsidRPr="00575C28" w14:paraId="3C95F081" w14:textId="77777777" w:rsidTr="001A15C0">
        <w:trPr>
          <w:jc w:val="center"/>
        </w:trPr>
        <w:tc>
          <w:tcPr>
            <w:tcW w:w="2955" w:type="dxa"/>
            <w:tcBorders>
              <w:top w:val="nil"/>
              <w:left w:val="nil"/>
              <w:bottom w:val="nil"/>
              <w:right w:val="nil"/>
            </w:tcBorders>
          </w:tcPr>
          <w:p w14:paraId="65580400"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C9E6284"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(0.0259)</w:t>
            </w:r>
          </w:p>
        </w:tc>
        <w:tc>
          <w:tcPr>
            <w:tcW w:w="1584" w:type="dxa"/>
            <w:tcBorders>
              <w:top w:val="nil"/>
              <w:left w:val="nil"/>
              <w:bottom w:val="nil"/>
              <w:right w:val="nil"/>
            </w:tcBorders>
          </w:tcPr>
          <w:p w14:paraId="63365F15"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7EA8FA8"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(0.0285)</w:t>
            </w:r>
          </w:p>
        </w:tc>
      </w:tr>
      <w:tr w:rsidR="00575C28" w:rsidRPr="00575C28" w14:paraId="3257614D" w14:textId="77777777" w:rsidTr="001A15C0">
        <w:trPr>
          <w:jc w:val="center"/>
        </w:trPr>
        <w:tc>
          <w:tcPr>
            <w:tcW w:w="2955" w:type="dxa"/>
            <w:tcBorders>
              <w:top w:val="nil"/>
              <w:left w:val="nil"/>
              <w:bottom w:val="nil"/>
              <w:right w:val="nil"/>
            </w:tcBorders>
          </w:tcPr>
          <w:p w14:paraId="5F3861D9"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REM</w:t>
            </w:r>
          </w:p>
        </w:tc>
        <w:tc>
          <w:tcPr>
            <w:tcW w:w="1584" w:type="dxa"/>
            <w:tcBorders>
              <w:top w:val="nil"/>
              <w:left w:val="nil"/>
              <w:bottom w:val="nil"/>
              <w:right w:val="nil"/>
            </w:tcBorders>
          </w:tcPr>
          <w:p w14:paraId="110EABA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0.0468**</w:t>
            </w:r>
          </w:p>
        </w:tc>
        <w:tc>
          <w:tcPr>
            <w:tcW w:w="1584" w:type="dxa"/>
            <w:tcBorders>
              <w:top w:val="nil"/>
              <w:left w:val="nil"/>
              <w:bottom w:val="nil"/>
              <w:right w:val="nil"/>
            </w:tcBorders>
          </w:tcPr>
          <w:p w14:paraId="7ADB2B9B"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4524DDA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0.191**</w:t>
            </w:r>
          </w:p>
        </w:tc>
      </w:tr>
      <w:tr w:rsidR="00575C28" w:rsidRPr="00575C28" w14:paraId="44778459" w14:textId="77777777" w:rsidTr="001A15C0">
        <w:trPr>
          <w:jc w:val="center"/>
        </w:trPr>
        <w:tc>
          <w:tcPr>
            <w:tcW w:w="2955" w:type="dxa"/>
            <w:tcBorders>
              <w:top w:val="nil"/>
              <w:left w:val="nil"/>
              <w:bottom w:val="nil"/>
              <w:right w:val="nil"/>
            </w:tcBorders>
          </w:tcPr>
          <w:p w14:paraId="5D3C8B75"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6BEE21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(0.0195)</w:t>
            </w:r>
          </w:p>
        </w:tc>
        <w:tc>
          <w:tcPr>
            <w:tcW w:w="1584" w:type="dxa"/>
            <w:tcBorders>
              <w:top w:val="nil"/>
              <w:left w:val="nil"/>
              <w:bottom w:val="nil"/>
              <w:right w:val="nil"/>
            </w:tcBorders>
          </w:tcPr>
          <w:p w14:paraId="13F47D5A"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257995E0"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(0.0816)</w:t>
            </w:r>
          </w:p>
        </w:tc>
      </w:tr>
      <w:tr w:rsidR="00575C28" w:rsidRPr="00575C28" w14:paraId="1D71B6C0" w14:textId="77777777" w:rsidTr="001A15C0">
        <w:trPr>
          <w:jc w:val="center"/>
        </w:trPr>
        <w:tc>
          <w:tcPr>
            <w:tcW w:w="2955" w:type="dxa"/>
            <w:tcBorders>
              <w:top w:val="nil"/>
              <w:left w:val="nil"/>
              <w:bottom w:val="nil"/>
              <w:right w:val="nil"/>
            </w:tcBorders>
          </w:tcPr>
          <w:p w14:paraId="381D193B"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GCF</w:t>
            </w:r>
          </w:p>
        </w:tc>
        <w:tc>
          <w:tcPr>
            <w:tcW w:w="1584" w:type="dxa"/>
            <w:tcBorders>
              <w:top w:val="nil"/>
              <w:left w:val="nil"/>
              <w:bottom w:val="nil"/>
              <w:right w:val="nil"/>
            </w:tcBorders>
          </w:tcPr>
          <w:p w14:paraId="4F5DD08A"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0.00713**</w:t>
            </w:r>
          </w:p>
        </w:tc>
        <w:tc>
          <w:tcPr>
            <w:tcW w:w="1584" w:type="dxa"/>
            <w:tcBorders>
              <w:top w:val="nil"/>
              <w:left w:val="nil"/>
              <w:bottom w:val="nil"/>
              <w:right w:val="nil"/>
            </w:tcBorders>
          </w:tcPr>
          <w:p w14:paraId="5D160B62"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1BF92DB"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0.00580**</w:t>
            </w:r>
          </w:p>
        </w:tc>
      </w:tr>
      <w:tr w:rsidR="00575C28" w:rsidRPr="00575C28" w14:paraId="6962407D" w14:textId="77777777" w:rsidTr="001A15C0">
        <w:trPr>
          <w:jc w:val="center"/>
        </w:trPr>
        <w:tc>
          <w:tcPr>
            <w:tcW w:w="2955" w:type="dxa"/>
            <w:tcBorders>
              <w:top w:val="nil"/>
              <w:left w:val="nil"/>
              <w:bottom w:val="nil"/>
              <w:right w:val="nil"/>
            </w:tcBorders>
          </w:tcPr>
          <w:p w14:paraId="2E7C9966"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D15B9FD"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(0.00300)</w:t>
            </w:r>
          </w:p>
        </w:tc>
        <w:tc>
          <w:tcPr>
            <w:tcW w:w="1584" w:type="dxa"/>
            <w:tcBorders>
              <w:top w:val="nil"/>
              <w:left w:val="nil"/>
              <w:bottom w:val="nil"/>
              <w:right w:val="nil"/>
            </w:tcBorders>
          </w:tcPr>
          <w:p w14:paraId="458D1A3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13495C3"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(0.00280)</w:t>
            </w:r>
          </w:p>
        </w:tc>
      </w:tr>
      <w:tr w:rsidR="00575C28" w:rsidRPr="00575C28" w14:paraId="35CC4618" w14:textId="77777777" w:rsidTr="001A15C0">
        <w:trPr>
          <w:jc w:val="center"/>
        </w:trPr>
        <w:tc>
          <w:tcPr>
            <w:tcW w:w="2955" w:type="dxa"/>
            <w:tcBorders>
              <w:top w:val="nil"/>
              <w:left w:val="nil"/>
              <w:bottom w:val="nil"/>
              <w:right w:val="nil"/>
            </w:tcBorders>
          </w:tcPr>
          <w:p w14:paraId="7950F5C4"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PRIM</w:t>
            </w:r>
          </w:p>
        </w:tc>
        <w:tc>
          <w:tcPr>
            <w:tcW w:w="1584" w:type="dxa"/>
            <w:tcBorders>
              <w:top w:val="nil"/>
              <w:left w:val="nil"/>
              <w:bottom w:val="nil"/>
              <w:right w:val="nil"/>
            </w:tcBorders>
          </w:tcPr>
          <w:p w14:paraId="31F151CC"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-0.00132</w:t>
            </w:r>
          </w:p>
        </w:tc>
        <w:tc>
          <w:tcPr>
            <w:tcW w:w="1584" w:type="dxa"/>
            <w:tcBorders>
              <w:top w:val="nil"/>
              <w:left w:val="nil"/>
              <w:bottom w:val="nil"/>
              <w:right w:val="nil"/>
            </w:tcBorders>
          </w:tcPr>
          <w:p w14:paraId="11DBC0A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67B5DDA"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-0.00120</w:t>
            </w:r>
          </w:p>
        </w:tc>
      </w:tr>
      <w:tr w:rsidR="00575C28" w:rsidRPr="00575C28" w14:paraId="7BDB8524" w14:textId="77777777" w:rsidTr="001A15C0">
        <w:trPr>
          <w:jc w:val="center"/>
        </w:trPr>
        <w:tc>
          <w:tcPr>
            <w:tcW w:w="2955" w:type="dxa"/>
            <w:tcBorders>
              <w:top w:val="nil"/>
              <w:left w:val="nil"/>
              <w:bottom w:val="nil"/>
              <w:right w:val="nil"/>
            </w:tcBorders>
          </w:tcPr>
          <w:p w14:paraId="78A9CEA6"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25699E88"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(0.00107)</w:t>
            </w:r>
          </w:p>
        </w:tc>
        <w:tc>
          <w:tcPr>
            <w:tcW w:w="1584" w:type="dxa"/>
            <w:tcBorders>
              <w:top w:val="nil"/>
              <w:left w:val="nil"/>
              <w:bottom w:val="nil"/>
              <w:right w:val="nil"/>
            </w:tcBorders>
          </w:tcPr>
          <w:p w14:paraId="5FF3945B"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1E8F55CE"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(0.00106)</w:t>
            </w:r>
          </w:p>
        </w:tc>
      </w:tr>
      <w:tr w:rsidR="00575C28" w:rsidRPr="00575C28" w14:paraId="2FA6A9CD" w14:textId="77777777" w:rsidTr="001A15C0">
        <w:trPr>
          <w:jc w:val="center"/>
        </w:trPr>
        <w:tc>
          <w:tcPr>
            <w:tcW w:w="2955" w:type="dxa"/>
            <w:tcBorders>
              <w:top w:val="nil"/>
              <w:left w:val="nil"/>
              <w:bottom w:val="nil"/>
              <w:right w:val="nil"/>
            </w:tcBorders>
          </w:tcPr>
          <w:p w14:paraId="2F8FB6F5"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POP</w:t>
            </w:r>
          </w:p>
        </w:tc>
        <w:tc>
          <w:tcPr>
            <w:tcW w:w="1584" w:type="dxa"/>
            <w:tcBorders>
              <w:top w:val="nil"/>
              <w:left w:val="nil"/>
              <w:bottom w:val="nil"/>
              <w:right w:val="nil"/>
            </w:tcBorders>
          </w:tcPr>
          <w:p w14:paraId="376A98AA"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-0.119***</w:t>
            </w:r>
          </w:p>
        </w:tc>
        <w:tc>
          <w:tcPr>
            <w:tcW w:w="1584" w:type="dxa"/>
            <w:tcBorders>
              <w:top w:val="nil"/>
              <w:left w:val="nil"/>
              <w:bottom w:val="nil"/>
              <w:right w:val="nil"/>
            </w:tcBorders>
          </w:tcPr>
          <w:p w14:paraId="0F6F8C6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456ADCD5"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-0.0743</w:t>
            </w:r>
          </w:p>
        </w:tc>
      </w:tr>
      <w:tr w:rsidR="00575C28" w:rsidRPr="00575C28" w14:paraId="115A25FC" w14:textId="77777777" w:rsidTr="001A15C0">
        <w:trPr>
          <w:jc w:val="center"/>
        </w:trPr>
        <w:tc>
          <w:tcPr>
            <w:tcW w:w="2955" w:type="dxa"/>
            <w:tcBorders>
              <w:top w:val="nil"/>
              <w:left w:val="nil"/>
              <w:bottom w:val="nil"/>
              <w:right w:val="nil"/>
            </w:tcBorders>
          </w:tcPr>
          <w:p w14:paraId="27CCEFD2"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C1916AA"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(0.0411)</w:t>
            </w:r>
          </w:p>
        </w:tc>
        <w:tc>
          <w:tcPr>
            <w:tcW w:w="1584" w:type="dxa"/>
            <w:tcBorders>
              <w:top w:val="nil"/>
              <w:left w:val="nil"/>
              <w:bottom w:val="nil"/>
              <w:right w:val="nil"/>
            </w:tcBorders>
          </w:tcPr>
          <w:p w14:paraId="69876D9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B853BF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(0.0511)</w:t>
            </w:r>
          </w:p>
        </w:tc>
      </w:tr>
      <w:tr w:rsidR="00575C28" w:rsidRPr="00575C28" w14:paraId="35B3775A" w14:textId="77777777" w:rsidTr="001A15C0">
        <w:trPr>
          <w:jc w:val="center"/>
        </w:trPr>
        <w:tc>
          <w:tcPr>
            <w:tcW w:w="2955" w:type="dxa"/>
            <w:tcBorders>
              <w:top w:val="nil"/>
              <w:left w:val="nil"/>
              <w:bottom w:val="nil"/>
              <w:right w:val="nil"/>
            </w:tcBorders>
          </w:tcPr>
          <w:p w14:paraId="4A6FF150"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TRADE</w:t>
            </w:r>
          </w:p>
        </w:tc>
        <w:tc>
          <w:tcPr>
            <w:tcW w:w="1584" w:type="dxa"/>
            <w:tcBorders>
              <w:top w:val="nil"/>
              <w:left w:val="nil"/>
              <w:bottom w:val="nil"/>
              <w:right w:val="nil"/>
            </w:tcBorders>
          </w:tcPr>
          <w:p w14:paraId="43896FD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-0.00258**</w:t>
            </w:r>
          </w:p>
        </w:tc>
        <w:tc>
          <w:tcPr>
            <w:tcW w:w="1584" w:type="dxa"/>
            <w:tcBorders>
              <w:top w:val="nil"/>
              <w:left w:val="nil"/>
              <w:bottom w:val="nil"/>
              <w:right w:val="nil"/>
            </w:tcBorders>
          </w:tcPr>
          <w:p w14:paraId="0A937208"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58A4CDC"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-0.00236**</w:t>
            </w:r>
          </w:p>
        </w:tc>
      </w:tr>
      <w:tr w:rsidR="00575C28" w:rsidRPr="00575C28" w14:paraId="29BF3A8F" w14:textId="77777777" w:rsidTr="001A15C0">
        <w:trPr>
          <w:jc w:val="center"/>
        </w:trPr>
        <w:tc>
          <w:tcPr>
            <w:tcW w:w="2955" w:type="dxa"/>
            <w:tcBorders>
              <w:top w:val="nil"/>
              <w:left w:val="nil"/>
              <w:bottom w:val="nil"/>
              <w:right w:val="nil"/>
            </w:tcBorders>
          </w:tcPr>
          <w:p w14:paraId="40F692F5"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4E70A3FC"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(0.00116)</w:t>
            </w:r>
          </w:p>
        </w:tc>
        <w:tc>
          <w:tcPr>
            <w:tcW w:w="1584" w:type="dxa"/>
            <w:tcBorders>
              <w:top w:val="nil"/>
              <w:left w:val="nil"/>
              <w:bottom w:val="nil"/>
              <w:right w:val="nil"/>
            </w:tcBorders>
          </w:tcPr>
          <w:p w14:paraId="524FD25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B460F2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(0.00113)</w:t>
            </w:r>
          </w:p>
        </w:tc>
      </w:tr>
      <w:tr w:rsidR="00575C28" w:rsidRPr="00575C28" w14:paraId="5EDFE99A" w14:textId="77777777" w:rsidTr="001A15C0">
        <w:trPr>
          <w:jc w:val="center"/>
        </w:trPr>
        <w:tc>
          <w:tcPr>
            <w:tcW w:w="2955" w:type="dxa"/>
            <w:tcBorders>
              <w:top w:val="nil"/>
              <w:left w:val="nil"/>
              <w:bottom w:val="nil"/>
              <w:right w:val="nil"/>
            </w:tcBorders>
          </w:tcPr>
          <w:p w14:paraId="28364410"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EFI</w:t>
            </w:r>
          </w:p>
        </w:tc>
        <w:tc>
          <w:tcPr>
            <w:tcW w:w="1584" w:type="dxa"/>
            <w:tcBorders>
              <w:top w:val="nil"/>
              <w:left w:val="nil"/>
              <w:bottom w:val="nil"/>
              <w:right w:val="nil"/>
            </w:tcBorders>
          </w:tcPr>
          <w:p w14:paraId="44DDD18F"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w:t>
            </w:r>
          </w:p>
        </w:tc>
        <w:tc>
          <w:tcPr>
            <w:tcW w:w="1584" w:type="dxa"/>
            <w:tcBorders>
              <w:top w:val="nil"/>
              <w:left w:val="nil"/>
              <w:bottom w:val="nil"/>
              <w:right w:val="nil"/>
            </w:tcBorders>
          </w:tcPr>
          <w:p w14:paraId="0CBD3A30"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26DF1BE"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0.0766*</w:t>
            </w:r>
          </w:p>
        </w:tc>
      </w:tr>
      <w:tr w:rsidR="00575C28" w:rsidRPr="00575C28" w14:paraId="242E3A2F" w14:textId="77777777" w:rsidTr="001A15C0">
        <w:trPr>
          <w:jc w:val="center"/>
        </w:trPr>
        <w:tc>
          <w:tcPr>
            <w:tcW w:w="2955" w:type="dxa"/>
            <w:tcBorders>
              <w:top w:val="nil"/>
              <w:left w:val="nil"/>
              <w:bottom w:val="nil"/>
              <w:right w:val="nil"/>
            </w:tcBorders>
          </w:tcPr>
          <w:p w14:paraId="4F11A225"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286402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2358FD47"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27F95B3F"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(0.0402)</w:t>
            </w:r>
          </w:p>
        </w:tc>
      </w:tr>
      <w:tr w:rsidR="00575C28" w:rsidRPr="00575C28" w14:paraId="0C699698" w14:textId="77777777" w:rsidTr="001A15C0">
        <w:trPr>
          <w:jc w:val="center"/>
        </w:trPr>
        <w:tc>
          <w:tcPr>
            <w:tcW w:w="2955" w:type="dxa"/>
            <w:tcBorders>
              <w:top w:val="nil"/>
              <w:left w:val="nil"/>
              <w:bottom w:val="nil"/>
              <w:right w:val="nil"/>
            </w:tcBorders>
          </w:tcPr>
          <w:p w14:paraId="1C7ADCB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REMxEFI</w:t>
            </w:r>
          </w:p>
        </w:tc>
        <w:tc>
          <w:tcPr>
            <w:tcW w:w="1584" w:type="dxa"/>
            <w:tcBorders>
              <w:top w:val="nil"/>
              <w:left w:val="nil"/>
              <w:bottom w:val="nil"/>
              <w:right w:val="nil"/>
            </w:tcBorders>
          </w:tcPr>
          <w:p w14:paraId="30712DF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w:t>
            </w:r>
          </w:p>
        </w:tc>
        <w:tc>
          <w:tcPr>
            <w:tcW w:w="1584" w:type="dxa"/>
            <w:tcBorders>
              <w:top w:val="nil"/>
              <w:left w:val="nil"/>
              <w:bottom w:val="nil"/>
              <w:right w:val="nil"/>
            </w:tcBorders>
          </w:tcPr>
          <w:p w14:paraId="00FC66DF"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6E033733"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-0.0348*</w:t>
            </w:r>
          </w:p>
        </w:tc>
      </w:tr>
      <w:tr w:rsidR="00575C28" w:rsidRPr="00575C28" w14:paraId="7B32ACBB" w14:textId="77777777" w:rsidTr="001A15C0">
        <w:trPr>
          <w:jc w:val="center"/>
        </w:trPr>
        <w:tc>
          <w:tcPr>
            <w:tcW w:w="2955" w:type="dxa"/>
            <w:tcBorders>
              <w:top w:val="nil"/>
              <w:left w:val="nil"/>
              <w:bottom w:val="nil"/>
              <w:right w:val="nil"/>
            </w:tcBorders>
          </w:tcPr>
          <w:p w14:paraId="49C2F5FF"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7641AF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66C5692"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541DFC6"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(0.0193)</w:t>
            </w:r>
          </w:p>
        </w:tc>
      </w:tr>
      <w:tr w:rsidR="00575C28" w:rsidRPr="00575C28" w14:paraId="4C25DA0C" w14:textId="77777777" w:rsidTr="001A15C0">
        <w:trPr>
          <w:jc w:val="center"/>
        </w:trPr>
        <w:tc>
          <w:tcPr>
            <w:tcW w:w="2955" w:type="dxa"/>
            <w:tcBorders>
              <w:top w:val="nil"/>
              <w:left w:val="nil"/>
              <w:bottom w:val="nil"/>
              <w:right w:val="nil"/>
            </w:tcBorders>
          </w:tcPr>
          <w:p w14:paraId="6219813C"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Constant</w:t>
            </w:r>
          </w:p>
        </w:tc>
        <w:tc>
          <w:tcPr>
            <w:tcW w:w="1584" w:type="dxa"/>
            <w:tcBorders>
              <w:top w:val="nil"/>
              <w:left w:val="nil"/>
              <w:bottom w:val="nil"/>
              <w:right w:val="nil"/>
            </w:tcBorders>
          </w:tcPr>
          <w:p w14:paraId="077FCC04"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0.870***</w:t>
            </w:r>
          </w:p>
        </w:tc>
        <w:tc>
          <w:tcPr>
            <w:tcW w:w="1584" w:type="dxa"/>
            <w:tcBorders>
              <w:top w:val="nil"/>
              <w:left w:val="nil"/>
              <w:bottom w:val="nil"/>
              <w:right w:val="nil"/>
            </w:tcBorders>
          </w:tcPr>
          <w:p w14:paraId="4CC27A89"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BE3C5BD"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0.361</w:t>
            </w:r>
          </w:p>
        </w:tc>
      </w:tr>
      <w:tr w:rsidR="00575C28" w:rsidRPr="00575C28" w14:paraId="20AAD7BB" w14:textId="77777777" w:rsidTr="001A15C0">
        <w:trPr>
          <w:jc w:val="center"/>
        </w:trPr>
        <w:tc>
          <w:tcPr>
            <w:tcW w:w="2955" w:type="dxa"/>
            <w:tcBorders>
              <w:top w:val="nil"/>
              <w:left w:val="nil"/>
              <w:bottom w:val="nil"/>
              <w:right w:val="nil"/>
            </w:tcBorders>
          </w:tcPr>
          <w:p w14:paraId="632AD7E6"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DA96EB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(0.264)</w:t>
            </w:r>
          </w:p>
        </w:tc>
        <w:tc>
          <w:tcPr>
            <w:tcW w:w="1584" w:type="dxa"/>
            <w:tcBorders>
              <w:top w:val="nil"/>
              <w:left w:val="nil"/>
              <w:bottom w:val="nil"/>
              <w:right w:val="nil"/>
            </w:tcBorders>
          </w:tcPr>
          <w:p w14:paraId="68094C5A"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47C30BDC"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(0.316)</w:t>
            </w:r>
          </w:p>
        </w:tc>
      </w:tr>
      <w:tr w:rsidR="00575C28" w:rsidRPr="00575C28" w14:paraId="417EBBD5" w14:textId="77777777" w:rsidTr="001A15C0">
        <w:trPr>
          <w:jc w:val="center"/>
        </w:trPr>
        <w:tc>
          <w:tcPr>
            <w:tcW w:w="2955" w:type="dxa"/>
            <w:tcBorders>
              <w:top w:val="nil"/>
              <w:left w:val="nil"/>
              <w:bottom w:val="nil"/>
              <w:right w:val="nil"/>
            </w:tcBorders>
          </w:tcPr>
          <w:p w14:paraId="5522EE7C"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823E4D0"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40DCA44"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0157037" w14:textId="77777777" w:rsidR="00E8753D" w:rsidRPr="00575C28" w:rsidRDefault="00E8753D" w:rsidP="00EC4D5A">
            <w:pPr>
              <w:widowControl w:val="0"/>
              <w:autoSpaceDE w:val="0"/>
              <w:autoSpaceDN w:val="0"/>
              <w:adjustRightInd w:val="0"/>
              <w:jc w:val="both"/>
              <w:rPr>
                <w:color w:val="000000" w:themeColor="text1"/>
              </w:rPr>
            </w:pPr>
          </w:p>
        </w:tc>
      </w:tr>
      <w:tr w:rsidR="00575C28" w:rsidRPr="00575C28" w14:paraId="7D4B5962" w14:textId="77777777" w:rsidTr="001A15C0">
        <w:trPr>
          <w:jc w:val="center"/>
        </w:trPr>
        <w:tc>
          <w:tcPr>
            <w:tcW w:w="2955" w:type="dxa"/>
            <w:tcBorders>
              <w:top w:val="nil"/>
              <w:left w:val="nil"/>
              <w:bottom w:val="nil"/>
              <w:right w:val="nil"/>
            </w:tcBorders>
          </w:tcPr>
          <w:p w14:paraId="35F8A9A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Observations</w:t>
            </w:r>
          </w:p>
        </w:tc>
        <w:tc>
          <w:tcPr>
            <w:tcW w:w="1584" w:type="dxa"/>
            <w:tcBorders>
              <w:top w:val="nil"/>
              <w:left w:val="nil"/>
              <w:bottom w:val="nil"/>
              <w:right w:val="nil"/>
            </w:tcBorders>
          </w:tcPr>
          <w:p w14:paraId="1F914C4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129</w:t>
            </w:r>
          </w:p>
        </w:tc>
        <w:tc>
          <w:tcPr>
            <w:tcW w:w="1584" w:type="dxa"/>
            <w:tcBorders>
              <w:top w:val="nil"/>
              <w:left w:val="nil"/>
              <w:bottom w:val="nil"/>
              <w:right w:val="nil"/>
            </w:tcBorders>
          </w:tcPr>
          <w:p w14:paraId="24271243"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9F4541C"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125</w:t>
            </w:r>
          </w:p>
        </w:tc>
      </w:tr>
      <w:tr w:rsidR="00575C28" w:rsidRPr="00575C28" w14:paraId="57344530" w14:textId="77777777" w:rsidTr="001A15C0">
        <w:tblPrEx>
          <w:tblBorders>
            <w:bottom w:val="single" w:sz="6" w:space="0" w:color="auto"/>
          </w:tblBorders>
        </w:tblPrEx>
        <w:trPr>
          <w:jc w:val="center"/>
        </w:trPr>
        <w:tc>
          <w:tcPr>
            <w:tcW w:w="2955" w:type="dxa"/>
            <w:tcBorders>
              <w:top w:val="nil"/>
              <w:left w:val="nil"/>
              <w:bottom w:val="single" w:sz="6" w:space="0" w:color="auto"/>
              <w:right w:val="nil"/>
            </w:tcBorders>
          </w:tcPr>
          <w:p w14:paraId="4EB1130A"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 xml:space="preserve">R-squared </w:t>
            </w:r>
          </w:p>
        </w:tc>
        <w:tc>
          <w:tcPr>
            <w:tcW w:w="1584" w:type="dxa"/>
            <w:tcBorders>
              <w:top w:val="nil"/>
              <w:left w:val="nil"/>
              <w:bottom w:val="single" w:sz="6" w:space="0" w:color="auto"/>
              <w:right w:val="nil"/>
            </w:tcBorders>
          </w:tcPr>
          <w:p w14:paraId="7A344C0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0.982</w:t>
            </w:r>
          </w:p>
        </w:tc>
        <w:tc>
          <w:tcPr>
            <w:tcW w:w="1584" w:type="dxa"/>
            <w:tcBorders>
              <w:top w:val="nil"/>
              <w:left w:val="nil"/>
              <w:bottom w:val="single" w:sz="6" w:space="0" w:color="auto"/>
              <w:right w:val="nil"/>
            </w:tcBorders>
          </w:tcPr>
          <w:p w14:paraId="4354DFB6"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single" w:sz="6" w:space="0" w:color="auto"/>
              <w:right w:val="nil"/>
            </w:tcBorders>
          </w:tcPr>
          <w:p w14:paraId="2A17340B"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0.984</w:t>
            </w:r>
          </w:p>
        </w:tc>
      </w:tr>
    </w:tbl>
    <w:p w14:paraId="0B4F2F50" w14:textId="77777777" w:rsidR="00E8753D" w:rsidRPr="00575C28" w:rsidRDefault="00E8753D" w:rsidP="00EC4D5A">
      <w:pPr>
        <w:widowControl w:val="0"/>
        <w:autoSpaceDE w:val="0"/>
        <w:autoSpaceDN w:val="0"/>
        <w:adjustRightInd w:val="0"/>
        <w:ind w:firstLine="720"/>
        <w:jc w:val="both"/>
        <w:rPr>
          <w:color w:val="000000" w:themeColor="text1"/>
        </w:rPr>
      </w:pPr>
      <w:r w:rsidRPr="00575C28">
        <w:rPr>
          <w:color w:val="000000" w:themeColor="text1"/>
        </w:rPr>
        <w:t>Standard errors in parentheses. *, **, and *** indicate significance at 10, 5, and 1%</w:t>
      </w:r>
      <w:r w:rsidRPr="00575C28">
        <w:rPr>
          <w:color w:val="000000" w:themeColor="text1"/>
        </w:rPr>
        <w:tab/>
        <w:t>respectively</w:t>
      </w:r>
    </w:p>
    <w:p w14:paraId="5DD113E8" w14:textId="77777777" w:rsidR="00E8753D" w:rsidRPr="00575C28" w:rsidRDefault="00E8753D" w:rsidP="00EC4D5A">
      <w:pPr>
        <w:jc w:val="both"/>
        <w:rPr>
          <w:color w:val="000000" w:themeColor="text1"/>
        </w:rPr>
      </w:pPr>
    </w:p>
    <w:p w14:paraId="110A3F20" w14:textId="51245A9B" w:rsidR="00D1121F" w:rsidRPr="00575C28" w:rsidRDefault="00D1121F" w:rsidP="00EC4D5A">
      <w:pPr>
        <w:jc w:val="both"/>
        <w:rPr>
          <w:color w:val="000000" w:themeColor="text1"/>
        </w:rPr>
      </w:pPr>
    </w:p>
    <w:p w14:paraId="75FEA220" w14:textId="561DA96C" w:rsidR="00DE51E8" w:rsidRPr="00575C28" w:rsidRDefault="006B6D63" w:rsidP="00EC4D5A">
      <w:pPr>
        <w:spacing w:line="480" w:lineRule="auto"/>
        <w:ind w:firstLine="720"/>
        <w:jc w:val="both"/>
        <w:rPr>
          <w:color w:val="000000" w:themeColor="text1"/>
        </w:rPr>
      </w:pPr>
      <w:r w:rsidRPr="00575C28">
        <w:rPr>
          <w:color w:val="000000" w:themeColor="text1"/>
        </w:rPr>
        <w:t>Th</w:t>
      </w:r>
      <w:r w:rsidR="00752D6B" w:rsidRPr="00575C28">
        <w:rPr>
          <w:color w:val="000000" w:themeColor="text1"/>
        </w:rPr>
        <w:t>ese</w:t>
      </w:r>
      <w:r w:rsidRPr="00575C28">
        <w:rPr>
          <w:color w:val="000000" w:themeColor="text1"/>
        </w:rPr>
        <w:t xml:space="preserve"> result</w:t>
      </w:r>
      <w:r w:rsidR="00752D6B" w:rsidRPr="00575C28">
        <w:rPr>
          <w:color w:val="000000" w:themeColor="text1"/>
        </w:rPr>
        <w:t>s</w:t>
      </w:r>
      <w:r w:rsidRPr="00575C28">
        <w:rPr>
          <w:color w:val="000000" w:themeColor="text1"/>
        </w:rPr>
        <w:t xml:space="preserve"> contradict </w:t>
      </w:r>
      <w:r w:rsidR="003F1E45" w:rsidRPr="00575C28">
        <w:rPr>
          <w:color w:val="000000" w:themeColor="text1"/>
        </w:rPr>
        <w:t xml:space="preserve">those </w:t>
      </w:r>
      <w:r w:rsidRPr="00575C28">
        <w:rPr>
          <w:color w:val="000000" w:themeColor="text1"/>
        </w:rPr>
        <w:t xml:space="preserve">found in </w:t>
      </w:r>
      <w:r w:rsidR="005E5742" w:rsidRPr="00575C28">
        <w:rPr>
          <w:color w:val="000000" w:themeColor="text1"/>
        </w:rPr>
        <w:t xml:space="preserve">Catrinescu </w:t>
      </w:r>
      <w:r w:rsidR="00D82E27" w:rsidRPr="00575C28">
        <w:rPr>
          <w:color w:val="000000" w:themeColor="text1"/>
        </w:rPr>
        <w:t>et al.</w:t>
      </w:r>
      <w:r w:rsidR="005E5742" w:rsidRPr="00575C28">
        <w:rPr>
          <w:color w:val="000000" w:themeColor="text1"/>
        </w:rPr>
        <w:t xml:space="preserve"> (2009) </w:t>
      </w:r>
      <w:r w:rsidRPr="00575C28">
        <w:rPr>
          <w:color w:val="000000" w:themeColor="text1"/>
        </w:rPr>
        <w:t>and Zgh</w:t>
      </w:r>
      <w:r w:rsidR="005E5742" w:rsidRPr="00575C28">
        <w:rPr>
          <w:color w:val="000000" w:themeColor="text1"/>
        </w:rPr>
        <w:t xml:space="preserve">idi </w:t>
      </w:r>
      <w:r w:rsidR="00D82E27" w:rsidRPr="00575C28">
        <w:rPr>
          <w:color w:val="000000" w:themeColor="text1"/>
        </w:rPr>
        <w:t>et al.</w:t>
      </w:r>
      <w:r w:rsidR="005E5742" w:rsidRPr="00575C28">
        <w:rPr>
          <w:color w:val="000000" w:themeColor="text1"/>
        </w:rPr>
        <w:t xml:space="preserve"> (2018)</w:t>
      </w:r>
      <w:r w:rsidR="00FF2DCB" w:rsidRPr="00575C28">
        <w:rPr>
          <w:color w:val="000000" w:themeColor="text1"/>
        </w:rPr>
        <w:t>.</w:t>
      </w:r>
      <w:r w:rsidR="00605D04" w:rsidRPr="00575C28">
        <w:rPr>
          <w:color w:val="000000" w:themeColor="text1"/>
        </w:rPr>
        <w:t xml:space="preserve">  One theory explaining these contradictory results is</w:t>
      </w:r>
      <w:r w:rsidR="001871DD" w:rsidRPr="00575C28">
        <w:rPr>
          <w:color w:val="000000" w:themeColor="text1"/>
        </w:rPr>
        <w:t xml:space="preserve"> that</w:t>
      </w:r>
      <w:r w:rsidR="00605D04" w:rsidRPr="00575C28">
        <w:rPr>
          <w:color w:val="000000" w:themeColor="text1"/>
        </w:rPr>
        <w:t xml:space="preserve"> in South Asia, remittances</w:t>
      </w:r>
      <w:r w:rsidR="001871DD" w:rsidRPr="00575C28">
        <w:rPr>
          <w:color w:val="000000" w:themeColor="text1"/>
        </w:rPr>
        <w:t xml:space="preserve"> and institutional quality may be substitutes.</w:t>
      </w:r>
      <w:r w:rsidR="00721B09" w:rsidRPr="00575C28">
        <w:rPr>
          <w:color w:val="000000" w:themeColor="text1"/>
        </w:rPr>
        <w:t xml:space="preserve"> When institutions are poorly developed, households have </w:t>
      </w:r>
      <w:r w:rsidR="00F83D9B" w:rsidRPr="00575C28">
        <w:rPr>
          <w:color w:val="000000" w:themeColor="text1"/>
        </w:rPr>
        <w:t>poor</w:t>
      </w:r>
      <w:r w:rsidR="00721B09" w:rsidRPr="00575C28">
        <w:rPr>
          <w:color w:val="000000" w:themeColor="text1"/>
        </w:rPr>
        <w:t xml:space="preserve"> access to finance. In this case, remittances may be used as an alternative source of finance and </w:t>
      </w:r>
      <w:r w:rsidR="00F83D9B" w:rsidRPr="00575C28">
        <w:rPr>
          <w:color w:val="000000" w:themeColor="text1"/>
        </w:rPr>
        <w:t xml:space="preserve">then </w:t>
      </w:r>
      <w:r w:rsidR="00721B09" w:rsidRPr="00575C28">
        <w:rPr>
          <w:color w:val="000000" w:themeColor="text1"/>
        </w:rPr>
        <w:t xml:space="preserve">residents </w:t>
      </w:r>
      <w:r w:rsidR="00F83D9B" w:rsidRPr="00575C28">
        <w:rPr>
          <w:color w:val="000000" w:themeColor="text1"/>
        </w:rPr>
        <w:t xml:space="preserve">can </w:t>
      </w:r>
      <w:r w:rsidR="00721B09" w:rsidRPr="00575C28">
        <w:rPr>
          <w:color w:val="000000" w:themeColor="text1"/>
        </w:rPr>
        <w:t>use remittances to invest in physical and human capital. Our</w:t>
      </w:r>
      <w:r w:rsidR="001871DD" w:rsidRPr="00575C28">
        <w:rPr>
          <w:color w:val="000000" w:themeColor="text1"/>
        </w:rPr>
        <w:t xml:space="preserve"> results suggest that remittances are </w:t>
      </w:r>
      <w:r w:rsidR="004B4277" w:rsidRPr="00575C28">
        <w:rPr>
          <w:color w:val="000000" w:themeColor="text1"/>
        </w:rPr>
        <w:t>most effective in low levels of institutional quality</w:t>
      </w:r>
      <w:r w:rsidR="001871DD" w:rsidRPr="00575C28">
        <w:rPr>
          <w:color w:val="000000" w:themeColor="text1"/>
        </w:rPr>
        <w:t xml:space="preserve">, which gives credence to the argument that remittances and institutional quality are </w:t>
      </w:r>
      <w:r w:rsidR="007B703F" w:rsidRPr="00575C28">
        <w:rPr>
          <w:color w:val="000000" w:themeColor="text1"/>
        </w:rPr>
        <w:t>substitutes</w:t>
      </w:r>
      <w:r w:rsidR="004B4277" w:rsidRPr="00575C28">
        <w:rPr>
          <w:color w:val="000000" w:themeColor="text1"/>
        </w:rPr>
        <w:t xml:space="preserve">. </w:t>
      </w:r>
    </w:p>
    <w:p w14:paraId="5AE2FD31" w14:textId="77777777" w:rsidR="00E8753D" w:rsidRPr="00575C28" w:rsidRDefault="00E8753D" w:rsidP="00EC4D5A">
      <w:pPr>
        <w:jc w:val="both"/>
        <w:rPr>
          <w:color w:val="000000" w:themeColor="text1"/>
        </w:rPr>
      </w:pPr>
    </w:p>
    <w:p w14:paraId="54657923" w14:textId="53E522AF" w:rsidR="00E8753D" w:rsidRPr="00575C28" w:rsidRDefault="00E8753D" w:rsidP="00EC4D5A">
      <w:pPr>
        <w:jc w:val="both"/>
        <w:rPr>
          <w:color w:val="000000" w:themeColor="text1"/>
        </w:rPr>
      </w:pPr>
    </w:p>
    <w:p w14:paraId="2C30AC89"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 xml:space="preserve">Table 3:  Remittances and economic growth: System GMM estimation  </w:t>
      </w:r>
    </w:p>
    <w:p w14:paraId="6257C88D" w14:textId="77777777" w:rsidR="00E8753D" w:rsidRPr="00575C28" w:rsidRDefault="00E8753D" w:rsidP="00EC4D5A">
      <w:pPr>
        <w:widowControl w:val="0"/>
        <w:autoSpaceDE w:val="0"/>
        <w:autoSpaceDN w:val="0"/>
        <w:adjustRightInd w:val="0"/>
        <w:jc w:val="both"/>
        <w:rPr>
          <w:color w:val="000000" w:themeColor="text1"/>
        </w:rPr>
      </w:pPr>
    </w:p>
    <w:tbl>
      <w:tblPr>
        <w:tblW w:w="7707" w:type="dxa"/>
        <w:jc w:val="center"/>
        <w:tblLayout w:type="fixed"/>
        <w:tblCellMar>
          <w:left w:w="75" w:type="dxa"/>
          <w:right w:w="75" w:type="dxa"/>
        </w:tblCellMar>
        <w:tblLook w:val="0000" w:firstRow="0" w:lastRow="0" w:firstColumn="0" w:lastColumn="0" w:noHBand="0" w:noVBand="0"/>
      </w:tblPr>
      <w:tblGrid>
        <w:gridCol w:w="2955"/>
        <w:gridCol w:w="1584"/>
        <w:gridCol w:w="1584"/>
        <w:gridCol w:w="1584"/>
      </w:tblGrid>
      <w:tr w:rsidR="00575C28" w:rsidRPr="00575C28" w14:paraId="333B3DB8" w14:textId="77777777" w:rsidTr="001A15C0">
        <w:trPr>
          <w:jc w:val="center"/>
        </w:trPr>
        <w:tc>
          <w:tcPr>
            <w:tcW w:w="2955" w:type="dxa"/>
            <w:tcBorders>
              <w:top w:val="single" w:sz="6" w:space="0" w:color="auto"/>
              <w:left w:val="nil"/>
              <w:bottom w:val="nil"/>
              <w:right w:val="nil"/>
            </w:tcBorders>
          </w:tcPr>
          <w:p w14:paraId="5CB5BFAF"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single" w:sz="6" w:space="0" w:color="auto"/>
              <w:left w:val="nil"/>
              <w:bottom w:val="nil"/>
              <w:right w:val="nil"/>
            </w:tcBorders>
          </w:tcPr>
          <w:p w14:paraId="43877D15"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(1)</w:t>
            </w:r>
          </w:p>
        </w:tc>
        <w:tc>
          <w:tcPr>
            <w:tcW w:w="1584" w:type="dxa"/>
            <w:tcBorders>
              <w:top w:val="single" w:sz="6" w:space="0" w:color="auto"/>
              <w:left w:val="nil"/>
              <w:bottom w:val="nil"/>
              <w:right w:val="nil"/>
            </w:tcBorders>
          </w:tcPr>
          <w:p w14:paraId="3FD666AC"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single" w:sz="6" w:space="0" w:color="auto"/>
              <w:left w:val="nil"/>
              <w:bottom w:val="nil"/>
              <w:right w:val="nil"/>
            </w:tcBorders>
          </w:tcPr>
          <w:p w14:paraId="1F2D985F"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(2)</w:t>
            </w:r>
          </w:p>
        </w:tc>
      </w:tr>
      <w:tr w:rsidR="00575C28" w:rsidRPr="00575C28" w14:paraId="2EC0E944" w14:textId="77777777" w:rsidTr="001A15C0">
        <w:trPr>
          <w:jc w:val="center"/>
        </w:trPr>
        <w:tc>
          <w:tcPr>
            <w:tcW w:w="2955" w:type="dxa"/>
            <w:tcBorders>
              <w:top w:val="nil"/>
              <w:left w:val="nil"/>
              <w:bottom w:val="single" w:sz="6" w:space="0" w:color="auto"/>
              <w:right w:val="nil"/>
            </w:tcBorders>
          </w:tcPr>
          <w:p w14:paraId="02BB8115"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Dependent Variable: GDP growth per capita</w:t>
            </w:r>
          </w:p>
        </w:tc>
        <w:tc>
          <w:tcPr>
            <w:tcW w:w="1584" w:type="dxa"/>
            <w:tcBorders>
              <w:top w:val="nil"/>
              <w:left w:val="nil"/>
              <w:bottom w:val="single" w:sz="6" w:space="0" w:color="auto"/>
              <w:right w:val="nil"/>
            </w:tcBorders>
          </w:tcPr>
          <w:p w14:paraId="6E53AFCF"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single" w:sz="6" w:space="0" w:color="auto"/>
              <w:right w:val="nil"/>
            </w:tcBorders>
          </w:tcPr>
          <w:p w14:paraId="1B8C8659" w14:textId="77777777" w:rsidR="00E8753D" w:rsidRPr="00575C28" w:rsidRDefault="00E8753D" w:rsidP="00EC4D5A">
            <w:pPr>
              <w:widowControl w:val="0"/>
              <w:autoSpaceDE w:val="0"/>
              <w:autoSpaceDN w:val="0"/>
              <w:adjustRightInd w:val="0"/>
              <w:jc w:val="both"/>
              <w:rPr>
                <w:b/>
                <w:bCs/>
                <w:color w:val="000000" w:themeColor="text1"/>
              </w:rPr>
            </w:pPr>
          </w:p>
        </w:tc>
        <w:tc>
          <w:tcPr>
            <w:tcW w:w="1584" w:type="dxa"/>
            <w:tcBorders>
              <w:top w:val="nil"/>
              <w:left w:val="nil"/>
              <w:bottom w:val="single" w:sz="6" w:space="0" w:color="auto"/>
              <w:right w:val="nil"/>
            </w:tcBorders>
          </w:tcPr>
          <w:p w14:paraId="790ACF55" w14:textId="77777777" w:rsidR="00E8753D" w:rsidRPr="00575C28" w:rsidRDefault="00E8753D" w:rsidP="00EC4D5A">
            <w:pPr>
              <w:widowControl w:val="0"/>
              <w:autoSpaceDE w:val="0"/>
              <w:autoSpaceDN w:val="0"/>
              <w:adjustRightInd w:val="0"/>
              <w:jc w:val="both"/>
              <w:rPr>
                <w:b/>
                <w:bCs/>
                <w:color w:val="000000" w:themeColor="text1"/>
              </w:rPr>
            </w:pPr>
          </w:p>
        </w:tc>
      </w:tr>
      <w:tr w:rsidR="00575C28" w:rsidRPr="00575C28" w14:paraId="1D35DBF6" w14:textId="77777777" w:rsidTr="001A15C0">
        <w:trPr>
          <w:jc w:val="center"/>
        </w:trPr>
        <w:tc>
          <w:tcPr>
            <w:tcW w:w="2955" w:type="dxa"/>
            <w:tcBorders>
              <w:top w:val="nil"/>
              <w:left w:val="nil"/>
              <w:bottom w:val="nil"/>
              <w:right w:val="nil"/>
            </w:tcBorders>
          </w:tcPr>
          <w:p w14:paraId="39C1931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Independent Variables</w:t>
            </w:r>
          </w:p>
        </w:tc>
        <w:tc>
          <w:tcPr>
            <w:tcW w:w="1584" w:type="dxa"/>
            <w:tcBorders>
              <w:top w:val="nil"/>
              <w:left w:val="nil"/>
              <w:bottom w:val="nil"/>
              <w:right w:val="nil"/>
            </w:tcBorders>
          </w:tcPr>
          <w:p w14:paraId="5233EA50"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2CB0D18F" w14:textId="77777777" w:rsidR="00E8753D" w:rsidRPr="00575C28" w:rsidRDefault="00E8753D" w:rsidP="00EC4D5A">
            <w:pPr>
              <w:widowControl w:val="0"/>
              <w:autoSpaceDE w:val="0"/>
              <w:autoSpaceDN w:val="0"/>
              <w:adjustRightInd w:val="0"/>
              <w:jc w:val="both"/>
              <w:rPr>
                <w:b/>
                <w:bCs/>
                <w:color w:val="000000" w:themeColor="text1"/>
              </w:rPr>
            </w:pPr>
          </w:p>
        </w:tc>
        <w:tc>
          <w:tcPr>
            <w:tcW w:w="1584" w:type="dxa"/>
            <w:tcBorders>
              <w:top w:val="nil"/>
              <w:left w:val="nil"/>
              <w:bottom w:val="nil"/>
              <w:right w:val="nil"/>
            </w:tcBorders>
          </w:tcPr>
          <w:p w14:paraId="16643444" w14:textId="77777777" w:rsidR="00E8753D" w:rsidRPr="00575C28" w:rsidRDefault="00E8753D" w:rsidP="00EC4D5A">
            <w:pPr>
              <w:widowControl w:val="0"/>
              <w:autoSpaceDE w:val="0"/>
              <w:autoSpaceDN w:val="0"/>
              <w:adjustRightInd w:val="0"/>
              <w:jc w:val="both"/>
              <w:rPr>
                <w:b/>
                <w:bCs/>
                <w:color w:val="000000" w:themeColor="text1"/>
              </w:rPr>
            </w:pPr>
          </w:p>
        </w:tc>
      </w:tr>
      <w:tr w:rsidR="00575C28" w:rsidRPr="00575C28" w14:paraId="4DE10EF7" w14:textId="77777777" w:rsidTr="001A15C0">
        <w:trPr>
          <w:jc w:val="center"/>
        </w:trPr>
        <w:tc>
          <w:tcPr>
            <w:tcW w:w="2955" w:type="dxa"/>
            <w:tcBorders>
              <w:top w:val="nil"/>
              <w:left w:val="nil"/>
              <w:bottom w:val="nil"/>
              <w:right w:val="nil"/>
            </w:tcBorders>
          </w:tcPr>
          <w:p w14:paraId="36443C3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2C7E220"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93ACA07" w14:textId="77777777" w:rsidR="00E8753D" w:rsidRPr="00575C28" w:rsidRDefault="00E8753D" w:rsidP="00EC4D5A">
            <w:pPr>
              <w:widowControl w:val="0"/>
              <w:autoSpaceDE w:val="0"/>
              <w:autoSpaceDN w:val="0"/>
              <w:adjustRightInd w:val="0"/>
              <w:jc w:val="both"/>
              <w:rPr>
                <w:b/>
                <w:bCs/>
                <w:color w:val="000000" w:themeColor="text1"/>
              </w:rPr>
            </w:pPr>
          </w:p>
        </w:tc>
        <w:tc>
          <w:tcPr>
            <w:tcW w:w="1584" w:type="dxa"/>
            <w:tcBorders>
              <w:top w:val="nil"/>
              <w:left w:val="nil"/>
              <w:bottom w:val="nil"/>
              <w:right w:val="nil"/>
            </w:tcBorders>
          </w:tcPr>
          <w:p w14:paraId="5F6557AA" w14:textId="77777777" w:rsidR="00E8753D" w:rsidRPr="00575C28" w:rsidRDefault="00E8753D" w:rsidP="00EC4D5A">
            <w:pPr>
              <w:widowControl w:val="0"/>
              <w:autoSpaceDE w:val="0"/>
              <w:autoSpaceDN w:val="0"/>
              <w:adjustRightInd w:val="0"/>
              <w:jc w:val="both"/>
              <w:rPr>
                <w:b/>
                <w:bCs/>
                <w:color w:val="000000" w:themeColor="text1"/>
              </w:rPr>
            </w:pPr>
          </w:p>
        </w:tc>
      </w:tr>
      <w:tr w:rsidR="00575C28" w:rsidRPr="00575C28" w14:paraId="57601C4E" w14:textId="77777777" w:rsidTr="001A15C0">
        <w:trPr>
          <w:jc w:val="center"/>
        </w:trPr>
        <w:tc>
          <w:tcPr>
            <w:tcW w:w="2955" w:type="dxa"/>
            <w:tcBorders>
              <w:top w:val="nil"/>
              <w:left w:val="nil"/>
              <w:bottom w:val="nil"/>
              <w:right w:val="nil"/>
            </w:tcBorders>
          </w:tcPr>
          <w:p w14:paraId="4E07FD6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Initial GDP per capita</w:t>
            </w:r>
          </w:p>
        </w:tc>
        <w:tc>
          <w:tcPr>
            <w:tcW w:w="1584" w:type="dxa"/>
            <w:tcBorders>
              <w:top w:val="nil"/>
              <w:left w:val="nil"/>
              <w:bottom w:val="nil"/>
              <w:right w:val="nil"/>
            </w:tcBorders>
          </w:tcPr>
          <w:p w14:paraId="239088C5"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0.949***</w:t>
            </w:r>
          </w:p>
        </w:tc>
        <w:tc>
          <w:tcPr>
            <w:tcW w:w="1584" w:type="dxa"/>
            <w:tcBorders>
              <w:top w:val="nil"/>
              <w:left w:val="nil"/>
              <w:bottom w:val="nil"/>
              <w:right w:val="nil"/>
            </w:tcBorders>
          </w:tcPr>
          <w:p w14:paraId="7ADBC42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C021803"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0.956***</w:t>
            </w:r>
          </w:p>
        </w:tc>
      </w:tr>
      <w:tr w:rsidR="00575C28" w:rsidRPr="00575C28" w14:paraId="4944D826" w14:textId="77777777" w:rsidTr="001A15C0">
        <w:trPr>
          <w:jc w:val="center"/>
        </w:trPr>
        <w:tc>
          <w:tcPr>
            <w:tcW w:w="2955" w:type="dxa"/>
            <w:tcBorders>
              <w:top w:val="nil"/>
              <w:left w:val="nil"/>
              <w:bottom w:val="nil"/>
              <w:right w:val="nil"/>
            </w:tcBorders>
          </w:tcPr>
          <w:p w14:paraId="1D2AC7C9"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D3F2FA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(0.0298)</w:t>
            </w:r>
          </w:p>
        </w:tc>
        <w:tc>
          <w:tcPr>
            <w:tcW w:w="1584" w:type="dxa"/>
            <w:tcBorders>
              <w:top w:val="nil"/>
              <w:left w:val="nil"/>
              <w:bottom w:val="nil"/>
              <w:right w:val="nil"/>
            </w:tcBorders>
          </w:tcPr>
          <w:p w14:paraId="4C130383"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107A9222"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(0.0348)</w:t>
            </w:r>
          </w:p>
        </w:tc>
      </w:tr>
      <w:tr w:rsidR="00575C28" w:rsidRPr="00575C28" w14:paraId="2D97B45F" w14:textId="77777777" w:rsidTr="001A15C0">
        <w:trPr>
          <w:jc w:val="center"/>
        </w:trPr>
        <w:tc>
          <w:tcPr>
            <w:tcW w:w="2955" w:type="dxa"/>
            <w:tcBorders>
              <w:top w:val="nil"/>
              <w:left w:val="nil"/>
              <w:bottom w:val="nil"/>
              <w:right w:val="nil"/>
            </w:tcBorders>
          </w:tcPr>
          <w:p w14:paraId="712513AD"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REM</w:t>
            </w:r>
          </w:p>
        </w:tc>
        <w:tc>
          <w:tcPr>
            <w:tcW w:w="1584" w:type="dxa"/>
            <w:tcBorders>
              <w:top w:val="nil"/>
              <w:left w:val="nil"/>
              <w:bottom w:val="nil"/>
              <w:right w:val="nil"/>
            </w:tcBorders>
          </w:tcPr>
          <w:p w14:paraId="3670C6F0"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0.0543***</w:t>
            </w:r>
          </w:p>
        </w:tc>
        <w:tc>
          <w:tcPr>
            <w:tcW w:w="1584" w:type="dxa"/>
            <w:tcBorders>
              <w:top w:val="nil"/>
              <w:left w:val="nil"/>
              <w:bottom w:val="nil"/>
              <w:right w:val="nil"/>
            </w:tcBorders>
          </w:tcPr>
          <w:p w14:paraId="1F8CBF07"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5894136"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0.201***</w:t>
            </w:r>
          </w:p>
        </w:tc>
      </w:tr>
      <w:tr w:rsidR="00575C28" w:rsidRPr="00575C28" w14:paraId="088FD981" w14:textId="77777777" w:rsidTr="001A15C0">
        <w:trPr>
          <w:jc w:val="center"/>
        </w:trPr>
        <w:tc>
          <w:tcPr>
            <w:tcW w:w="2955" w:type="dxa"/>
            <w:tcBorders>
              <w:top w:val="nil"/>
              <w:left w:val="nil"/>
              <w:bottom w:val="nil"/>
              <w:right w:val="nil"/>
            </w:tcBorders>
          </w:tcPr>
          <w:p w14:paraId="2FEF6ED0"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F7AF449"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(0.0179)</w:t>
            </w:r>
          </w:p>
        </w:tc>
        <w:tc>
          <w:tcPr>
            <w:tcW w:w="1584" w:type="dxa"/>
            <w:tcBorders>
              <w:top w:val="nil"/>
              <w:left w:val="nil"/>
              <w:bottom w:val="nil"/>
              <w:right w:val="nil"/>
            </w:tcBorders>
          </w:tcPr>
          <w:p w14:paraId="7AFA5C5F"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1B6B021"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(0.0745)</w:t>
            </w:r>
          </w:p>
        </w:tc>
      </w:tr>
      <w:tr w:rsidR="00575C28" w:rsidRPr="00575C28" w14:paraId="5B44DE97" w14:textId="77777777" w:rsidTr="001A15C0">
        <w:trPr>
          <w:jc w:val="center"/>
        </w:trPr>
        <w:tc>
          <w:tcPr>
            <w:tcW w:w="2955" w:type="dxa"/>
            <w:tcBorders>
              <w:top w:val="nil"/>
              <w:left w:val="nil"/>
              <w:bottom w:val="nil"/>
              <w:right w:val="nil"/>
            </w:tcBorders>
          </w:tcPr>
          <w:p w14:paraId="1197D28D"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GCF</w:t>
            </w:r>
          </w:p>
        </w:tc>
        <w:tc>
          <w:tcPr>
            <w:tcW w:w="1584" w:type="dxa"/>
            <w:tcBorders>
              <w:top w:val="nil"/>
              <w:left w:val="nil"/>
              <w:bottom w:val="nil"/>
              <w:right w:val="nil"/>
            </w:tcBorders>
          </w:tcPr>
          <w:p w14:paraId="087536E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0.00388**</w:t>
            </w:r>
          </w:p>
        </w:tc>
        <w:tc>
          <w:tcPr>
            <w:tcW w:w="1584" w:type="dxa"/>
            <w:tcBorders>
              <w:top w:val="nil"/>
              <w:left w:val="nil"/>
              <w:bottom w:val="nil"/>
              <w:right w:val="nil"/>
            </w:tcBorders>
          </w:tcPr>
          <w:p w14:paraId="13C800E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AD86919"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0.00210</w:t>
            </w:r>
          </w:p>
        </w:tc>
      </w:tr>
      <w:tr w:rsidR="00575C28" w:rsidRPr="00575C28" w14:paraId="0B38B700" w14:textId="77777777" w:rsidTr="001A15C0">
        <w:trPr>
          <w:jc w:val="center"/>
        </w:trPr>
        <w:tc>
          <w:tcPr>
            <w:tcW w:w="2955" w:type="dxa"/>
            <w:tcBorders>
              <w:top w:val="nil"/>
              <w:left w:val="nil"/>
              <w:bottom w:val="nil"/>
              <w:right w:val="nil"/>
            </w:tcBorders>
          </w:tcPr>
          <w:p w14:paraId="7C1C2017"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E081F5E"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(0.00193)</w:t>
            </w:r>
          </w:p>
        </w:tc>
        <w:tc>
          <w:tcPr>
            <w:tcW w:w="1584" w:type="dxa"/>
            <w:tcBorders>
              <w:top w:val="nil"/>
              <w:left w:val="nil"/>
              <w:bottom w:val="nil"/>
              <w:right w:val="nil"/>
            </w:tcBorders>
          </w:tcPr>
          <w:p w14:paraId="78A853A7"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6C9E2D32"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(0.00201)</w:t>
            </w:r>
          </w:p>
        </w:tc>
      </w:tr>
      <w:tr w:rsidR="00575C28" w:rsidRPr="00575C28" w14:paraId="19184ED1" w14:textId="77777777" w:rsidTr="001A15C0">
        <w:trPr>
          <w:jc w:val="center"/>
        </w:trPr>
        <w:tc>
          <w:tcPr>
            <w:tcW w:w="2955" w:type="dxa"/>
            <w:tcBorders>
              <w:top w:val="nil"/>
              <w:left w:val="nil"/>
              <w:bottom w:val="nil"/>
              <w:right w:val="nil"/>
            </w:tcBorders>
          </w:tcPr>
          <w:p w14:paraId="19D13AC4"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PRIM</w:t>
            </w:r>
          </w:p>
        </w:tc>
        <w:tc>
          <w:tcPr>
            <w:tcW w:w="1584" w:type="dxa"/>
            <w:tcBorders>
              <w:top w:val="nil"/>
              <w:left w:val="nil"/>
              <w:bottom w:val="nil"/>
              <w:right w:val="nil"/>
            </w:tcBorders>
          </w:tcPr>
          <w:p w14:paraId="0AC83AC9"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-0.00114</w:t>
            </w:r>
          </w:p>
        </w:tc>
        <w:tc>
          <w:tcPr>
            <w:tcW w:w="1584" w:type="dxa"/>
            <w:tcBorders>
              <w:top w:val="nil"/>
              <w:left w:val="nil"/>
              <w:bottom w:val="nil"/>
              <w:right w:val="nil"/>
            </w:tcBorders>
          </w:tcPr>
          <w:p w14:paraId="3E83F2BB"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6703D53C"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-0.00131</w:t>
            </w:r>
          </w:p>
        </w:tc>
      </w:tr>
      <w:tr w:rsidR="00575C28" w:rsidRPr="00575C28" w14:paraId="7A677436" w14:textId="77777777" w:rsidTr="001A15C0">
        <w:trPr>
          <w:jc w:val="center"/>
        </w:trPr>
        <w:tc>
          <w:tcPr>
            <w:tcW w:w="2955" w:type="dxa"/>
            <w:tcBorders>
              <w:top w:val="nil"/>
              <w:left w:val="nil"/>
              <w:bottom w:val="nil"/>
              <w:right w:val="nil"/>
            </w:tcBorders>
          </w:tcPr>
          <w:p w14:paraId="5494709B"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DB0CB7D"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(0.00107)</w:t>
            </w:r>
          </w:p>
        </w:tc>
        <w:tc>
          <w:tcPr>
            <w:tcW w:w="1584" w:type="dxa"/>
            <w:tcBorders>
              <w:top w:val="nil"/>
              <w:left w:val="nil"/>
              <w:bottom w:val="nil"/>
              <w:right w:val="nil"/>
            </w:tcBorders>
          </w:tcPr>
          <w:p w14:paraId="627B6AC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3BD25FF"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(0.00106)</w:t>
            </w:r>
          </w:p>
        </w:tc>
      </w:tr>
      <w:tr w:rsidR="00575C28" w:rsidRPr="00575C28" w14:paraId="100EE29B" w14:textId="77777777" w:rsidTr="001A15C0">
        <w:trPr>
          <w:jc w:val="center"/>
        </w:trPr>
        <w:tc>
          <w:tcPr>
            <w:tcW w:w="2955" w:type="dxa"/>
            <w:tcBorders>
              <w:top w:val="nil"/>
              <w:left w:val="nil"/>
              <w:bottom w:val="nil"/>
              <w:right w:val="nil"/>
            </w:tcBorders>
          </w:tcPr>
          <w:p w14:paraId="6DE22DE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POP</w:t>
            </w:r>
          </w:p>
        </w:tc>
        <w:tc>
          <w:tcPr>
            <w:tcW w:w="1584" w:type="dxa"/>
            <w:tcBorders>
              <w:top w:val="nil"/>
              <w:left w:val="nil"/>
              <w:bottom w:val="nil"/>
              <w:right w:val="nil"/>
            </w:tcBorders>
          </w:tcPr>
          <w:p w14:paraId="19071118"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-0.0629</w:t>
            </w:r>
          </w:p>
        </w:tc>
        <w:tc>
          <w:tcPr>
            <w:tcW w:w="1584" w:type="dxa"/>
            <w:tcBorders>
              <w:top w:val="nil"/>
              <w:left w:val="nil"/>
              <w:bottom w:val="nil"/>
              <w:right w:val="nil"/>
            </w:tcBorders>
          </w:tcPr>
          <w:p w14:paraId="3F277F0A"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69417ABF"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-0.0671*</w:t>
            </w:r>
          </w:p>
        </w:tc>
      </w:tr>
      <w:tr w:rsidR="00575C28" w:rsidRPr="00575C28" w14:paraId="305A3C96" w14:textId="77777777" w:rsidTr="001A15C0">
        <w:trPr>
          <w:jc w:val="center"/>
        </w:trPr>
        <w:tc>
          <w:tcPr>
            <w:tcW w:w="2955" w:type="dxa"/>
            <w:tcBorders>
              <w:top w:val="nil"/>
              <w:left w:val="nil"/>
              <w:bottom w:val="nil"/>
              <w:right w:val="nil"/>
            </w:tcBorders>
          </w:tcPr>
          <w:p w14:paraId="26181965"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592FD4E"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(0.0388)</w:t>
            </w:r>
          </w:p>
        </w:tc>
        <w:tc>
          <w:tcPr>
            <w:tcW w:w="1584" w:type="dxa"/>
            <w:tcBorders>
              <w:top w:val="nil"/>
              <w:left w:val="nil"/>
              <w:bottom w:val="nil"/>
              <w:right w:val="nil"/>
            </w:tcBorders>
          </w:tcPr>
          <w:p w14:paraId="730C42F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8730A2D"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(0.0353)</w:t>
            </w:r>
          </w:p>
        </w:tc>
      </w:tr>
      <w:tr w:rsidR="00575C28" w:rsidRPr="00575C28" w14:paraId="2D077073" w14:textId="77777777" w:rsidTr="001A15C0">
        <w:trPr>
          <w:jc w:val="center"/>
        </w:trPr>
        <w:tc>
          <w:tcPr>
            <w:tcW w:w="2955" w:type="dxa"/>
            <w:tcBorders>
              <w:top w:val="nil"/>
              <w:left w:val="nil"/>
              <w:bottom w:val="nil"/>
              <w:right w:val="nil"/>
            </w:tcBorders>
          </w:tcPr>
          <w:p w14:paraId="10D310F9"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TRADE</w:t>
            </w:r>
          </w:p>
        </w:tc>
        <w:tc>
          <w:tcPr>
            <w:tcW w:w="1584" w:type="dxa"/>
            <w:tcBorders>
              <w:top w:val="nil"/>
              <w:left w:val="nil"/>
              <w:bottom w:val="nil"/>
              <w:right w:val="nil"/>
            </w:tcBorders>
          </w:tcPr>
          <w:p w14:paraId="0C3EE91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-0.00134*</w:t>
            </w:r>
          </w:p>
        </w:tc>
        <w:tc>
          <w:tcPr>
            <w:tcW w:w="1584" w:type="dxa"/>
            <w:tcBorders>
              <w:top w:val="nil"/>
              <w:left w:val="nil"/>
              <w:bottom w:val="nil"/>
              <w:right w:val="nil"/>
            </w:tcBorders>
          </w:tcPr>
          <w:p w14:paraId="647FE506"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19820BB2"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-0.000976</w:t>
            </w:r>
          </w:p>
        </w:tc>
      </w:tr>
      <w:tr w:rsidR="00575C28" w:rsidRPr="00575C28" w14:paraId="19CBD8B9" w14:textId="77777777" w:rsidTr="001A15C0">
        <w:trPr>
          <w:jc w:val="center"/>
        </w:trPr>
        <w:tc>
          <w:tcPr>
            <w:tcW w:w="2955" w:type="dxa"/>
            <w:tcBorders>
              <w:top w:val="nil"/>
              <w:left w:val="nil"/>
              <w:bottom w:val="nil"/>
              <w:right w:val="nil"/>
            </w:tcBorders>
          </w:tcPr>
          <w:p w14:paraId="1171BBE1"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34160E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(0.00116)</w:t>
            </w:r>
          </w:p>
        </w:tc>
        <w:tc>
          <w:tcPr>
            <w:tcW w:w="1584" w:type="dxa"/>
            <w:tcBorders>
              <w:top w:val="nil"/>
              <w:left w:val="nil"/>
              <w:bottom w:val="nil"/>
              <w:right w:val="nil"/>
            </w:tcBorders>
          </w:tcPr>
          <w:p w14:paraId="0E2E9625"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2C42CD54"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(0.000849)</w:t>
            </w:r>
          </w:p>
        </w:tc>
      </w:tr>
      <w:tr w:rsidR="00575C28" w:rsidRPr="00575C28" w14:paraId="6CADCD05" w14:textId="77777777" w:rsidTr="001A15C0">
        <w:trPr>
          <w:jc w:val="center"/>
        </w:trPr>
        <w:tc>
          <w:tcPr>
            <w:tcW w:w="2955" w:type="dxa"/>
            <w:tcBorders>
              <w:top w:val="nil"/>
              <w:left w:val="nil"/>
              <w:bottom w:val="nil"/>
              <w:right w:val="nil"/>
            </w:tcBorders>
          </w:tcPr>
          <w:p w14:paraId="3C45F67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EFI</w:t>
            </w:r>
          </w:p>
        </w:tc>
        <w:tc>
          <w:tcPr>
            <w:tcW w:w="1584" w:type="dxa"/>
            <w:tcBorders>
              <w:top w:val="nil"/>
              <w:left w:val="nil"/>
              <w:bottom w:val="nil"/>
              <w:right w:val="nil"/>
            </w:tcBorders>
          </w:tcPr>
          <w:p w14:paraId="630C2098"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w:t>
            </w:r>
          </w:p>
        </w:tc>
        <w:tc>
          <w:tcPr>
            <w:tcW w:w="1584" w:type="dxa"/>
            <w:tcBorders>
              <w:top w:val="nil"/>
              <w:left w:val="nil"/>
              <w:bottom w:val="nil"/>
              <w:right w:val="nil"/>
            </w:tcBorders>
          </w:tcPr>
          <w:p w14:paraId="634B555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5C16AB13"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0.0572**</w:t>
            </w:r>
          </w:p>
        </w:tc>
      </w:tr>
      <w:tr w:rsidR="00575C28" w:rsidRPr="00575C28" w14:paraId="1F948301" w14:textId="77777777" w:rsidTr="001A15C0">
        <w:trPr>
          <w:jc w:val="center"/>
        </w:trPr>
        <w:tc>
          <w:tcPr>
            <w:tcW w:w="2955" w:type="dxa"/>
            <w:tcBorders>
              <w:top w:val="nil"/>
              <w:left w:val="nil"/>
              <w:bottom w:val="nil"/>
              <w:right w:val="nil"/>
            </w:tcBorders>
          </w:tcPr>
          <w:p w14:paraId="629F1FD7"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D957205"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943E768"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D116675"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(0.0230)</w:t>
            </w:r>
          </w:p>
        </w:tc>
      </w:tr>
      <w:tr w:rsidR="00575C28" w:rsidRPr="00575C28" w14:paraId="3B8FAA2D" w14:textId="77777777" w:rsidTr="001A15C0">
        <w:trPr>
          <w:jc w:val="center"/>
        </w:trPr>
        <w:tc>
          <w:tcPr>
            <w:tcW w:w="2955" w:type="dxa"/>
            <w:tcBorders>
              <w:top w:val="nil"/>
              <w:left w:val="nil"/>
              <w:bottom w:val="nil"/>
              <w:right w:val="nil"/>
            </w:tcBorders>
          </w:tcPr>
          <w:p w14:paraId="1F72717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REMxEFI</w:t>
            </w:r>
          </w:p>
        </w:tc>
        <w:tc>
          <w:tcPr>
            <w:tcW w:w="1584" w:type="dxa"/>
            <w:tcBorders>
              <w:top w:val="nil"/>
              <w:left w:val="nil"/>
              <w:bottom w:val="nil"/>
              <w:right w:val="nil"/>
            </w:tcBorders>
          </w:tcPr>
          <w:p w14:paraId="0476B8BF"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w:t>
            </w:r>
          </w:p>
        </w:tc>
        <w:tc>
          <w:tcPr>
            <w:tcW w:w="1584" w:type="dxa"/>
            <w:tcBorders>
              <w:top w:val="nil"/>
              <w:left w:val="nil"/>
              <w:bottom w:val="nil"/>
              <w:right w:val="nil"/>
            </w:tcBorders>
          </w:tcPr>
          <w:p w14:paraId="599A2FC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B28E96D"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-0.0336**</w:t>
            </w:r>
          </w:p>
        </w:tc>
      </w:tr>
      <w:tr w:rsidR="00575C28" w:rsidRPr="00575C28" w14:paraId="745A7988" w14:textId="77777777" w:rsidTr="001A15C0">
        <w:trPr>
          <w:jc w:val="center"/>
        </w:trPr>
        <w:tc>
          <w:tcPr>
            <w:tcW w:w="2955" w:type="dxa"/>
            <w:tcBorders>
              <w:top w:val="nil"/>
              <w:left w:val="nil"/>
              <w:bottom w:val="nil"/>
              <w:right w:val="nil"/>
            </w:tcBorders>
          </w:tcPr>
          <w:p w14:paraId="1180674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0607BE7B"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2232F6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4ADF5205"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(0.0163)</w:t>
            </w:r>
          </w:p>
        </w:tc>
      </w:tr>
      <w:tr w:rsidR="00575C28" w:rsidRPr="00575C28" w14:paraId="75A6889F" w14:textId="77777777" w:rsidTr="001A15C0">
        <w:trPr>
          <w:jc w:val="center"/>
        </w:trPr>
        <w:tc>
          <w:tcPr>
            <w:tcW w:w="2955" w:type="dxa"/>
            <w:tcBorders>
              <w:top w:val="nil"/>
              <w:left w:val="nil"/>
              <w:bottom w:val="nil"/>
              <w:right w:val="nil"/>
            </w:tcBorders>
          </w:tcPr>
          <w:p w14:paraId="4DF54FF0"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Constant</w:t>
            </w:r>
          </w:p>
        </w:tc>
        <w:tc>
          <w:tcPr>
            <w:tcW w:w="1584" w:type="dxa"/>
            <w:tcBorders>
              <w:top w:val="nil"/>
              <w:left w:val="nil"/>
              <w:bottom w:val="nil"/>
              <w:right w:val="nil"/>
            </w:tcBorders>
          </w:tcPr>
          <w:p w14:paraId="57089C0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0.487*</w:t>
            </w:r>
          </w:p>
        </w:tc>
        <w:tc>
          <w:tcPr>
            <w:tcW w:w="1584" w:type="dxa"/>
            <w:tcBorders>
              <w:top w:val="nil"/>
              <w:left w:val="nil"/>
              <w:bottom w:val="nil"/>
              <w:right w:val="nil"/>
            </w:tcBorders>
          </w:tcPr>
          <w:p w14:paraId="0055A8D6"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13ABE61"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0.246</w:t>
            </w:r>
          </w:p>
        </w:tc>
      </w:tr>
      <w:tr w:rsidR="00575C28" w:rsidRPr="00575C28" w14:paraId="0947CB2F" w14:textId="77777777" w:rsidTr="001A15C0">
        <w:trPr>
          <w:jc w:val="center"/>
        </w:trPr>
        <w:tc>
          <w:tcPr>
            <w:tcW w:w="2955" w:type="dxa"/>
            <w:tcBorders>
              <w:top w:val="nil"/>
              <w:left w:val="nil"/>
              <w:bottom w:val="nil"/>
              <w:right w:val="nil"/>
            </w:tcBorders>
          </w:tcPr>
          <w:p w14:paraId="10D42DE1"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6F0DCCB"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(0.293)</w:t>
            </w:r>
          </w:p>
        </w:tc>
        <w:tc>
          <w:tcPr>
            <w:tcW w:w="1584" w:type="dxa"/>
            <w:tcBorders>
              <w:top w:val="nil"/>
              <w:left w:val="nil"/>
              <w:bottom w:val="nil"/>
              <w:right w:val="nil"/>
            </w:tcBorders>
          </w:tcPr>
          <w:p w14:paraId="5153193C"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7BFBE331"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(0.242)</w:t>
            </w:r>
          </w:p>
        </w:tc>
      </w:tr>
      <w:tr w:rsidR="00575C28" w:rsidRPr="00575C28" w14:paraId="382A00B4" w14:textId="77777777" w:rsidTr="001A15C0">
        <w:trPr>
          <w:jc w:val="center"/>
        </w:trPr>
        <w:tc>
          <w:tcPr>
            <w:tcW w:w="2955" w:type="dxa"/>
            <w:tcBorders>
              <w:top w:val="nil"/>
              <w:left w:val="nil"/>
              <w:bottom w:val="nil"/>
              <w:right w:val="nil"/>
            </w:tcBorders>
          </w:tcPr>
          <w:p w14:paraId="224A91A2"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21C1B93D"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1FEC1448" w14:textId="77777777" w:rsidR="00E8753D" w:rsidRPr="00575C28" w:rsidRDefault="00E8753D" w:rsidP="00EC4D5A">
            <w:pPr>
              <w:widowControl w:val="0"/>
              <w:autoSpaceDE w:val="0"/>
              <w:autoSpaceDN w:val="0"/>
              <w:adjustRightInd w:val="0"/>
              <w:jc w:val="both"/>
              <w:rPr>
                <w:b/>
                <w:bCs/>
                <w:color w:val="000000" w:themeColor="text1"/>
              </w:rPr>
            </w:pPr>
          </w:p>
        </w:tc>
        <w:tc>
          <w:tcPr>
            <w:tcW w:w="1584" w:type="dxa"/>
            <w:tcBorders>
              <w:top w:val="nil"/>
              <w:left w:val="nil"/>
              <w:bottom w:val="nil"/>
              <w:right w:val="nil"/>
            </w:tcBorders>
          </w:tcPr>
          <w:p w14:paraId="3ED2CDB2" w14:textId="77777777" w:rsidR="00E8753D" w:rsidRPr="00575C28" w:rsidRDefault="00E8753D" w:rsidP="00EC4D5A">
            <w:pPr>
              <w:widowControl w:val="0"/>
              <w:autoSpaceDE w:val="0"/>
              <w:autoSpaceDN w:val="0"/>
              <w:adjustRightInd w:val="0"/>
              <w:jc w:val="both"/>
              <w:rPr>
                <w:b/>
                <w:bCs/>
                <w:color w:val="000000" w:themeColor="text1"/>
              </w:rPr>
            </w:pPr>
          </w:p>
        </w:tc>
      </w:tr>
      <w:tr w:rsidR="00575C28" w:rsidRPr="00575C28" w14:paraId="24F269EF" w14:textId="77777777" w:rsidTr="001A15C0">
        <w:trPr>
          <w:jc w:val="center"/>
        </w:trPr>
        <w:tc>
          <w:tcPr>
            <w:tcW w:w="2955" w:type="dxa"/>
            <w:tcBorders>
              <w:top w:val="nil"/>
              <w:left w:val="nil"/>
              <w:bottom w:val="nil"/>
              <w:right w:val="nil"/>
            </w:tcBorders>
          </w:tcPr>
          <w:p w14:paraId="3E69C77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Observations</w:t>
            </w:r>
          </w:p>
        </w:tc>
        <w:tc>
          <w:tcPr>
            <w:tcW w:w="1584" w:type="dxa"/>
            <w:tcBorders>
              <w:top w:val="nil"/>
              <w:left w:val="nil"/>
              <w:bottom w:val="nil"/>
              <w:right w:val="nil"/>
            </w:tcBorders>
          </w:tcPr>
          <w:p w14:paraId="7B160468"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129</w:t>
            </w:r>
          </w:p>
        </w:tc>
        <w:tc>
          <w:tcPr>
            <w:tcW w:w="1584" w:type="dxa"/>
            <w:tcBorders>
              <w:top w:val="nil"/>
              <w:left w:val="nil"/>
              <w:bottom w:val="nil"/>
              <w:right w:val="nil"/>
            </w:tcBorders>
          </w:tcPr>
          <w:p w14:paraId="16B4045E"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131843EC" w14:textId="77777777" w:rsidR="00E8753D" w:rsidRPr="00575C28" w:rsidRDefault="00E8753D" w:rsidP="00EC4D5A">
            <w:pPr>
              <w:widowControl w:val="0"/>
              <w:autoSpaceDE w:val="0"/>
              <w:autoSpaceDN w:val="0"/>
              <w:adjustRightInd w:val="0"/>
              <w:jc w:val="both"/>
              <w:rPr>
                <w:b/>
                <w:bCs/>
                <w:color w:val="000000" w:themeColor="text1"/>
              </w:rPr>
            </w:pPr>
            <w:r w:rsidRPr="00575C28">
              <w:rPr>
                <w:color w:val="000000" w:themeColor="text1"/>
              </w:rPr>
              <w:t>125</w:t>
            </w:r>
          </w:p>
        </w:tc>
      </w:tr>
      <w:tr w:rsidR="00575C28" w:rsidRPr="00575C28" w14:paraId="25A4362B" w14:textId="77777777" w:rsidTr="001A15C0">
        <w:tblPrEx>
          <w:tblBorders>
            <w:bottom w:val="single" w:sz="6" w:space="0" w:color="auto"/>
          </w:tblBorders>
        </w:tblPrEx>
        <w:trPr>
          <w:jc w:val="center"/>
        </w:trPr>
        <w:tc>
          <w:tcPr>
            <w:tcW w:w="2955" w:type="dxa"/>
            <w:tcBorders>
              <w:top w:val="nil"/>
              <w:left w:val="nil"/>
              <w:bottom w:val="nil"/>
              <w:right w:val="nil"/>
            </w:tcBorders>
          </w:tcPr>
          <w:p w14:paraId="02D6CE52"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AR(1) test</w:t>
            </w:r>
          </w:p>
        </w:tc>
        <w:tc>
          <w:tcPr>
            <w:tcW w:w="1584" w:type="dxa"/>
            <w:tcBorders>
              <w:top w:val="nil"/>
              <w:left w:val="nil"/>
              <w:bottom w:val="nil"/>
              <w:right w:val="nil"/>
            </w:tcBorders>
          </w:tcPr>
          <w:p w14:paraId="05B5C0C3"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0.002</w:t>
            </w:r>
          </w:p>
        </w:tc>
        <w:tc>
          <w:tcPr>
            <w:tcW w:w="1584" w:type="dxa"/>
            <w:tcBorders>
              <w:top w:val="nil"/>
              <w:left w:val="nil"/>
              <w:bottom w:val="nil"/>
              <w:right w:val="nil"/>
            </w:tcBorders>
          </w:tcPr>
          <w:p w14:paraId="28B0A953"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1C5C8D44"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0.076</w:t>
            </w:r>
          </w:p>
        </w:tc>
      </w:tr>
      <w:tr w:rsidR="00575C28" w:rsidRPr="00575C28" w14:paraId="103379F5" w14:textId="77777777" w:rsidTr="001A15C0">
        <w:tblPrEx>
          <w:tblBorders>
            <w:bottom w:val="single" w:sz="6" w:space="0" w:color="auto"/>
          </w:tblBorders>
        </w:tblPrEx>
        <w:trPr>
          <w:jc w:val="center"/>
        </w:trPr>
        <w:tc>
          <w:tcPr>
            <w:tcW w:w="2955" w:type="dxa"/>
            <w:tcBorders>
              <w:top w:val="nil"/>
              <w:left w:val="nil"/>
              <w:bottom w:val="nil"/>
              <w:right w:val="nil"/>
            </w:tcBorders>
          </w:tcPr>
          <w:p w14:paraId="27BEE441"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AR(2) test</w:t>
            </w:r>
          </w:p>
        </w:tc>
        <w:tc>
          <w:tcPr>
            <w:tcW w:w="1584" w:type="dxa"/>
            <w:tcBorders>
              <w:top w:val="nil"/>
              <w:left w:val="nil"/>
              <w:bottom w:val="nil"/>
              <w:right w:val="nil"/>
            </w:tcBorders>
          </w:tcPr>
          <w:p w14:paraId="61475E8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0.976</w:t>
            </w:r>
          </w:p>
        </w:tc>
        <w:tc>
          <w:tcPr>
            <w:tcW w:w="1584" w:type="dxa"/>
            <w:tcBorders>
              <w:top w:val="nil"/>
              <w:left w:val="nil"/>
              <w:bottom w:val="nil"/>
              <w:right w:val="nil"/>
            </w:tcBorders>
          </w:tcPr>
          <w:p w14:paraId="0A023920"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125634C7"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0.574</w:t>
            </w:r>
          </w:p>
        </w:tc>
      </w:tr>
      <w:tr w:rsidR="00575C28" w:rsidRPr="00575C28" w14:paraId="1DD0002D" w14:textId="77777777" w:rsidTr="001A15C0">
        <w:tblPrEx>
          <w:tblBorders>
            <w:bottom w:val="single" w:sz="6" w:space="0" w:color="auto"/>
          </w:tblBorders>
        </w:tblPrEx>
        <w:trPr>
          <w:jc w:val="center"/>
        </w:trPr>
        <w:tc>
          <w:tcPr>
            <w:tcW w:w="2955" w:type="dxa"/>
            <w:tcBorders>
              <w:top w:val="nil"/>
              <w:left w:val="nil"/>
              <w:bottom w:val="nil"/>
              <w:right w:val="nil"/>
            </w:tcBorders>
          </w:tcPr>
          <w:p w14:paraId="21DA604E"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P value Sargan test</w:t>
            </w:r>
          </w:p>
        </w:tc>
        <w:tc>
          <w:tcPr>
            <w:tcW w:w="1584" w:type="dxa"/>
            <w:tcBorders>
              <w:top w:val="nil"/>
              <w:left w:val="nil"/>
              <w:bottom w:val="nil"/>
              <w:right w:val="nil"/>
            </w:tcBorders>
          </w:tcPr>
          <w:p w14:paraId="51AD61EF"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0.755</w:t>
            </w:r>
          </w:p>
        </w:tc>
        <w:tc>
          <w:tcPr>
            <w:tcW w:w="1584" w:type="dxa"/>
            <w:tcBorders>
              <w:top w:val="nil"/>
              <w:left w:val="nil"/>
              <w:bottom w:val="nil"/>
              <w:right w:val="nil"/>
            </w:tcBorders>
          </w:tcPr>
          <w:p w14:paraId="0392E040"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nil"/>
              <w:right w:val="nil"/>
            </w:tcBorders>
          </w:tcPr>
          <w:p w14:paraId="34B1A33C" w14:textId="77777777" w:rsidR="00E8753D" w:rsidRPr="00575C28" w:rsidRDefault="00E8753D" w:rsidP="00EC4D5A">
            <w:pPr>
              <w:widowControl w:val="0"/>
              <w:autoSpaceDE w:val="0"/>
              <w:autoSpaceDN w:val="0"/>
              <w:adjustRightInd w:val="0"/>
              <w:jc w:val="both"/>
              <w:rPr>
                <w:color w:val="000000" w:themeColor="text1"/>
              </w:rPr>
            </w:pPr>
            <w:r w:rsidRPr="00575C28">
              <w:rPr>
                <w:color w:val="000000" w:themeColor="text1"/>
              </w:rPr>
              <w:t>0.075</w:t>
            </w:r>
          </w:p>
        </w:tc>
      </w:tr>
      <w:tr w:rsidR="00575C28" w:rsidRPr="00575C28" w14:paraId="5513085A" w14:textId="77777777" w:rsidTr="001A15C0">
        <w:tblPrEx>
          <w:tblBorders>
            <w:bottom w:val="single" w:sz="6" w:space="0" w:color="auto"/>
          </w:tblBorders>
        </w:tblPrEx>
        <w:trPr>
          <w:jc w:val="center"/>
        </w:trPr>
        <w:tc>
          <w:tcPr>
            <w:tcW w:w="2955" w:type="dxa"/>
            <w:tcBorders>
              <w:top w:val="nil"/>
              <w:left w:val="nil"/>
              <w:bottom w:val="single" w:sz="6" w:space="0" w:color="auto"/>
              <w:right w:val="nil"/>
            </w:tcBorders>
          </w:tcPr>
          <w:p w14:paraId="4FA38DD9" w14:textId="77777777" w:rsidR="00E8753D" w:rsidRPr="00575C28" w:rsidRDefault="00E8753D" w:rsidP="00EC4D5A">
            <w:pPr>
              <w:widowControl w:val="0"/>
              <w:autoSpaceDE w:val="0"/>
              <w:autoSpaceDN w:val="0"/>
              <w:adjustRightInd w:val="0"/>
              <w:jc w:val="both"/>
              <w:rPr>
                <w:color w:val="000000" w:themeColor="text1"/>
              </w:rPr>
            </w:pPr>
          </w:p>
          <w:p w14:paraId="50858CF5"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single" w:sz="6" w:space="0" w:color="auto"/>
              <w:right w:val="nil"/>
            </w:tcBorders>
          </w:tcPr>
          <w:p w14:paraId="2E7D65A7"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single" w:sz="6" w:space="0" w:color="auto"/>
              <w:right w:val="nil"/>
            </w:tcBorders>
          </w:tcPr>
          <w:p w14:paraId="1BB1788F" w14:textId="77777777" w:rsidR="00E8753D" w:rsidRPr="00575C28" w:rsidRDefault="00E8753D" w:rsidP="00EC4D5A">
            <w:pPr>
              <w:widowControl w:val="0"/>
              <w:autoSpaceDE w:val="0"/>
              <w:autoSpaceDN w:val="0"/>
              <w:adjustRightInd w:val="0"/>
              <w:jc w:val="both"/>
              <w:rPr>
                <w:color w:val="000000" w:themeColor="text1"/>
              </w:rPr>
            </w:pPr>
          </w:p>
        </w:tc>
        <w:tc>
          <w:tcPr>
            <w:tcW w:w="1584" w:type="dxa"/>
            <w:tcBorders>
              <w:top w:val="nil"/>
              <w:left w:val="nil"/>
              <w:bottom w:val="single" w:sz="6" w:space="0" w:color="auto"/>
              <w:right w:val="nil"/>
            </w:tcBorders>
          </w:tcPr>
          <w:p w14:paraId="026AC4F8" w14:textId="77777777" w:rsidR="00E8753D" w:rsidRPr="00575C28" w:rsidRDefault="00E8753D" w:rsidP="00EC4D5A">
            <w:pPr>
              <w:widowControl w:val="0"/>
              <w:autoSpaceDE w:val="0"/>
              <w:autoSpaceDN w:val="0"/>
              <w:adjustRightInd w:val="0"/>
              <w:jc w:val="both"/>
              <w:rPr>
                <w:color w:val="000000" w:themeColor="text1"/>
              </w:rPr>
            </w:pPr>
          </w:p>
        </w:tc>
      </w:tr>
    </w:tbl>
    <w:p w14:paraId="162D9AAE" w14:textId="77777777" w:rsidR="0052283B" w:rsidRPr="00575C28" w:rsidRDefault="00E8753D" w:rsidP="00EC4D5A">
      <w:pPr>
        <w:widowControl w:val="0"/>
        <w:autoSpaceDE w:val="0"/>
        <w:autoSpaceDN w:val="0"/>
        <w:adjustRightInd w:val="0"/>
        <w:ind w:firstLine="720"/>
        <w:jc w:val="both"/>
        <w:rPr>
          <w:color w:val="000000" w:themeColor="text1"/>
        </w:rPr>
      </w:pPr>
      <w:r w:rsidRPr="00575C28">
        <w:rPr>
          <w:color w:val="000000" w:themeColor="text1"/>
        </w:rPr>
        <w:t>Standard errors in parentheses. *, **, and *** indicate significance at 10, 5, and 1%</w:t>
      </w:r>
      <w:r w:rsidRPr="00575C28">
        <w:rPr>
          <w:color w:val="000000" w:themeColor="text1"/>
        </w:rPr>
        <w:tab/>
        <w:t>respectively</w:t>
      </w:r>
    </w:p>
    <w:p w14:paraId="5770B3A3" w14:textId="77777777" w:rsidR="00721B09" w:rsidRPr="00575C28" w:rsidRDefault="00721B09" w:rsidP="00EC4D5A">
      <w:pPr>
        <w:widowControl w:val="0"/>
        <w:autoSpaceDE w:val="0"/>
        <w:autoSpaceDN w:val="0"/>
        <w:adjustRightInd w:val="0"/>
        <w:spacing w:line="480" w:lineRule="auto"/>
        <w:jc w:val="both"/>
        <w:rPr>
          <w:color w:val="000000" w:themeColor="text1"/>
        </w:rPr>
      </w:pPr>
    </w:p>
    <w:p w14:paraId="7FB4FD18" w14:textId="3DA2BC26" w:rsidR="00655FA7" w:rsidRPr="00575C28" w:rsidRDefault="0052283B" w:rsidP="00EC4D5A">
      <w:pPr>
        <w:widowControl w:val="0"/>
        <w:autoSpaceDE w:val="0"/>
        <w:autoSpaceDN w:val="0"/>
        <w:adjustRightInd w:val="0"/>
        <w:spacing w:line="480" w:lineRule="auto"/>
        <w:ind w:firstLine="720"/>
        <w:jc w:val="both"/>
        <w:rPr>
          <w:color w:val="000000" w:themeColor="text1"/>
        </w:rPr>
      </w:pPr>
      <w:r w:rsidRPr="00575C28">
        <w:rPr>
          <w:color w:val="000000" w:themeColor="text1"/>
        </w:rPr>
        <w:t>W</w:t>
      </w:r>
      <w:r w:rsidR="001F7C18" w:rsidRPr="00575C28">
        <w:rPr>
          <w:color w:val="000000" w:themeColor="text1"/>
        </w:rPr>
        <w:t xml:space="preserve">hen we look at the </w:t>
      </w:r>
      <w:r w:rsidR="00510D96" w:rsidRPr="00575C28">
        <w:rPr>
          <w:color w:val="000000" w:themeColor="text1"/>
        </w:rPr>
        <w:t>coefficient</w:t>
      </w:r>
      <w:r w:rsidR="001F7C18" w:rsidRPr="00575C28">
        <w:rPr>
          <w:color w:val="000000" w:themeColor="text1"/>
        </w:rPr>
        <w:t xml:space="preserve"> for the control </w:t>
      </w:r>
      <w:r w:rsidR="00510D96" w:rsidRPr="00575C28">
        <w:rPr>
          <w:color w:val="000000" w:themeColor="text1"/>
        </w:rPr>
        <w:t>variables</w:t>
      </w:r>
      <w:r w:rsidR="001F7C18" w:rsidRPr="00575C28">
        <w:rPr>
          <w:color w:val="000000" w:themeColor="text1"/>
        </w:rPr>
        <w:t xml:space="preserve">, one can see some </w:t>
      </w:r>
      <w:r w:rsidR="00510D96" w:rsidRPr="00575C28">
        <w:rPr>
          <w:color w:val="000000" w:themeColor="text1"/>
        </w:rPr>
        <w:t>surprising</w:t>
      </w:r>
      <w:r w:rsidR="001F7C18" w:rsidRPr="00575C28">
        <w:rPr>
          <w:color w:val="000000" w:themeColor="text1"/>
        </w:rPr>
        <w:t xml:space="preserve"> results. The </w:t>
      </w:r>
      <w:r w:rsidR="00510D96" w:rsidRPr="00575C28">
        <w:rPr>
          <w:color w:val="000000" w:themeColor="text1"/>
        </w:rPr>
        <w:t>coefficient</w:t>
      </w:r>
      <w:r w:rsidR="003D4DD5">
        <w:rPr>
          <w:color w:val="000000" w:themeColor="text1"/>
        </w:rPr>
        <w:t>s</w:t>
      </w:r>
      <w:r w:rsidR="001F7C18" w:rsidRPr="00575C28">
        <w:rPr>
          <w:color w:val="000000" w:themeColor="text1"/>
        </w:rPr>
        <w:t xml:space="preserve"> for investment (</w:t>
      </w:r>
      <w:r w:rsidR="005E5742" w:rsidRPr="00575C28">
        <w:rPr>
          <w:color w:val="000000" w:themeColor="text1"/>
        </w:rPr>
        <w:t xml:space="preserve">GCF) </w:t>
      </w:r>
      <w:r w:rsidR="001F7C18" w:rsidRPr="00575C28">
        <w:rPr>
          <w:color w:val="000000" w:themeColor="text1"/>
        </w:rPr>
        <w:t>and</w:t>
      </w:r>
      <w:r w:rsidR="00510D96" w:rsidRPr="00575C28">
        <w:rPr>
          <w:color w:val="000000" w:themeColor="text1"/>
        </w:rPr>
        <w:t xml:space="preserve"> </w:t>
      </w:r>
      <w:r w:rsidR="001F7C18" w:rsidRPr="00575C28">
        <w:rPr>
          <w:color w:val="000000" w:themeColor="text1"/>
        </w:rPr>
        <w:t>population (</w:t>
      </w:r>
      <w:r w:rsidR="005E5742" w:rsidRPr="00575C28">
        <w:rPr>
          <w:color w:val="000000" w:themeColor="text1"/>
        </w:rPr>
        <w:t>POP</w:t>
      </w:r>
      <w:r w:rsidR="001F7C18" w:rsidRPr="00575C28">
        <w:rPr>
          <w:color w:val="000000" w:themeColor="text1"/>
        </w:rPr>
        <w:t>)</w:t>
      </w:r>
      <w:r w:rsidR="00510D96" w:rsidRPr="00575C28">
        <w:rPr>
          <w:color w:val="000000" w:themeColor="text1"/>
        </w:rPr>
        <w:t xml:space="preserve"> are both significant and</w:t>
      </w:r>
      <w:r w:rsidR="001F7C18" w:rsidRPr="00575C28">
        <w:rPr>
          <w:color w:val="000000" w:themeColor="text1"/>
        </w:rPr>
        <w:t xml:space="preserve"> are positive and negative, respectively, in both models. This</w:t>
      </w:r>
      <w:r w:rsidR="00CE2718" w:rsidRPr="00575C28">
        <w:rPr>
          <w:color w:val="000000" w:themeColor="text1"/>
        </w:rPr>
        <w:t xml:space="preserve"> is</w:t>
      </w:r>
      <w:r w:rsidR="001F7C18" w:rsidRPr="00575C28">
        <w:rPr>
          <w:color w:val="000000" w:themeColor="text1"/>
        </w:rPr>
        <w:t xml:space="preserve"> c</w:t>
      </w:r>
      <w:r w:rsidR="009E19FB" w:rsidRPr="00575C28">
        <w:rPr>
          <w:color w:val="000000" w:themeColor="text1"/>
        </w:rPr>
        <w:t>onsistent</w:t>
      </w:r>
      <w:r w:rsidR="001F7C18" w:rsidRPr="00575C28">
        <w:rPr>
          <w:color w:val="000000" w:themeColor="text1"/>
        </w:rPr>
        <w:t xml:space="preserve"> with economic theory.</w:t>
      </w:r>
      <w:r w:rsidR="00510D96" w:rsidRPr="00575C28">
        <w:rPr>
          <w:color w:val="000000" w:themeColor="text1"/>
        </w:rPr>
        <w:t xml:space="preserve"> </w:t>
      </w:r>
      <w:r w:rsidR="006C4E32" w:rsidRPr="00575C28">
        <w:rPr>
          <w:color w:val="000000" w:themeColor="text1"/>
        </w:rPr>
        <w:t xml:space="preserve"> </w:t>
      </w:r>
      <w:r w:rsidR="00510D96" w:rsidRPr="00575C28">
        <w:rPr>
          <w:color w:val="000000" w:themeColor="text1"/>
        </w:rPr>
        <w:t>Conversely, the coefficient</w:t>
      </w:r>
      <w:r w:rsidR="003D4DD5">
        <w:rPr>
          <w:color w:val="000000" w:themeColor="text1"/>
        </w:rPr>
        <w:t>s</w:t>
      </w:r>
      <w:r w:rsidR="00510D96" w:rsidRPr="00575C28">
        <w:rPr>
          <w:color w:val="000000" w:themeColor="text1"/>
        </w:rPr>
        <w:t xml:space="preserve"> for </w:t>
      </w:r>
      <w:r w:rsidR="003F1E45" w:rsidRPr="00575C28">
        <w:rPr>
          <w:color w:val="000000" w:themeColor="text1"/>
        </w:rPr>
        <w:t>i</w:t>
      </w:r>
      <w:r w:rsidR="00510D96" w:rsidRPr="00575C28">
        <w:rPr>
          <w:color w:val="000000" w:themeColor="text1"/>
        </w:rPr>
        <w:t>nitial GDP per capita and trade openness</w:t>
      </w:r>
      <w:r w:rsidR="005E5742" w:rsidRPr="00575C28">
        <w:rPr>
          <w:color w:val="000000" w:themeColor="text1"/>
        </w:rPr>
        <w:t xml:space="preserve"> (TRADE)</w:t>
      </w:r>
      <w:r w:rsidR="00510D96" w:rsidRPr="00575C28">
        <w:rPr>
          <w:color w:val="000000" w:themeColor="text1"/>
        </w:rPr>
        <w:t xml:space="preserve"> are unexpected.</w:t>
      </w:r>
      <w:r w:rsidR="0082077E" w:rsidRPr="00575C28">
        <w:rPr>
          <w:color w:val="000000" w:themeColor="text1"/>
        </w:rPr>
        <w:t xml:space="preserve"> </w:t>
      </w:r>
      <w:r w:rsidR="00510D96" w:rsidRPr="00575C28">
        <w:rPr>
          <w:color w:val="000000" w:themeColor="text1"/>
        </w:rPr>
        <w:t xml:space="preserve"> In both </w:t>
      </w:r>
      <w:r w:rsidR="002C5EB2" w:rsidRPr="00575C28">
        <w:rPr>
          <w:color w:val="000000" w:themeColor="text1"/>
        </w:rPr>
        <w:t>Table</w:t>
      </w:r>
      <w:r w:rsidR="003D4DD5">
        <w:rPr>
          <w:color w:val="000000" w:themeColor="text1"/>
        </w:rPr>
        <w:t>s</w:t>
      </w:r>
      <w:r w:rsidR="00510D96" w:rsidRPr="00575C28">
        <w:rPr>
          <w:color w:val="000000" w:themeColor="text1"/>
        </w:rPr>
        <w:t xml:space="preserve"> 2 and 3, the coefficient for initial GDP is positive and significant, </w:t>
      </w:r>
      <w:r w:rsidR="00510D96" w:rsidRPr="00575C28">
        <w:rPr>
          <w:color w:val="000000" w:themeColor="text1"/>
        </w:rPr>
        <w:lastRenderedPageBreak/>
        <w:t>which contradicts the convergence theory.</w:t>
      </w:r>
      <w:r w:rsidR="008C4D90" w:rsidRPr="00575C28">
        <w:rPr>
          <w:color w:val="000000" w:themeColor="text1"/>
        </w:rPr>
        <w:t xml:space="preserve"> Duasa (2010) </w:t>
      </w:r>
      <w:r w:rsidR="00F83D9B" w:rsidRPr="00575C28">
        <w:rPr>
          <w:color w:val="000000" w:themeColor="text1"/>
        </w:rPr>
        <w:t>offers</w:t>
      </w:r>
      <w:r w:rsidR="008C4D90" w:rsidRPr="00575C28">
        <w:rPr>
          <w:color w:val="000000" w:themeColor="text1"/>
        </w:rPr>
        <w:t xml:space="preserve"> a possible </w:t>
      </w:r>
      <w:r w:rsidR="00F83D9B" w:rsidRPr="00575C28">
        <w:rPr>
          <w:color w:val="000000" w:themeColor="text1"/>
        </w:rPr>
        <w:t>explanation</w:t>
      </w:r>
      <w:r w:rsidR="008C4D90" w:rsidRPr="00575C28">
        <w:rPr>
          <w:color w:val="000000" w:themeColor="text1"/>
        </w:rPr>
        <w:t xml:space="preserve"> for this result. The study argues that </w:t>
      </w:r>
      <w:r w:rsidR="00F83D9B" w:rsidRPr="00575C28">
        <w:rPr>
          <w:color w:val="000000" w:themeColor="text1"/>
        </w:rPr>
        <w:t xml:space="preserve">endogenous growth theory predicts less convergence </w:t>
      </w:r>
      <w:r w:rsidR="003D4DD5" w:rsidRPr="00575C28">
        <w:rPr>
          <w:color w:val="000000" w:themeColor="text1"/>
        </w:rPr>
        <w:t>and</w:t>
      </w:r>
      <w:r w:rsidR="003D4DD5">
        <w:rPr>
          <w:color w:val="000000" w:themeColor="text1"/>
        </w:rPr>
        <w:t>, in some cases, economic</w:t>
      </w:r>
      <w:r w:rsidR="00F83D9B" w:rsidRPr="00575C28">
        <w:rPr>
          <w:color w:val="000000" w:themeColor="text1"/>
        </w:rPr>
        <w:t xml:space="preserve"> divergence as diminishing returns to capital is offset by increasing returns to technological innovation in </w:t>
      </w:r>
      <w:r w:rsidR="006C3996" w:rsidRPr="00575C28">
        <w:rPr>
          <w:color w:val="000000" w:themeColor="text1"/>
        </w:rPr>
        <w:t>high</w:t>
      </w:r>
      <w:r w:rsidR="00B25214" w:rsidRPr="00575C28">
        <w:rPr>
          <w:color w:val="000000" w:themeColor="text1"/>
        </w:rPr>
        <w:t xml:space="preserve"> </w:t>
      </w:r>
      <w:r w:rsidR="006C3996" w:rsidRPr="00575C28">
        <w:rPr>
          <w:color w:val="000000" w:themeColor="text1"/>
        </w:rPr>
        <w:t>income</w:t>
      </w:r>
      <w:r w:rsidR="00F83D9B" w:rsidRPr="00575C28">
        <w:rPr>
          <w:color w:val="000000" w:themeColor="text1"/>
        </w:rPr>
        <w:t xml:space="preserve"> countries. This theory could be the reason why there is no evidence of convergence in our sample. </w:t>
      </w:r>
    </w:p>
    <w:p w14:paraId="0536C844" w14:textId="72272B33" w:rsidR="006B6D63" w:rsidRPr="00575C28" w:rsidRDefault="00510D96" w:rsidP="00EC4D5A">
      <w:pPr>
        <w:widowControl w:val="0"/>
        <w:autoSpaceDE w:val="0"/>
        <w:autoSpaceDN w:val="0"/>
        <w:adjustRightInd w:val="0"/>
        <w:spacing w:line="480" w:lineRule="auto"/>
        <w:ind w:firstLine="720"/>
        <w:jc w:val="both"/>
        <w:rPr>
          <w:color w:val="000000" w:themeColor="text1"/>
        </w:rPr>
      </w:pPr>
      <w:r w:rsidRPr="00575C28">
        <w:rPr>
          <w:color w:val="000000" w:themeColor="text1"/>
        </w:rPr>
        <w:t>Similarly, the coefficient for trade open</w:t>
      </w:r>
      <w:r w:rsidRPr="00575C28">
        <w:rPr>
          <w:rFonts w:eastAsiaTheme="minorHAnsi"/>
          <w:color w:val="000000" w:themeColor="text1"/>
        </w:rPr>
        <w:t xml:space="preserve">ness is negative and significant in </w:t>
      </w:r>
      <w:r w:rsidR="002C5EB2" w:rsidRPr="00575C28">
        <w:rPr>
          <w:rFonts w:eastAsiaTheme="minorHAnsi"/>
          <w:color w:val="000000" w:themeColor="text1"/>
        </w:rPr>
        <w:t>Table</w:t>
      </w:r>
      <w:r w:rsidRPr="00575C28">
        <w:rPr>
          <w:rFonts w:eastAsiaTheme="minorHAnsi"/>
          <w:color w:val="000000" w:themeColor="text1"/>
        </w:rPr>
        <w:t xml:space="preserve"> 2 and in column (1) of </w:t>
      </w:r>
      <w:r w:rsidR="002C5EB2" w:rsidRPr="00575C28">
        <w:rPr>
          <w:rFonts w:eastAsiaTheme="minorHAnsi"/>
          <w:color w:val="000000" w:themeColor="text1"/>
        </w:rPr>
        <w:t>Table</w:t>
      </w:r>
      <w:r w:rsidRPr="00575C28">
        <w:rPr>
          <w:rFonts w:eastAsiaTheme="minorHAnsi"/>
          <w:color w:val="000000" w:themeColor="text1"/>
        </w:rPr>
        <w:t xml:space="preserve"> 3.</w:t>
      </w:r>
      <w:r w:rsidR="0082077E" w:rsidRPr="00575C28">
        <w:rPr>
          <w:rFonts w:eastAsiaTheme="minorHAnsi"/>
          <w:color w:val="000000" w:themeColor="text1"/>
        </w:rPr>
        <w:t xml:space="preserve"> While economic theory does state that trade openness generally has a positive relationship </w:t>
      </w:r>
      <w:r w:rsidR="000F1022" w:rsidRPr="00575C28">
        <w:rPr>
          <w:rFonts w:eastAsiaTheme="minorHAnsi"/>
          <w:color w:val="000000" w:themeColor="text1"/>
        </w:rPr>
        <w:t>with</w:t>
      </w:r>
      <w:r w:rsidR="0082077E" w:rsidRPr="00575C28">
        <w:rPr>
          <w:rFonts w:eastAsiaTheme="minorHAnsi"/>
          <w:color w:val="000000" w:themeColor="text1"/>
        </w:rPr>
        <w:t xml:space="preserve"> economic growth, </w:t>
      </w:r>
      <w:r w:rsidR="00DD52F4" w:rsidRPr="00575C28">
        <w:rPr>
          <w:rFonts w:eastAsiaTheme="minorHAnsi"/>
          <w:color w:val="000000" w:themeColor="text1"/>
        </w:rPr>
        <w:t>numerous</w:t>
      </w:r>
      <w:r w:rsidR="000F1022" w:rsidRPr="00575C28">
        <w:rPr>
          <w:rFonts w:eastAsiaTheme="minorHAnsi"/>
          <w:color w:val="000000" w:themeColor="text1"/>
        </w:rPr>
        <w:t xml:space="preserve"> </w:t>
      </w:r>
      <w:r w:rsidR="0082077E" w:rsidRPr="00575C28">
        <w:rPr>
          <w:rFonts w:eastAsiaTheme="minorHAnsi"/>
          <w:color w:val="000000" w:themeColor="text1"/>
        </w:rPr>
        <w:t>studies such as Kim</w:t>
      </w:r>
      <w:r w:rsidR="003046F8" w:rsidRPr="00575C28">
        <w:rPr>
          <w:rFonts w:eastAsiaTheme="minorHAnsi"/>
          <w:color w:val="000000" w:themeColor="text1"/>
        </w:rPr>
        <w:t xml:space="preserve"> et </w:t>
      </w:r>
      <w:r w:rsidR="00DF5A03" w:rsidRPr="00575C28">
        <w:rPr>
          <w:rFonts w:eastAsiaTheme="minorHAnsi"/>
          <w:color w:val="000000" w:themeColor="text1"/>
        </w:rPr>
        <w:t>al</w:t>
      </w:r>
      <w:r w:rsidR="003D4DD5">
        <w:rPr>
          <w:rFonts w:eastAsiaTheme="minorHAnsi"/>
          <w:color w:val="000000" w:themeColor="text1"/>
        </w:rPr>
        <w:t>,</w:t>
      </w:r>
      <w:r w:rsidR="00DF5A03" w:rsidRPr="00575C28">
        <w:rPr>
          <w:rFonts w:eastAsiaTheme="minorHAnsi"/>
          <w:color w:val="000000" w:themeColor="text1"/>
        </w:rPr>
        <w:t xml:space="preserve"> (</w:t>
      </w:r>
      <w:r w:rsidR="00DD52F4" w:rsidRPr="00575C28">
        <w:rPr>
          <w:rFonts w:eastAsiaTheme="minorHAnsi"/>
          <w:color w:val="000000" w:themeColor="text1"/>
        </w:rPr>
        <w:t xml:space="preserve">2011) </w:t>
      </w:r>
      <w:r w:rsidR="00C06803" w:rsidRPr="00575C28">
        <w:rPr>
          <w:rFonts w:eastAsiaTheme="minorHAnsi"/>
          <w:color w:val="000000" w:themeColor="text1"/>
        </w:rPr>
        <w:t>and Huang and Chang (2014)</w:t>
      </w:r>
      <w:r w:rsidR="00F83D9B" w:rsidRPr="00575C28">
        <w:rPr>
          <w:rFonts w:eastAsiaTheme="minorHAnsi"/>
          <w:color w:val="000000" w:themeColor="text1"/>
        </w:rPr>
        <w:t xml:space="preserve"> </w:t>
      </w:r>
      <w:r w:rsidR="003046F8" w:rsidRPr="00575C28">
        <w:rPr>
          <w:rFonts w:eastAsiaTheme="minorHAnsi"/>
          <w:color w:val="000000" w:themeColor="text1"/>
        </w:rPr>
        <w:t>have shown evidence of the opposite. These studie</w:t>
      </w:r>
      <w:r w:rsidR="00DF5A03" w:rsidRPr="00575C28">
        <w:rPr>
          <w:rFonts w:eastAsiaTheme="minorHAnsi"/>
          <w:color w:val="000000" w:themeColor="text1"/>
        </w:rPr>
        <w:t>s</w:t>
      </w:r>
      <w:r w:rsidR="003046F8" w:rsidRPr="00575C28">
        <w:rPr>
          <w:rFonts w:eastAsiaTheme="minorHAnsi"/>
          <w:color w:val="000000" w:themeColor="text1"/>
        </w:rPr>
        <w:t xml:space="preserve"> argue that trade openness has</w:t>
      </w:r>
      <w:r w:rsidR="00F83D9B" w:rsidRPr="00575C28">
        <w:rPr>
          <w:rFonts w:eastAsiaTheme="minorHAnsi"/>
          <w:color w:val="000000" w:themeColor="text1"/>
        </w:rPr>
        <w:t xml:space="preserve"> a</w:t>
      </w:r>
      <w:r w:rsidR="003046F8" w:rsidRPr="00575C28">
        <w:rPr>
          <w:rFonts w:eastAsiaTheme="minorHAnsi"/>
          <w:color w:val="000000" w:themeColor="text1"/>
        </w:rPr>
        <w:t xml:space="preserve"> positive </w:t>
      </w:r>
      <w:r w:rsidR="00DF5A03" w:rsidRPr="00575C28">
        <w:rPr>
          <w:rFonts w:eastAsiaTheme="minorHAnsi"/>
          <w:color w:val="000000" w:themeColor="text1"/>
        </w:rPr>
        <w:t>relationship with</w:t>
      </w:r>
      <w:r w:rsidR="003046F8" w:rsidRPr="00575C28">
        <w:rPr>
          <w:rFonts w:eastAsiaTheme="minorHAnsi"/>
          <w:color w:val="000000" w:themeColor="text1"/>
        </w:rPr>
        <w:t xml:space="preserve"> economic growth </w:t>
      </w:r>
      <w:r w:rsidR="00DF5A03" w:rsidRPr="00575C28">
        <w:rPr>
          <w:rFonts w:eastAsiaTheme="minorHAnsi"/>
          <w:color w:val="000000" w:themeColor="text1"/>
        </w:rPr>
        <w:t xml:space="preserve">only </w:t>
      </w:r>
      <w:r w:rsidR="003046F8" w:rsidRPr="00575C28">
        <w:rPr>
          <w:rFonts w:eastAsiaTheme="minorHAnsi"/>
          <w:color w:val="000000" w:themeColor="text1"/>
        </w:rPr>
        <w:t>in high income countries with fully developed financial sectors. Thus, developing countries with low financial intermediation</w:t>
      </w:r>
      <w:r w:rsidR="00DF5A03" w:rsidRPr="00575C28">
        <w:rPr>
          <w:rFonts w:eastAsiaTheme="minorHAnsi"/>
          <w:color w:val="000000" w:themeColor="text1"/>
        </w:rPr>
        <w:t xml:space="preserve"> </w:t>
      </w:r>
      <w:r w:rsidR="003046F8" w:rsidRPr="00575C28">
        <w:rPr>
          <w:rFonts w:eastAsiaTheme="minorHAnsi"/>
          <w:color w:val="000000" w:themeColor="text1"/>
        </w:rPr>
        <w:t>may see a negative relation</w:t>
      </w:r>
      <w:r w:rsidR="00DF5A03" w:rsidRPr="00575C28">
        <w:rPr>
          <w:rFonts w:eastAsiaTheme="minorHAnsi"/>
          <w:color w:val="000000" w:themeColor="text1"/>
        </w:rPr>
        <w:t>ship</w:t>
      </w:r>
      <w:r w:rsidR="003046F8" w:rsidRPr="00575C28">
        <w:rPr>
          <w:rFonts w:eastAsiaTheme="minorHAnsi"/>
          <w:color w:val="000000" w:themeColor="text1"/>
        </w:rPr>
        <w:t xml:space="preserve"> between trade openness and </w:t>
      </w:r>
      <w:r w:rsidR="00DF5A03" w:rsidRPr="00575C28">
        <w:rPr>
          <w:rFonts w:eastAsiaTheme="minorHAnsi"/>
          <w:color w:val="000000" w:themeColor="text1"/>
        </w:rPr>
        <w:t xml:space="preserve">growth (Kim et al, 2011 &amp; </w:t>
      </w:r>
      <w:r w:rsidR="00655FA7" w:rsidRPr="00575C28">
        <w:rPr>
          <w:rFonts w:eastAsiaTheme="minorHAnsi"/>
          <w:color w:val="000000" w:themeColor="text1"/>
        </w:rPr>
        <w:t>Huang and Chang, 2014</w:t>
      </w:r>
      <w:r w:rsidR="00DF5A03" w:rsidRPr="00575C28">
        <w:rPr>
          <w:rFonts w:eastAsiaTheme="minorHAnsi"/>
          <w:color w:val="000000" w:themeColor="text1"/>
        </w:rPr>
        <w:t>). This</w:t>
      </w:r>
      <w:r w:rsidR="003046F8" w:rsidRPr="00575C28">
        <w:rPr>
          <w:rFonts w:eastAsiaTheme="minorHAnsi"/>
          <w:color w:val="000000" w:themeColor="text1"/>
        </w:rPr>
        <w:t xml:space="preserve"> theory could be a possible explanation </w:t>
      </w:r>
      <w:r w:rsidR="00DF5A03" w:rsidRPr="00575C28">
        <w:rPr>
          <w:rFonts w:eastAsiaTheme="minorHAnsi"/>
          <w:color w:val="000000" w:themeColor="text1"/>
        </w:rPr>
        <w:t>behind</w:t>
      </w:r>
      <w:r w:rsidR="003046F8" w:rsidRPr="00575C28">
        <w:rPr>
          <w:rFonts w:eastAsiaTheme="minorHAnsi"/>
          <w:color w:val="000000" w:themeColor="text1"/>
        </w:rPr>
        <w:t xml:space="preserve"> our negative coefficient for trade </w:t>
      </w:r>
      <w:r w:rsidR="00DF5A03" w:rsidRPr="00575C28">
        <w:rPr>
          <w:rFonts w:eastAsiaTheme="minorHAnsi"/>
          <w:color w:val="000000" w:themeColor="text1"/>
        </w:rPr>
        <w:t>openness.</w:t>
      </w:r>
      <w:r w:rsidR="003046F8" w:rsidRPr="00575C28">
        <w:rPr>
          <w:rFonts w:eastAsiaTheme="minorHAnsi"/>
          <w:color w:val="000000" w:themeColor="text1"/>
        </w:rPr>
        <w:t xml:space="preserve"> Finally, i</w:t>
      </w:r>
      <w:r w:rsidR="005E5742" w:rsidRPr="00575C28">
        <w:rPr>
          <w:rFonts w:eastAsiaTheme="minorHAnsi"/>
          <w:color w:val="000000" w:themeColor="text1"/>
        </w:rPr>
        <w:t>n both models</w:t>
      </w:r>
      <w:r w:rsidR="000918FF" w:rsidRPr="00575C28">
        <w:rPr>
          <w:rFonts w:eastAsiaTheme="minorHAnsi"/>
          <w:color w:val="000000" w:themeColor="text1"/>
        </w:rPr>
        <w:t>,</w:t>
      </w:r>
      <w:r w:rsidR="005E5742" w:rsidRPr="00575C28">
        <w:rPr>
          <w:rFonts w:eastAsiaTheme="minorHAnsi"/>
          <w:color w:val="000000" w:themeColor="text1"/>
        </w:rPr>
        <w:t xml:space="preserve"> the coefficient for school enrollment (PRIM) is insignificant. </w:t>
      </w:r>
    </w:p>
    <w:p w14:paraId="34C4EEF4" w14:textId="41600578" w:rsidR="0052283B" w:rsidRPr="00575C28" w:rsidRDefault="006B6D63" w:rsidP="00481775">
      <w:pPr>
        <w:spacing w:line="480" w:lineRule="auto"/>
        <w:ind w:firstLine="720"/>
        <w:jc w:val="both"/>
        <w:rPr>
          <w:color w:val="000000" w:themeColor="text1"/>
        </w:rPr>
      </w:pPr>
      <w:r w:rsidRPr="00575C28">
        <w:rPr>
          <w:color w:val="000000" w:themeColor="text1"/>
        </w:rPr>
        <w:t>To test the validity of</w:t>
      </w:r>
      <w:r w:rsidR="005E5742" w:rsidRPr="00575C28">
        <w:rPr>
          <w:color w:val="000000" w:themeColor="text1"/>
        </w:rPr>
        <w:t xml:space="preserve"> the </w:t>
      </w:r>
      <w:r w:rsidRPr="00575C28">
        <w:rPr>
          <w:color w:val="000000" w:themeColor="text1"/>
        </w:rPr>
        <w:t>system GMM estimation</w:t>
      </w:r>
      <w:r w:rsidR="005E5742" w:rsidRPr="00575C28">
        <w:rPr>
          <w:color w:val="000000" w:themeColor="text1"/>
        </w:rPr>
        <w:t xml:space="preserve"> present</w:t>
      </w:r>
      <w:r w:rsidR="002C5EB2" w:rsidRPr="00575C28">
        <w:rPr>
          <w:color w:val="000000" w:themeColor="text1"/>
        </w:rPr>
        <w:t>ed</w:t>
      </w:r>
      <w:r w:rsidR="005E5742" w:rsidRPr="00575C28">
        <w:rPr>
          <w:color w:val="000000" w:themeColor="text1"/>
        </w:rPr>
        <w:t xml:space="preserve"> in </w:t>
      </w:r>
      <w:r w:rsidR="002C5EB2" w:rsidRPr="00575C28">
        <w:rPr>
          <w:color w:val="000000" w:themeColor="text1"/>
        </w:rPr>
        <w:t>Table</w:t>
      </w:r>
      <w:r w:rsidR="005E5742" w:rsidRPr="00575C28">
        <w:rPr>
          <w:color w:val="000000" w:themeColor="text1"/>
        </w:rPr>
        <w:t xml:space="preserve"> 3</w:t>
      </w:r>
      <w:r w:rsidRPr="00575C28">
        <w:rPr>
          <w:color w:val="000000" w:themeColor="text1"/>
        </w:rPr>
        <w:t xml:space="preserve">, </w:t>
      </w:r>
      <w:r w:rsidR="00DF5A03" w:rsidRPr="00575C28">
        <w:rPr>
          <w:color w:val="000000" w:themeColor="text1"/>
        </w:rPr>
        <w:t xml:space="preserve">we </w:t>
      </w:r>
      <w:r w:rsidRPr="00575C28">
        <w:rPr>
          <w:color w:val="000000" w:themeColor="text1"/>
        </w:rPr>
        <w:t>utilize the hypothesis tes</w:t>
      </w:r>
      <w:r w:rsidR="00B40307" w:rsidRPr="00575C28">
        <w:rPr>
          <w:color w:val="000000" w:themeColor="text1"/>
        </w:rPr>
        <w:t>t</w:t>
      </w:r>
      <w:r w:rsidR="00455328" w:rsidRPr="00575C28">
        <w:rPr>
          <w:color w:val="000000" w:themeColor="text1"/>
        </w:rPr>
        <w:t>s</w:t>
      </w:r>
      <w:r w:rsidR="00B40307" w:rsidRPr="00575C28">
        <w:rPr>
          <w:color w:val="000000" w:themeColor="text1"/>
        </w:rPr>
        <w:t xml:space="preserve"> suggest</w:t>
      </w:r>
      <w:r w:rsidR="00D7579A" w:rsidRPr="00575C28">
        <w:rPr>
          <w:color w:val="000000" w:themeColor="text1"/>
        </w:rPr>
        <w:t xml:space="preserve">ed </w:t>
      </w:r>
      <w:r w:rsidR="00B40307" w:rsidRPr="00575C28">
        <w:rPr>
          <w:color w:val="000000" w:themeColor="text1"/>
        </w:rPr>
        <w:t>in</w:t>
      </w:r>
      <w:r w:rsidR="00B40307" w:rsidRPr="00575C28">
        <w:rPr>
          <w:rFonts w:eastAsiaTheme="minorEastAsia"/>
          <w:color w:val="000000" w:themeColor="text1"/>
        </w:rPr>
        <w:t xml:space="preserve"> Arellano and Bover (1995) and Blundell and Bond (1998), a test of second-order serial correlation in the error term</w:t>
      </w:r>
      <w:r w:rsidR="00DE51E8" w:rsidRPr="00575C28">
        <w:rPr>
          <w:rFonts w:eastAsiaTheme="minorEastAsia"/>
          <w:color w:val="000000" w:themeColor="text1"/>
        </w:rPr>
        <w:t xml:space="preserve"> and the Sargan test of over-identifying restrictions.</w:t>
      </w:r>
      <w:r w:rsidR="00DE51E8" w:rsidRPr="00575C28">
        <w:rPr>
          <w:color w:val="000000" w:themeColor="text1"/>
        </w:rPr>
        <w:t xml:space="preserve"> The</w:t>
      </w:r>
      <w:r w:rsidR="007749CE" w:rsidRPr="00575C28">
        <w:rPr>
          <w:color w:val="000000" w:themeColor="text1"/>
        </w:rPr>
        <w:t xml:space="preserve"> autoregressive test (AR) test</w:t>
      </w:r>
      <w:r w:rsidR="00455328" w:rsidRPr="00575C28">
        <w:rPr>
          <w:color w:val="000000" w:themeColor="text1"/>
        </w:rPr>
        <w:t>s</w:t>
      </w:r>
      <w:r w:rsidR="007749CE" w:rsidRPr="00575C28">
        <w:rPr>
          <w:color w:val="000000" w:themeColor="text1"/>
        </w:rPr>
        <w:t xml:space="preserve"> the null hypothesis that the error term is not serially correlated. Here</w:t>
      </w:r>
      <w:r w:rsidR="00481775" w:rsidRPr="00575C28">
        <w:rPr>
          <w:color w:val="000000" w:themeColor="text1"/>
        </w:rPr>
        <w:t>,</w:t>
      </w:r>
      <w:r w:rsidR="007749CE" w:rsidRPr="00575C28">
        <w:rPr>
          <w:color w:val="000000" w:themeColor="text1"/>
        </w:rPr>
        <w:t xml:space="preserve"> we focus on second order serial correlation. Second-order serial correlation of the error term violates the assumption of</w:t>
      </w:r>
      <w:r w:rsidR="00DE51E8" w:rsidRPr="00575C28">
        <w:rPr>
          <w:color w:val="000000" w:themeColor="text1"/>
        </w:rPr>
        <w:t xml:space="preserve"> </w:t>
      </w:r>
      <w:r w:rsidR="007749CE" w:rsidRPr="00575C28">
        <w:rPr>
          <w:color w:val="000000" w:themeColor="text1"/>
        </w:rPr>
        <w:t>GMM estimator</w:t>
      </w:r>
      <w:r w:rsidR="00DE51E8" w:rsidRPr="00575C28">
        <w:rPr>
          <w:color w:val="000000" w:themeColor="text1"/>
        </w:rPr>
        <w:t>s</w:t>
      </w:r>
      <w:r w:rsidR="007749CE" w:rsidRPr="00575C28">
        <w:rPr>
          <w:color w:val="000000" w:themeColor="text1"/>
        </w:rPr>
        <w:t xml:space="preserve">. The </w:t>
      </w:r>
      <w:r w:rsidR="00F8346D" w:rsidRPr="00575C28">
        <w:rPr>
          <w:color w:val="000000" w:themeColor="text1"/>
        </w:rPr>
        <w:t>AR (</w:t>
      </w:r>
      <w:r w:rsidR="007749CE" w:rsidRPr="00575C28">
        <w:rPr>
          <w:color w:val="000000" w:themeColor="text1"/>
        </w:rPr>
        <w:t xml:space="preserve">2) test statistics and its p-value </w:t>
      </w:r>
      <w:r w:rsidR="009420D0" w:rsidRPr="00575C28">
        <w:rPr>
          <w:color w:val="000000" w:themeColor="text1"/>
        </w:rPr>
        <w:t xml:space="preserve">are </w:t>
      </w:r>
      <w:r w:rsidR="007749CE" w:rsidRPr="00575C28">
        <w:rPr>
          <w:color w:val="000000" w:themeColor="text1"/>
        </w:rPr>
        <w:t>show</w:t>
      </w:r>
      <w:r w:rsidR="001F7C18" w:rsidRPr="00575C28">
        <w:rPr>
          <w:color w:val="000000" w:themeColor="text1"/>
        </w:rPr>
        <w:t>n</w:t>
      </w:r>
      <w:r w:rsidR="007749CE" w:rsidRPr="00575C28">
        <w:rPr>
          <w:color w:val="000000" w:themeColor="text1"/>
        </w:rPr>
        <w:t xml:space="preserve"> in the</w:t>
      </w:r>
      <w:r w:rsidR="009420D0" w:rsidRPr="00575C28">
        <w:rPr>
          <w:color w:val="000000" w:themeColor="text1"/>
        </w:rPr>
        <w:t xml:space="preserve"> bottom</w:t>
      </w:r>
      <w:r w:rsidR="007749CE" w:rsidRPr="00575C28">
        <w:rPr>
          <w:color w:val="000000" w:themeColor="text1"/>
        </w:rPr>
        <w:t xml:space="preserve"> of </w:t>
      </w:r>
      <w:r w:rsidR="002C5EB2" w:rsidRPr="00575C28">
        <w:rPr>
          <w:color w:val="000000" w:themeColor="text1"/>
        </w:rPr>
        <w:t>Table</w:t>
      </w:r>
      <w:r w:rsidR="009420D0" w:rsidRPr="00575C28">
        <w:rPr>
          <w:color w:val="000000" w:themeColor="text1"/>
        </w:rPr>
        <w:t xml:space="preserve"> </w:t>
      </w:r>
      <w:r w:rsidR="00455328" w:rsidRPr="00575C28">
        <w:rPr>
          <w:color w:val="000000" w:themeColor="text1"/>
        </w:rPr>
        <w:t>3</w:t>
      </w:r>
      <w:r w:rsidR="009420D0" w:rsidRPr="00575C28">
        <w:rPr>
          <w:color w:val="000000" w:themeColor="text1"/>
        </w:rPr>
        <w:t xml:space="preserve">. The test statistics for both column </w:t>
      </w:r>
      <w:r w:rsidR="001F7C18" w:rsidRPr="00575C28">
        <w:rPr>
          <w:color w:val="000000" w:themeColor="text1"/>
        </w:rPr>
        <w:t>(</w:t>
      </w:r>
      <w:r w:rsidR="009420D0" w:rsidRPr="00575C28">
        <w:rPr>
          <w:color w:val="000000" w:themeColor="text1"/>
        </w:rPr>
        <w:t>1</w:t>
      </w:r>
      <w:r w:rsidR="001F7C18" w:rsidRPr="00575C28">
        <w:rPr>
          <w:color w:val="000000" w:themeColor="text1"/>
        </w:rPr>
        <w:t>)</w:t>
      </w:r>
      <w:r w:rsidR="009420D0" w:rsidRPr="00575C28">
        <w:rPr>
          <w:color w:val="000000" w:themeColor="text1"/>
        </w:rPr>
        <w:t xml:space="preserve"> and </w:t>
      </w:r>
      <w:r w:rsidR="001F7C18" w:rsidRPr="00575C28">
        <w:rPr>
          <w:color w:val="000000" w:themeColor="text1"/>
        </w:rPr>
        <w:t>(</w:t>
      </w:r>
      <w:r w:rsidR="009420D0" w:rsidRPr="00575C28">
        <w:rPr>
          <w:color w:val="000000" w:themeColor="text1"/>
        </w:rPr>
        <w:t>2</w:t>
      </w:r>
      <w:r w:rsidR="001F7C18" w:rsidRPr="00575C28">
        <w:rPr>
          <w:color w:val="000000" w:themeColor="text1"/>
        </w:rPr>
        <w:t>)</w:t>
      </w:r>
      <w:r w:rsidR="009420D0" w:rsidRPr="00575C28">
        <w:rPr>
          <w:color w:val="000000" w:themeColor="text1"/>
        </w:rPr>
        <w:t xml:space="preserve"> show</w:t>
      </w:r>
      <w:r w:rsidR="00DE51E8" w:rsidRPr="00575C28">
        <w:rPr>
          <w:color w:val="000000" w:themeColor="text1"/>
        </w:rPr>
        <w:t xml:space="preserve"> that one is </w:t>
      </w:r>
      <w:r w:rsidR="009420D0" w:rsidRPr="00575C28">
        <w:rPr>
          <w:color w:val="000000" w:themeColor="text1"/>
        </w:rPr>
        <w:t xml:space="preserve">unable to reject the null hypothesis, which gives credence to the model specifications. </w:t>
      </w:r>
      <w:r w:rsidR="00455328" w:rsidRPr="00575C28">
        <w:rPr>
          <w:color w:val="000000" w:themeColor="text1"/>
        </w:rPr>
        <w:t xml:space="preserve">The Sargan test examines the null hypothesis that the over-identifying restrictions are valid, and the instruments as </w:t>
      </w:r>
      <w:r w:rsidR="00455328" w:rsidRPr="00575C28">
        <w:rPr>
          <w:color w:val="000000" w:themeColor="text1"/>
        </w:rPr>
        <w:lastRenderedPageBreak/>
        <w:t xml:space="preserve">a group are exogenous. Failure to reject the null hypothesis of </w:t>
      </w:r>
      <w:r w:rsidR="00DF5A03" w:rsidRPr="00575C28">
        <w:rPr>
          <w:color w:val="000000" w:themeColor="text1"/>
        </w:rPr>
        <w:t xml:space="preserve">the </w:t>
      </w:r>
      <w:r w:rsidR="00455328" w:rsidRPr="00575C28">
        <w:rPr>
          <w:color w:val="000000" w:themeColor="text1"/>
        </w:rPr>
        <w:t xml:space="preserve">Sargan test supports the validity of the GMM estimates. The Sargan tests and </w:t>
      </w:r>
      <w:r w:rsidR="001F7C18" w:rsidRPr="00575C28">
        <w:rPr>
          <w:color w:val="000000" w:themeColor="text1"/>
        </w:rPr>
        <w:t>their</w:t>
      </w:r>
      <w:r w:rsidR="00455328" w:rsidRPr="00575C28">
        <w:rPr>
          <w:color w:val="000000" w:themeColor="text1"/>
        </w:rPr>
        <w:t xml:space="preserve"> p-values are shown in the last row of </w:t>
      </w:r>
      <w:r w:rsidR="002C5EB2" w:rsidRPr="00575C28">
        <w:rPr>
          <w:color w:val="000000" w:themeColor="text1"/>
        </w:rPr>
        <w:t>Table</w:t>
      </w:r>
      <w:r w:rsidR="00455328" w:rsidRPr="00575C28">
        <w:rPr>
          <w:color w:val="000000" w:themeColor="text1"/>
        </w:rPr>
        <w:t xml:space="preserve"> 3.  The p-values for both specifications </w:t>
      </w:r>
      <w:r w:rsidR="00DD304F" w:rsidRPr="00575C28">
        <w:rPr>
          <w:color w:val="000000" w:themeColor="text1"/>
        </w:rPr>
        <w:t xml:space="preserve">are </w:t>
      </w:r>
      <w:r w:rsidR="00455328" w:rsidRPr="00575C28">
        <w:rPr>
          <w:color w:val="000000" w:themeColor="text1"/>
        </w:rPr>
        <w:t>greater than 0.05</w:t>
      </w:r>
      <w:r w:rsidR="00DD304F" w:rsidRPr="00575C28">
        <w:rPr>
          <w:color w:val="000000" w:themeColor="text1"/>
        </w:rPr>
        <w:t>,</w:t>
      </w:r>
      <w:r w:rsidR="00455328" w:rsidRPr="00575C28">
        <w:rPr>
          <w:color w:val="000000" w:themeColor="text1"/>
        </w:rPr>
        <w:t xml:space="preserve"> meaning that </w:t>
      </w:r>
      <w:r w:rsidR="0052283B" w:rsidRPr="00575C28">
        <w:rPr>
          <w:color w:val="000000" w:themeColor="text1"/>
        </w:rPr>
        <w:t xml:space="preserve">one is </w:t>
      </w:r>
      <w:r w:rsidR="00455328" w:rsidRPr="00575C28">
        <w:rPr>
          <w:color w:val="000000" w:themeColor="text1"/>
        </w:rPr>
        <w:t xml:space="preserve">unable to reject the null hypothesis at a 5% </w:t>
      </w:r>
      <w:r w:rsidR="001F7C18" w:rsidRPr="00575C28">
        <w:rPr>
          <w:color w:val="000000" w:themeColor="text1"/>
        </w:rPr>
        <w:t>significance</w:t>
      </w:r>
      <w:r w:rsidR="00DF5A03" w:rsidRPr="00575C28">
        <w:rPr>
          <w:color w:val="000000" w:themeColor="text1"/>
        </w:rPr>
        <w:t xml:space="preserve"> level</w:t>
      </w:r>
      <w:r w:rsidR="00455328" w:rsidRPr="00575C28">
        <w:rPr>
          <w:color w:val="000000" w:themeColor="text1"/>
        </w:rPr>
        <w:t xml:space="preserve">. In summation, </w:t>
      </w:r>
      <w:r w:rsidR="00DD304F" w:rsidRPr="00575C28">
        <w:rPr>
          <w:color w:val="000000" w:themeColor="text1"/>
        </w:rPr>
        <w:t xml:space="preserve">the failure </w:t>
      </w:r>
      <w:r w:rsidR="00455328" w:rsidRPr="00575C28">
        <w:rPr>
          <w:color w:val="000000" w:themeColor="text1"/>
        </w:rPr>
        <w:t xml:space="preserve">to reject the two null </w:t>
      </w:r>
      <w:r w:rsidR="00F8346D" w:rsidRPr="00575C28">
        <w:rPr>
          <w:color w:val="000000" w:themeColor="text1"/>
        </w:rPr>
        <w:t>hypothesis supports</w:t>
      </w:r>
      <w:r w:rsidR="00455328" w:rsidRPr="00575C28">
        <w:rPr>
          <w:color w:val="000000" w:themeColor="text1"/>
        </w:rPr>
        <w:t xml:space="preserve"> the validity of the GMM estimates</w:t>
      </w:r>
      <w:r w:rsidR="00455328" w:rsidRPr="00575C28">
        <w:rPr>
          <w:b/>
          <w:bCs/>
          <w:color w:val="000000" w:themeColor="text1"/>
        </w:rPr>
        <w:t xml:space="preserve">. </w:t>
      </w:r>
    </w:p>
    <w:p w14:paraId="72AE8CC3" w14:textId="2718E00A" w:rsidR="00575C28" w:rsidRPr="00575C28" w:rsidRDefault="00D7579A" w:rsidP="00575C28">
      <w:pPr>
        <w:pStyle w:val="Heading1"/>
        <w:rPr>
          <w:rFonts w:ascii="Times New Roman" w:eastAsia="Times New Roman" w:hAnsi="Times New Roman" w:cs="Times New Roman"/>
          <w:color w:val="000000" w:themeColor="text1"/>
          <w:sz w:val="24"/>
          <w:szCs w:val="24"/>
        </w:rPr>
      </w:pPr>
      <w:bookmarkStart w:id="9" w:name="_Toc15420061"/>
      <w:r w:rsidRPr="00575C28">
        <w:rPr>
          <w:rFonts w:ascii="Times New Roman" w:hAnsi="Times New Roman" w:cs="Times New Roman"/>
          <w:b/>
          <w:bCs/>
          <w:color w:val="000000" w:themeColor="text1"/>
          <w:sz w:val="24"/>
          <w:szCs w:val="24"/>
        </w:rPr>
        <w:t xml:space="preserve">Section VI </w:t>
      </w:r>
      <w:r w:rsidR="00F6066B" w:rsidRPr="00575C28">
        <w:rPr>
          <w:rFonts w:ascii="Times New Roman" w:hAnsi="Times New Roman" w:cs="Times New Roman"/>
          <w:b/>
          <w:bCs/>
          <w:color w:val="000000" w:themeColor="text1"/>
          <w:sz w:val="24"/>
          <w:szCs w:val="24"/>
        </w:rPr>
        <w:t>Conclusion</w:t>
      </w:r>
      <w:bookmarkEnd w:id="9"/>
      <w:r w:rsidR="006B1FEB">
        <w:rPr>
          <w:rFonts w:ascii="Times New Roman" w:hAnsi="Times New Roman" w:cs="Times New Roman"/>
          <w:b/>
          <w:bCs/>
          <w:color w:val="000000" w:themeColor="text1"/>
          <w:sz w:val="24"/>
          <w:szCs w:val="24"/>
        </w:rPr>
        <w:t>:</w:t>
      </w:r>
    </w:p>
    <w:p w14:paraId="208C63B8" w14:textId="43F03F05" w:rsidR="00010DE4" w:rsidRPr="00575C28" w:rsidRDefault="00F6066B" w:rsidP="00575C28">
      <w:pPr>
        <w:pStyle w:val="Heading1"/>
        <w:rPr>
          <w:rFonts w:ascii="Times New Roman" w:eastAsia="Times New Roman" w:hAnsi="Times New Roman" w:cs="Times New Roman"/>
          <w:color w:val="000000" w:themeColor="text1"/>
          <w:sz w:val="24"/>
          <w:szCs w:val="24"/>
        </w:rPr>
      </w:pPr>
      <w:r w:rsidRPr="00575C28">
        <w:rPr>
          <w:rFonts w:ascii="Times New Roman" w:eastAsia="Times New Roman" w:hAnsi="Times New Roman" w:cs="Times New Roman"/>
          <w:color w:val="000000" w:themeColor="text1"/>
          <w:sz w:val="24"/>
          <w:szCs w:val="24"/>
        </w:rPr>
        <w:t xml:space="preserve"> </w:t>
      </w:r>
    </w:p>
    <w:p w14:paraId="55059357" w14:textId="15192DF9" w:rsidR="001A15C0" w:rsidRPr="00575C28" w:rsidRDefault="00E8753D" w:rsidP="00EC4D5A">
      <w:pPr>
        <w:spacing w:line="480" w:lineRule="auto"/>
        <w:jc w:val="both"/>
        <w:rPr>
          <w:color w:val="000000" w:themeColor="text1"/>
        </w:rPr>
      </w:pPr>
      <w:r w:rsidRPr="00575C28">
        <w:rPr>
          <w:color w:val="000000" w:themeColor="text1"/>
        </w:rPr>
        <w:t>Using</w:t>
      </w:r>
      <w:r w:rsidR="006C3996" w:rsidRPr="00575C28">
        <w:rPr>
          <w:color w:val="000000" w:themeColor="text1"/>
        </w:rPr>
        <w:t xml:space="preserve"> both fixed effects and</w:t>
      </w:r>
      <w:r w:rsidRPr="00575C28">
        <w:rPr>
          <w:color w:val="000000" w:themeColor="text1"/>
        </w:rPr>
        <w:t xml:space="preserve"> the system GMM method, </w:t>
      </w:r>
      <w:r w:rsidR="00DF5A03" w:rsidRPr="00575C28">
        <w:rPr>
          <w:color w:val="000000" w:themeColor="text1"/>
        </w:rPr>
        <w:t>we</w:t>
      </w:r>
      <w:r w:rsidRPr="00575C28">
        <w:rPr>
          <w:color w:val="000000" w:themeColor="text1"/>
        </w:rPr>
        <w:t xml:space="preserve"> present evidence that suggests that remittances have a positive and significant impact on economic growth in South Asia. </w:t>
      </w:r>
      <w:r w:rsidR="00DF5A03" w:rsidRPr="00575C28">
        <w:rPr>
          <w:color w:val="000000" w:themeColor="text1"/>
        </w:rPr>
        <w:t>Our</w:t>
      </w:r>
      <w:r w:rsidRPr="00575C28">
        <w:rPr>
          <w:color w:val="000000" w:themeColor="text1"/>
        </w:rPr>
        <w:t xml:space="preserve"> estimation results also suggest</w:t>
      </w:r>
      <w:r w:rsidR="000471D5" w:rsidRPr="00575C28">
        <w:rPr>
          <w:color w:val="000000" w:themeColor="text1"/>
        </w:rPr>
        <w:t xml:space="preserve"> that remittances are more effective in boosting economic growth when institutional quality is low, meaning</w:t>
      </w:r>
      <w:r w:rsidR="000471D5" w:rsidRPr="00575C28">
        <w:rPr>
          <w:rFonts w:eastAsiaTheme="minorHAnsi"/>
          <w:color w:val="000000" w:themeColor="text1"/>
        </w:rPr>
        <w:t xml:space="preserve"> that the marginal impact of remittances on growth is decreasing with the level of institutional quality</w:t>
      </w:r>
      <w:r w:rsidR="000471D5" w:rsidRPr="00575C28">
        <w:rPr>
          <w:color w:val="000000" w:themeColor="text1"/>
        </w:rPr>
        <w:t>.</w:t>
      </w:r>
    </w:p>
    <w:p w14:paraId="0DF0A2E4" w14:textId="3C834E2B" w:rsidR="006B2BF3" w:rsidRPr="00575C28" w:rsidRDefault="001A15C0" w:rsidP="00EC4D5A">
      <w:pPr>
        <w:spacing w:before="240" w:line="480" w:lineRule="auto"/>
        <w:ind w:firstLine="720"/>
        <w:jc w:val="both"/>
        <w:rPr>
          <w:color w:val="000000" w:themeColor="text1"/>
        </w:rPr>
      </w:pPr>
      <w:r w:rsidRPr="00575C28">
        <w:rPr>
          <w:color w:val="000000" w:themeColor="text1"/>
        </w:rPr>
        <w:t>This paper provides new insight on the nexus between remittances, economic growth</w:t>
      </w:r>
      <w:r w:rsidR="00F83D9B" w:rsidRPr="00575C28">
        <w:rPr>
          <w:color w:val="000000" w:themeColor="text1"/>
        </w:rPr>
        <w:t>,</w:t>
      </w:r>
      <w:r w:rsidRPr="00575C28">
        <w:rPr>
          <w:color w:val="000000" w:themeColor="text1"/>
        </w:rPr>
        <w:t xml:space="preserve"> and </w:t>
      </w:r>
      <w:r w:rsidR="004640AF" w:rsidRPr="00575C28">
        <w:rPr>
          <w:color w:val="000000" w:themeColor="text1"/>
        </w:rPr>
        <w:t>institutions</w:t>
      </w:r>
      <w:r w:rsidRPr="00575C28">
        <w:rPr>
          <w:color w:val="000000" w:themeColor="text1"/>
        </w:rPr>
        <w:t>.</w:t>
      </w:r>
      <w:r w:rsidR="00465BD8" w:rsidRPr="00575C28">
        <w:rPr>
          <w:color w:val="000000" w:themeColor="text1"/>
        </w:rPr>
        <w:t xml:space="preserve"> </w:t>
      </w:r>
      <w:r w:rsidRPr="00575C28">
        <w:rPr>
          <w:color w:val="000000" w:themeColor="text1"/>
        </w:rPr>
        <w:t xml:space="preserve">Previous studies on the topic presented evidence that sound </w:t>
      </w:r>
      <w:r w:rsidR="004640AF" w:rsidRPr="00575C28">
        <w:rPr>
          <w:color w:val="000000" w:themeColor="text1"/>
        </w:rPr>
        <w:t>institutions</w:t>
      </w:r>
      <w:r w:rsidRPr="00575C28">
        <w:rPr>
          <w:color w:val="000000" w:themeColor="text1"/>
        </w:rPr>
        <w:t xml:space="preserve"> enhance the effectiveness of remittances, but this paper shows evidence </w:t>
      </w:r>
      <w:r w:rsidR="004640AF" w:rsidRPr="00575C28">
        <w:rPr>
          <w:color w:val="000000" w:themeColor="text1"/>
        </w:rPr>
        <w:t>of the opposite</w:t>
      </w:r>
      <w:r w:rsidRPr="00575C28">
        <w:rPr>
          <w:color w:val="000000" w:themeColor="text1"/>
        </w:rPr>
        <w:t>, at least in the case of South Asi</w:t>
      </w:r>
      <w:r w:rsidR="004640AF" w:rsidRPr="00575C28">
        <w:rPr>
          <w:color w:val="000000" w:themeColor="text1"/>
        </w:rPr>
        <w:t>a.</w:t>
      </w:r>
      <w:r w:rsidR="005835A6" w:rsidRPr="00575C28">
        <w:rPr>
          <w:color w:val="000000" w:themeColor="text1"/>
        </w:rPr>
        <w:t xml:space="preserve"> </w:t>
      </w:r>
      <w:r w:rsidR="00B55234" w:rsidRPr="00575C28">
        <w:rPr>
          <w:color w:val="000000" w:themeColor="text1"/>
        </w:rPr>
        <w:t xml:space="preserve">While </w:t>
      </w:r>
      <w:r w:rsidR="0012332D" w:rsidRPr="00575C28">
        <w:rPr>
          <w:color w:val="000000" w:themeColor="text1"/>
        </w:rPr>
        <w:t xml:space="preserve">Catrinescu </w:t>
      </w:r>
      <w:r w:rsidR="00D82E27" w:rsidRPr="00575C28">
        <w:rPr>
          <w:color w:val="000000" w:themeColor="text1"/>
        </w:rPr>
        <w:t>et al.</w:t>
      </w:r>
      <w:r w:rsidR="0012332D" w:rsidRPr="00575C28">
        <w:rPr>
          <w:color w:val="000000" w:themeColor="text1"/>
        </w:rPr>
        <w:t xml:space="preserve"> (2009) and Zghidi </w:t>
      </w:r>
      <w:r w:rsidR="00D82E27" w:rsidRPr="00575C28">
        <w:rPr>
          <w:color w:val="000000" w:themeColor="text1"/>
        </w:rPr>
        <w:t>et al.</w:t>
      </w:r>
      <w:r w:rsidR="0012332D" w:rsidRPr="00575C28">
        <w:rPr>
          <w:color w:val="000000" w:themeColor="text1"/>
        </w:rPr>
        <w:t xml:space="preserve"> (2018) argue </w:t>
      </w:r>
      <w:r w:rsidR="00B55234" w:rsidRPr="00575C28">
        <w:rPr>
          <w:color w:val="000000" w:themeColor="text1"/>
        </w:rPr>
        <w:t xml:space="preserve">that </w:t>
      </w:r>
      <w:r w:rsidR="0012332D" w:rsidRPr="00575C28">
        <w:rPr>
          <w:color w:val="000000" w:themeColor="text1"/>
        </w:rPr>
        <w:t>institutions</w:t>
      </w:r>
      <w:r w:rsidR="00B55234" w:rsidRPr="00575C28">
        <w:rPr>
          <w:color w:val="000000" w:themeColor="text1"/>
        </w:rPr>
        <w:t xml:space="preserve"> enhance</w:t>
      </w:r>
      <w:r w:rsidR="00481775" w:rsidRPr="00575C28">
        <w:rPr>
          <w:color w:val="000000" w:themeColor="text1"/>
        </w:rPr>
        <w:t xml:space="preserve"> the growth effects of</w:t>
      </w:r>
      <w:r w:rsidR="00B55234" w:rsidRPr="00575C28">
        <w:rPr>
          <w:color w:val="000000" w:themeColor="text1"/>
        </w:rPr>
        <w:t xml:space="preserve"> remittance</w:t>
      </w:r>
      <w:r w:rsidR="00481775" w:rsidRPr="00575C28">
        <w:rPr>
          <w:color w:val="000000" w:themeColor="text1"/>
        </w:rPr>
        <w:t>s</w:t>
      </w:r>
      <w:r w:rsidR="00B55234" w:rsidRPr="00575C28">
        <w:rPr>
          <w:color w:val="000000" w:themeColor="text1"/>
        </w:rPr>
        <w:t xml:space="preserve">, this paper </w:t>
      </w:r>
      <w:r w:rsidR="0012332D" w:rsidRPr="00575C28">
        <w:rPr>
          <w:color w:val="000000" w:themeColor="text1"/>
        </w:rPr>
        <w:t>contradicts those results, showing that</w:t>
      </w:r>
      <w:r w:rsidR="00C06803" w:rsidRPr="00575C28">
        <w:rPr>
          <w:color w:val="000000" w:themeColor="text1"/>
        </w:rPr>
        <w:t xml:space="preserve"> in South Asia,</w:t>
      </w:r>
      <w:r w:rsidR="005835A6" w:rsidRPr="00575C28">
        <w:rPr>
          <w:color w:val="000000" w:themeColor="text1"/>
        </w:rPr>
        <w:t xml:space="preserve"> the growth effect of remittances decreases with the level of institutional development. This result supports the argument that remittances and institutional quality are substitutes</w:t>
      </w:r>
      <w:r w:rsidR="00481775" w:rsidRPr="00575C28">
        <w:rPr>
          <w:color w:val="000000" w:themeColor="text1"/>
        </w:rPr>
        <w:t>. This means</w:t>
      </w:r>
      <w:r w:rsidR="005835A6" w:rsidRPr="00575C28">
        <w:rPr>
          <w:color w:val="000000" w:themeColor="text1"/>
        </w:rPr>
        <w:t xml:space="preserve"> that</w:t>
      </w:r>
      <w:r w:rsidR="00CC2F15" w:rsidRPr="00575C28">
        <w:rPr>
          <w:color w:val="000000" w:themeColor="text1"/>
        </w:rPr>
        <w:t xml:space="preserve"> </w:t>
      </w:r>
      <w:r w:rsidR="005835A6" w:rsidRPr="00575C28">
        <w:rPr>
          <w:color w:val="000000" w:themeColor="text1"/>
        </w:rPr>
        <w:t xml:space="preserve">remittances </w:t>
      </w:r>
      <w:r w:rsidR="00481775" w:rsidRPr="00575C28">
        <w:rPr>
          <w:color w:val="000000" w:themeColor="text1"/>
        </w:rPr>
        <w:t xml:space="preserve">may </w:t>
      </w:r>
      <w:r w:rsidR="005835A6" w:rsidRPr="00575C28">
        <w:rPr>
          <w:color w:val="000000" w:themeColor="text1"/>
        </w:rPr>
        <w:t xml:space="preserve">compensate for poor </w:t>
      </w:r>
      <w:r w:rsidR="006B1FEB">
        <w:rPr>
          <w:color w:val="000000" w:themeColor="text1"/>
        </w:rPr>
        <w:t>institutions</w:t>
      </w:r>
      <w:r w:rsidR="00CC2F15" w:rsidRPr="00575C28">
        <w:rPr>
          <w:color w:val="000000" w:themeColor="text1"/>
        </w:rPr>
        <w:t xml:space="preserve">, allowing </w:t>
      </w:r>
      <w:r w:rsidR="005835A6" w:rsidRPr="00575C28">
        <w:rPr>
          <w:color w:val="000000" w:themeColor="text1"/>
        </w:rPr>
        <w:t>recipients access to finance</w:t>
      </w:r>
      <w:r w:rsidR="00C06803" w:rsidRPr="00575C28">
        <w:rPr>
          <w:color w:val="000000" w:themeColor="text1"/>
        </w:rPr>
        <w:t>,</w:t>
      </w:r>
      <w:r w:rsidR="00CC2F15" w:rsidRPr="00575C28">
        <w:rPr>
          <w:color w:val="000000" w:themeColor="text1"/>
        </w:rPr>
        <w:t xml:space="preserve"> </w:t>
      </w:r>
      <w:r w:rsidR="005835A6" w:rsidRPr="00575C28">
        <w:rPr>
          <w:color w:val="000000" w:themeColor="text1"/>
        </w:rPr>
        <w:t>which they can then use to invest in physical and human capital</w:t>
      </w:r>
      <w:r w:rsidR="00CC2F15" w:rsidRPr="00575C28">
        <w:rPr>
          <w:color w:val="000000" w:themeColor="text1"/>
        </w:rPr>
        <w:t xml:space="preserve">. Thus, this study helps showcase the different channels </w:t>
      </w:r>
      <w:r w:rsidR="006B1FEB">
        <w:rPr>
          <w:color w:val="000000" w:themeColor="text1"/>
        </w:rPr>
        <w:t>through</w:t>
      </w:r>
      <w:r w:rsidR="00CC2F15" w:rsidRPr="00575C28">
        <w:rPr>
          <w:color w:val="000000" w:themeColor="text1"/>
        </w:rPr>
        <w:t xml:space="preserve"> which remittance can impact growth.</w:t>
      </w:r>
    </w:p>
    <w:p w14:paraId="6A2E9C64" w14:textId="77777777" w:rsidR="006B2BF3" w:rsidRPr="00575C28" w:rsidRDefault="006B2BF3">
      <w:pPr>
        <w:rPr>
          <w:color w:val="000000" w:themeColor="text1"/>
        </w:rPr>
      </w:pPr>
      <w:r w:rsidRPr="00575C28">
        <w:rPr>
          <w:color w:val="000000" w:themeColor="text1"/>
        </w:rPr>
        <w:br w:type="page"/>
      </w:r>
    </w:p>
    <w:p w14:paraId="12FFC617" w14:textId="2D5B0EE6" w:rsidR="0052283B" w:rsidRPr="00575C28" w:rsidRDefault="0052283B" w:rsidP="00575C28">
      <w:pPr>
        <w:pStyle w:val="Heading1"/>
        <w:rPr>
          <w:rFonts w:ascii="Times New Roman" w:hAnsi="Times New Roman" w:cs="Times New Roman"/>
          <w:b/>
          <w:bCs/>
          <w:color w:val="000000" w:themeColor="text1"/>
          <w:sz w:val="24"/>
          <w:szCs w:val="24"/>
        </w:rPr>
      </w:pPr>
      <w:bookmarkStart w:id="10" w:name="_Toc15420062"/>
      <w:r w:rsidRPr="00575C28">
        <w:rPr>
          <w:rFonts w:ascii="Times New Roman" w:hAnsi="Times New Roman" w:cs="Times New Roman"/>
          <w:b/>
          <w:bCs/>
          <w:color w:val="000000" w:themeColor="text1"/>
          <w:sz w:val="24"/>
          <w:szCs w:val="24"/>
        </w:rPr>
        <w:lastRenderedPageBreak/>
        <w:t>References:</w:t>
      </w:r>
      <w:bookmarkEnd w:id="10"/>
    </w:p>
    <w:p w14:paraId="1957635A" w14:textId="77777777" w:rsidR="00575C28" w:rsidRPr="00575C28" w:rsidRDefault="00575C28" w:rsidP="00575C28">
      <w:pPr>
        <w:rPr>
          <w:color w:val="000000" w:themeColor="text1"/>
        </w:rPr>
      </w:pPr>
    </w:p>
    <w:p w14:paraId="795F2B0E" w14:textId="77777777" w:rsidR="0052283B" w:rsidRPr="00575C28" w:rsidRDefault="0052283B" w:rsidP="0052283B">
      <w:pPr>
        <w:rPr>
          <w:color w:val="000000" w:themeColor="text1"/>
        </w:rPr>
      </w:pPr>
    </w:p>
    <w:p w14:paraId="5303BBF5" w14:textId="77777777" w:rsidR="0052283B" w:rsidRPr="00575C28" w:rsidRDefault="0052283B" w:rsidP="00EC4D5A">
      <w:pPr>
        <w:spacing w:line="480" w:lineRule="auto"/>
        <w:rPr>
          <w:color w:val="000000" w:themeColor="text1"/>
        </w:rPr>
      </w:pPr>
      <w:r w:rsidRPr="00575C28">
        <w:rPr>
          <w:color w:val="000000" w:themeColor="text1"/>
        </w:rPr>
        <w:t>Abdih, M. Y., Chami, M. R., Ebeke, M. C., &amp; Barajas, M. A. (2012). </w:t>
      </w:r>
      <w:r w:rsidRPr="00575C28">
        <w:rPr>
          <w:iCs/>
          <w:color w:val="000000" w:themeColor="text1"/>
        </w:rPr>
        <w:t>Remittances channel and</w:t>
      </w:r>
      <w:r w:rsidRPr="00575C28">
        <w:rPr>
          <w:iCs/>
          <w:color w:val="000000" w:themeColor="text1"/>
        </w:rPr>
        <w:tab/>
        <w:t>fiscal impact in the Middle East, North Africa, and Central Asia</w:t>
      </w:r>
      <w:r w:rsidRPr="00575C28">
        <w:rPr>
          <w:color w:val="000000" w:themeColor="text1"/>
        </w:rPr>
        <w:t> (No. 12-104).</w:t>
      </w:r>
      <w:r w:rsidRPr="00575C28">
        <w:rPr>
          <w:color w:val="000000" w:themeColor="text1"/>
        </w:rPr>
        <w:tab/>
        <w:t>International Monetary Fund.</w:t>
      </w:r>
    </w:p>
    <w:p w14:paraId="4F7F259E" w14:textId="145AA0DD" w:rsidR="0052283B" w:rsidRPr="00575C28" w:rsidRDefault="0052283B" w:rsidP="00EC4D5A">
      <w:pPr>
        <w:spacing w:line="480" w:lineRule="auto"/>
        <w:rPr>
          <w:color w:val="000000" w:themeColor="text1"/>
        </w:rPr>
      </w:pPr>
      <w:r w:rsidRPr="00575C28">
        <w:rPr>
          <w:color w:val="000000" w:themeColor="text1"/>
        </w:rPr>
        <w:t xml:space="preserve">Aggarwal, R., </w:t>
      </w:r>
      <w:proofErr w:type="spellStart"/>
      <w:r w:rsidRPr="00575C28">
        <w:rPr>
          <w:color w:val="000000" w:themeColor="text1"/>
        </w:rPr>
        <w:t>Demirguc-Kunt</w:t>
      </w:r>
      <w:proofErr w:type="spellEnd"/>
      <w:r w:rsidRPr="00575C28">
        <w:rPr>
          <w:color w:val="000000" w:themeColor="text1"/>
        </w:rPr>
        <w:t>, A., &amp; Peria, M. S. M. (2011). Do remittances promote</w:t>
      </w:r>
      <w:r w:rsidRPr="00575C28">
        <w:rPr>
          <w:color w:val="000000" w:themeColor="text1"/>
        </w:rPr>
        <w:tab/>
        <w:t xml:space="preserve">financial development. </w:t>
      </w:r>
      <w:r w:rsidRPr="008A1C6D">
        <w:rPr>
          <w:i/>
          <w:iCs/>
          <w:color w:val="000000" w:themeColor="text1"/>
        </w:rPr>
        <w:t>Journal of Development Economics</w:t>
      </w:r>
      <w:r w:rsidRPr="00575C28">
        <w:rPr>
          <w:color w:val="000000" w:themeColor="text1"/>
        </w:rPr>
        <w:t>, 96(2), 255-264.</w:t>
      </w:r>
    </w:p>
    <w:p w14:paraId="488CC231" w14:textId="73D9FE92" w:rsidR="0052283B" w:rsidRPr="00575C28" w:rsidRDefault="0052283B" w:rsidP="00EC4D5A">
      <w:pPr>
        <w:spacing w:line="480" w:lineRule="auto"/>
        <w:rPr>
          <w:color w:val="000000" w:themeColor="text1"/>
        </w:rPr>
      </w:pPr>
      <w:r w:rsidRPr="00575C28">
        <w:rPr>
          <w:color w:val="000000" w:themeColor="text1"/>
        </w:rPr>
        <w:t>Ahmed, J., &amp; Mughal, M. Y. (2018). </w:t>
      </w:r>
      <w:r w:rsidRPr="008A1C6D">
        <w:rPr>
          <w:color w:val="000000" w:themeColor="text1"/>
        </w:rPr>
        <w:t>Remittances and Business Cycles: Comparison of South</w:t>
      </w:r>
      <w:r w:rsidR="00F83D9B" w:rsidRPr="008A1C6D">
        <w:rPr>
          <w:color w:val="000000" w:themeColor="text1"/>
        </w:rPr>
        <w:tab/>
      </w:r>
      <w:r w:rsidRPr="008A1C6D">
        <w:rPr>
          <w:color w:val="000000" w:themeColor="text1"/>
        </w:rPr>
        <w:t>Asian</w:t>
      </w:r>
      <w:r w:rsidR="00F657C1" w:rsidRPr="008A1C6D">
        <w:rPr>
          <w:color w:val="000000" w:themeColor="text1"/>
        </w:rPr>
        <w:t xml:space="preserve"> </w:t>
      </w:r>
      <w:r w:rsidRPr="008A1C6D">
        <w:rPr>
          <w:color w:val="000000" w:themeColor="text1"/>
        </w:rPr>
        <w:t>Countries</w:t>
      </w:r>
      <w:r w:rsidRPr="00575C28">
        <w:rPr>
          <w:color w:val="000000" w:themeColor="text1"/>
        </w:rPr>
        <w:t> (No. hal-01885151).</w:t>
      </w:r>
    </w:p>
    <w:p w14:paraId="1256EF0B" w14:textId="62D62435" w:rsidR="0052283B" w:rsidRDefault="0052283B" w:rsidP="00EC4D5A">
      <w:pPr>
        <w:spacing w:line="480" w:lineRule="auto"/>
        <w:rPr>
          <w:color w:val="000000" w:themeColor="text1"/>
        </w:rPr>
      </w:pPr>
      <w:r w:rsidRPr="00575C28">
        <w:rPr>
          <w:color w:val="000000" w:themeColor="text1"/>
        </w:rPr>
        <w:t>Anderson, T. W., &amp; Hsiao, C. (1981). Estimation of dynamic models with error</w:t>
      </w:r>
      <w:r w:rsidRPr="00575C28">
        <w:rPr>
          <w:color w:val="000000" w:themeColor="text1"/>
        </w:rPr>
        <w:tab/>
        <w:t>components</w:t>
      </w:r>
      <w:r w:rsidRPr="008A1C6D">
        <w:rPr>
          <w:i/>
          <w:iCs/>
          <w:color w:val="000000" w:themeColor="text1"/>
        </w:rPr>
        <w:t>. Journal of the American statistical Association</w:t>
      </w:r>
      <w:r w:rsidRPr="00575C28">
        <w:rPr>
          <w:color w:val="000000" w:themeColor="text1"/>
        </w:rPr>
        <w:t>, </w:t>
      </w:r>
      <w:r w:rsidRPr="00575C28">
        <w:rPr>
          <w:iCs/>
          <w:color w:val="000000" w:themeColor="text1"/>
        </w:rPr>
        <w:t>76</w:t>
      </w:r>
      <w:r w:rsidRPr="00575C28">
        <w:rPr>
          <w:color w:val="000000" w:themeColor="text1"/>
        </w:rPr>
        <w:t>(375), 598-606.</w:t>
      </w:r>
    </w:p>
    <w:p w14:paraId="4C37F93E" w14:textId="04AC4DFC" w:rsidR="00832D10" w:rsidRPr="00575C28" w:rsidRDefault="00832D10" w:rsidP="00EC4D5A">
      <w:pPr>
        <w:spacing w:line="480" w:lineRule="auto"/>
        <w:rPr>
          <w:color w:val="000000" w:themeColor="text1"/>
        </w:rPr>
      </w:pPr>
      <w:r w:rsidRPr="00832D10">
        <w:rPr>
          <w:color w:val="000000" w:themeColor="text1"/>
        </w:rPr>
        <w:t>Arellano, M., &amp; Bond, S. (1991). Some tests of specification for panel data: Monte Carlo</w:t>
      </w:r>
      <w:r>
        <w:rPr>
          <w:color w:val="000000" w:themeColor="text1"/>
        </w:rPr>
        <w:tab/>
      </w:r>
      <w:r w:rsidRPr="00832D10">
        <w:rPr>
          <w:color w:val="000000" w:themeColor="text1"/>
        </w:rPr>
        <w:t>evidence and an application to employment equations. </w:t>
      </w:r>
      <w:r w:rsidRPr="00832D10">
        <w:rPr>
          <w:i/>
          <w:iCs/>
          <w:color w:val="000000" w:themeColor="text1"/>
        </w:rPr>
        <w:t>The review of economic</w:t>
      </w:r>
      <w:r>
        <w:rPr>
          <w:i/>
          <w:iCs/>
          <w:color w:val="000000" w:themeColor="text1"/>
        </w:rPr>
        <w:tab/>
      </w:r>
      <w:r w:rsidRPr="00832D10">
        <w:rPr>
          <w:i/>
          <w:iCs/>
          <w:color w:val="000000" w:themeColor="text1"/>
        </w:rPr>
        <w:t>studies</w:t>
      </w:r>
      <w:r w:rsidRPr="00832D10">
        <w:rPr>
          <w:color w:val="000000" w:themeColor="text1"/>
        </w:rPr>
        <w:t>, </w:t>
      </w:r>
      <w:r w:rsidRPr="00832D10">
        <w:rPr>
          <w:i/>
          <w:iCs/>
          <w:color w:val="000000" w:themeColor="text1"/>
        </w:rPr>
        <w:t>58</w:t>
      </w:r>
      <w:r w:rsidRPr="00832D10">
        <w:rPr>
          <w:color w:val="000000" w:themeColor="text1"/>
        </w:rPr>
        <w:t>(2), 277-297.</w:t>
      </w:r>
    </w:p>
    <w:p w14:paraId="7862170E" w14:textId="0D082167" w:rsidR="0052283B" w:rsidRPr="00575C28" w:rsidRDefault="0052283B" w:rsidP="00EC4D5A">
      <w:pPr>
        <w:spacing w:line="480" w:lineRule="auto"/>
        <w:rPr>
          <w:color w:val="000000" w:themeColor="text1"/>
        </w:rPr>
      </w:pPr>
      <w:r w:rsidRPr="00575C28">
        <w:rPr>
          <w:color w:val="000000" w:themeColor="text1"/>
        </w:rPr>
        <w:t>Arellano, M., &amp; Bover, O. (1995). Another look at the instrumental variable estimation of error</w:t>
      </w:r>
      <w:r w:rsidRPr="00575C28">
        <w:rPr>
          <w:color w:val="000000" w:themeColor="text1"/>
        </w:rPr>
        <w:tab/>
        <w:t xml:space="preserve">component models. </w:t>
      </w:r>
      <w:r w:rsidRPr="008A1C6D">
        <w:rPr>
          <w:i/>
          <w:iCs/>
          <w:color w:val="000000" w:themeColor="text1"/>
        </w:rPr>
        <w:t>Journal of Econometrics</w:t>
      </w:r>
      <w:r w:rsidRPr="00575C28">
        <w:rPr>
          <w:color w:val="000000" w:themeColor="text1"/>
        </w:rPr>
        <w:t>, 68(1), 29</w:t>
      </w:r>
      <w:r w:rsidR="00F657C1">
        <w:rPr>
          <w:color w:val="000000" w:themeColor="text1"/>
        </w:rPr>
        <w:t>-</w:t>
      </w:r>
      <w:r w:rsidRPr="00575C28">
        <w:rPr>
          <w:color w:val="000000" w:themeColor="text1"/>
        </w:rPr>
        <w:t>51.</w:t>
      </w:r>
    </w:p>
    <w:p w14:paraId="43DC2890" w14:textId="60D0FBCF" w:rsidR="0052283B" w:rsidRPr="00575C28" w:rsidRDefault="0052283B" w:rsidP="00EC4D5A">
      <w:pPr>
        <w:spacing w:line="480" w:lineRule="auto"/>
        <w:rPr>
          <w:i/>
          <w:iCs/>
          <w:color w:val="000000" w:themeColor="text1"/>
        </w:rPr>
      </w:pPr>
      <w:r w:rsidRPr="00575C28">
        <w:rPr>
          <w:color w:val="000000" w:themeColor="text1"/>
        </w:rPr>
        <w:t>Asian Development Bank; World Bank. (2018). Migration and Remittances for Development in</w:t>
      </w:r>
      <w:r w:rsidRPr="00575C28">
        <w:rPr>
          <w:color w:val="000000" w:themeColor="text1"/>
        </w:rPr>
        <w:tab/>
        <w:t xml:space="preserve">Asia. Manila: Asian Development Bank. </w:t>
      </w:r>
      <w:r w:rsidRPr="00575C28">
        <w:rPr>
          <w:color w:val="000000" w:themeColor="text1"/>
        </w:rPr>
        <w:tab/>
        <w:t>https://openknowledge.worldbank.org/handle/10986/30443</w:t>
      </w:r>
    </w:p>
    <w:p w14:paraId="3E710F24" w14:textId="77777777" w:rsidR="0052283B" w:rsidRPr="00575C28" w:rsidRDefault="0052283B" w:rsidP="00EC4D5A">
      <w:pPr>
        <w:spacing w:line="480" w:lineRule="auto"/>
        <w:rPr>
          <w:color w:val="000000" w:themeColor="text1"/>
        </w:rPr>
      </w:pPr>
      <w:r w:rsidRPr="00575C28">
        <w:rPr>
          <w:color w:val="000000" w:themeColor="text1"/>
        </w:rPr>
        <w:t>Azizi, S. (2018). Remittances and Economic Growth: The Role of Human Capital. Northern</w:t>
      </w:r>
      <w:r w:rsidRPr="00575C28">
        <w:rPr>
          <w:color w:val="000000" w:themeColor="text1"/>
        </w:rPr>
        <w:tab/>
        <w:t>Illinois University.</w:t>
      </w:r>
    </w:p>
    <w:p w14:paraId="52D438F6" w14:textId="77777777" w:rsidR="0052283B" w:rsidRPr="00575C28" w:rsidRDefault="0052283B" w:rsidP="00EC4D5A">
      <w:pPr>
        <w:spacing w:line="480" w:lineRule="auto"/>
        <w:rPr>
          <w:color w:val="000000" w:themeColor="text1"/>
        </w:rPr>
      </w:pPr>
      <w:r w:rsidRPr="00575C28">
        <w:rPr>
          <w:color w:val="000000" w:themeColor="text1"/>
        </w:rPr>
        <w:t>Barajas, A., Chami, R., Fullenkamp, C., Gapen, M., &amp; Montiel, P. (2009). Do Workers'</w:t>
      </w:r>
      <w:r w:rsidRPr="00575C28">
        <w:rPr>
          <w:color w:val="000000" w:themeColor="text1"/>
        </w:rPr>
        <w:tab/>
        <w:t>Remittances Promote Economic Growth? (No. 9-153). International Monetary Fund.</w:t>
      </w:r>
    </w:p>
    <w:p w14:paraId="5B3AB671" w14:textId="77777777" w:rsidR="0052283B" w:rsidRPr="00575C28" w:rsidRDefault="0052283B" w:rsidP="00EC4D5A">
      <w:pPr>
        <w:spacing w:line="480" w:lineRule="auto"/>
        <w:rPr>
          <w:color w:val="000000" w:themeColor="text1"/>
        </w:rPr>
      </w:pPr>
      <w:r w:rsidRPr="00575C28">
        <w:rPr>
          <w:color w:val="000000" w:themeColor="text1"/>
        </w:rPr>
        <w:lastRenderedPageBreak/>
        <w:t>Blundell, R., &amp; Bond, S. (1998). Initial conditions and moment restrictions in dynamic panel</w:t>
      </w:r>
      <w:r w:rsidRPr="00575C28">
        <w:rPr>
          <w:color w:val="000000" w:themeColor="text1"/>
        </w:rPr>
        <w:tab/>
        <w:t xml:space="preserve">data models. </w:t>
      </w:r>
      <w:r w:rsidRPr="008A1C6D">
        <w:rPr>
          <w:i/>
          <w:iCs/>
          <w:color w:val="000000" w:themeColor="text1"/>
        </w:rPr>
        <w:t>Journal of Econometrics</w:t>
      </w:r>
      <w:r w:rsidRPr="00575C28">
        <w:rPr>
          <w:color w:val="000000" w:themeColor="text1"/>
        </w:rPr>
        <w:t>, 87, 115–143.</w:t>
      </w:r>
    </w:p>
    <w:p w14:paraId="296AE731" w14:textId="6395D991" w:rsidR="00F657C1" w:rsidRPr="00F657C1" w:rsidRDefault="00F657C1" w:rsidP="00F657C1">
      <w:pPr>
        <w:spacing w:line="480" w:lineRule="auto"/>
        <w:rPr>
          <w:color w:val="000000" w:themeColor="text1"/>
        </w:rPr>
      </w:pPr>
      <w:r w:rsidRPr="00F657C1">
        <w:rPr>
          <w:color w:val="000000" w:themeColor="text1"/>
        </w:rPr>
        <w:t>Catrinescu, N., Leon-Ledesma, M., Piracha, M., &amp; Quillin, B. (2009). Remittances, institutions,</w:t>
      </w:r>
      <w:r>
        <w:rPr>
          <w:color w:val="000000" w:themeColor="text1"/>
        </w:rPr>
        <w:tab/>
      </w:r>
      <w:r w:rsidRPr="00F657C1">
        <w:rPr>
          <w:color w:val="000000" w:themeColor="text1"/>
        </w:rPr>
        <w:t>and economic growth. </w:t>
      </w:r>
      <w:r w:rsidRPr="00F657C1">
        <w:rPr>
          <w:i/>
          <w:iCs/>
          <w:color w:val="000000" w:themeColor="text1"/>
        </w:rPr>
        <w:t>World Development</w:t>
      </w:r>
      <w:r w:rsidRPr="00F657C1">
        <w:rPr>
          <w:color w:val="000000" w:themeColor="text1"/>
        </w:rPr>
        <w:t>, </w:t>
      </w:r>
      <w:r w:rsidRPr="00F657C1">
        <w:rPr>
          <w:i/>
          <w:iCs/>
          <w:color w:val="000000" w:themeColor="text1"/>
        </w:rPr>
        <w:t>37</w:t>
      </w:r>
      <w:r w:rsidRPr="00F657C1">
        <w:rPr>
          <w:color w:val="000000" w:themeColor="text1"/>
        </w:rPr>
        <w:t>(1), 81-92.</w:t>
      </w:r>
    </w:p>
    <w:p w14:paraId="7686140F" w14:textId="534FC005" w:rsidR="0052283B" w:rsidRPr="00575C28" w:rsidRDefault="00F657C1" w:rsidP="00EC4D5A">
      <w:pPr>
        <w:spacing w:line="480" w:lineRule="auto"/>
        <w:rPr>
          <w:color w:val="000000" w:themeColor="text1"/>
        </w:rPr>
      </w:pPr>
      <w:r w:rsidRPr="00F657C1" w:rsidDel="00F657C1">
        <w:rPr>
          <w:color w:val="000000" w:themeColor="text1"/>
        </w:rPr>
        <w:t xml:space="preserve"> </w:t>
      </w:r>
      <w:r w:rsidRPr="00F657C1">
        <w:rPr>
          <w:color w:val="000000" w:themeColor="text1"/>
        </w:rPr>
        <w:t>Chami, R., Fullenkamp, C., &amp; Jahjah, S. (2005). Are immigrant remittance flows a source of</w:t>
      </w:r>
      <w:r>
        <w:rPr>
          <w:color w:val="000000" w:themeColor="text1"/>
        </w:rPr>
        <w:tab/>
      </w:r>
      <w:r w:rsidRPr="00F657C1">
        <w:rPr>
          <w:color w:val="000000" w:themeColor="text1"/>
        </w:rPr>
        <w:t>capital for development</w:t>
      </w:r>
      <w:proofErr w:type="gramStart"/>
      <w:r w:rsidRPr="00F657C1">
        <w:rPr>
          <w:color w:val="000000" w:themeColor="text1"/>
        </w:rPr>
        <w:t>?.</w:t>
      </w:r>
      <w:proofErr w:type="gramEnd"/>
      <w:r w:rsidRPr="00F657C1">
        <w:rPr>
          <w:color w:val="000000" w:themeColor="text1"/>
        </w:rPr>
        <w:t> </w:t>
      </w:r>
      <w:r w:rsidRPr="00F657C1">
        <w:rPr>
          <w:i/>
          <w:iCs/>
          <w:color w:val="000000" w:themeColor="text1"/>
        </w:rPr>
        <w:t>IMF Staff papers</w:t>
      </w:r>
      <w:r w:rsidRPr="00F657C1">
        <w:rPr>
          <w:color w:val="000000" w:themeColor="text1"/>
        </w:rPr>
        <w:t>, </w:t>
      </w:r>
      <w:r w:rsidRPr="00F657C1">
        <w:rPr>
          <w:i/>
          <w:iCs/>
          <w:color w:val="000000" w:themeColor="text1"/>
        </w:rPr>
        <w:t>52</w:t>
      </w:r>
      <w:r w:rsidRPr="00F657C1">
        <w:rPr>
          <w:color w:val="000000" w:themeColor="text1"/>
        </w:rPr>
        <w:t>(1), 55-81</w:t>
      </w:r>
      <w:r w:rsidR="0052283B" w:rsidRPr="00575C28">
        <w:rPr>
          <w:color w:val="000000" w:themeColor="text1"/>
        </w:rPr>
        <w:t>.</w:t>
      </w:r>
    </w:p>
    <w:p w14:paraId="41674816" w14:textId="49C5EA9A" w:rsidR="0052283B" w:rsidRPr="00575C28" w:rsidRDefault="0052283B" w:rsidP="00EC4D5A">
      <w:pPr>
        <w:spacing w:line="480" w:lineRule="auto"/>
        <w:rPr>
          <w:color w:val="000000" w:themeColor="text1"/>
        </w:rPr>
      </w:pPr>
      <w:r w:rsidRPr="000E3B3D">
        <w:rPr>
          <w:color w:val="000000" w:themeColor="text1"/>
          <w:lang w:val="fr-CA"/>
        </w:rPr>
        <w:t xml:space="preserve">Clemens, M. A., &amp; McKenzie, D. (2018). </w:t>
      </w:r>
      <w:r w:rsidRPr="00575C28">
        <w:rPr>
          <w:color w:val="000000" w:themeColor="text1"/>
        </w:rPr>
        <w:t>Why don't remittances appear to affect growth</w:t>
      </w:r>
      <w:proofErr w:type="gramStart"/>
      <w:r w:rsidRPr="00575C28">
        <w:rPr>
          <w:color w:val="000000" w:themeColor="text1"/>
        </w:rPr>
        <w:t>?.</w:t>
      </w:r>
      <w:proofErr w:type="gramEnd"/>
      <w:r w:rsidRPr="00575C28">
        <w:rPr>
          <w:color w:val="000000" w:themeColor="text1"/>
        </w:rPr>
        <w:t> </w:t>
      </w:r>
      <w:r w:rsidRPr="008A1C6D">
        <w:rPr>
          <w:i/>
          <w:color w:val="000000" w:themeColor="text1"/>
        </w:rPr>
        <w:t>The</w:t>
      </w:r>
      <w:r w:rsidRPr="008A1C6D">
        <w:rPr>
          <w:i/>
          <w:color w:val="000000" w:themeColor="text1"/>
        </w:rPr>
        <w:tab/>
        <w:t>Economic Journal</w:t>
      </w:r>
      <w:r w:rsidRPr="00575C28">
        <w:rPr>
          <w:color w:val="000000" w:themeColor="text1"/>
        </w:rPr>
        <w:t>, </w:t>
      </w:r>
      <w:r w:rsidRPr="00575C28">
        <w:rPr>
          <w:iCs/>
          <w:color w:val="000000" w:themeColor="text1"/>
        </w:rPr>
        <w:t>128</w:t>
      </w:r>
      <w:r w:rsidRPr="00575C28">
        <w:rPr>
          <w:color w:val="000000" w:themeColor="text1"/>
        </w:rPr>
        <w:t>(612), F179-F209.</w:t>
      </w:r>
    </w:p>
    <w:p w14:paraId="1C72B2D1" w14:textId="49A3EC32" w:rsidR="00F83D9B" w:rsidRPr="00575C28" w:rsidRDefault="00F83D9B" w:rsidP="00EC4D5A">
      <w:pPr>
        <w:spacing w:line="480" w:lineRule="auto"/>
        <w:rPr>
          <w:color w:val="000000" w:themeColor="text1"/>
        </w:rPr>
      </w:pPr>
      <w:r w:rsidRPr="00575C28">
        <w:rPr>
          <w:color w:val="000000" w:themeColor="text1"/>
        </w:rPr>
        <w:t>Duasa, J. (2010). Income Convergence or Income Divergence? A Study on Selected OIC</w:t>
      </w:r>
      <w:r w:rsidRPr="00575C28">
        <w:rPr>
          <w:color w:val="000000" w:themeColor="text1"/>
        </w:rPr>
        <w:tab/>
        <w:t>Countries. </w:t>
      </w:r>
      <w:r w:rsidRPr="00575C28">
        <w:rPr>
          <w:i/>
          <w:iCs/>
          <w:color w:val="000000" w:themeColor="text1"/>
        </w:rPr>
        <w:t>Journal of Economic Cooperation &amp; Development</w:t>
      </w:r>
      <w:r w:rsidRPr="00575C28">
        <w:rPr>
          <w:color w:val="000000" w:themeColor="text1"/>
        </w:rPr>
        <w:t>, </w:t>
      </w:r>
      <w:r w:rsidRPr="008A1C6D">
        <w:rPr>
          <w:color w:val="000000" w:themeColor="text1"/>
        </w:rPr>
        <w:t>31(4).</w:t>
      </w:r>
    </w:p>
    <w:p w14:paraId="25A2AEC1" w14:textId="77777777" w:rsidR="0052283B" w:rsidRPr="00575C28" w:rsidRDefault="0052283B" w:rsidP="00EC4D5A">
      <w:pPr>
        <w:spacing w:line="480" w:lineRule="auto"/>
        <w:rPr>
          <w:color w:val="000000" w:themeColor="text1"/>
        </w:rPr>
      </w:pPr>
      <w:r w:rsidRPr="00575C28">
        <w:rPr>
          <w:color w:val="000000" w:themeColor="text1"/>
        </w:rPr>
        <w:t>Faini, R. (2007). Migration and Remittances: The Impact on Countries of Origin. Migration and</w:t>
      </w:r>
      <w:r w:rsidRPr="00575C28">
        <w:rPr>
          <w:color w:val="000000" w:themeColor="text1"/>
        </w:rPr>
        <w:tab/>
        <w:t>Development: Mutual Benefits</w:t>
      </w:r>
      <w:proofErr w:type="gramStart"/>
      <w:r w:rsidRPr="00575C28">
        <w:rPr>
          <w:color w:val="000000" w:themeColor="text1"/>
        </w:rPr>
        <w:t>?.</w:t>
      </w:r>
      <w:proofErr w:type="gramEnd"/>
    </w:p>
    <w:p w14:paraId="22F55209" w14:textId="77777777" w:rsidR="0052283B" w:rsidRPr="00575C28" w:rsidRDefault="0052283B" w:rsidP="00EC4D5A">
      <w:pPr>
        <w:spacing w:line="480" w:lineRule="auto"/>
        <w:rPr>
          <w:color w:val="000000" w:themeColor="text1"/>
        </w:rPr>
      </w:pPr>
      <w:r w:rsidRPr="00575C28">
        <w:rPr>
          <w:color w:val="000000" w:themeColor="text1"/>
        </w:rPr>
        <w:t>Fayissa, B., &amp; Nsiah, C. (2010). The impact of remittances on economic growth and</w:t>
      </w:r>
      <w:r w:rsidRPr="00575C28">
        <w:rPr>
          <w:color w:val="000000" w:themeColor="text1"/>
        </w:rPr>
        <w:tab/>
        <w:t xml:space="preserve">development in Africa. </w:t>
      </w:r>
      <w:r w:rsidRPr="008A1C6D">
        <w:rPr>
          <w:i/>
          <w:iCs/>
          <w:color w:val="000000" w:themeColor="text1"/>
        </w:rPr>
        <w:t>The American Economist</w:t>
      </w:r>
      <w:r w:rsidRPr="00575C28">
        <w:rPr>
          <w:color w:val="000000" w:themeColor="text1"/>
        </w:rPr>
        <w:t>, 55(2), 92-103.</w:t>
      </w:r>
    </w:p>
    <w:p w14:paraId="792EBE2E" w14:textId="641D0B03" w:rsidR="0052283B" w:rsidRPr="00575C28" w:rsidRDefault="0052283B" w:rsidP="00EC4D5A">
      <w:pPr>
        <w:spacing w:line="480" w:lineRule="auto"/>
        <w:rPr>
          <w:color w:val="000000" w:themeColor="text1"/>
        </w:rPr>
      </w:pPr>
      <w:r w:rsidRPr="00575C28">
        <w:rPr>
          <w:color w:val="000000" w:themeColor="text1"/>
        </w:rPr>
        <w:t>Gwartney, J., Lawson, R., Hall, J., and Murphy, R. (2014). Economic Freedom of the World</w:t>
      </w:r>
      <w:r w:rsidRPr="00575C28">
        <w:rPr>
          <w:color w:val="000000" w:themeColor="text1"/>
        </w:rPr>
        <w:tab/>
        <w:t>2018. Annual</w:t>
      </w:r>
      <w:r w:rsidRPr="00575C28">
        <w:rPr>
          <w:color w:val="000000" w:themeColor="text1"/>
        </w:rPr>
        <w:tab/>
        <w:t>Report, Fraser Institute.</w:t>
      </w:r>
    </w:p>
    <w:p w14:paraId="61F34C8F" w14:textId="22AD5370" w:rsidR="00C06803" w:rsidRDefault="00C06803" w:rsidP="00EC4D5A">
      <w:pPr>
        <w:spacing w:line="480" w:lineRule="auto"/>
        <w:rPr>
          <w:color w:val="000000" w:themeColor="text1"/>
        </w:rPr>
      </w:pPr>
      <w:r w:rsidRPr="000E3B3D">
        <w:rPr>
          <w:color w:val="000000" w:themeColor="text1"/>
          <w:lang w:val="fr-CA"/>
        </w:rPr>
        <w:t xml:space="preserve">Huang, L. C., &amp; Chang, S. H. (2014). </w:t>
      </w:r>
      <w:r w:rsidRPr="00575C28">
        <w:rPr>
          <w:color w:val="000000" w:themeColor="text1"/>
        </w:rPr>
        <w:t>Revisit the nexus of trade openness and GDP growth:</w:t>
      </w:r>
      <w:r w:rsidRPr="00575C28">
        <w:rPr>
          <w:color w:val="000000" w:themeColor="text1"/>
        </w:rPr>
        <w:tab/>
        <w:t>Does the financial system matter</w:t>
      </w:r>
      <w:proofErr w:type="gramStart"/>
      <w:r w:rsidRPr="00575C28">
        <w:rPr>
          <w:color w:val="000000" w:themeColor="text1"/>
        </w:rPr>
        <w:t>?.</w:t>
      </w:r>
      <w:proofErr w:type="gramEnd"/>
      <w:r w:rsidRPr="00575C28">
        <w:rPr>
          <w:color w:val="000000" w:themeColor="text1"/>
        </w:rPr>
        <w:t> </w:t>
      </w:r>
      <w:r w:rsidRPr="00575C28">
        <w:rPr>
          <w:i/>
          <w:iCs/>
          <w:color w:val="000000" w:themeColor="text1"/>
        </w:rPr>
        <w:t>The Journal of International Trade &amp; Economic</w:t>
      </w:r>
      <w:r w:rsidRPr="00575C28">
        <w:rPr>
          <w:i/>
          <w:iCs/>
          <w:color w:val="000000" w:themeColor="text1"/>
        </w:rPr>
        <w:tab/>
        <w:t>Development</w:t>
      </w:r>
      <w:r w:rsidRPr="00575C28">
        <w:rPr>
          <w:color w:val="000000" w:themeColor="text1"/>
        </w:rPr>
        <w:t>, </w:t>
      </w:r>
      <w:r w:rsidRPr="008A1C6D">
        <w:rPr>
          <w:color w:val="000000" w:themeColor="text1"/>
        </w:rPr>
        <w:t>23(7), 1038-1058</w:t>
      </w:r>
      <w:r w:rsidRPr="00575C28">
        <w:rPr>
          <w:color w:val="000000" w:themeColor="text1"/>
        </w:rPr>
        <w:t>.</w:t>
      </w:r>
    </w:p>
    <w:p w14:paraId="6E66BAD7" w14:textId="08EC9A15" w:rsidR="00023A64" w:rsidRPr="00575C28" w:rsidRDefault="00023A64" w:rsidP="00EC4D5A">
      <w:pPr>
        <w:spacing w:line="480" w:lineRule="auto"/>
        <w:rPr>
          <w:color w:val="000000" w:themeColor="text1"/>
        </w:rPr>
      </w:pPr>
      <w:r w:rsidRPr="00023A64">
        <w:rPr>
          <w:color w:val="000000" w:themeColor="text1"/>
        </w:rPr>
        <w:t>International Monetary Fund</w:t>
      </w:r>
      <w:r>
        <w:rPr>
          <w:color w:val="000000" w:themeColor="text1"/>
        </w:rPr>
        <w:t>.</w:t>
      </w:r>
      <w:r w:rsidRPr="00023A64">
        <w:rPr>
          <w:color w:val="000000" w:themeColor="text1"/>
        </w:rPr>
        <w:t xml:space="preserve"> </w:t>
      </w:r>
      <w:r>
        <w:rPr>
          <w:color w:val="000000" w:themeColor="text1"/>
        </w:rPr>
        <w:t>(</w:t>
      </w:r>
      <w:r w:rsidRPr="00023A64">
        <w:rPr>
          <w:color w:val="000000" w:themeColor="text1"/>
        </w:rPr>
        <w:t>2009</w:t>
      </w:r>
      <w:r>
        <w:rPr>
          <w:color w:val="000000" w:themeColor="text1"/>
        </w:rPr>
        <w:t xml:space="preserve">). </w:t>
      </w:r>
      <w:r w:rsidRPr="00023A64">
        <w:rPr>
          <w:color w:val="000000" w:themeColor="text1"/>
        </w:rPr>
        <w:t>Do Workers’ Remittances Promote Economic Growth</w:t>
      </w:r>
      <w:proofErr w:type="gramStart"/>
      <w:r w:rsidRPr="00023A64">
        <w:rPr>
          <w:color w:val="000000" w:themeColor="text1"/>
        </w:rPr>
        <w:t>?</w:t>
      </w:r>
      <w:r>
        <w:rPr>
          <w:color w:val="000000" w:themeColor="text1"/>
        </w:rPr>
        <w:t>.</w:t>
      </w:r>
      <w:proofErr w:type="gramEnd"/>
      <w:r>
        <w:rPr>
          <w:color w:val="000000" w:themeColor="text1"/>
        </w:rPr>
        <w:tab/>
      </w:r>
      <w:r w:rsidRPr="00023A64">
        <w:rPr>
          <w:color w:val="000000" w:themeColor="text1"/>
        </w:rPr>
        <w:t>International Monetary Fund Working Paper, WP/09/153, Washington, DC.</w:t>
      </w:r>
    </w:p>
    <w:p w14:paraId="4BB72D4F" w14:textId="4945A2CE" w:rsidR="0052283B" w:rsidRPr="00575C28" w:rsidRDefault="00C06803" w:rsidP="00EC4D5A">
      <w:pPr>
        <w:spacing w:line="480" w:lineRule="auto"/>
        <w:rPr>
          <w:color w:val="000000" w:themeColor="text1"/>
        </w:rPr>
      </w:pPr>
      <w:r w:rsidRPr="00575C28">
        <w:rPr>
          <w:color w:val="000000" w:themeColor="text1"/>
        </w:rPr>
        <w:t>Kim, D. H., Lin, S. C., &amp; Suen, Y. B. (2011). Nonlinearity between trade openness and</w:t>
      </w:r>
      <w:r w:rsidRPr="00575C28">
        <w:rPr>
          <w:color w:val="000000" w:themeColor="text1"/>
        </w:rPr>
        <w:tab/>
        <w:t>economic development. </w:t>
      </w:r>
      <w:r w:rsidRPr="00575C28">
        <w:rPr>
          <w:i/>
          <w:iCs/>
          <w:color w:val="000000" w:themeColor="text1"/>
        </w:rPr>
        <w:t>Review of Development Economics</w:t>
      </w:r>
      <w:r w:rsidRPr="00575C28">
        <w:rPr>
          <w:color w:val="000000" w:themeColor="text1"/>
        </w:rPr>
        <w:t>, </w:t>
      </w:r>
      <w:r w:rsidRPr="008A1C6D">
        <w:rPr>
          <w:color w:val="000000" w:themeColor="text1"/>
        </w:rPr>
        <w:t>15</w:t>
      </w:r>
      <w:r w:rsidRPr="00417340">
        <w:rPr>
          <w:color w:val="000000" w:themeColor="text1"/>
        </w:rPr>
        <w:t>(2),</w:t>
      </w:r>
      <w:r w:rsidRPr="00575C28">
        <w:rPr>
          <w:color w:val="000000" w:themeColor="text1"/>
        </w:rPr>
        <w:t xml:space="preserve"> 279-292.</w:t>
      </w:r>
    </w:p>
    <w:p w14:paraId="4E4AC0CB" w14:textId="094AFE9C" w:rsidR="00417340" w:rsidRPr="00417340" w:rsidRDefault="00417340" w:rsidP="00417340">
      <w:pPr>
        <w:spacing w:line="480" w:lineRule="auto"/>
        <w:rPr>
          <w:color w:val="000000" w:themeColor="text1"/>
        </w:rPr>
      </w:pPr>
      <w:r>
        <w:rPr>
          <w:color w:val="000000" w:themeColor="text1"/>
        </w:rPr>
        <w:lastRenderedPageBreak/>
        <w:t xml:space="preserve">La </w:t>
      </w:r>
      <w:r w:rsidRPr="00417340">
        <w:rPr>
          <w:color w:val="000000" w:themeColor="text1"/>
        </w:rPr>
        <w:t>Porta, R. L., Lopez-de-Silanes, F., Shleifer, A., &amp; Vishny, R. W. (1998). Law and</w:t>
      </w:r>
      <w:r>
        <w:rPr>
          <w:color w:val="000000" w:themeColor="text1"/>
        </w:rPr>
        <w:tab/>
      </w:r>
      <w:r w:rsidRPr="00417340">
        <w:rPr>
          <w:color w:val="000000" w:themeColor="text1"/>
        </w:rPr>
        <w:t>finance. </w:t>
      </w:r>
      <w:r w:rsidRPr="00417340">
        <w:rPr>
          <w:i/>
          <w:iCs/>
          <w:color w:val="000000" w:themeColor="text1"/>
        </w:rPr>
        <w:t>Journal of political economy</w:t>
      </w:r>
      <w:r w:rsidRPr="00417340">
        <w:rPr>
          <w:color w:val="000000" w:themeColor="text1"/>
        </w:rPr>
        <w:t>, </w:t>
      </w:r>
      <w:r w:rsidRPr="008A1C6D">
        <w:rPr>
          <w:color w:val="000000" w:themeColor="text1"/>
        </w:rPr>
        <w:t>106</w:t>
      </w:r>
      <w:r w:rsidRPr="00417340">
        <w:rPr>
          <w:color w:val="000000" w:themeColor="text1"/>
        </w:rPr>
        <w:t>(6), 1113-1155</w:t>
      </w:r>
      <w:r>
        <w:rPr>
          <w:color w:val="000000" w:themeColor="text1"/>
        </w:rPr>
        <w:t>.</w:t>
      </w:r>
    </w:p>
    <w:p w14:paraId="1A1928AA" w14:textId="77777777" w:rsidR="0052283B" w:rsidRPr="008A1C6D" w:rsidRDefault="0052283B" w:rsidP="00EC4D5A">
      <w:pPr>
        <w:spacing w:line="480" w:lineRule="auto"/>
        <w:rPr>
          <w:i/>
          <w:iCs/>
          <w:color w:val="000000" w:themeColor="text1"/>
        </w:rPr>
      </w:pPr>
      <w:r w:rsidRPr="00575C28">
        <w:rPr>
          <w:color w:val="000000" w:themeColor="text1"/>
        </w:rPr>
        <w:t>Lucas, R. E. (2005). </w:t>
      </w:r>
      <w:r w:rsidRPr="00575C28">
        <w:rPr>
          <w:iCs/>
          <w:color w:val="000000" w:themeColor="text1"/>
        </w:rPr>
        <w:t>International migration and economic development: Lessons from low</w:t>
      </w:r>
      <w:r w:rsidRPr="00575C28">
        <w:rPr>
          <w:iCs/>
          <w:color w:val="000000" w:themeColor="text1"/>
        </w:rPr>
        <w:tab/>
        <w:t>income countries</w:t>
      </w:r>
      <w:r w:rsidRPr="00575C28">
        <w:rPr>
          <w:color w:val="000000" w:themeColor="text1"/>
        </w:rPr>
        <w:t xml:space="preserve">. </w:t>
      </w:r>
      <w:r w:rsidRPr="008A1C6D">
        <w:rPr>
          <w:i/>
          <w:iCs/>
          <w:color w:val="000000" w:themeColor="text1"/>
        </w:rPr>
        <w:t>Edward Elgar Publishing.</w:t>
      </w:r>
    </w:p>
    <w:p w14:paraId="09EABBFB" w14:textId="542C5E72" w:rsidR="0052283B" w:rsidRPr="00575C28" w:rsidRDefault="0052283B" w:rsidP="00EC4D5A">
      <w:pPr>
        <w:spacing w:line="480" w:lineRule="auto"/>
        <w:rPr>
          <w:color w:val="000000" w:themeColor="text1"/>
        </w:rPr>
      </w:pPr>
      <w:r w:rsidRPr="00575C28">
        <w:rPr>
          <w:color w:val="000000" w:themeColor="text1"/>
        </w:rPr>
        <w:t>Mankiw, N. G., Romer, D., &amp; Weil, D. (1992). A contribution to the empirics of economic</w:t>
      </w:r>
      <w:r w:rsidRPr="00575C28">
        <w:rPr>
          <w:color w:val="000000" w:themeColor="text1"/>
        </w:rPr>
        <w:tab/>
        <w:t xml:space="preserve">growth. </w:t>
      </w:r>
      <w:r w:rsidRPr="008A1C6D">
        <w:rPr>
          <w:i/>
          <w:iCs/>
          <w:color w:val="000000" w:themeColor="text1"/>
        </w:rPr>
        <w:t>Quarterly Journal of Economics</w:t>
      </w:r>
      <w:r w:rsidRPr="00575C28">
        <w:rPr>
          <w:color w:val="000000" w:themeColor="text1"/>
        </w:rPr>
        <w:t>, 107, 407–437.</w:t>
      </w:r>
    </w:p>
    <w:p w14:paraId="45303120" w14:textId="6D5AE5D0" w:rsidR="00673FD2" w:rsidRPr="00575C28" w:rsidRDefault="00673FD2" w:rsidP="00EC4D5A">
      <w:pPr>
        <w:spacing w:line="480" w:lineRule="auto"/>
        <w:rPr>
          <w:color w:val="000000" w:themeColor="text1"/>
        </w:rPr>
      </w:pPr>
      <w:r w:rsidRPr="00575C28">
        <w:rPr>
          <w:color w:val="000000" w:themeColor="text1"/>
        </w:rPr>
        <w:t>Mundaca, B. G. (2009). Remittances, financial market development, and economic growth: the</w:t>
      </w:r>
      <w:r w:rsidRPr="00575C28">
        <w:rPr>
          <w:color w:val="000000" w:themeColor="text1"/>
        </w:rPr>
        <w:tab/>
        <w:t>case of Latin America and the Caribbean. </w:t>
      </w:r>
      <w:r w:rsidRPr="00575C28">
        <w:rPr>
          <w:i/>
          <w:iCs/>
          <w:color w:val="000000" w:themeColor="text1"/>
        </w:rPr>
        <w:t>Review of Development Economics</w:t>
      </w:r>
      <w:r w:rsidRPr="00575C28">
        <w:rPr>
          <w:color w:val="000000" w:themeColor="text1"/>
        </w:rPr>
        <w:t>, </w:t>
      </w:r>
      <w:r w:rsidRPr="008A1C6D">
        <w:rPr>
          <w:color w:val="000000" w:themeColor="text1"/>
        </w:rPr>
        <w:t>13</w:t>
      </w:r>
      <w:r w:rsidRPr="00417340">
        <w:rPr>
          <w:color w:val="000000" w:themeColor="text1"/>
        </w:rPr>
        <w:t>(2</w:t>
      </w:r>
      <w:r w:rsidRPr="00575C28">
        <w:rPr>
          <w:color w:val="000000" w:themeColor="text1"/>
        </w:rPr>
        <w:t>), 288</w:t>
      </w:r>
      <w:r w:rsidRPr="00575C28">
        <w:rPr>
          <w:color w:val="000000" w:themeColor="text1"/>
        </w:rPr>
        <w:tab/>
        <w:t>303.</w:t>
      </w:r>
    </w:p>
    <w:p w14:paraId="11D0C3BB" w14:textId="1D165C19" w:rsidR="0052283B" w:rsidRDefault="0052283B" w:rsidP="00EC4D5A">
      <w:pPr>
        <w:spacing w:line="480" w:lineRule="auto"/>
        <w:rPr>
          <w:color w:val="000000" w:themeColor="text1"/>
        </w:rPr>
      </w:pPr>
      <w:r w:rsidRPr="00575C28">
        <w:rPr>
          <w:color w:val="000000" w:themeColor="text1"/>
        </w:rPr>
        <w:t>Mughal, M. Y., &amp; Makhlouf, F. (2011). Volatility of remittances to Pakistan: What do the data</w:t>
      </w:r>
      <w:r w:rsidRPr="00575C28">
        <w:rPr>
          <w:color w:val="000000" w:themeColor="text1"/>
        </w:rPr>
        <w:tab/>
        <w:t xml:space="preserve">tell? </w:t>
      </w:r>
      <w:r w:rsidRPr="008A1C6D">
        <w:rPr>
          <w:i/>
          <w:iCs/>
          <w:color w:val="000000" w:themeColor="text1"/>
        </w:rPr>
        <w:t>Economics Bulletin</w:t>
      </w:r>
      <w:r w:rsidRPr="00575C28">
        <w:rPr>
          <w:color w:val="000000" w:themeColor="text1"/>
        </w:rPr>
        <w:t>, 31(1), 605–612</w:t>
      </w:r>
      <w:r w:rsidR="00417340">
        <w:rPr>
          <w:color w:val="000000" w:themeColor="text1"/>
        </w:rPr>
        <w:t>.</w:t>
      </w:r>
    </w:p>
    <w:p w14:paraId="3F4B9DEC" w14:textId="71A6CAA3" w:rsidR="00023A64" w:rsidRPr="00575C28" w:rsidRDefault="00023A64" w:rsidP="00EC4D5A">
      <w:pPr>
        <w:spacing w:line="480" w:lineRule="auto"/>
        <w:rPr>
          <w:color w:val="000000" w:themeColor="text1"/>
        </w:rPr>
      </w:pPr>
      <w:r w:rsidRPr="00023A64">
        <w:rPr>
          <w:color w:val="000000" w:themeColor="text1"/>
        </w:rPr>
        <w:t>Mughal, M. Y. (2013). Remittances as development strategy: stepping stones or slippery</w:t>
      </w:r>
      <w:r>
        <w:rPr>
          <w:color w:val="000000" w:themeColor="text1"/>
        </w:rPr>
        <w:tab/>
      </w:r>
      <w:r w:rsidRPr="00023A64">
        <w:rPr>
          <w:color w:val="000000" w:themeColor="text1"/>
        </w:rPr>
        <w:t>slope</w:t>
      </w:r>
      <w:proofErr w:type="gramStart"/>
      <w:r w:rsidRPr="00023A64">
        <w:rPr>
          <w:color w:val="000000" w:themeColor="text1"/>
        </w:rPr>
        <w:t>?.</w:t>
      </w:r>
      <w:proofErr w:type="gramEnd"/>
      <w:r w:rsidRPr="00023A64">
        <w:rPr>
          <w:color w:val="000000" w:themeColor="text1"/>
        </w:rPr>
        <w:t> </w:t>
      </w:r>
      <w:r w:rsidRPr="00023A64">
        <w:rPr>
          <w:i/>
          <w:iCs/>
          <w:color w:val="000000" w:themeColor="text1"/>
        </w:rPr>
        <w:t>Journal of International Development</w:t>
      </w:r>
      <w:r w:rsidRPr="00023A64">
        <w:rPr>
          <w:color w:val="000000" w:themeColor="text1"/>
        </w:rPr>
        <w:t>, </w:t>
      </w:r>
      <w:r w:rsidRPr="00023A64">
        <w:rPr>
          <w:i/>
          <w:iCs/>
          <w:color w:val="000000" w:themeColor="text1"/>
        </w:rPr>
        <w:t>25</w:t>
      </w:r>
      <w:r w:rsidRPr="00023A64">
        <w:rPr>
          <w:color w:val="000000" w:themeColor="text1"/>
        </w:rPr>
        <w:t>(4), 583-595.</w:t>
      </w:r>
    </w:p>
    <w:p w14:paraId="1D1B8AE1" w14:textId="77777777" w:rsidR="0052283B" w:rsidRPr="00575C28" w:rsidRDefault="0052283B" w:rsidP="00EC4D5A">
      <w:pPr>
        <w:spacing w:line="480" w:lineRule="auto"/>
        <w:rPr>
          <w:color w:val="000000" w:themeColor="text1"/>
        </w:rPr>
      </w:pPr>
      <w:r w:rsidRPr="00575C28">
        <w:rPr>
          <w:color w:val="000000" w:themeColor="text1"/>
        </w:rPr>
        <w:t>Rahman, M. (2009) Contributions of exports, FDI, and expatriates’ remittances to real GDP of</w:t>
      </w:r>
      <w:r w:rsidRPr="00575C28">
        <w:rPr>
          <w:color w:val="000000" w:themeColor="text1"/>
        </w:rPr>
        <w:tab/>
        <w:t>Bangladesh, India, Pakistan, and Sri Lanka, </w:t>
      </w:r>
      <w:r w:rsidRPr="008A1C6D">
        <w:rPr>
          <w:i/>
          <w:color w:val="000000" w:themeColor="text1"/>
        </w:rPr>
        <w:t>Southwestern Economic Review</w:t>
      </w:r>
      <w:r w:rsidRPr="00575C28">
        <w:rPr>
          <w:color w:val="000000" w:themeColor="text1"/>
        </w:rPr>
        <w:t>, 36, 141</w:t>
      </w:r>
      <w:r w:rsidRPr="00575C28">
        <w:rPr>
          <w:color w:val="000000" w:themeColor="text1"/>
        </w:rPr>
        <w:tab/>
        <w:t>-53.</w:t>
      </w:r>
    </w:p>
    <w:p w14:paraId="22D07B27" w14:textId="15D8A8E8" w:rsidR="0052283B" w:rsidRDefault="0052283B" w:rsidP="00EC4D5A">
      <w:pPr>
        <w:spacing w:line="480" w:lineRule="auto"/>
        <w:rPr>
          <w:color w:val="000000" w:themeColor="text1"/>
          <w:shd w:val="clear" w:color="auto" w:fill="FFFFFF"/>
        </w:rPr>
      </w:pPr>
      <w:r w:rsidRPr="00575C28">
        <w:rPr>
          <w:color w:val="000000" w:themeColor="text1"/>
          <w:shd w:val="clear" w:color="auto" w:fill="FFFFFF"/>
        </w:rPr>
        <w:t>Roodman, D. (2009). How to do xtabond2: An introduction to difference and system GMM in</w:t>
      </w:r>
      <w:r w:rsidRPr="00575C28">
        <w:rPr>
          <w:color w:val="000000" w:themeColor="text1"/>
          <w:shd w:val="clear" w:color="auto" w:fill="FFFFFF"/>
        </w:rPr>
        <w:tab/>
        <w:t>Stata. </w:t>
      </w:r>
      <w:r w:rsidRPr="00575C28">
        <w:rPr>
          <w:i/>
          <w:iCs/>
          <w:color w:val="000000" w:themeColor="text1"/>
          <w:shd w:val="clear" w:color="auto" w:fill="FFFFFF"/>
        </w:rPr>
        <w:t>The Stata Journal</w:t>
      </w:r>
      <w:r w:rsidRPr="00575C28">
        <w:rPr>
          <w:color w:val="000000" w:themeColor="text1"/>
          <w:shd w:val="clear" w:color="auto" w:fill="FFFFFF"/>
        </w:rPr>
        <w:t>, </w:t>
      </w:r>
      <w:r w:rsidRPr="008A1C6D">
        <w:rPr>
          <w:color w:val="000000" w:themeColor="text1"/>
          <w:shd w:val="clear" w:color="auto" w:fill="FFFFFF"/>
        </w:rPr>
        <w:t>9</w:t>
      </w:r>
      <w:r w:rsidRPr="00417340">
        <w:rPr>
          <w:color w:val="000000" w:themeColor="text1"/>
          <w:shd w:val="clear" w:color="auto" w:fill="FFFFFF"/>
        </w:rPr>
        <w:t>(1</w:t>
      </w:r>
      <w:r w:rsidRPr="00575C28">
        <w:rPr>
          <w:color w:val="000000" w:themeColor="text1"/>
          <w:shd w:val="clear" w:color="auto" w:fill="FFFFFF"/>
        </w:rPr>
        <w:t>), 86-136.</w:t>
      </w:r>
    </w:p>
    <w:p w14:paraId="0AA34329" w14:textId="25FC7590" w:rsidR="00832D10" w:rsidRPr="00832D10" w:rsidRDefault="00832D10" w:rsidP="00832D10">
      <w:pPr>
        <w:spacing w:line="480" w:lineRule="auto"/>
        <w:rPr>
          <w:color w:val="000000" w:themeColor="text1"/>
          <w:shd w:val="clear" w:color="auto" w:fill="FFFFFF"/>
        </w:rPr>
      </w:pPr>
      <w:r w:rsidRPr="00832D10">
        <w:rPr>
          <w:color w:val="000000" w:themeColor="text1"/>
          <w:shd w:val="clear" w:color="auto" w:fill="FFFFFF"/>
        </w:rPr>
        <w:t xml:space="preserve">Siddique, A., </w:t>
      </w:r>
      <w:proofErr w:type="spellStart"/>
      <w:r w:rsidRPr="00832D10">
        <w:rPr>
          <w:color w:val="000000" w:themeColor="text1"/>
          <w:shd w:val="clear" w:color="auto" w:fill="FFFFFF"/>
        </w:rPr>
        <w:t>Selvanathan</w:t>
      </w:r>
      <w:proofErr w:type="spellEnd"/>
      <w:r w:rsidRPr="00832D10">
        <w:rPr>
          <w:color w:val="000000" w:themeColor="text1"/>
          <w:shd w:val="clear" w:color="auto" w:fill="FFFFFF"/>
        </w:rPr>
        <w:t xml:space="preserve">, E. A., &amp; </w:t>
      </w:r>
      <w:proofErr w:type="spellStart"/>
      <w:r w:rsidRPr="00832D10">
        <w:rPr>
          <w:color w:val="000000" w:themeColor="text1"/>
          <w:shd w:val="clear" w:color="auto" w:fill="FFFFFF"/>
        </w:rPr>
        <w:t>Selvanathan</w:t>
      </w:r>
      <w:proofErr w:type="spellEnd"/>
      <w:r w:rsidRPr="00832D10">
        <w:rPr>
          <w:color w:val="000000" w:themeColor="text1"/>
          <w:shd w:val="clear" w:color="auto" w:fill="FFFFFF"/>
        </w:rPr>
        <w:t>, S. (2012). Remittances and economic growth:</w:t>
      </w:r>
      <w:r>
        <w:rPr>
          <w:color w:val="000000" w:themeColor="text1"/>
          <w:shd w:val="clear" w:color="auto" w:fill="FFFFFF"/>
        </w:rPr>
        <w:tab/>
      </w:r>
      <w:r w:rsidRPr="00832D10">
        <w:rPr>
          <w:color w:val="000000" w:themeColor="text1"/>
          <w:shd w:val="clear" w:color="auto" w:fill="FFFFFF"/>
        </w:rPr>
        <w:t>empirical evidence from Bangladesh, India and Sri Lanka. </w:t>
      </w:r>
      <w:r w:rsidRPr="00832D10">
        <w:rPr>
          <w:i/>
          <w:iCs/>
          <w:color w:val="000000" w:themeColor="text1"/>
          <w:shd w:val="clear" w:color="auto" w:fill="FFFFFF"/>
        </w:rPr>
        <w:t>Journal of development</w:t>
      </w:r>
      <w:r>
        <w:rPr>
          <w:i/>
          <w:iCs/>
          <w:color w:val="000000" w:themeColor="text1"/>
          <w:shd w:val="clear" w:color="auto" w:fill="FFFFFF"/>
        </w:rPr>
        <w:tab/>
      </w:r>
      <w:r w:rsidRPr="00832D10">
        <w:rPr>
          <w:i/>
          <w:iCs/>
          <w:color w:val="000000" w:themeColor="text1"/>
          <w:shd w:val="clear" w:color="auto" w:fill="FFFFFF"/>
        </w:rPr>
        <w:t>studies</w:t>
      </w:r>
      <w:r w:rsidRPr="00832D10">
        <w:rPr>
          <w:color w:val="000000" w:themeColor="text1"/>
          <w:shd w:val="clear" w:color="auto" w:fill="FFFFFF"/>
        </w:rPr>
        <w:t>, </w:t>
      </w:r>
      <w:r w:rsidRPr="008A1C6D">
        <w:rPr>
          <w:color w:val="000000" w:themeColor="text1"/>
          <w:shd w:val="clear" w:color="auto" w:fill="FFFFFF"/>
        </w:rPr>
        <w:t>48(8)</w:t>
      </w:r>
      <w:r w:rsidRPr="00832D10">
        <w:rPr>
          <w:color w:val="000000" w:themeColor="text1"/>
          <w:shd w:val="clear" w:color="auto" w:fill="FFFFFF"/>
        </w:rPr>
        <w:t>, 1045-1062.</w:t>
      </w:r>
    </w:p>
    <w:p w14:paraId="33D48288" w14:textId="77777777" w:rsidR="00832D10" w:rsidRPr="00575C28" w:rsidRDefault="00832D10" w:rsidP="00EC4D5A">
      <w:pPr>
        <w:spacing w:line="480" w:lineRule="auto"/>
        <w:rPr>
          <w:color w:val="000000" w:themeColor="text1"/>
          <w:shd w:val="clear" w:color="auto" w:fill="FFFFFF"/>
        </w:rPr>
      </w:pPr>
    </w:p>
    <w:p w14:paraId="3C1CA2E6" w14:textId="77777777" w:rsidR="0052283B" w:rsidRPr="00575C28" w:rsidRDefault="0052283B" w:rsidP="00EC4D5A">
      <w:pPr>
        <w:spacing w:line="480" w:lineRule="auto"/>
        <w:rPr>
          <w:color w:val="000000" w:themeColor="text1"/>
        </w:rPr>
      </w:pPr>
      <w:r w:rsidRPr="00575C28">
        <w:rPr>
          <w:color w:val="000000" w:themeColor="text1"/>
        </w:rPr>
        <w:lastRenderedPageBreak/>
        <w:t>Singh, R. J., Haacker, M., Lee, K. W., &amp; Le Goff, M. (2010). Determinants and macroeconomic</w:t>
      </w:r>
      <w:r w:rsidRPr="00575C28">
        <w:rPr>
          <w:color w:val="000000" w:themeColor="text1"/>
        </w:rPr>
        <w:tab/>
        <w:t>impact of remittances in Sub-Saharan Africa. </w:t>
      </w:r>
      <w:r w:rsidRPr="00575C28">
        <w:rPr>
          <w:i/>
          <w:iCs/>
          <w:color w:val="000000" w:themeColor="text1"/>
        </w:rPr>
        <w:t>Journal of African Economies</w:t>
      </w:r>
      <w:r w:rsidRPr="00575C28">
        <w:rPr>
          <w:color w:val="000000" w:themeColor="text1"/>
        </w:rPr>
        <w:t>, </w:t>
      </w:r>
      <w:r w:rsidRPr="008A1C6D">
        <w:rPr>
          <w:color w:val="000000" w:themeColor="text1"/>
        </w:rPr>
        <w:t>20(</w:t>
      </w:r>
      <w:r w:rsidRPr="00575C28">
        <w:rPr>
          <w:color w:val="000000" w:themeColor="text1"/>
        </w:rPr>
        <w:t>2), 312</w:t>
      </w:r>
      <w:r w:rsidRPr="00575C28">
        <w:rPr>
          <w:color w:val="000000" w:themeColor="text1"/>
        </w:rPr>
        <w:tab/>
        <w:t>-340.</w:t>
      </w:r>
    </w:p>
    <w:p w14:paraId="71E11348" w14:textId="7DAADF82" w:rsidR="0052283B" w:rsidRPr="00575C28" w:rsidRDefault="0052283B" w:rsidP="00EC4D5A">
      <w:pPr>
        <w:spacing w:line="480" w:lineRule="auto"/>
        <w:rPr>
          <w:color w:val="000000" w:themeColor="text1"/>
        </w:rPr>
      </w:pPr>
      <w:r w:rsidRPr="00575C28">
        <w:rPr>
          <w:color w:val="000000" w:themeColor="text1"/>
        </w:rPr>
        <w:t>Solow, R. (1956).</w:t>
      </w:r>
      <w:r w:rsidR="006B2BF3" w:rsidRPr="00575C28">
        <w:rPr>
          <w:color w:val="000000" w:themeColor="text1"/>
        </w:rPr>
        <w:t xml:space="preserve"> </w:t>
      </w:r>
      <w:r w:rsidRPr="00575C28">
        <w:rPr>
          <w:color w:val="000000" w:themeColor="text1"/>
        </w:rPr>
        <w:t xml:space="preserve">A contribution to the theory of economic growth. </w:t>
      </w:r>
      <w:r w:rsidRPr="008A1C6D">
        <w:rPr>
          <w:i/>
          <w:iCs/>
          <w:color w:val="000000" w:themeColor="text1"/>
        </w:rPr>
        <w:t>Quarterly Journal of</w:t>
      </w:r>
      <w:r w:rsidRPr="008A1C6D">
        <w:rPr>
          <w:i/>
          <w:iCs/>
          <w:color w:val="000000" w:themeColor="text1"/>
        </w:rPr>
        <w:tab/>
        <w:t>Economics</w:t>
      </w:r>
      <w:r w:rsidRPr="00575C28">
        <w:rPr>
          <w:color w:val="000000" w:themeColor="text1"/>
        </w:rPr>
        <w:t>, 70(1), 65–94.</w:t>
      </w:r>
    </w:p>
    <w:p w14:paraId="38BF931B" w14:textId="77777777" w:rsidR="0052283B" w:rsidRPr="00575C28" w:rsidRDefault="0052283B" w:rsidP="00EC4D5A">
      <w:pPr>
        <w:spacing w:line="480" w:lineRule="auto"/>
        <w:rPr>
          <w:color w:val="000000" w:themeColor="text1"/>
        </w:rPr>
      </w:pPr>
      <w:r w:rsidRPr="00575C28">
        <w:rPr>
          <w:color w:val="000000" w:themeColor="text1"/>
        </w:rPr>
        <w:t>Williams, K. (2016). Remittances and Financial Development: Evidence from Sub‐Saharan</w:t>
      </w:r>
      <w:r w:rsidRPr="00575C28">
        <w:rPr>
          <w:color w:val="000000" w:themeColor="text1"/>
        </w:rPr>
        <w:tab/>
        <w:t>Africa. </w:t>
      </w:r>
      <w:r w:rsidRPr="00575C28">
        <w:rPr>
          <w:i/>
          <w:iCs/>
          <w:color w:val="000000" w:themeColor="text1"/>
        </w:rPr>
        <w:t>African Development Review</w:t>
      </w:r>
      <w:r w:rsidRPr="00575C28">
        <w:rPr>
          <w:color w:val="000000" w:themeColor="text1"/>
        </w:rPr>
        <w:t>, </w:t>
      </w:r>
      <w:r w:rsidRPr="00575C28">
        <w:rPr>
          <w:i/>
          <w:iCs/>
          <w:color w:val="000000" w:themeColor="text1"/>
        </w:rPr>
        <w:t>28</w:t>
      </w:r>
      <w:r w:rsidRPr="00575C28">
        <w:rPr>
          <w:color w:val="000000" w:themeColor="text1"/>
        </w:rPr>
        <w:t>(3), 357-367.</w:t>
      </w:r>
    </w:p>
    <w:p w14:paraId="1C43F8F9" w14:textId="26085488" w:rsidR="0052283B" w:rsidRPr="00575C28" w:rsidRDefault="0052283B" w:rsidP="00EC4D5A">
      <w:pPr>
        <w:spacing w:line="480" w:lineRule="auto"/>
        <w:rPr>
          <w:color w:val="000000" w:themeColor="text1"/>
        </w:rPr>
      </w:pPr>
      <w:r w:rsidRPr="00575C28">
        <w:rPr>
          <w:color w:val="000000" w:themeColor="text1"/>
        </w:rPr>
        <w:t>World Bank. (2018). World development indicators. Washington DC: World Bank.</w:t>
      </w:r>
    </w:p>
    <w:p w14:paraId="3C03131D" w14:textId="11EA16EC" w:rsidR="00922379" w:rsidRPr="00575C28" w:rsidRDefault="00922379" w:rsidP="00EC4D5A">
      <w:pPr>
        <w:spacing w:line="480" w:lineRule="auto"/>
        <w:rPr>
          <w:color w:val="000000" w:themeColor="text1"/>
        </w:rPr>
      </w:pPr>
      <w:r w:rsidRPr="00575C28">
        <w:rPr>
          <w:color w:val="000000" w:themeColor="text1"/>
        </w:rPr>
        <w:t>World Bank. (2019). Record High Remittances Sent Globally in 2018. Retrieved from</w:t>
      </w:r>
      <w:r w:rsidRPr="00575C28">
        <w:rPr>
          <w:color w:val="000000" w:themeColor="text1"/>
        </w:rPr>
        <w:tab/>
        <w:t>https://www.worldbank.org/en/news/press-release/2019/04/08/record-high-remittances-</w:t>
      </w:r>
      <w:r w:rsidRPr="00575C28">
        <w:rPr>
          <w:color w:val="000000" w:themeColor="text1"/>
        </w:rPr>
        <w:tab/>
        <w:t>sent-globally-in-2018</w:t>
      </w:r>
    </w:p>
    <w:p w14:paraId="77B51004" w14:textId="279EB6CB" w:rsidR="003F47E9" w:rsidRPr="00DA400B" w:rsidRDefault="0052283B" w:rsidP="00EC4D5A">
      <w:pPr>
        <w:spacing w:line="480" w:lineRule="auto"/>
      </w:pPr>
      <w:r w:rsidRPr="00575C28">
        <w:rPr>
          <w:color w:val="000000" w:themeColor="text1"/>
        </w:rPr>
        <w:t>Zghidi, N., Sghaier, I. M., &amp; Abida, Z. (2018). Remittances, Institutions, and Economic Growth</w:t>
      </w:r>
      <w:r w:rsidRPr="00575C28">
        <w:rPr>
          <w:color w:val="000000" w:themeColor="text1"/>
        </w:rPr>
        <w:tab/>
        <w:t>in North African Countries. </w:t>
      </w:r>
      <w:r w:rsidRPr="00575C28">
        <w:rPr>
          <w:i/>
          <w:iCs/>
          <w:color w:val="000000" w:themeColor="text1"/>
        </w:rPr>
        <w:t>Journal of t</w:t>
      </w:r>
      <w:r w:rsidRPr="00642BF7">
        <w:rPr>
          <w:i/>
          <w:iCs/>
        </w:rPr>
        <w:t>he Knowledge Economy</w:t>
      </w:r>
      <w:r w:rsidRPr="00642BF7">
        <w:t>, </w:t>
      </w:r>
      <w:r w:rsidRPr="008A1C6D">
        <w:t>9</w:t>
      </w:r>
      <w:r w:rsidRPr="00417340">
        <w:t xml:space="preserve">(3), </w:t>
      </w:r>
      <w:r w:rsidRPr="00642BF7">
        <w:t>804-821</w:t>
      </w:r>
      <w:r w:rsidR="006B2BF3">
        <w:t>.</w:t>
      </w:r>
    </w:p>
    <w:sectPr w:rsidR="003F47E9" w:rsidRPr="00DA400B" w:rsidSect="000C5D90">
      <w:footerReference w:type="even" r:id="rId10"/>
      <w:footerReference w:type="default" r:id="rId11"/>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BDA8A5" w14:textId="77777777" w:rsidR="004E36EA" w:rsidRDefault="004E36EA" w:rsidP="00010DE4">
      <w:r>
        <w:separator/>
      </w:r>
    </w:p>
  </w:endnote>
  <w:endnote w:type="continuationSeparator" w:id="0">
    <w:p w14:paraId="38ECDE4D" w14:textId="77777777" w:rsidR="004E36EA" w:rsidRDefault="004E36EA" w:rsidP="00010D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48910809"/>
      <w:docPartObj>
        <w:docPartGallery w:val="Page Numbers (Bottom of Page)"/>
        <w:docPartUnique/>
      </w:docPartObj>
    </w:sdtPr>
    <w:sdtEndPr>
      <w:rPr>
        <w:rStyle w:val="PageNumber"/>
      </w:rPr>
    </w:sdtEndPr>
    <w:sdtContent>
      <w:p w14:paraId="20222323" w14:textId="270F8421" w:rsidR="008F4733" w:rsidRDefault="008F4733" w:rsidP="00D105D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86C435" w14:textId="77777777" w:rsidR="008F4733" w:rsidRDefault="008F4733" w:rsidP="001C472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2099447212"/>
      <w:docPartObj>
        <w:docPartGallery w:val="Page Numbers (Bottom of Page)"/>
        <w:docPartUnique/>
      </w:docPartObj>
    </w:sdtPr>
    <w:sdtEndPr>
      <w:rPr>
        <w:rStyle w:val="PageNumber"/>
      </w:rPr>
    </w:sdtEndPr>
    <w:sdtContent>
      <w:p w14:paraId="3D72D7A5" w14:textId="2A475CA4" w:rsidR="008F4733" w:rsidRDefault="008F4733" w:rsidP="008F473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0E3B3D">
          <w:rPr>
            <w:rStyle w:val="PageNumber"/>
            <w:noProof/>
          </w:rPr>
          <w:t>20</w:t>
        </w:r>
        <w:r>
          <w:rPr>
            <w:rStyle w:val="PageNumber"/>
          </w:rPr>
          <w:fldChar w:fldCharType="end"/>
        </w:r>
      </w:p>
    </w:sdtContent>
  </w:sdt>
  <w:p w14:paraId="57DD7BE2" w14:textId="77777777" w:rsidR="008F4733" w:rsidRDefault="008F4733" w:rsidP="001C472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3D56CC" w14:textId="77777777" w:rsidR="004E36EA" w:rsidRDefault="004E36EA" w:rsidP="00010DE4">
      <w:r>
        <w:separator/>
      </w:r>
    </w:p>
  </w:footnote>
  <w:footnote w:type="continuationSeparator" w:id="0">
    <w:p w14:paraId="3956E03B" w14:textId="77777777" w:rsidR="004E36EA" w:rsidRDefault="004E36EA" w:rsidP="00010D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356939"/>
    <w:multiLevelType w:val="hybridMultilevel"/>
    <w:tmpl w:val="2AC64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5011"/>
    <w:rsid w:val="00010DE4"/>
    <w:rsid w:val="00023A64"/>
    <w:rsid w:val="00041416"/>
    <w:rsid w:val="000471D5"/>
    <w:rsid w:val="00055AD7"/>
    <w:rsid w:val="000574C3"/>
    <w:rsid w:val="00070356"/>
    <w:rsid w:val="00074F86"/>
    <w:rsid w:val="000918FF"/>
    <w:rsid w:val="000A1F4E"/>
    <w:rsid w:val="000A3B28"/>
    <w:rsid w:val="000A46E4"/>
    <w:rsid w:val="000B7799"/>
    <w:rsid w:val="000C5D90"/>
    <w:rsid w:val="000E3B3D"/>
    <w:rsid w:val="000E7FD5"/>
    <w:rsid w:val="000F1022"/>
    <w:rsid w:val="000F12AB"/>
    <w:rsid w:val="001030A4"/>
    <w:rsid w:val="00110257"/>
    <w:rsid w:val="00111692"/>
    <w:rsid w:val="0012332D"/>
    <w:rsid w:val="00125BF0"/>
    <w:rsid w:val="00144F4C"/>
    <w:rsid w:val="00161B79"/>
    <w:rsid w:val="001627BB"/>
    <w:rsid w:val="00173B6E"/>
    <w:rsid w:val="001871DD"/>
    <w:rsid w:val="001A15C0"/>
    <w:rsid w:val="001C472F"/>
    <w:rsid w:val="001C6F2F"/>
    <w:rsid w:val="001D1AAD"/>
    <w:rsid w:val="001D7538"/>
    <w:rsid w:val="001F7C18"/>
    <w:rsid w:val="00210184"/>
    <w:rsid w:val="00232E54"/>
    <w:rsid w:val="00273CC6"/>
    <w:rsid w:val="00290E0D"/>
    <w:rsid w:val="002A1889"/>
    <w:rsid w:val="002A7A99"/>
    <w:rsid w:val="002B5687"/>
    <w:rsid w:val="002C5EB2"/>
    <w:rsid w:val="003046F8"/>
    <w:rsid w:val="00316F5F"/>
    <w:rsid w:val="0031794E"/>
    <w:rsid w:val="00337CDE"/>
    <w:rsid w:val="00341EAB"/>
    <w:rsid w:val="0035028B"/>
    <w:rsid w:val="003629A8"/>
    <w:rsid w:val="003C2B09"/>
    <w:rsid w:val="003C30E3"/>
    <w:rsid w:val="003C5860"/>
    <w:rsid w:val="003D2827"/>
    <w:rsid w:val="003D4DD5"/>
    <w:rsid w:val="003E6F6B"/>
    <w:rsid w:val="003F1E45"/>
    <w:rsid w:val="003F29F0"/>
    <w:rsid w:val="003F47E9"/>
    <w:rsid w:val="0041123C"/>
    <w:rsid w:val="00417340"/>
    <w:rsid w:val="00427DFF"/>
    <w:rsid w:val="0043455D"/>
    <w:rsid w:val="00455328"/>
    <w:rsid w:val="004640AF"/>
    <w:rsid w:val="00465BD8"/>
    <w:rsid w:val="0047010E"/>
    <w:rsid w:val="004739A4"/>
    <w:rsid w:val="00481775"/>
    <w:rsid w:val="004907BB"/>
    <w:rsid w:val="004A6DE0"/>
    <w:rsid w:val="004B4277"/>
    <w:rsid w:val="004C624C"/>
    <w:rsid w:val="004D1073"/>
    <w:rsid w:val="004E36EA"/>
    <w:rsid w:val="00501E70"/>
    <w:rsid w:val="00510D96"/>
    <w:rsid w:val="0052283B"/>
    <w:rsid w:val="005369A4"/>
    <w:rsid w:val="00536EFF"/>
    <w:rsid w:val="00537537"/>
    <w:rsid w:val="005508CC"/>
    <w:rsid w:val="005621F4"/>
    <w:rsid w:val="00564BC1"/>
    <w:rsid w:val="00575C28"/>
    <w:rsid w:val="005835A6"/>
    <w:rsid w:val="005945B5"/>
    <w:rsid w:val="005B067A"/>
    <w:rsid w:val="005C68CE"/>
    <w:rsid w:val="005C69DD"/>
    <w:rsid w:val="005D04A4"/>
    <w:rsid w:val="005E5742"/>
    <w:rsid w:val="00605D04"/>
    <w:rsid w:val="00605F81"/>
    <w:rsid w:val="0060689D"/>
    <w:rsid w:val="00617920"/>
    <w:rsid w:val="00623F3A"/>
    <w:rsid w:val="00642BF7"/>
    <w:rsid w:val="00652442"/>
    <w:rsid w:val="00655406"/>
    <w:rsid w:val="00655FA7"/>
    <w:rsid w:val="006717D2"/>
    <w:rsid w:val="00673FD2"/>
    <w:rsid w:val="00677D03"/>
    <w:rsid w:val="006948E7"/>
    <w:rsid w:val="006B1FEB"/>
    <w:rsid w:val="006B2BF3"/>
    <w:rsid w:val="006B6D63"/>
    <w:rsid w:val="006C3996"/>
    <w:rsid w:val="006C4E32"/>
    <w:rsid w:val="006D1EB4"/>
    <w:rsid w:val="006F4716"/>
    <w:rsid w:val="00704FEF"/>
    <w:rsid w:val="00705624"/>
    <w:rsid w:val="00721B09"/>
    <w:rsid w:val="00752D6B"/>
    <w:rsid w:val="007749CE"/>
    <w:rsid w:val="00782B75"/>
    <w:rsid w:val="00785851"/>
    <w:rsid w:val="007B21FA"/>
    <w:rsid w:val="007B703F"/>
    <w:rsid w:val="0082077E"/>
    <w:rsid w:val="00832D10"/>
    <w:rsid w:val="00875549"/>
    <w:rsid w:val="008813E8"/>
    <w:rsid w:val="00884B8B"/>
    <w:rsid w:val="00890442"/>
    <w:rsid w:val="008A1C6D"/>
    <w:rsid w:val="008A7CCF"/>
    <w:rsid w:val="008B6DC8"/>
    <w:rsid w:val="008C4D90"/>
    <w:rsid w:val="008D6029"/>
    <w:rsid w:val="008F4733"/>
    <w:rsid w:val="00902AD0"/>
    <w:rsid w:val="00922379"/>
    <w:rsid w:val="00925011"/>
    <w:rsid w:val="009312CC"/>
    <w:rsid w:val="009420D0"/>
    <w:rsid w:val="009567D0"/>
    <w:rsid w:val="00972EFD"/>
    <w:rsid w:val="009C0676"/>
    <w:rsid w:val="009D79D7"/>
    <w:rsid w:val="009E19FB"/>
    <w:rsid w:val="009E5639"/>
    <w:rsid w:val="009E70DA"/>
    <w:rsid w:val="00A21F4F"/>
    <w:rsid w:val="00A579F8"/>
    <w:rsid w:val="00A602B7"/>
    <w:rsid w:val="00A713C5"/>
    <w:rsid w:val="00A76A03"/>
    <w:rsid w:val="00AF311C"/>
    <w:rsid w:val="00B06BFD"/>
    <w:rsid w:val="00B220A5"/>
    <w:rsid w:val="00B25214"/>
    <w:rsid w:val="00B27F68"/>
    <w:rsid w:val="00B40307"/>
    <w:rsid w:val="00B458F9"/>
    <w:rsid w:val="00B55234"/>
    <w:rsid w:val="00B678F4"/>
    <w:rsid w:val="00BB68EA"/>
    <w:rsid w:val="00C06803"/>
    <w:rsid w:val="00C10E9E"/>
    <w:rsid w:val="00C960E1"/>
    <w:rsid w:val="00CC2F15"/>
    <w:rsid w:val="00CE2718"/>
    <w:rsid w:val="00CF72DD"/>
    <w:rsid w:val="00CF7A4E"/>
    <w:rsid w:val="00D105DA"/>
    <w:rsid w:val="00D1121F"/>
    <w:rsid w:val="00D11D92"/>
    <w:rsid w:val="00D269B7"/>
    <w:rsid w:val="00D30933"/>
    <w:rsid w:val="00D62234"/>
    <w:rsid w:val="00D6438D"/>
    <w:rsid w:val="00D70AF3"/>
    <w:rsid w:val="00D72DFF"/>
    <w:rsid w:val="00D7579A"/>
    <w:rsid w:val="00D82E27"/>
    <w:rsid w:val="00D96840"/>
    <w:rsid w:val="00DA400B"/>
    <w:rsid w:val="00DB2289"/>
    <w:rsid w:val="00DB2A8C"/>
    <w:rsid w:val="00DB2BC4"/>
    <w:rsid w:val="00DC4B41"/>
    <w:rsid w:val="00DD2F2A"/>
    <w:rsid w:val="00DD304F"/>
    <w:rsid w:val="00DD52F4"/>
    <w:rsid w:val="00DE51E8"/>
    <w:rsid w:val="00DF5A03"/>
    <w:rsid w:val="00E03681"/>
    <w:rsid w:val="00E0424A"/>
    <w:rsid w:val="00E14BF0"/>
    <w:rsid w:val="00E16914"/>
    <w:rsid w:val="00E3477C"/>
    <w:rsid w:val="00E354F0"/>
    <w:rsid w:val="00E41EC0"/>
    <w:rsid w:val="00E43772"/>
    <w:rsid w:val="00E458B7"/>
    <w:rsid w:val="00E474FC"/>
    <w:rsid w:val="00E623D7"/>
    <w:rsid w:val="00E75496"/>
    <w:rsid w:val="00E8753D"/>
    <w:rsid w:val="00EA14D0"/>
    <w:rsid w:val="00EC348F"/>
    <w:rsid w:val="00EC4D5A"/>
    <w:rsid w:val="00EC4E6D"/>
    <w:rsid w:val="00ED5FB2"/>
    <w:rsid w:val="00ED7763"/>
    <w:rsid w:val="00EF184B"/>
    <w:rsid w:val="00F37956"/>
    <w:rsid w:val="00F42BA4"/>
    <w:rsid w:val="00F6066B"/>
    <w:rsid w:val="00F657C1"/>
    <w:rsid w:val="00F713FC"/>
    <w:rsid w:val="00F72E09"/>
    <w:rsid w:val="00F73178"/>
    <w:rsid w:val="00F8346D"/>
    <w:rsid w:val="00F83D9B"/>
    <w:rsid w:val="00FA2C43"/>
    <w:rsid w:val="00FB15B6"/>
    <w:rsid w:val="00FB7768"/>
    <w:rsid w:val="00FC1FA5"/>
    <w:rsid w:val="00FC59B8"/>
    <w:rsid w:val="00FE6D95"/>
    <w:rsid w:val="00FF2D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7751D4"/>
  <w14:defaultImageDpi w14:val="32767"/>
  <w15:chartTrackingRefBased/>
  <w15:docId w15:val="{5E3031B9-78C3-4A8E-A230-84B665973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2D10"/>
    <w:rPr>
      <w:rFonts w:ascii="Times New Roman" w:eastAsia="Times New Roman" w:hAnsi="Times New Roman" w:cs="Times New Roman"/>
      <w:lang w:val="en-CA"/>
    </w:rPr>
  </w:style>
  <w:style w:type="paragraph" w:styleId="Heading1">
    <w:name w:val="heading 1"/>
    <w:basedOn w:val="Normal"/>
    <w:next w:val="Normal"/>
    <w:link w:val="Heading1Char"/>
    <w:uiPriority w:val="9"/>
    <w:qFormat/>
    <w:rsid w:val="00575C28"/>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2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10DE4"/>
    <w:pPr>
      <w:ind w:left="720"/>
      <w:contextualSpacing/>
    </w:pPr>
  </w:style>
  <w:style w:type="paragraph" w:styleId="FootnoteText">
    <w:name w:val="footnote text"/>
    <w:basedOn w:val="Normal"/>
    <w:link w:val="FootnoteTextChar"/>
    <w:uiPriority w:val="99"/>
    <w:semiHidden/>
    <w:unhideWhenUsed/>
    <w:rsid w:val="00010DE4"/>
    <w:rPr>
      <w:sz w:val="20"/>
      <w:szCs w:val="20"/>
    </w:rPr>
  </w:style>
  <w:style w:type="character" w:customStyle="1" w:styleId="FootnoteTextChar">
    <w:name w:val="Footnote Text Char"/>
    <w:basedOn w:val="DefaultParagraphFont"/>
    <w:link w:val="FootnoteText"/>
    <w:uiPriority w:val="99"/>
    <w:semiHidden/>
    <w:rsid w:val="00010DE4"/>
    <w:rPr>
      <w:sz w:val="20"/>
      <w:szCs w:val="20"/>
    </w:rPr>
  </w:style>
  <w:style w:type="character" w:styleId="FootnoteReference">
    <w:name w:val="footnote reference"/>
    <w:basedOn w:val="DefaultParagraphFont"/>
    <w:uiPriority w:val="99"/>
    <w:semiHidden/>
    <w:unhideWhenUsed/>
    <w:rsid w:val="00010DE4"/>
    <w:rPr>
      <w:vertAlign w:val="superscript"/>
    </w:rPr>
  </w:style>
  <w:style w:type="character" w:styleId="Hyperlink">
    <w:name w:val="Hyperlink"/>
    <w:basedOn w:val="DefaultParagraphFont"/>
    <w:uiPriority w:val="99"/>
    <w:unhideWhenUsed/>
    <w:rsid w:val="00922379"/>
    <w:rPr>
      <w:color w:val="0563C1" w:themeColor="hyperlink"/>
      <w:u w:val="single"/>
    </w:rPr>
  </w:style>
  <w:style w:type="character" w:customStyle="1" w:styleId="UnresolvedMention1">
    <w:name w:val="Unresolved Mention1"/>
    <w:basedOn w:val="DefaultParagraphFont"/>
    <w:uiPriority w:val="99"/>
    <w:rsid w:val="00922379"/>
    <w:rPr>
      <w:color w:val="605E5C"/>
      <w:shd w:val="clear" w:color="auto" w:fill="E1DFDD"/>
    </w:rPr>
  </w:style>
  <w:style w:type="character" w:styleId="CommentReference">
    <w:name w:val="annotation reference"/>
    <w:basedOn w:val="DefaultParagraphFont"/>
    <w:uiPriority w:val="99"/>
    <w:semiHidden/>
    <w:unhideWhenUsed/>
    <w:rsid w:val="00D72DFF"/>
    <w:rPr>
      <w:sz w:val="16"/>
      <w:szCs w:val="16"/>
    </w:rPr>
  </w:style>
  <w:style w:type="paragraph" w:styleId="CommentText">
    <w:name w:val="annotation text"/>
    <w:basedOn w:val="Normal"/>
    <w:link w:val="CommentTextChar"/>
    <w:uiPriority w:val="99"/>
    <w:semiHidden/>
    <w:unhideWhenUsed/>
    <w:rsid w:val="00D72DFF"/>
    <w:rPr>
      <w:sz w:val="20"/>
      <w:szCs w:val="20"/>
    </w:rPr>
  </w:style>
  <w:style w:type="character" w:customStyle="1" w:styleId="CommentTextChar">
    <w:name w:val="Comment Text Char"/>
    <w:basedOn w:val="DefaultParagraphFont"/>
    <w:link w:val="CommentText"/>
    <w:uiPriority w:val="99"/>
    <w:semiHidden/>
    <w:rsid w:val="00D72DFF"/>
    <w:rPr>
      <w:rFonts w:ascii="Times New Roman" w:eastAsia="Times New Roman" w:hAnsi="Times New Roman"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D72DFF"/>
    <w:rPr>
      <w:b/>
      <w:bCs/>
    </w:rPr>
  </w:style>
  <w:style w:type="character" w:customStyle="1" w:styleId="CommentSubjectChar">
    <w:name w:val="Comment Subject Char"/>
    <w:basedOn w:val="CommentTextChar"/>
    <w:link w:val="CommentSubject"/>
    <w:uiPriority w:val="99"/>
    <w:semiHidden/>
    <w:rsid w:val="00D72DFF"/>
    <w:rPr>
      <w:rFonts w:ascii="Times New Roman" w:eastAsia="Times New Roman" w:hAnsi="Times New Roman" w:cs="Times New Roman"/>
      <w:b/>
      <w:bCs/>
      <w:sz w:val="20"/>
      <w:szCs w:val="20"/>
      <w:lang w:val="en-CA"/>
    </w:rPr>
  </w:style>
  <w:style w:type="paragraph" w:styleId="Revision">
    <w:name w:val="Revision"/>
    <w:hidden/>
    <w:uiPriority w:val="99"/>
    <w:semiHidden/>
    <w:rsid w:val="00D72DFF"/>
    <w:rPr>
      <w:rFonts w:ascii="Times New Roman" w:eastAsia="Times New Roman" w:hAnsi="Times New Roman" w:cs="Times New Roman"/>
      <w:lang w:val="en-CA"/>
    </w:rPr>
  </w:style>
  <w:style w:type="paragraph" w:styleId="BalloonText">
    <w:name w:val="Balloon Text"/>
    <w:basedOn w:val="Normal"/>
    <w:link w:val="BalloonTextChar"/>
    <w:uiPriority w:val="99"/>
    <w:semiHidden/>
    <w:unhideWhenUsed/>
    <w:rsid w:val="00D72DF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2DFF"/>
    <w:rPr>
      <w:rFonts w:ascii="Segoe UI" w:eastAsia="Times New Roman" w:hAnsi="Segoe UI" w:cs="Segoe UI"/>
      <w:sz w:val="18"/>
      <w:szCs w:val="18"/>
      <w:lang w:val="en-CA"/>
    </w:rPr>
  </w:style>
  <w:style w:type="paragraph" w:styleId="Footer">
    <w:name w:val="footer"/>
    <w:basedOn w:val="Normal"/>
    <w:link w:val="FooterChar"/>
    <w:uiPriority w:val="99"/>
    <w:unhideWhenUsed/>
    <w:rsid w:val="001C472F"/>
    <w:pPr>
      <w:tabs>
        <w:tab w:val="center" w:pos="4680"/>
        <w:tab w:val="right" w:pos="9360"/>
      </w:tabs>
    </w:pPr>
  </w:style>
  <w:style w:type="character" w:customStyle="1" w:styleId="FooterChar">
    <w:name w:val="Footer Char"/>
    <w:basedOn w:val="DefaultParagraphFont"/>
    <w:link w:val="Footer"/>
    <w:uiPriority w:val="99"/>
    <w:rsid w:val="001C472F"/>
    <w:rPr>
      <w:rFonts w:ascii="Times New Roman" w:eastAsia="Times New Roman" w:hAnsi="Times New Roman" w:cs="Times New Roman"/>
      <w:lang w:val="en-CA"/>
    </w:rPr>
  </w:style>
  <w:style w:type="character" w:styleId="PageNumber">
    <w:name w:val="page number"/>
    <w:basedOn w:val="DefaultParagraphFont"/>
    <w:uiPriority w:val="99"/>
    <w:semiHidden/>
    <w:unhideWhenUsed/>
    <w:rsid w:val="001C472F"/>
  </w:style>
  <w:style w:type="paragraph" w:styleId="Header">
    <w:name w:val="header"/>
    <w:basedOn w:val="Normal"/>
    <w:link w:val="HeaderChar"/>
    <w:uiPriority w:val="99"/>
    <w:unhideWhenUsed/>
    <w:rsid w:val="00D105DA"/>
    <w:pPr>
      <w:tabs>
        <w:tab w:val="center" w:pos="4680"/>
        <w:tab w:val="right" w:pos="9360"/>
      </w:tabs>
    </w:pPr>
  </w:style>
  <w:style w:type="character" w:customStyle="1" w:styleId="HeaderChar">
    <w:name w:val="Header Char"/>
    <w:basedOn w:val="DefaultParagraphFont"/>
    <w:link w:val="Header"/>
    <w:uiPriority w:val="99"/>
    <w:rsid w:val="00D105DA"/>
    <w:rPr>
      <w:rFonts w:ascii="Times New Roman" w:eastAsia="Times New Roman" w:hAnsi="Times New Roman" w:cs="Times New Roman"/>
      <w:lang w:val="en-CA"/>
    </w:rPr>
  </w:style>
  <w:style w:type="character" w:customStyle="1" w:styleId="Heading1Char">
    <w:name w:val="Heading 1 Char"/>
    <w:basedOn w:val="DefaultParagraphFont"/>
    <w:link w:val="Heading1"/>
    <w:uiPriority w:val="9"/>
    <w:rsid w:val="00575C28"/>
    <w:rPr>
      <w:rFonts w:asciiTheme="majorHAnsi" w:eastAsiaTheme="majorEastAsia" w:hAnsiTheme="majorHAnsi" w:cstheme="majorBidi"/>
      <w:color w:val="2F5496" w:themeColor="accent1" w:themeShade="BF"/>
      <w:sz w:val="32"/>
      <w:szCs w:val="32"/>
      <w:lang w:val="en-CA"/>
    </w:rPr>
  </w:style>
  <w:style w:type="paragraph" w:styleId="TOCHeading">
    <w:name w:val="TOC Heading"/>
    <w:basedOn w:val="Heading1"/>
    <w:next w:val="Normal"/>
    <w:uiPriority w:val="39"/>
    <w:unhideWhenUsed/>
    <w:qFormat/>
    <w:rsid w:val="00575C28"/>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575C28"/>
    <w:pPr>
      <w:spacing w:before="120"/>
    </w:pPr>
    <w:rPr>
      <w:rFonts w:asciiTheme="minorHAnsi" w:hAnsiTheme="minorHAnsi"/>
      <w:b/>
      <w:bCs/>
      <w:i/>
      <w:iCs/>
    </w:rPr>
  </w:style>
  <w:style w:type="paragraph" w:styleId="TOC2">
    <w:name w:val="toc 2"/>
    <w:basedOn w:val="Normal"/>
    <w:next w:val="Normal"/>
    <w:autoRedefine/>
    <w:uiPriority w:val="39"/>
    <w:semiHidden/>
    <w:unhideWhenUsed/>
    <w:rsid w:val="00575C28"/>
    <w:pPr>
      <w:spacing w:before="120"/>
      <w:ind w:left="240"/>
    </w:pPr>
    <w:rPr>
      <w:rFonts w:asciiTheme="minorHAnsi" w:hAnsiTheme="minorHAnsi"/>
      <w:b/>
      <w:bCs/>
      <w:sz w:val="22"/>
      <w:szCs w:val="22"/>
    </w:rPr>
  </w:style>
  <w:style w:type="paragraph" w:styleId="TOC3">
    <w:name w:val="toc 3"/>
    <w:basedOn w:val="Normal"/>
    <w:next w:val="Normal"/>
    <w:autoRedefine/>
    <w:uiPriority w:val="39"/>
    <w:semiHidden/>
    <w:unhideWhenUsed/>
    <w:rsid w:val="00575C28"/>
    <w:pPr>
      <w:ind w:left="480"/>
    </w:pPr>
    <w:rPr>
      <w:rFonts w:asciiTheme="minorHAnsi" w:hAnsiTheme="minorHAnsi"/>
      <w:sz w:val="20"/>
      <w:szCs w:val="20"/>
    </w:rPr>
  </w:style>
  <w:style w:type="paragraph" w:styleId="TOC4">
    <w:name w:val="toc 4"/>
    <w:basedOn w:val="Normal"/>
    <w:next w:val="Normal"/>
    <w:autoRedefine/>
    <w:uiPriority w:val="39"/>
    <w:semiHidden/>
    <w:unhideWhenUsed/>
    <w:rsid w:val="00575C28"/>
    <w:pPr>
      <w:ind w:left="720"/>
    </w:pPr>
    <w:rPr>
      <w:rFonts w:asciiTheme="minorHAnsi" w:hAnsiTheme="minorHAnsi"/>
      <w:sz w:val="20"/>
      <w:szCs w:val="20"/>
    </w:rPr>
  </w:style>
  <w:style w:type="paragraph" w:styleId="TOC5">
    <w:name w:val="toc 5"/>
    <w:basedOn w:val="Normal"/>
    <w:next w:val="Normal"/>
    <w:autoRedefine/>
    <w:uiPriority w:val="39"/>
    <w:semiHidden/>
    <w:unhideWhenUsed/>
    <w:rsid w:val="00575C28"/>
    <w:pPr>
      <w:ind w:left="960"/>
    </w:pPr>
    <w:rPr>
      <w:rFonts w:asciiTheme="minorHAnsi" w:hAnsiTheme="minorHAnsi"/>
      <w:sz w:val="20"/>
      <w:szCs w:val="20"/>
    </w:rPr>
  </w:style>
  <w:style w:type="paragraph" w:styleId="TOC6">
    <w:name w:val="toc 6"/>
    <w:basedOn w:val="Normal"/>
    <w:next w:val="Normal"/>
    <w:autoRedefine/>
    <w:uiPriority w:val="39"/>
    <w:semiHidden/>
    <w:unhideWhenUsed/>
    <w:rsid w:val="00575C28"/>
    <w:pPr>
      <w:ind w:left="1200"/>
    </w:pPr>
    <w:rPr>
      <w:rFonts w:asciiTheme="minorHAnsi" w:hAnsiTheme="minorHAnsi"/>
      <w:sz w:val="20"/>
      <w:szCs w:val="20"/>
    </w:rPr>
  </w:style>
  <w:style w:type="paragraph" w:styleId="TOC7">
    <w:name w:val="toc 7"/>
    <w:basedOn w:val="Normal"/>
    <w:next w:val="Normal"/>
    <w:autoRedefine/>
    <w:uiPriority w:val="39"/>
    <w:semiHidden/>
    <w:unhideWhenUsed/>
    <w:rsid w:val="00575C28"/>
    <w:pPr>
      <w:ind w:left="1440"/>
    </w:pPr>
    <w:rPr>
      <w:rFonts w:asciiTheme="minorHAnsi" w:hAnsiTheme="minorHAnsi"/>
      <w:sz w:val="20"/>
      <w:szCs w:val="20"/>
    </w:rPr>
  </w:style>
  <w:style w:type="paragraph" w:styleId="TOC8">
    <w:name w:val="toc 8"/>
    <w:basedOn w:val="Normal"/>
    <w:next w:val="Normal"/>
    <w:autoRedefine/>
    <w:uiPriority w:val="39"/>
    <w:semiHidden/>
    <w:unhideWhenUsed/>
    <w:rsid w:val="00575C28"/>
    <w:pPr>
      <w:ind w:left="1680"/>
    </w:pPr>
    <w:rPr>
      <w:rFonts w:asciiTheme="minorHAnsi" w:hAnsiTheme="minorHAnsi"/>
      <w:sz w:val="20"/>
      <w:szCs w:val="20"/>
    </w:rPr>
  </w:style>
  <w:style w:type="paragraph" w:styleId="TOC9">
    <w:name w:val="toc 9"/>
    <w:basedOn w:val="Normal"/>
    <w:next w:val="Normal"/>
    <w:autoRedefine/>
    <w:uiPriority w:val="39"/>
    <w:semiHidden/>
    <w:unhideWhenUsed/>
    <w:rsid w:val="00575C28"/>
    <w:pPr>
      <w:ind w:left="192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58236">
      <w:bodyDiv w:val="1"/>
      <w:marLeft w:val="0"/>
      <w:marRight w:val="0"/>
      <w:marTop w:val="0"/>
      <w:marBottom w:val="0"/>
      <w:divBdr>
        <w:top w:val="none" w:sz="0" w:space="0" w:color="auto"/>
        <w:left w:val="none" w:sz="0" w:space="0" w:color="auto"/>
        <w:bottom w:val="none" w:sz="0" w:space="0" w:color="auto"/>
        <w:right w:val="none" w:sz="0" w:space="0" w:color="auto"/>
      </w:divBdr>
    </w:div>
    <w:div w:id="31536238">
      <w:bodyDiv w:val="1"/>
      <w:marLeft w:val="0"/>
      <w:marRight w:val="0"/>
      <w:marTop w:val="0"/>
      <w:marBottom w:val="0"/>
      <w:divBdr>
        <w:top w:val="none" w:sz="0" w:space="0" w:color="auto"/>
        <w:left w:val="none" w:sz="0" w:space="0" w:color="auto"/>
        <w:bottom w:val="none" w:sz="0" w:space="0" w:color="auto"/>
        <w:right w:val="none" w:sz="0" w:space="0" w:color="auto"/>
      </w:divBdr>
    </w:div>
    <w:div w:id="37751744">
      <w:bodyDiv w:val="1"/>
      <w:marLeft w:val="0"/>
      <w:marRight w:val="0"/>
      <w:marTop w:val="0"/>
      <w:marBottom w:val="0"/>
      <w:divBdr>
        <w:top w:val="none" w:sz="0" w:space="0" w:color="auto"/>
        <w:left w:val="none" w:sz="0" w:space="0" w:color="auto"/>
        <w:bottom w:val="none" w:sz="0" w:space="0" w:color="auto"/>
        <w:right w:val="none" w:sz="0" w:space="0" w:color="auto"/>
      </w:divBdr>
    </w:div>
    <w:div w:id="56247677">
      <w:bodyDiv w:val="1"/>
      <w:marLeft w:val="0"/>
      <w:marRight w:val="0"/>
      <w:marTop w:val="0"/>
      <w:marBottom w:val="0"/>
      <w:divBdr>
        <w:top w:val="none" w:sz="0" w:space="0" w:color="auto"/>
        <w:left w:val="none" w:sz="0" w:space="0" w:color="auto"/>
        <w:bottom w:val="none" w:sz="0" w:space="0" w:color="auto"/>
        <w:right w:val="none" w:sz="0" w:space="0" w:color="auto"/>
      </w:divBdr>
    </w:div>
    <w:div w:id="173805104">
      <w:bodyDiv w:val="1"/>
      <w:marLeft w:val="0"/>
      <w:marRight w:val="0"/>
      <w:marTop w:val="0"/>
      <w:marBottom w:val="0"/>
      <w:divBdr>
        <w:top w:val="none" w:sz="0" w:space="0" w:color="auto"/>
        <w:left w:val="none" w:sz="0" w:space="0" w:color="auto"/>
        <w:bottom w:val="none" w:sz="0" w:space="0" w:color="auto"/>
        <w:right w:val="none" w:sz="0" w:space="0" w:color="auto"/>
      </w:divBdr>
    </w:div>
    <w:div w:id="237904486">
      <w:bodyDiv w:val="1"/>
      <w:marLeft w:val="0"/>
      <w:marRight w:val="0"/>
      <w:marTop w:val="0"/>
      <w:marBottom w:val="0"/>
      <w:divBdr>
        <w:top w:val="none" w:sz="0" w:space="0" w:color="auto"/>
        <w:left w:val="none" w:sz="0" w:space="0" w:color="auto"/>
        <w:bottom w:val="none" w:sz="0" w:space="0" w:color="auto"/>
        <w:right w:val="none" w:sz="0" w:space="0" w:color="auto"/>
      </w:divBdr>
    </w:div>
    <w:div w:id="271595660">
      <w:bodyDiv w:val="1"/>
      <w:marLeft w:val="0"/>
      <w:marRight w:val="0"/>
      <w:marTop w:val="0"/>
      <w:marBottom w:val="0"/>
      <w:divBdr>
        <w:top w:val="none" w:sz="0" w:space="0" w:color="auto"/>
        <w:left w:val="none" w:sz="0" w:space="0" w:color="auto"/>
        <w:bottom w:val="none" w:sz="0" w:space="0" w:color="auto"/>
        <w:right w:val="none" w:sz="0" w:space="0" w:color="auto"/>
      </w:divBdr>
    </w:div>
    <w:div w:id="369454363">
      <w:bodyDiv w:val="1"/>
      <w:marLeft w:val="0"/>
      <w:marRight w:val="0"/>
      <w:marTop w:val="0"/>
      <w:marBottom w:val="0"/>
      <w:divBdr>
        <w:top w:val="none" w:sz="0" w:space="0" w:color="auto"/>
        <w:left w:val="none" w:sz="0" w:space="0" w:color="auto"/>
        <w:bottom w:val="none" w:sz="0" w:space="0" w:color="auto"/>
        <w:right w:val="none" w:sz="0" w:space="0" w:color="auto"/>
      </w:divBdr>
    </w:div>
    <w:div w:id="419254291">
      <w:bodyDiv w:val="1"/>
      <w:marLeft w:val="0"/>
      <w:marRight w:val="0"/>
      <w:marTop w:val="0"/>
      <w:marBottom w:val="0"/>
      <w:divBdr>
        <w:top w:val="none" w:sz="0" w:space="0" w:color="auto"/>
        <w:left w:val="none" w:sz="0" w:space="0" w:color="auto"/>
        <w:bottom w:val="none" w:sz="0" w:space="0" w:color="auto"/>
        <w:right w:val="none" w:sz="0" w:space="0" w:color="auto"/>
      </w:divBdr>
    </w:div>
    <w:div w:id="472872827">
      <w:bodyDiv w:val="1"/>
      <w:marLeft w:val="0"/>
      <w:marRight w:val="0"/>
      <w:marTop w:val="0"/>
      <w:marBottom w:val="0"/>
      <w:divBdr>
        <w:top w:val="none" w:sz="0" w:space="0" w:color="auto"/>
        <w:left w:val="none" w:sz="0" w:space="0" w:color="auto"/>
        <w:bottom w:val="none" w:sz="0" w:space="0" w:color="auto"/>
        <w:right w:val="none" w:sz="0" w:space="0" w:color="auto"/>
      </w:divBdr>
    </w:div>
    <w:div w:id="516697264">
      <w:bodyDiv w:val="1"/>
      <w:marLeft w:val="0"/>
      <w:marRight w:val="0"/>
      <w:marTop w:val="0"/>
      <w:marBottom w:val="0"/>
      <w:divBdr>
        <w:top w:val="none" w:sz="0" w:space="0" w:color="auto"/>
        <w:left w:val="none" w:sz="0" w:space="0" w:color="auto"/>
        <w:bottom w:val="none" w:sz="0" w:space="0" w:color="auto"/>
        <w:right w:val="none" w:sz="0" w:space="0" w:color="auto"/>
      </w:divBdr>
    </w:div>
    <w:div w:id="808591606">
      <w:bodyDiv w:val="1"/>
      <w:marLeft w:val="0"/>
      <w:marRight w:val="0"/>
      <w:marTop w:val="0"/>
      <w:marBottom w:val="0"/>
      <w:divBdr>
        <w:top w:val="none" w:sz="0" w:space="0" w:color="auto"/>
        <w:left w:val="none" w:sz="0" w:space="0" w:color="auto"/>
        <w:bottom w:val="none" w:sz="0" w:space="0" w:color="auto"/>
        <w:right w:val="none" w:sz="0" w:space="0" w:color="auto"/>
      </w:divBdr>
    </w:div>
    <w:div w:id="863830815">
      <w:bodyDiv w:val="1"/>
      <w:marLeft w:val="0"/>
      <w:marRight w:val="0"/>
      <w:marTop w:val="0"/>
      <w:marBottom w:val="0"/>
      <w:divBdr>
        <w:top w:val="none" w:sz="0" w:space="0" w:color="auto"/>
        <w:left w:val="none" w:sz="0" w:space="0" w:color="auto"/>
        <w:bottom w:val="none" w:sz="0" w:space="0" w:color="auto"/>
        <w:right w:val="none" w:sz="0" w:space="0" w:color="auto"/>
      </w:divBdr>
    </w:div>
    <w:div w:id="927931737">
      <w:bodyDiv w:val="1"/>
      <w:marLeft w:val="0"/>
      <w:marRight w:val="0"/>
      <w:marTop w:val="0"/>
      <w:marBottom w:val="0"/>
      <w:divBdr>
        <w:top w:val="none" w:sz="0" w:space="0" w:color="auto"/>
        <w:left w:val="none" w:sz="0" w:space="0" w:color="auto"/>
        <w:bottom w:val="none" w:sz="0" w:space="0" w:color="auto"/>
        <w:right w:val="none" w:sz="0" w:space="0" w:color="auto"/>
      </w:divBdr>
    </w:div>
    <w:div w:id="970136027">
      <w:bodyDiv w:val="1"/>
      <w:marLeft w:val="0"/>
      <w:marRight w:val="0"/>
      <w:marTop w:val="0"/>
      <w:marBottom w:val="0"/>
      <w:divBdr>
        <w:top w:val="none" w:sz="0" w:space="0" w:color="auto"/>
        <w:left w:val="none" w:sz="0" w:space="0" w:color="auto"/>
        <w:bottom w:val="none" w:sz="0" w:space="0" w:color="auto"/>
        <w:right w:val="none" w:sz="0" w:space="0" w:color="auto"/>
      </w:divBdr>
    </w:div>
    <w:div w:id="1007709884">
      <w:bodyDiv w:val="1"/>
      <w:marLeft w:val="0"/>
      <w:marRight w:val="0"/>
      <w:marTop w:val="0"/>
      <w:marBottom w:val="0"/>
      <w:divBdr>
        <w:top w:val="none" w:sz="0" w:space="0" w:color="auto"/>
        <w:left w:val="none" w:sz="0" w:space="0" w:color="auto"/>
        <w:bottom w:val="none" w:sz="0" w:space="0" w:color="auto"/>
        <w:right w:val="none" w:sz="0" w:space="0" w:color="auto"/>
      </w:divBdr>
    </w:div>
    <w:div w:id="1049841241">
      <w:bodyDiv w:val="1"/>
      <w:marLeft w:val="0"/>
      <w:marRight w:val="0"/>
      <w:marTop w:val="0"/>
      <w:marBottom w:val="0"/>
      <w:divBdr>
        <w:top w:val="none" w:sz="0" w:space="0" w:color="auto"/>
        <w:left w:val="none" w:sz="0" w:space="0" w:color="auto"/>
        <w:bottom w:val="none" w:sz="0" w:space="0" w:color="auto"/>
        <w:right w:val="none" w:sz="0" w:space="0" w:color="auto"/>
      </w:divBdr>
    </w:div>
    <w:div w:id="1193420304">
      <w:bodyDiv w:val="1"/>
      <w:marLeft w:val="0"/>
      <w:marRight w:val="0"/>
      <w:marTop w:val="0"/>
      <w:marBottom w:val="0"/>
      <w:divBdr>
        <w:top w:val="none" w:sz="0" w:space="0" w:color="auto"/>
        <w:left w:val="none" w:sz="0" w:space="0" w:color="auto"/>
        <w:bottom w:val="none" w:sz="0" w:space="0" w:color="auto"/>
        <w:right w:val="none" w:sz="0" w:space="0" w:color="auto"/>
      </w:divBdr>
    </w:div>
    <w:div w:id="1258095987">
      <w:bodyDiv w:val="1"/>
      <w:marLeft w:val="0"/>
      <w:marRight w:val="0"/>
      <w:marTop w:val="0"/>
      <w:marBottom w:val="0"/>
      <w:divBdr>
        <w:top w:val="none" w:sz="0" w:space="0" w:color="auto"/>
        <w:left w:val="none" w:sz="0" w:space="0" w:color="auto"/>
        <w:bottom w:val="none" w:sz="0" w:space="0" w:color="auto"/>
        <w:right w:val="none" w:sz="0" w:space="0" w:color="auto"/>
      </w:divBdr>
    </w:div>
    <w:div w:id="1328553277">
      <w:bodyDiv w:val="1"/>
      <w:marLeft w:val="0"/>
      <w:marRight w:val="0"/>
      <w:marTop w:val="0"/>
      <w:marBottom w:val="0"/>
      <w:divBdr>
        <w:top w:val="none" w:sz="0" w:space="0" w:color="auto"/>
        <w:left w:val="none" w:sz="0" w:space="0" w:color="auto"/>
        <w:bottom w:val="none" w:sz="0" w:space="0" w:color="auto"/>
        <w:right w:val="none" w:sz="0" w:space="0" w:color="auto"/>
      </w:divBdr>
    </w:div>
    <w:div w:id="1352023849">
      <w:bodyDiv w:val="1"/>
      <w:marLeft w:val="0"/>
      <w:marRight w:val="0"/>
      <w:marTop w:val="0"/>
      <w:marBottom w:val="0"/>
      <w:divBdr>
        <w:top w:val="none" w:sz="0" w:space="0" w:color="auto"/>
        <w:left w:val="none" w:sz="0" w:space="0" w:color="auto"/>
        <w:bottom w:val="none" w:sz="0" w:space="0" w:color="auto"/>
        <w:right w:val="none" w:sz="0" w:space="0" w:color="auto"/>
      </w:divBdr>
    </w:div>
    <w:div w:id="1412236061">
      <w:bodyDiv w:val="1"/>
      <w:marLeft w:val="0"/>
      <w:marRight w:val="0"/>
      <w:marTop w:val="0"/>
      <w:marBottom w:val="0"/>
      <w:divBdr>
        <w:top w:val="none" w:sz="0" w:space="0" w:color="auto"/>
        <w:left w:val="none" w:sz="0" w:space="0" w:color="auto"/>
        <w:bottom w:val="none" w:sz="0" w:space="0" w:color="auto"/>
        <w:right w:val="none" w:sz="0" w:space="0" w:color="auto"/>
      </w:divBdr>
    </w:div>
    <w:div w:id="1526555107">
      <w:bodyDiv w:val="1"/>
      <w:marLeft w:val="0"/>
      <w:marRight w:val="0"/>
      <w:marTop w:val="0"/>
      <w:marBottom w:val="0"/>
      <w:divBdr>
        <w:top w:val="none" w:sz="0" w:space="0" w:color="auto"/>
        <w:left w:val="none" w:sz="0" w:space="0" w:color="auto"/>
        <w:bottom w:val="none" w:sz="0" w:space="0" w:color="auto"/>
        <w:right w:val="none" w:sz="0" w:space="0" w:color="auto"/>
      </w:divBdr>
    </w:div>
    <w:div w:id="1619095951">
      <w:bodyDiv w:val="1"/>
      <w:marLeft w:val="0"/>
      <w:marRight w:val="0"/>
      <w:marTop w:val="0"/>
      <w:marBottom w:val="0"/>
      <w:divBdr>
        <w:top w:val="none" w:sz="0" w:space="0" w:color="auto"/>
        <w:left w:val="none" w:sz="0" w:space="0" w:color="auto"/>
        <w:bottom w:val="none" w:sz="0" w:space="0" w:color="auto"/>
        <w:right w:val="none" w:sz="0" w:space="0" w:color="auto"/>
      </w:divBdr>
    </w:div>
    <w:div w:id="1833374367">
      <w:bodyDiv w:val="1"/>
      <w:marLeft w:val="0"/>
      <w:marRight w:val="0"/>
      <w:marTop w:val="0"/>
      <w:marBottom w:val="0"/>
      <w:divBdr>
        <w:top w:val="none" w:sz="0" w:space="0" w:color="auto"/>
        <w:left w:val="none" w:sz="0" w:space="0" w:color="auto"/>
        <w:bottom w:val="none" w:sz="0" w:space="0" w:color="auto"/>
        <w:right w:val="none" w:sz="0" w:space="0" w:color="auto"/>
      </w:divBdr>
    </w:div>
    <w:div w:id="1907253770">
      <w:bodyDiv w:val="1"/>
      <w:marLeft w:val="0"/>
      <w:marRight w:val="0"/>
      <w:marTop w:val="0"/>
      <w:marBottom w:val="0"/>
      <w:divBdr>
        <w:top w:val="none" w:sz="0" w:space="0" w:color="auto"/>
        <w:left w:val="none" w:sz="0" w:space="0" w:color="auto"/>
        <w:bottom w:val="none" w:sz="0" w:space="0" w:color="auto"/>
        <w:right w:val="none" w:sz="0" w:space="0" w:color="auto"/>
      </w:divBdr>
    </w:div>
    <w:div w:id="1986625148">
      <w:bodyDiv w:val="1"/>
      <w:marLeft w:val="0"/>
      <w:marRight w:val="0"/>
      <w:marTop w:val="0"/>
      <w:marBottom w:val="0"/>
      <w:divBdr>
        <w:top w:val="none" w:sz="0" w:space="0" w:color="auto"/>
        <w:left w:val="none" w:sz="0" w:space="0" w:color="auto"/>
        <w:bottom w:val="none" w:sz="0" w:space="0" w:color="auto"/>
        <w:right w:val="none" w:sz="0" w:space="0" w:color="auto"/>
      </w:divBdr>
    </w:div>
    <w:div w:id="2036272378">
      <w:bodyDiv w:val="1"/>
      <w:marLeft w:val="0"/>
      <w:marRight w:val="0"/>
      <w:marTop w:val="0"/>
      <w:marBottom w:val="0"/>
      <w:divBdr>
        <w:top w:val="none" w:sz="0" w:space="0" w:color="auto"/>
        <w:left w:val="none" w:sz="0" w:space="0" w:color="auto"/>
        <w:bottom w:val="none" w:sz="0" w:space="0" w:color="auto"/>
        <w:right w:val="none" w:sz="0" w:space="0" w:color="auto"/>
      </w:divBdr>
    </w:div>
    <w:div w:id="2043245550">
      <w:bodyDiv w:val="1"/>
      <w:marLeft w:val="0"/>
      <w:marRight w:val="0"/>
      <w:marTop w:val="0"/>
      <w:marBottom w:val="0"/>
      <w:divBdr>
        <w:top w:val="none" w:sz="0" w:space="0" w:color="auto"/>
        <w:left w:val="none" w:sz="0" w:space="0" w:color="auto"/>
        <w:bottom w:val="none" w:sz="0" w:space="0" w:color="auto"/>
        <w:right w:val="none" w:sz="0" w:space="0" w:color="auto"/>
      </w:divBdr>
    </w:div>
    <w:div w:id="2050181401">
      <w:bodyDiv w:val="1"/>
      <w:marLeft w:val="0"/>
      <w:marRight w:val="0"/>
      <w:marTop w:val="0"/>
      <w:marBottom w:val="0"/>
      <w:divBdr>
        <w:top w:val="none" w:sz="0" w:space="0" w:color="auto"/>
        <w:left w:val="none" w:sz="0" w:space="0" w:color="auto"/>
        <w:bottom w:val="none" w:sz="0" w:space="0" w:color="auto"/>
        <w:right w:val="none" w:sz="0" w:space="0" w:color="auto"/>
      </w:divBdr>
    </w:div>
    <w:div w:id="2065175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Users\fatoumaaden\Documents\MA%20PAPER\Book1%2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fatoumaaden\Documents\MA%20PAPER\Book1%20.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Trend</a:t>
            </a:r>
            <a:r>
              <a:rPr lang="en-US" baseline="0"/>
              <a:t> in </a:t>
            </a:r>
            <a:r>
              <a:rPr lang="en-US" sz="1400" b="0" i="0" u="none" strike="noStrike" kern="1200" spc="0" baseline="0">
                <a:solidFill>
                  <a:sysClr val="windowText" lastClr="000000">
                    <a:lumMod val="65000"/>
                    <a:lumOff val="35000"/>
                  </a:sysClr>
                </a:solidFill>
                <a:latin typeface="+mn-lt"/>
                <a:ea typeface="+mn-ea"/>
                <a:cs typeface="+mn-cs"/>
              </a:rPr>
              <a:t>Remittance inflows</a:t>
            </a:r>
            <a:r>
              <a:rPr lang="en-US" baseline="0"/>
              <a:t>: South Asia</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strRef>
              <c:f>Sheet2!$B$1</c:f>
              <c:strCache>
                <c:ptCount val="1"/>
                <c:pt idx="0">
                  <c:v>Billions (2010 US$)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Sheet2!$A$2:$A$10</c:f>
              <c:numCache>
                <c:formatCode>General</c:formatCode>
                <c:ptCount val="9"/>
                <c:pt idx="0">
                  <c:v>1975</c:v>
                </c:pt>
                <c:pt idx="1">
                  <c:v>1980</c:v>
                </c:pt>
                <c:pt idx="2">
                  <c:v>1985</c:v>
                </c:pt>
                <c:pt idx="3">
                  <c:v>1990</c:v>
                </c:pt>
                <c:pt idx="4">
                  <c:v>1995</c:v>
                </c:pt>
                <c:pt idx="5">
                  <c:v>2000</c:v>
                </c:pt>
                <c:pt idx="6">
                  <c:v>2005</c:v>
                </c:pt>
                <c:pt idx="7">
                  <c:v>2010</c:v>
                </c:pt>
                <c:pt idx="8">
                  <c:v>2015</c:v>
                </c:pt>
              </c:numCache>
            </c:numRef>
          </c:xVal>
          <c:yVal>
            <c:numRef>
              <c:f>Sheet2!$B$2:$B$10</c:f>
              <c:numCache>
                <c:formatCode>0</c:formatCode>
                <c:ptCount val="9"/>
                <c:pt idx="0">
                  <c:v>0.43</c:v>
                </c:pt>
                <c:pt idx="1">
                  <c:v>5.29</c:v>
                </c:pt>
                <c:pt idx="2">
                  <c:v>5.8</c:v>
                </c:pt>
                <c:pt idx="3">
                  <c:v>5.5</c:v>
                </c:pt>
                <c:pt idx="4">
                  <c:v>10</c:v>
                </c:pt>
                <c:pt idx="5">
                  <c:v>17.190000000000001</c:v>
                </c:pt>
                <c:pt idx="6">
                  <c:v>34.24</c:v>
                </c:pt>
                <c:pt idx="7">
                  <c:v>81.98</c:v>
                </c:pt>
                <c:pt idx="8">
                  <c:v>117.6</c:v>
                </c:pt>
              </c:numCache>
            </c:numRef>
          </c:yVal>
          <c:smooth val="0"/>
          <c:extLst>
            <c:ext xmlns:c16="http://schemas.microsoft.com/office/drawing/2014/chart" uri="{C3380CC4-5D6E-409C-BE32-E72D297353CC}">
              <c16:uniqueId val="{00000000-E30D-B048-951A-AB56F4686DDE}"/>
            </c:ext>
          </c:extLst>
        </c:ser>
        <c:dLbls>
          <c:showLegendKey val="0"/>
          <c:showVal val="0"/>
          <c:showCatName val="0"/>
          <c:showSerName val="0"/>
          <c:showPercent val="0"/>
          <c:showBubbleSize val="0"/>
        </c:dLbls>
        <c:axId val="547787256"/>
        <c:axId val="542160616"/>
      </c:scatterChart>
      <c:valAx>
        <c:axId val="54778725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2160616"/>
        <c:crosses val="autoZero"/>
        <c:crossBetween val="midCat"/>
      </c:valAx>
      <c:valAx>
        <c:axId val="542160616"/>
        <c:scaling>
          <c:orientation val="minMax"/>
          <c:max val="1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Billions (2010</a:t>
                </a:r>
                <a:r>
                  <a:rPr lang="en-US" baseline="0"/>
                  <a:t> $US)</a:t>
                </a:r>
                <a:r>
                  <a:rPr lang="en-US"/>
                  <a: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778725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bg2"/>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CA" sz="1400" b="0" i="0" u="none" strike="noStrike" kern="1200" spc="0" baseline="0">
                <a:solidFill>
                  <a:sysClr val="windowText" lastClr="000000">
                    <a:lumMod val="65000"/>
                    <a:lumOff val="35000"/>
                  </a:sysClr>
                </a:solidFill>
                <a:effectLst/>
                <a:latin typeface="+mn-lt"/>
                <a:ea typeface="+mn-ea"/>
                <a:cs typeface="+mn-cs"/>
              </a:rPr>
              <a:t>Remittances</a:t>
            </a:r>
            <a:r>
              <a:rPr lang="en-CA" sz="1400" b="0" i="0" u="none" strike="noStrike" baseline="0">
                <a:effectLst/>
              </a:rPr>
              <a:t> Received 2017  </a:t>
            </a:r>
            <a:r>
              <a:rPr lang="en-CA" sz="1400" b="0" i="0" u="none" strike="noStrike" baseline="0"/>
              <a:t> </a:t>
            </a:r>
            <a:r>
              <a:rPr lang="en-CA"/>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Billions </c:v>
                </c:pt>
              </c:strCache>
            </c:strRef>
          </c:tx>
          <c:spPr>
            <a:solidFill>
              <a:schemeClr val="accent1"/>
            </a:solidFill>
            <a:ln>
              <a:noFill/>
            </a:ln>
            <a:effectLst/>
          </c:spPr>
          <c:invertIfNegative val="0"/>
          <c:cat>
            <c:strRef>
              <c:f>Sheet1!$A$2:$A$5</c:f>
              <c:strCache>
                <c:ptCount val="4"/>
                <c:pt idx="0">
                  <c:v>South Asia </c:v>
                </c:pt>
                <c:pt idx="1">
                  <c:v>East Asia &amp; Pacific</c:v>
                </c:pt>
                <c:pt idx="2">
                  <c:v>Middle East &amp; North Africa</c:v>
                </c:pt>
                <c:pt idx="3">
                  <c:v>Sub-Saharan Africa</c:v>
                </c:pt>
              </c:strCache>
            </c:strRef>
          </c:cat>
          <c:val>
            <c:numRef>
              <c:f>Sheet1!$B$2:$B$5</c:f>
              <c:numCache>
                <c:formatCode>General</c:formatCode>
                <c:ptCount val="4"/>
                <c:pt idx="0">
                  <c:v>116.7</c:v>
                </c:pt>
                <c:pt idx="1">
                  <c:v>112.6</c:v>
                </c:pt>
                <c:pt idx="2">
                  <c:v>57.6</c:v>
                </c:pt>
                <c:pt idx="3">
                  <c:v>42.7</c:v>
                </c:pt>
              </c:numCache>
            </c:numRef>
          </c:val>
          <c:extLst>
            <c:ext xmlns:c16="http://schemas.microsoft.com/office/drawing/2014/chart" uri="{C3380CC4-5D6E-409C-BE32-E72D297353CC}">
              <c16:uniqueId val="{00000000-16EE-EE4B-B226-A02116664D07}"/>
            </c:ext>
          </c:extLst>
        </c:ser>
        <c:dLbls>
          <c:showLegendKey val="0"/>
          <c:showVal val="0"/>
          <c:showCatName val="0"/>
          <c:showSerName val="0"/>
          <c:showPercent val="0"/>
          <c:showBubbleSize val="0"/>
        </c:dLbls>
        <c:gapWidth val="219"/>
        <c:overlap val="-27"/>
        <c:axId val="542062624"/>
        <c:axId val="542061448"/>
      </c:barChart>
      <c:catAx>
        <c:axId val="542062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Region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2061448"/>
        <c:crosses val="autoZero"/>
        <c:auto val="1"/>
        <c:lblAlgn val="ctr"/>
        <c:lblOffset val="100"/>
        <c:noMultiLvlLbl val="0"/>
      </c:catAx>
      <c:valAx>
        <c:axId val="5420614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CA"/>
                  <a:t>Billions</a:t>
                </a:r>
                <a:r>
                  <a:rPr lang="en-CA" baseline="0"/>
                  <a:t> ( 2010 $US)</a:t>
                </a:r>
                <a:endParaRPr lang="en-C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2062624"/>
        <c:crosses val="autoZero"/>
        <c:crossBetween val="between"/>
      </c:valAx>
      <c:spPr>
        <a:noFill/>
        <a:ln>
          <a:solidFill>
            <a:schemeClr val="bg2"/>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8A3EF418-E12D-4FC2-B34C-0A4617FA9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6064</Words>
  <Characters>34568</Characters>
  <Application>Microsoft Office Word</Application>
  <DocSecurity>0</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Fatouma Aden</dc:creator>
  <cp:keywords/>
  <dc:description/>
  <cp:lastModifiedBy>Carole Anne Gratton</cp:lastModifiedBy>
  <cp:revision>2</cp:revision>
  <cp:lastPrinted>2019-07-22T03:54:00Z</cp:lastPrinted>
  <dcterms:created xsi:type="dcterms:W3CDTF">2019-08-09T18:45:00Z</dcterms:created>
  <dcterms:modified xsi:type="dcterms:W3CDTF">2019-08-09T18:45:00Z</dcterms:modified>
</cp:coreProperties>
</file>