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9F59F4" w14:textId="220A265B" w:rsidR="00EF0000" w:rsidRDefault="00EA1E5D">
      <w:pPr>
        <w:pStyle w:val="Title"/>
      </w:pPr>
      <w:bookmarkStart w:id="0" w:name="_vz8a7cgtebdk" w:colFirst="0" w:colLast="0"/>
      <w:bookmarkEnd w:id="0"/>
      <w:r>
        <w:t xml:space="preserve">At-Risk Articles: Brief Literature </w:t>
      </w:r>
      <w:r w:rsidR="009F24F5">
        <w:t>Analysis</w:t>
      </w:r>
    </w:p>
    <w:p w14:paraId="784AAF11" w14:textId="77777777" w:rsidR="00EA1E5D" w:rsidRDefault="00EA1E5D" w:rsidP="00EA1E5D">
      <w:pPr>
        <w:pStyle w:val="normal0"/>
      </w:pPr>
    </w:p>
    <w:p w14:paraId="642B1FAD" w14:textId="77777777" w:rsidR="00EA1E5D" w:rsidRDefault="00EA1E5D" w:rsidP="00EA1E5D">
      <w:pPr>
        <w:pStyle w:val="normal0"/>
      </w:pPr>
      <w:r>
        <w:t xml:space="preserve">Jeanette Hatherill </w:t>
      </w:r>
    </w:p>
    <w:p w14:paraId="656B1D77" w14:textId="77777777" w:rsidR="00EA1E5D" w:rsidRDefault="00A46010" w:rsidP="00EA1E5D">
      <w:pPr>
        <w:pStyle w:val="normal0"/>
      </w:pPr>
      <w:r w:rsidRPr="00A46010">
        <w:t>https://orcid.org/0000-0001-6090-8190</w:t>
      </w:r>
    </w:p>
    <w:p w14:paraId="59565477" w14:textId="77777777" w:rsidR="00EA1E5D" w:rsidRDefault="00EA1E5D" w:rsidP="00EA1E5D">
      <w:pPr>
        <w:pStyle w:val="normal0"/>
      </w:pPr>
      <w:r>
        <w:t>jeanette.hatherill@uottawa.ca</w:t>
      </w:r>
    </w:p>
    <w:p w14:paraId="5FF34B32" w14:textId="77777777" w:rsidR="00EA1E5D" w:rsidRDefault="00EA1E5D" w:rsidP="00EA1E5D">
      <w:pPr>
        <w:pStyle w:val="normal0"/>
      </w:pPr>
      <w:r>
        <w:t>March 20, 2020</w:t>
      </w:r>
    </w:p>
    <w:p w14:paraId="1398A192" w14:textId="77777777" w:rsidR="00EA1E5D" w:rsidRPr="00EA1E5D" w:rsidRDefault="00EA1E5D" w:rsidP="00EA1E5D">
      <w:pPr>
        <w:pStyle w:val="normal0"/>
      </w:pPr>
    </w:p>
    <w:p w14:paraId="617B20CC" w14:textId="3823AEC3" w:rsidR="00EF0000" w:rsidRDefault="00EA1E5D">
      <w:pPr>
        <w:pStyle w:val="normal0"/>
        <w:rPr>
          <w:color w:val="434343"/>
          <w:sz w:val="24"/>
          <w:szCs w:val="24"/>
        </w:rPr>
      </w:pPr>
      <w:r>
        <w:rPr>
          <w:color w:val="434343"/>
          <w:sz w:val="24"/>
          <w:szCs w:val="24"/>
        </w:rPr>
        <w:t xml:space="preserve">This document provides an overview of the search strategy employed for a literature </w:t>
      </w:r>
      <w:r w:rsidR="00B03DCB">
        <w:rPr>
          <w:color w:val="434343"/>
          <w:sz w:val="24"/>
          <w:szCs w:val="24"/>
        </w:rPr>
        <w:t>analysis</w:t>
      </w:r>
      <w:r>
        <w:rPr>
          <w:color w:val="434343"/>
          <w:sz w:val="24"/>
          <w:szCs w:val="24"/>
        </w:rPr>
        <w:t xml:space="preserve"> on deceptive publishing</w:t>
      </w:r>
      <w:r>
        <w:rPr>
          <w:vertAlign w:val="superscript"/>
        </w:rPr>
        <w:footnoteReference w:id="1"/>
      </w:r>
      <w:r>
        <w:rPr>
          <w:color w:val="434343"/>
          <w:sz w:val="24"/>
          <w:szCs w:val="24"/>
        </w:rPr>
        <w:t xml:space="preserve"> as part of the research project “At-Risk Articles”. It also includes a description of the analysis and categorization of the resulting literature. </w:t>
      </w:r>
    </w:p>
    <w:p w14:paraId="4BA62C3E" w14:textId="77777777" w:rsidR="00EF0000" w:rsidRDefault="00EF0000">
      <w:pPr>
        <w:pStyle w:val="normal0"/>
        <w:rPr>
          <w:color w:val="434343"/>
          <w:sz w:val="24"/>
          <w:szCs w:val="24"/>
        </w:rPr>
      </w:pPr>
    </w:p>
    <w:p w14:paraId="40FC2336" w14:textId="77777777" w:rsidR="00EF0000" w:rsidRPr="00EA1E5D" w:rsidRDefault="00EA1E5D">
      <w:pPr>
        <w:pStyle w:val="normal0"/>
        <w:rPr>
          <w:color w:val="434343"/>
          <w:sz w:val="24"/>
          <w:szCs w:val="24"/>
          <w:u w:val="single"/>
        </w:rPr>
      </w:pPr>
      <w:r w:rsidRPr="00EA1E5D">
        <w:rPr>
          <w:color w:val="434343"/>
          <w:sz w:val="24"/>
          <w:szCs w:val="24"/>
          <w:u w:val="single"/>
        </w:rPr>
        <w:t>Contents</w:t>
      </w:r>
    </w:p>
    <w:sdt>
      <w:sdtPr>
        <w:id w:val="885071601"/>
        <w:docPartObj>
          <w:docPartGallery w:val="Table of Contents"/>
          <w:docPartUnique/>
        </w:docPartObj>
      </w:sdtPr>
      <w:sdtContent>
        <w:p w14:paraId="23DF9C8B" w14:textId="77777777" w:rsidR="00EF0000" w:rsidRDefault="00EA1E5D">
          <w:pPr>
            <w:pStyle w:val="normal0"/>
            <w:tabs>
              <w:tab w:val="right" w:pos="9360"/>
            </w:tabs>
            <w:spacing w:before="80" w:line="240" w:lineRule="auto"/>
            <w:rPr>
              <w:color w:val="434343"/>
              <w:sz w:val="20"/>
              <w:szCs w:val="20"/>
            </w:rPr>
          </w:pPr>
          <w:r>
            <w:fldChar w:fldCharType="begin"/>
          </w:r>
          <w:r>
            <w:instrText xml:space="preserve"> TOC \h \u \z </w:instrText>
          </w:r>
          <w:r>
            <w:fldChar w:fldCharType="separate"/>
          </w:r>
          <w:hyperlink w:anchor="_m1z9jyvwjdkn">
            <w:r>
              <w:rPr>
                <w:color w:val="434343"/>
                <w:sz w:val="20"/>
                <w:szCs w:val="20"/>
              </w:rPr>
              <w:t>Timeframe</w:t>
            </w:r>
          </w:hyperlink>
          <w:r>
            <w:rPr>
              <w:color w:val="434343"/>
              <w:sz w:val="20"/>
              <w:szCs w:val="20"/>
            </w:rPr>
            <w:tab/>
          </w:r>
          <w:r>
            <w:fldChar w:fldCharType="begin"/>
          </w:r>
          <w:r>
            <w:instrText xml:space="preserve"> PAGEREF _m1z9jyvwjdkn \h </w:instrText>
          </w:r>
          <w:r>
            <w:fldChar w:fldCharType="separate"/>
          </w:r>
          <w:r>
            <w:rPr>
              <w:color w:val="434343"/>
              <w:sz w:val="20"/>
              <w:szCs w:val="20"/>
            </w:rPr>
            <w:t>1</w:t>
          </w:r>
          <w:r>
            <w:fldChar w:fldCharType="end"/>
          </w:r>
        </w:p>
        <w:p w14:paraId="548556BD" w14:textId="77777777" w:rsidR="00EF0000" w:rsidRDefault="00A5217B">
          <w:pPr>
            <w:pStyle w:val="normal0"/>
            <w:tabs>
              <w:tab w:val="right" w:pos="9360"/>
            </w:tabs>
            <w:spacing w:before="200" w:line="240" w:lineRule="auto"/>
            <w:rPr>
              <w:color w:val="434343"/>
              <w:sz w:val="20"/>
              <w:szCs w:val="20"/>
            </w:rPr>
          </w:pPr>
          <w:hyperlink w:anchor="_yspyxjow835y">
            <w:r w:rsidR="00EA1E5D">
              <w:rPr>
                <w:color w:val="434343"/>
                <w:sz w:val="20"/>
                <w:szCs w:val="20"/>
              </w:rPr>
              <w:t>Scope and search strategies</w:t>
            </w:r>
          </w:hyperlink>
          <w:r w:rsidR="00EA1E5D">
            <w:rPr>
              <w:color w:val="434343"/>
              <w:sz w:val="20"/>
              <w:szCs w:val="20"/>
            </w:rPr>
            <w:tab/>
          </w:r>
          <w:r w:rsidR="00EA1E5D">
            <w:fldChar w:fldCharType="begin"/>
          </w:r>
          <w:r w:rsidR="00EA1E5D">
            <w:instrText xml:space="preserve"> PAGEREF _yspyxjow835y \h </w:instrText>
          </w:r>
          <w:r w:rsidR="00EA1E5D">
            <w:fldChar w:fldCharType="separate"/>
          </w:r>
          <w:r w:rsidR="00EA1E5D">
            <w:rPr>
              <w:color w:val="434343"/>
              <w:sz w:val="20"/>
              <w:szCs w:val="20"/>
            </w:rPr>
            <w:t>1</w:t>
          </w:r>
          <w:r w:rsidR="00EA1E5D">
            <w:fldChar w:fldCharType="end"/>
          </w:r>
        </w:p>
        <w:p w14:paraId="1A5D6D20" w14:textId="77777777" w:rsidR="00EF0000" w:rsidRDefault="00A5217B">
          <w:pPr>
            <w:pStyle w:val="normal0"/>
            <w:tabs>
              <w:tab w:val="right" w:pos="9360"/>
            </w:tabs>
            <w:spacing w:before="200" w:line="240" w:lineRule="auto"/>
            <w:rPr>
              <w:color w:val="434343"/>
              <w:sz w:val="20"/>
              <w:szCs w:val="20"/>
            </w:rPr>
          </w:pPr>
          <w:hyperlink w:anchor="_pf49uuf79r6r">
            <w:r w:rsidR="00EA1E5D">
              <w:rPr>
                <w:color w:val="434343"/>
                <w:sz w:val="20"/>
                <w:szCs w:val="20"/>
              </w:rPr>
              <w:t>Analysis of search results</w:t>
            </w:r>
          </w:hyperlink>
          <w:r w:rsidR="00EA1E5D">
            <w:rPr>
              <w:color w:val="434343"/>
              <w:sz w:val="20"/>
              <w:szCs w:val="20"/>
            </w:rPr>
            <w:tab/>
          </w:r>
          <w:r w:rsidR="00EA1E5D">
            <w:fldChar w:fldCharType="begin"/>
          </w:r>
          <w:r w:rsidR="00EA1E5D">
            <w:instrText xml:space="preserve"> PAGEREF _pf49uuf79r6r \h </w:instrText>
          </w:r>
          <w:r w:rsidR="00EA1E5D">
            <w:fldChar w:fldCharType="separate"/>
          </w:r>
          <w:r w:rsidR="00EA1E5D">
            <w:rPr>
              <w:color w:val="434343"/>
              <w:sz w:val="20"/>
              <w:szCs w:val="20"/>
            </w:rPr>
            <w:t>4</w:t>
          </w:r>
          <w:r w:rsidR="00EA1E5D">
            <w:fldChar w:fldCharType="end"/>
          </w:r>
        </w:p>
        <w:p w14:paraId="0D301DA6" w14:textId="77777777" w:rsidR="00EF0000" w:rsidRDefault="00A5217B">
          <w:pPr>
            <w:pStyle w:val="normal0"/>
            <w:tabs>
              <w:tab w:val="right" w:pos="9360"/>
            </w:tabs>
            <w:spacing w:before="200" w:line="240" w:lineRule="auto"/>
            <w:rPr>
              <w:color w:val="434343"/>
              <w:sz w:val="20"/>
              <w:szCs w:val="20"/>
            </w:rPr>
          </w:pPr>
          <w:hyperlink w:anchor="_12c645cujchg">
            <w:r w:rsidR="00EA1E5D">
              <w:rPr>
                <w:color w:val="434343"/>
                <w:sz w:val="20"/>
                <w:szCs w:val="20"/>
              </w:rPr>
              <w:t>Categorization and Coding</w:t>
            </w:r>
          </w:hyperlink>
          <w:r w:rsidR="00EA1E5D">
            <w:rPr>
              <w:color w:val="434343"/>
              <w:sz w:val="20"/>
              <w:szCs w:val="20"/>
            </w:rPr>
            <w:tab/>
          </w:r>
          <w:r w:rsidR="00A46010" w:rsidRPr="00A46010">
            <w:rPr>
              <w:sz w:val="20"/>
              <w:szCs w:val="20"/>
            </w:rPr>
            <w:t>4</w:t>
          </w:r>
        </w:p>
        <w:p w14:paraId="09EE258D" w14:textId="77777777" w:rsidR="00EF0000" w:rsidRDefault="00A5217B">
          <w:pPr>
            <w:pStyle w:val="normal0"/>
            <w:tabs>
              <w:tab w:val="right" w:pos="9360"/>
            </w:tabs>
            <w:spacing w:before="200" w:after="80" w:line="240" w:lineRule="auto"/>
            <w:rPr>
              <w:color w:val="434343"/>
              <w:sz w:val="20"/>
              <w:szCs w:val="20"/>
            </w:rPr>
          </w:pPr>
          <w:hyperlink w:anchor="_g4aoby1srqal">
            <w:r w:rsidR="00EA1E5D">
              <w:rPr>
                <w:color w:val="434343"/>
                <w:sz w:val="20"/>
                <w:szCs w:val="20"/>
              </w:rPr>
              <w:t>Results of categorization</w:t>
            </w:r>
          </w:hyperlink>
          <w:r w:rsidR="00EA1E5D">
            <w:rPr>
              <w:color w:val="434343"/>
              <w:sz w:val="20"/>
              <w:szCs w:val="20"/>
            </w:rPr>
            <w:tab/>
          </w:r>
          <w:r w:rsidR="00EA1E5D">
            <w:fldChar w:fldCharType="begin"/>
          </w:r>
          <w:r w:rsidR="00EA1E5D">
            <w:instrText xml:space="preserve"> PAGEREF _g4aoby1srqal \h </w:instrText>
          </w:r>
          <w:r w:rsidR="00EA1E5D">
            <w:fldChar w:fldCharType="separate"/>
          </w:r>
          <w:r w:rsidR="00EA1E5D">
            <w:rPr>
              <w:color w:val="434343"/>
              <w:sz w:val="20"/>
              <w:szCs w:val="20"/>
            </w:rPr>
            <w:t>6</w:t>
          </w:r>
          <w:r w:rsidR="00EA1E5D">
            <w:fldChar w:fldCharType="end"/>
          </w:r>
          <w:r w:rsidR="00EA1E5D">
            <w:fldChar w:fldCharType="end"/>
          </w:r>
        </w:p>
      </w:sdtContent>
    </w:sdt>
    <w:p w14:paraId="10234733" w14:textId="77777777" w:rsidR="00EF0000" w:rsidRDefault="00EF0000">
      <w:pPr>
        <w:pStyle w:val="normal0"/>
        <w:rPr>
          <w:color w:val="434343"/>
          <w:sz w:val="24"/>
          <w:szCs w:val="24"/>
        </w:rPr>
      </w:pPr>
    </w:p>
    <w:p w14:paraId="346F331D" w14:textId="77777777" w:rsidR="00EF0000" w:rsidRDefault="00EA1E5D">
      <w:pPr>
        <w:pStyle w:val="Heading2"/>
      </w:pPr>
      <w:bookmarkStart w:id="1" w:name="_m1z9jyvwjdkn" w:colFirst="0" w:colLast="0"/>
      <w:bookmarkEnd w:id="1"/>
      <w:r>
        <w:t>Timeframe</w:t>
      </w:r>
    </w:p>
    <w:p w14:paraId="2908B33B" w14:textId="77777777" w:rsidR="00EF0000" w:rsidRDefault="00EA1E5D">
      <w:pPr>
        <w:pStyle w:val="normal0"/>
      </w:pPr>
      <w:r>
        <w:t>Searches performed between August 7th, 2019 and September 4th, 2019</w:t>
      </w:r>
    </w:p>
    <w:p w14:paraId="2FDA29D9" w14:textId="40400FF9" w:rsidR="00EA1E5D" w:rsidRDefault="00EA1E5D">
      <w:pPr>
        <w:pStyle w:val="normal0"/>
      </w:pPr>
      <w:r>
        <w:t>Analysis &amp; categorization performed between September 6th, 2019 and September 13th, 2019</w:t>
      </w:r>
    </w:p>
    <w:p w14:paraId="5F8449D0" w14:textId="77777777" w:rsidR="00EF0000" w:rsidRDefault="00EA1E5D">
      <w:pPr>
        <w:pStyle w:val="Heading2"/>
      </w:pPr>
      <w:bookmarkStart w:id="2" w:name="_yspyxjow835y" w:colFirst="0" w:colLast="0"/>
      <w:bookmarkEnd w:id="2"/>
      <w:r>
        <w:t>Scope and search strategies</w:t>
      </w:r>
    </w:p>
    <w:p w14:paraId="7110A48C" w14:textId="739843C5" w:rsidR="00EF0000" w:rsidRDefault="00EA1E5D">
      <w:pPr>
        <w:pStyle w:val="normal0"/>
      </w:pPr>
      <w:r>
        <w:t xml:space="preserve">The goal of this literature </w:t>
      </w:r>
      <w:r w:rsidR="00B03DCB">
        <w:t>analysis</w:t>
      </w:r>
      <w:r>
        <w:t xml:space="preserve"> was to get a general sense of the discussion on deceptive or “predatory publishing” in formal peer-reviewed literature and in particular to understand whether and how academic communities were discussing the implications for authors whose articles appear in deceptive outlets. The aim was to get a broad, but not systematically exhaustive, sample of the published literature across several disciplines. To that end, a search was conducted in a selection of the main subject databases as identified by University of Ottawa Librarians on their research guides using controlled vocabulary and keyword searching.  </w:t>
      </w:r>
    </w:p>
    <w:p w14:paraId="268595F5" w14:textId="77777777" w:rsidR="00EF0000" w:rsidRDefault="00EF0000">
      <w:pPr>
        <w:pStyle w:val="normal0"/>
      </w:pPr>
    </w:p>
    <w:p w14:paraId="6DD69EA9" w14:textId="66A1F019" w:rsidR="00EF0000" w:rsidRDefault="00EA1E5D">
      <w:pPr>
        <w:pStyle w:val="normal0"/>
      </w:pPr>
      <w:r>
        <w:t xml:space="preserve">In-scope articles had to have deceptive publishing as their main focus as determined by title and abstract. Articles that obviously focused on open access (OA) publishing broadly, attitudes toward OA, OA adoption in various disciplines, bibliometrics, etc. that only mentioned deceptive publishing in passing were out of scope. Where the focus was not immediately apparent, results </w:t>
      </w:r>
      <w:r>
        <w:lastRenderedPageBreak/>
        <w:t>were included for further analysis.</w:t>
      </w:r>
      <w:r w:rsidR="006C7260">
        <w:t xml:space="preserve"> A date limit of 2009 – present was introduced based on relevancy of initial results. I</w:t>
      </w:r>
      <w:r>
        <w:t xml:space="preserve">rrelevant articles were deselected prior to export to Zotero. </w:t>
      </w:r>
    </w:p>
    <w:p w14:paraId="5D919E3F" w14:textId="77777777" w:rsidR="00EF0000" w:rsidRDefault="00EA1E5D">
      <w:pPr>
        <w:pStyle w:val="Heading4"/>
      </w:pPr>
      <w:bookmarkStart w:id="3" w:name="_8q8t79gfvtdy" w:colFirst="0" w:colLast="0"/>
      <w:bookmarkEnd w:id="3"/>
      <w:r>
        <w:t>Databases:</w:t>
      </w:r>
    </w:p>
    <w:p w14:paraId="3670C39C" w14:textId="77777777" w:rsidR="00EF0000" w:rsidRDefault="00EA1E5D">
      <w:pPr>
        <w:pStyle w:val="Heading3"/>
      </w:pPr>
      <w:bookmarkStart w:id="4" w:name="_ckjhswwya0z9" w:colFirst="0" w:colLast="0"/>
      <w:bookmarkEnd w:id="4"/>
      <w:r>
        <w:t xml:space="preserve">EBSCO </w:t>
      </w:r>
    </w:p>
    <w:p w14:paraId="1F0D00A8" w14:textId="77777777" w:rsidR="00EF0000" w:rsidRDefault="00EA1E5D">
      <w:pPr>
        <w:pStyle w:val="normal0"/>
        <w:ind w:left="720"/>
      </w:pPr>
      <w:r>
        <w:rPr>
          <w:u w:val="single"/>
        </w:rPr>
        <w:t>Databases</w:t>
      </w:r>
      <w:r>
        <w:t>: Academic Search Complete, Business Source Complete, CINAHL, Communication Source, Criminal Justice Abstracts, LISS, LISTA, Education Source, MLA International Bibliography, Legal Source, Art and Architecture, America History and Life, SportDiscus, Historical Abstracts, GreenFile, Philosopher's Index</w:t>
      </w:r>
    </w:p>
    <w:p w14:paraId="50DEDD5C" w14:textId="77777777" w:rsidR="00EF0000" w:rsidRDefault="00EA1E5D">
      <w:pPr>
        <w:pStyle w:val="normal0"/>
      </w:pPr>
      <w:r>
        <w:tab/>
      </w:r>
      <w:r>
        <w:rPr>
          <w:u w:val="single"/>
        </w:rPr>
        <w:t>Subject term</w:t>
      </w:r>
      <w:r>
        <w:t xml:space="preserve">: “Predatory Open Access Publishing” </w:t>
      </w:r>
    </w:p>
    <w:p w14:paraId="10DEF255" w14:textId="77777777" w:rsidR="00EF0000" w:rsidRDefault="00EA1E5D">
      <w:pPr>
        <w:pStyle w:val="normal0"/>
        <w:ind w:left="720"/>
      </w:pPr>
      <w:r>
        <w:rPr>
          <w:u w:val="single"/>
        </w:rPr>
        <w:t>KW</w:t>
      </w:r>
      <w:r>
        <w:t xml:space="preserve">: “predatory publish*” OR “deceptive publish*” OR “blacklist” OR “whitelist” OR “predatory journal*” </w:t>
      </w:r>
    </w:p>
    <w:p w14:paraId="54036D89" w14:textId="77777777" w:rsidR="00EF0000" w:rsidRDefault="00EA1E5D">
      <w:pPr>
        <w:pStyle w:val="normal0"/>
        <w:ind w:left="720"/>
      </w:pPr>
      <w:r>
        <w:rPr>
          <w:u w:val="single"/>
        </w:rPr>
        <w:t>Results</w:t>
      </w:r>
      <w:r>
        <w:t xml:space="preserve">: 397 in-scope articles </w:t>
      </w:r>
    </w:p>
    <w:p w14:paraId="228E05A0" w14:textId="77777777" w:rsidR="00EF0000" w:rsidRDefault="00EA1E5D">
      <w:pPr>
        <w:pStyle w:val="normal0"/>
        <w:ind w:left="720"/>
      </w:pPr>
      <w:r>
        <w:rPr>
          <w:u w:val="single"/>
        </w:rPr>
        <w:t>KW</w:t>
      </w:r>
      <w:r>
        <w:t xml:space="preserve">: “revues prédatrices” OR “éditeurs prédateurs” </w:t>
      </w:r>
    </w:p>
    <w:p w14:paraId="3D7A9155" w14:textId="77777777" w:rsidR="00EF0000" w:rsidRDefault="00EA1E5D">
      <w:pPr>
        <w:pStyle w:val="normal0"/>
        <w:ind w:left="720"/>
      </w:pPr>
      <w:r>
        <w:rPr>
          <w:u w:val="single"/>
        </w:rPr>
        <w:t>Results</w:t>
      </w:r>
      <w:r>
        <w:t>: 0 in-scope articles</w:t>
      </w:r>
    </w:p>
    <w:p w14:paraId="22264B4A" w14:textId="77777777" w:rsidR="00EF0000" w:rsidRDefault="00EA1E5D">
      <w:pPr>
        <w:pStyle w:val="Heading3"/>
      </w:pPr>
      <w:bookmarkStart w:id="5" w:name="_oso2xo8g99qx" w:colFirst="0" w:colLast="0"/>
      <w:bookmarkEnd w:id="5"/>
      <w:r>
        <w:t>ProQuest</w:t>
      </w:r>
    </w:p>
    <w:p w14:paraId="32230E74" w14:textId="77777777" w:rsidR="00EF0000" w:rsidRDefault="00EA1E5D">
      <w:pPr>
        <w:pStyle w:val="normal0"/>
        <w:ind w:left="720"/>
      </w:pPr>
      <w:r>
        <w:rPr>
          <w:u w:val="single"/>
        </w:rPr>
        <w:t>Databases</w:t>
      </w:r>
      <w:r>
        <w:t>: APA PsycArticles, ARTbibliographies Modern (ABM)‎, Business Premium Collection‎, ABI/INFORM Collection, Canadian Business &amp; Current Affairs Database, ERIC, International Bibliography of the Social Sciences, Nursing &amp; Allied Health Database, Philosopher's Index‎, Politics Collection‎,  ProQuest Dissertations &amp; Theses Global, Sociology Collection, Sports Medicine &amp; Education Index‎</w:t>
      </w:r>
    </w:p>
    <w:p w14:paraId="05EE574E" w14:textId="77777777" w:rsidR="00EF0000" w:rsidRDefault="00EA1E5D">
      <w:pPr>
        <w:pStyle w:val="normal0"/>
        <w:ind w:left="720"/>
      </w:pPr>
      <w:r>
        <w:rPr>
          <w:u w:val="single"/>
        </w:rPr>
        <w:t>Subject term</w:t>
      </w:r>
      <w:r>
        <w:t>: “predatory journals”</w:t>
      </w:r>
    </w:p>
    <w:p w14:paraId="2397F2AD" w14:textId="77777777" w:rsidR="00EF0000" w:rsidRDefault="00EA1E5D">
      <w:pPr>
        <w:pStyle w:val="normal0"/>
        <w:ind w:left="720"/>
      </w:pPr>
      <w:r>
        <w:rPr>
          <w:u w:val="single"/>
        </w:rPr>
        <w:t>KW</w:t>
      </w:r>
      <w:r>
        <w:t xml:space="preserve">: “predatory publish*” OR “deceptive publish*” OR “blacklist” OR “whitelist” OR “predatory journal*” </w:t>
      </w:r>
    </w:p>
    <w:p w14:paraId="17459830" w14:textId="77777777" w:rsidR="00EF0000" w:rsidRDefault="00EA1E5D">
      <w:pPr>
        <w:pStyle w:val="normal0"/>
        <w:ind w:left="720"/>
      </w:pPr>
      <w:r>
        <w:rPr>
          <w:u w:val="single"/>
        </w:rPr>
        <w:t>Results</w:t>
      </w:r>
      <w:r>
        <w:t xml:space="preserve">: 503 in-scope articles </w:t>
      </w:r>
    </w:p>
    <w:p w14:paraId="63EC2BE6" w14:textId="77777777" w:rsidR="00EF0000" w:rsidRDefault="00EA1E5D">
      <w:pPr>
        <w:pStyle w:val="normal0"/>
        <w:ind w:left="720"/>
      </w:pPr>
      <w:r>
        <w:rPr>
          <w:u w:val="single"/>
        </w:rPr>
        <w:t>KW</w:t>
      </w:r>
      <w:r>
        <w:t xml:space="preserve">: “revues prédatrices” OR “éditeurs prédateurs” </w:t>
      </w:r>
    </w:p>
    <w:p w14:paraId="765CF4D0" w14:textId="77777777" w:rsidR="00EF0000" w:rsidRDefault="00EA1E5D">
      <w:pPr>
        <w:pStyle w:val="normal0"/>
        <w:ind w:left="720"/>
      </w:pPr>
      <w:r>
        <w:rPr>
          <w:u w:val="single"/>
        </w:rPr>
        <w:t>Results</w:t>
      </w:r>
      <w:r>
        <w:t>: 2 in-scope articles</w:t>
      </w:r>
    </w:p>
    <w:p w14:paraId="6728BCBB" w14:textId="77777777" w:rsidR="00EF0000" w:rsidRDefault="00EA1E5D">
      <w:pPr>
        <w:pStyle w:val="Heading3"/>
      </w:pPr>
      <w:bookmarkStart w:id="6" w:name="_tinftncalcol" w:colFirst="0" w:colLast="0"/>
      <w:bookmarkEnd w:id="6"/>
      <w:r>
        <w:t>Scopus</w:t>
      </w:r>
    </w:p>
    <w:p w14:paraId="20DD44CD" w14:textId="77777777" w:rsidR="00EF0000" w:rsidRDefault="00EA1E5D">
      <w:pPr>
        <w:pStyle w:val="normal0"/>
        <w:ind w:left="720"/>
      </w:pPr>
      <w:r>
        <w:rPr>
          <w:u w:val="single"/>
        </w:rPr>
        <w:t>KW</w:t>
      </w:r>
      <w:r>
        <w:t xml:space="preserve">: “predatory publish*” OR “deceptive publish*” OR “blacklist” OR “whitelist” OR “predatory journal*” </w:t>
      </w:r>
    </w:p>
    <w:p w14:paraId="63A53168" w14:textId="77777777" w:rsidR="00EF0000" w:rsidRDefault="00EA1E5D">
      <w:pPr>
        <w:pStyle w:val="normal0"/>
        <w:ind w:left="720"/>
      </w:pPr>
      <w:r>
        <w:rPr>
          <w:u w:val="single"/>
        </w:rPr>
        <w:t>Results</w:t>
      </w:r>
      <w:r>
        <w:t>: 181 in-scope articles</w:t>
      </w:r>
    </w:p>
    <w:p w14:paraId="536540D1" w14:textId="77777777" w:rsidR="00EF0000" w:rsidRDefault="00EA1E5D">
      <w:pPr>
        <w:pStyle w:val="normal0"/>
        <w:ind w:left="720"/>
      </w:pPr>
      <w:r>
        <w:rPr>
          <w:u w:val="single"/>
        </w:rPr>
        <w:t>KW</w:t>
      </w:r>
      <w:r>
        <w:t xml:space="preserve">: “revues prédatrices” OR “éditeurs prédateurs” </w:t>
      </w:r>
    </w:p>
    <w:p w14:paraId="6E746A30" w14:textId="77777777" w:rsidR="00EF0000" w:rsidRDefault="00EA1E5D">
      <w:pPr>
        <w:pStyle w:val="normal0"/>
        <w:ind w:left="720"/>
      </w:pPr>
      <w:r>
        <w:rPr>
          <w:u w:val="single"/>
        </w:rPr>
        <w:t>Results</w:t>
      </w:r>
      <w:r>
        <w:t>: 0 in-scope articles</w:t>
      </w:r>
    </w:p>
    <w:p w14:paraId="031AB298" w14:textId="77777777" w:rsidR="00EF0000" w:rsidRDefault="00EA1E5D">
      <w:pPr>
        <w:pStyle w:val="Heading3"/>
      </w:pPr>
      <w:bookmarkStart w:id="7" w:name="_e41bhz1lsp7a" w:colFirst="0" w:colLast="0"/>
      <w:bookmarkEnd w:id="7"/>
      <w:r>
        <w:t>Web of Science</w:t>
      </w:r>
    </w:p>
    <w:p w14:paraId="32422E23" w14:textId="77777777" w:rsidR="00EF0000" w:rsidRDefault="00EA1E5D">
      <w:pPr>
        <w:pStyle w:val="normal0"/>
        <w:ind w:left="720"/>
      </w:pPr>
      <w:r>
        <w:rPr>
          <w:u w:val="single"/>
        </w:rPr>
        <w:t>KW</w:t>
      </w:r>
      <w:r>
        <w:t xml:space="preserve">: “predatory publish*” OR “deceptive publish*” OR “blacklist” OR “whitelist” OR “predatory journal*” </w:t>
      </w:r>
    </w:p>
    <w:p w14:paraId="2FF0C20B" w14:textId="77777777" w:rsidR="00EF0000" w:rsidRDefault="00EA1E5D">
      <w:pPr>
        <w:pStyle w:val="normal0"/>
        <w:ind w:left="720"/>
      </w:pPr>
      <w:r>
        <w:rPr>
          <w:u w:val="single"/>
        </w:rPr>
        <w:t>Results</w:t>
      </w:r>
      <w:r>
        <w:t>: 335 in-scope articles</w:t>
      </w:r>
    </w:p>
    <w:p w14:paraId="4250FBDC" w14:textId="77777777" w:rsidR="00EF0000" w:rsidRDefault="00EA1E5D">
      <w:pPr>
        <w:pStyle w:val="normal0"/>
        <w:ind w:left="720"/>
      </w:pPr>
      <w:r>
        <w:rPr>
          <w:u w:val="single"/>
        </w:rPr>
        <w:t>KW</w:t>
      </w:r>
      <w:r>
        <w:t xml:space="preserve">: “revues prédatrices” OR “éditeurs prédateurs” </w:t>
      </w:r>
    </w:p>
    <w:p w14:paraId="37DAF4EC" w14:textId="77777777" w:rsidR="00EF0000" w:rsidRDefault="00EA1E5D">
      <w:pPr>
        <w:pStyle w:val="normal0"/>
        <w:ind w:left="720"/>
      </w:pPr>
      <w:r>
        <w:rPr>
          <w:u w:val="single"/>
        </w:rPr>
        <w:t>Results</w:t>
      </w:r>
      <w:r>
        <w:t>: 0 in-scope articles</w:t>
      </w:r>
    </w:p>
    <w:p w14:paraId="65F2DEF1" w14:textId="77777777" w:rsidR="00EF0000" w:rsidRDefault="00EA1E5D">
      <w:pPr>
        <w:pStyle w:val="Heading3"/>
      </w:pPr>
      <w:bookmarkStart w:id="8" w:name="_dhvaw1ge65ju" w:colFirst="0" w:colLast="0"/>
      <w:bookmarkEnd w:id="8"/>
      <w:r>
        <w:t>JSTOR</w:t>
      </w:r>
    </w:p>
    <w:p w14:paraId="315FC241" w14:textId="77777777" w:rsidR="00EF0000" w:rsidRDefault="00EA1E5D">
      <w:pPr>
        <w:pStyle w:val="normal0"/>
        <w:ind w:left="720"/>
      </w:pPr>
      <w:r>
        <w:rPr>
          <w:u w:val="single"/>
        </w:rPr>
        <w:t>KW</w:t>
      </w:r>
      <w:r>
        <w:t>: “predatory publish*” OR “deceptive publish*” OR “predatory open access” OR “predatory journal*” OR “fake journal”</w:t>
      </w:r>
    </w:p>
    <w:p w14:paraId="41AC175F" w14:textId="77777777" w:rsidR="00EF0000" w:rsidRDefault="00EA1E5D">
      <w:pPr>
        <w:pStyle w:val="normal0"/>
        <w:ind w:left="720"/>
      </w:pPr>
      <w:r>
        <w:rPr>
          <w:u w:val="single"/>
        </w:rPr>
        <w:t>NOTE</w:t>
      </w:r>
      <w:r>
        <w:t>: “blacklist” OR “whitelist” removed because they caused too much noise in the results, “predatory open access” and “fake journal” were added to increase possible hits</w:t>
      </w:r>
    </w:p>
    <w:p w14:paraId="0209769A" w14:textId="77777777" w:rsidR="00EF0000" w:rsidRDefault="00EA1E5D">
      <w:pPr>
        <w:pStyle w:val="normal0"/>
        <w:ind w:left="720"/>
      </w:pPr>
      <w:r>
        <w:rPr>
          <w:u w:val="single"/>
        </w:rPr>
        <w:t>Results</w:t>
      </w:r>
      <w:r>
        <w:t>: 23 in-scope articles</w:t>
      </w:r>
    </w:p>
    <w:p w14:paraId="40179251" w14:textId="77777777" w:rsidR="00EF0000" w:rsidRDefault="00EA1E5D">
      <w:pPr>
        <w:pStyle w:val="normal0"/>
        <w:ind w:left="720"/>
      </w:pPr>
      <w:r>
        <w:rPr>
          <w:u w:val="single"/>
        </w:rPr>
        <w:t>KW</w:t>
      </w:r>
      <w:r>
        <w:t xml:space="preserve">: “revues prédatrices” OR “éditeurs prédateurs” </w:t>
      </w:r>
    </w:p>
    <w:p w14:paraId="6354F2E3" w14:textId="77777777" w:rsidR="00EF0000" w:rsidRDefault="00EA1E5D">
      <w:pPr>
        <w:pStyle w:val="normal0"/>
        <w:ind w:left="720"/>
      </w:pPr>
      <w:r>
        <w:rPr>
          <w:u w:val="single"/>
        </w:rPr>
        <w:t>Results</w:t>
      </w:r>
      <w:r>
        <w:t>: 2 in-scope articles</w:t>
      </w:r>
    </w:p>
    <w:p w14:paraId="4CF6C78E" w14:textId="77777777" w:rsidR="00EF0000" w:rsidRDefault="00EA1E5D">
      <w:pPr>
        <w:pStyle w:val="Heading3"/>
      </w:pPr>
      <w:bookmarkStart w:id="9" w:name="_4oup20nletlj" w:colFirst="0" w:colLast="0"/>
      <w:bookmarkEnd w:id="9"/>
      <w:r>
        <w:t>Érudit</w:t>
      </w:r>
    </w:p>
    <w:p w14:paraId="32526B4D" w14:textId="77777777" w:rsidR="00EF0000" w:rsidRDefault="00EA1E5D">
      <w:pPr>
        <w:pStyle w:val="normal0"/>
        <w:ind w:left="720"/>
      </w:pPr>
      <w:r>
        <w:rPr>
          <w:u w:val="single"/>
        </w:rPr>
        <w:t>KW</w:t>
      </w:r>
      <w:r>
        <w:t xml:space="preserve">: “predatory publish*” OR “deceptive publish*” OR “blacklist” OR “whitelist” OR “predatory journal*” </w:t>
      </w:r>
    </w:p>
    <w:p w14:paraId="1EEB4536" w14:textId="77777777" w:rsidR="00EF0000" w:rsidRDefault="00EA1E5D">
      <w:pPr>
        <w:pStyle w:val="normal0"/>
        <w:ind w:left="720"/>
      </w:pPr>
      <w:r>
        <w:rPr>
          <w:u w:val="single"/>
        </w:rPr>
        <w:t>Results</w:t>
      </w:r>
      <w:r>
        <w:t>: no in-scope articles</w:t>
      </w:r>
    </w:p>
    <w:p w14:paraId="42CAF319" w14:textId="77777777" w:rsidR="00EF0000" w:rsidRDefault="00EA1E5D">
      <w:pPr>
        <w:pStyle w:val="normal0"/>
        <w:ind w:left="720"/>
      </w:pPr>
      <w:r>
        <w:rPr>
          <w:u w:val="single"/>
        </w:rPr>
        <w:t>KW</w:t>
      </w:r>
      <w:r>
        <w:t xml:space="preserve">: “revues prédatrices” OR “éditeurs prédateurs” </w:t>
      </w:r>
    </w:p>
    <w:p w14:paraId="7EDCCEAF" w14:textId="77777777" w:rsidR="00EF0000" w:rsidRDefault="00EA1E5D">
      <w:pPr>
        <w:pStyle w:val="normal0"/>
        <w:ind w:left="720"/>
      </w:pPr>
      <w:r>
        <w:rPr>
          <w:u w:val="single"/>
        </w:rPr>
        <w:t>Results</w:t>
      </w:r>
      <w:r>
        <w:t>: 1 in-scope article</w:t>
      </w:r>
    </w:p>
    <w:p w14:paraId="77F21026" w14:textId="77777777" w:rsidR="00EF0000" w:rsidRDefault="00EA1E5D">
      <w:pPr>
        <w:pStyle w:val="Heading3"/>
      </w:pPr>
      <w:bookmarkStart w:id="10" w:name="_uxrp4yzfmjvg" w:colFirst="0" w:colLast="0"/>
      <w:bookmarkEnd w:id="10"/>
      <w:r>
        <w:t>1Findr</w:t>
      </w:r>
    </w:p>
    <w:p w14:paraId="1C627652" w14:textId="77777777" w:rsidR="00EF0000" w:rsidRDefault="00EA1E5D">
      <w:pPr>
        <w:pStyle w:val="normal0"/>
        <w:ind w:left="720"/>
      </w:pPr>
      <w:r>
        <w:rPr>
          <w:u w:val="single"/>
        </w:rPr>
        <w:t>KW</w:t>
      </w:r>
      <w:r>
        <w:t xml:space="preserve">: “predatory publish*” OR “deceptive publish*” OR “blacklist” OR “whitelist” OR “predatory journal*” </w:t>
      </w:r>
    </w:p>
    <w:p w14:paraId="0861ECA7" w14:textId="77777777" w:rsidR="00EF0000" w:rsidRDefault="00EA1E5D">
      <w:pPr>
        <w:pStyle w:val="normal0"/>
        <w:ind w:left="720"/>
      </w:pPr>
      <w:r>
        <w:rPr>
          <w:u w:val="single"/>
        </w:rPr>
        <w:t>Results</w:t>
      </w:r>
      <w:r>
        <w:t>: 459 in-scope articles</w:t>
      </w:r>
    </w:p>
    <w:p w14:paraId="2FC0735F" w14:textId="77777777" w:rsidR="00EF0000" w:rsidRDefault="00EA1E5D">
      <w:pPr>
        <w:pStyle w:val="normal0"/>
        <w:ind w:left="720"/>
      </w:pPr>
      <w:r>
        <w:rPr>
          <w:u w:val="single"/>
        </w:rPr>
        <w:t>KW</w:t>
      </w:r>
      <w:r>
        <w:t xml:space="preserve">: “revues prédatrices” OR “éditeurs prédateurs” </w:t>
      </w:r>
    </w:p>
    <w:p w14:paraId="0516DFE7" w14:textId="77777777" w:rsidR="00EF0000" w:rsidRDefault="00EA1E5D">
      <w:pPr>
        <w:pStyle w:val="normal0"/>
        <w:ind w:left="720"/>
      </w:pPr>
      <w:r>
        <w:rPr>
          <w:u w:val="single"/>
        </w:rPr>
        <w:t>Results</w:t>
      </w:r>
      <w:r>
        <w:t>: 6 in-scope articles</w:t>
      </w:r>
    </w:p>
    <w:p w14:paraId="599852F8" w14:textId="77777777" w:rsidR="00EF0000" w:rsidRDefault="00EA1E5D">
      <w:pPr>
        <w:pStyle w:val="Heading3"/>
      </w:pPr>
      <w:bookmarkStart w:id="11" w:name="_go3r81lz90a5" w:colFirst="0" w:colLast="0"/>
      <w:bookmarkEnd w:id="11"/>
      <w:r>
        <w:t>Persée</w:t>
      </w:r>
    </w:p>
    <w:p w14:paraId="43B3DAD2" w14:textId="77777777" w:rsidR="00EF0000" w:rsidRDefault="00EA1E5D">
      <w:pPr>
        <w:pStyle w:val="normal0"/>
        <w:ind w:firstLine="720"/>
      </w:pPr>
      <w:r>
        <w:rPr>
          <w:u w:val="single"/>
        </w:rPr>
        <w:t>KW</w:t>
      </w:r>
      <w:r>
        <w:t xml:space="preserve">: “revues prédatrices” OR “éditeurs prédateurs” </w:t>
      </w:r>
    </w:p>
    <w:p w14:paraId="65DE8540" w14:textId="77777777" w:rsidR="00EF0000" w:rsidRDefault="00EA1E5D">
      <w:pPr>
        <w:pStyle w:val="normal0"/>
        <w:ind w:left="720"/>
      </w:pPr>
      <w:r>
        <w:rPr>
          <w:u w:val="single"/>
        </w:rPr>
        <w:t>Results</w:t>
      </w:r>
      <w:r>
        <w:t>: 0 in-scope articles</w:t>
      </w:r>
    </w:p>
    <w:p w14:paraId="24AAD5B9" w14:textId="77777777" w:rsidR="00EF0000" w:rsidRDefault="00EA1E5D">
      <w:pPr>
        <w:pStyle w:val="Heading3"/>
      </w:pPr>
      <w:bookmarkStart w:id="12" w:name="_jc83bhzglfii" w:colFirst="0" w:colLast="0"/>
      <w:bookmarkEnd w:id="12"/>
      <w:r>
        <w:t>PubMed</w:t>
      </w:r>
    </w:p>
    <w:p w14:paraId="48D5DC25" w14:textId="77777777" w:rsidR="00EF0000" w:rsidRDefault="00EA1E5D">
      <w:pPr>
        <w:pStyle w:val="normal0"/>
        <w:ind w:left="720"/>
      </w:pPr>
      <w:r>
        <w:rPr>
          <w:u w:val="single"/>
        </w:rPr>
        <w:t>KW</w:t>
      </w:r>
      <w:r>
        <w:t xml:space="preserve">: “predatory publish*” OR “deceptive publish*” OR “predatory journal*” </w:t>
      </w:r>
    </w:p>
    <w:p w14:paraId="4F6B4B49" w14:textId="77777777" w:rsidR="00EF0000" w:rsidRDefault="00EA1E5D">
      <w:pPr>
        <w:pStyle w:val="normal0"/>
        <w:ind w:left="720"/>
      </w:pPr>
      <w:r>
        <w:rPr>
          <w:u w:val="single"/>
        </w:rPr>
        <w:t>Results</w:t>
      </w:r>
      <w:r>
        <w:t>: 337 in-scope articles</w:t>
      </w:r>
    </w:p>
    <w:p w14:paraId="6234132C" w14:textId="77777777" w:rsidR="00EF0000" w:rsidRDefault="00EA1E5D">
      <w:pPr>
        <w:pStyle w:val="Heading3"/>
      </w:pPr>
      <w:bookmarkStart w:id="13" w:name="_pjlh1d8tmqx5" w:colFirst="0" w:colLast="0"/>
      <w:bookmarkEnd w:id="13"/>
      <w:r>
        <w:t>Medline, Embase, PsycINFO &amp; ERIC on OVID</w:t>
      </w:r>
    </w:p>
    <w:p w14:paraId="02D06F28" w14:textId="77777777" w:rsidR="00EF0000" w:rsidRDefault="00EA1E5D">
      <w:pPr>
        <w:pStyle w:val="normal0"/>
        <w:ind w:left="720"/>
      </w:pPr>
      <w:r>
        <w:rPr>
          <w:u w:val="single"/>
        </w:rPr>
        <w:t>Search String</w:t>
      </w:r>
      <w:r>
        <w:t xml:space="preserve">: (predatory adj1 journal*).tw. </w:t>
      </w:r>
    </w:p>
    <w:p w14:paraId="114501CA" w14:textId="77777777" w:rsidR="00EF0000" w:rsidRDefault="00EA1E5D">
      <w:pPr>
        <w:pStyle w:val="normal0"/>
        <w:ind w:left="1440" w:firstLine="720"/>
      </w:pPr>
      <w:r>
        <w:t xml:space="preserve">OR (predatory adj1 publish*).tw. </w:t>
      </w:r>
    </w:p>
    <w:p w14:paraId="1F6254F7" w14:textId="77777777" w:rsidR="00EF0000" w:rsidRDefault="00EA1E5D">
      <w:pPr>
        <w:pStyle w:val="normal0"/>
        <w:ind w:left="1440" w:firstLine="720"/>
      </w:pPr>
      <w:r>
        <w:t>OR (deceptive adj3 publish*).tw.</w:t>
      </w:r>
    </w:p>
    <w:p w14:paraId="1A624327" w14:textId="77777777" w:rsidR="00EF0000" w:rsidRDefault="00EA1E5D">
      <w:pPr>
        <w:pStyle w:val="normal0"/>
        <w:ind w:left="720"/>
      </w:pPr>
      <w:r>
        <w:rPr>
          <w:u w:val="single"/>
        </w:rPr>
        <w:t>Results</w:t>
      </w:r>
      <w:r>
        <w:t>: 399 in-scope articles</w:t>
      </w:r>
    </w:p>
    <w:p w14:paraId="715E02E5" w14:textId="137ACA33" w:rsidR="00A46010" w:rsidRPr="00A46010" w:rsidRDefault="00EA1E5D" w:rsidP="00B03DCB">
      <w:pPr>
        <w:pStyle w:val="Heading2"/>
      </w:pPr>
      <w:bookmarkStart w:id="14" w:name="_pf49uuf79r6r" w:colFirst="0" w:colLast="0"/>
      <w:bookmarkEnd w:id="14"/>
      <w:r>
        <w:t>Analysis of search results</w:t>
      </w:r>
    </w:p>
    <w:p w14:paraId="3EA20121" w14:textId="77777777" w:rsidR="00EF0000" w:rsidRDefault="00EA1E5D">
      <w:pPr>
        <w:pStyle w:val="normal0"/>
      </w:pPr>
      <w:r>
        <w:t xml:space="preserve">In-scope articles were exported to a Zotero library and deduplicated using the platform’s deduplication function, then deduplicated manually when discovered. Out-of-scope articles were excluded in an iterative process. Abstracts were analysed to determine the focus of the article and articles were briefly scanned when no abstract was available or the focus of the article was not apparent from the abstract alone. </w:t>
      </w:r>
    </w:p>
    <w:p w14:paraId="6812253B" w14:textId="77777777" w:rsidR="00EF0000" w:rsidRDefault="00EF0000">
      <w:pPr>
        <w:pStyle w:val="normal0"/>
      </w:pPr>
    </w:p>
    <w:p w14:paraId="1B2B24E6" w14:textId="071B473F" w:rsidR="00EF0000" w:rsidRDefault="00EA1E5D">
      <w:pPr>
        <w:pStyle w:val="normal0"/>
      </w:pPr>
      <w:r>
        <w:t xml:space="preserve">Any article that discussed “what to do” with an article after it appears in a deceptive outlet or that discussed the consequences of publishing in a deceptive outlet </w:t>
      </w:r>
      <w:r w:rsidR="009F24F5">
        <w:t xml:space="preserve">(“post-publication”) </w:t>
      </w:r>
      <w:r>
        <w:t>were determined to be in scope, regardless of the focus or type of article.</w:t>
      </w:r>
    </w:p>
    <w:p w14:paraId="61334493" w14:textId="77777777" w:rsidR="00EF0000" w:rsidRDefault="00EF0000">
      <w:pPr>
        <w:pStyle w:val="normal0"/>
      </w:pPr>
    </w:p>
    <w:p w14:paraId="06DA9E03" w14:textId="77777777" w:rsidR="00EF0000" w:rsidRDefault="00EA1E5D">
      <w:pPr>
        <w:pStyle w:val="normal0"/>
      </w:pPr>
      <w:r>
        <w:t xml:space="preserve">Articles were determined to be out of scope when they only mentioned deceptive publishing in passing or less than a quarter of the article was on deceptive publishing. That is to say articles were excluded when the focus was on: </w:t>
      </w:r>
    </w:p>
    <w:p w14:paraId="0BEC8E11" w14:textId="77777777" w:rsidR="00EF0000" w:rsidRDefault="00EA1E5D">
      <w:pPr>
        <w:pStyle w:val="normal0"/>
        <w:ind w:firstLine="720"/>
      </w:pPr>
      <w:r>
        <w:t>open access (OA) publishing broadly</w:t>
      </w:r>
    </w:p>
    <w:p w14:paraId="0D12E5C4" w14:textId="77777777" w:rsidR="00EF0000" w:rsidRDefault="00EA1E5D">
      <w:pPr>
        <w:pStyle w:val="normal0"/>
        <w:ind w:firstLine="720"/>
      </w:pPr>
      <w:r>
        <w:t>attitudes toward OA</w:t>
      </w:r>
    </w:p>
    <w:p w14:paraId="29053D89" w14:textId="77777777" w:rsidR="00EF0000" w:rsidRDefault="00EA1E5D">
      <w:pPr>
        <w:pStyle w:val="normal0"/>
        <w:ind w:firstLine="720"/>
      </w:pPr>
      <w:r>
        <w:t>OA adoption in various disciplines</w:t>
      </w:r>
    </w:p>
    <w:p w14:paraId="4916867D" w14:textId="77777777" w:rsidR="00EF0000" w:rsidRDefault="00EA1E5D">
      <w:pPr>
        <w:pStyle w:val="normal0"/>
        <w:ind w:firstLine="720"/>
      </w:pPr>
      <w:r>
        <w:t xml:space="preserve">bibliometrics </w:t>
      </w:r>
    </w:p>
    <w:p w14:paraId="00323B76" w14:textId="77777777" w:rsidR="00EF0000" w:rsidRDefault="00EA1E5D">
      <w:pPr>
        <w:pStyle w:val="normal0"/>
        <w:ind w:firstLine="720"/>
      </w:pPr>
      <w:r>
        <w:t xml:space="preserve">publishing ethics (including plagiarism)  </w:t>
      </w:r>
    </w:p>
    <w:p w14:paraId="221FCD60" w14:textId="77777777" w:rsidR="00EF0000" w:rsidRDefault="00EA1E5D">
      <w:pPr>
        <w:pStyle w:val="normal0"/>
        <w:ind w:firstLine="720"/>
      </w:pPr>
      <w:r>
        <w:t>open peer review/post publication peer review</w:t>
      </w:r>
    </w:p>
    <w:p w14:paraId="3916957F" w14:textId="77777777" w:rsidR="00EF0000" w:rsidRDefault="00EA1E5D">
      <w:pPr>
        <w:pStyle w:val="normal0"/>
      </w:pPr>
      <w:r>
        <w:t>Also excluded were:</w:t>
      </w:r>
    </w:p>
    <w:p w14:paraId="32720526" w14:textId="77777777" w:rsidR="00EF0000" w:rsidRDefault="00EA1E5D">
      <w:pPr>
        <w:pStyle w:val="normal0"/>
        <w:ind w:firstLine="720"/>
      </w:pPr>
      <w:r>
        <w:t xml:space="preserve">conference reports </w:t>
      </w:r>
    </w:p>
    <w:p w14:paraId="5B3C5EBE" w14:textId="77777777" w:rsidR="00EF0000" w:rsidRDefault="00EA1E5D">
      <w:pPr>
        <w:pStyle w:val="normal0"/>
        <w:ind w:firstLine="720"/>
      </w:pPr>
      <w:r>
        <w:t>tables contents and introductions to issues</w:t>
      </w:r>
    </w:p>
    <w:p w14:paraId="360B73FE" w14:textId="77777777" w:rsidR="00EF0000" w:rsidRDefault="00EA1E5D">
      <w:pPr>
        <w:pStyle w:val="normal0"/>
        <w:ind w:firstLine="720"/>
      </w:pPr>
      <w:r>
        <w:t>new journal announcements</w:t>
      </w:r>
    </w:p>
    <w:p w14:paraId="706DB05C" w14:textId="77777777" w:rsidR="00EF0000" w:rsidRDefault="00EA1E5D">
      <w:pPr>
        <w:pStyle w:val="normal0"/>
        <w:ind w:firstLine="720"/>
      </w:pPr>
      <w:r>
        <w:t>news items</w:t>
      </w:r>
    </w:p>
    <w:p w14:paraId="3B13B880" w14:textId="77777777" w:rsidR="00EF0000" w:rsidRDefault="00EA1E5D">
      <w:pPr>
        <w:pStyle w:val="normal0"/>
        <w:ind w:firstLine="720"/>
      </w:pPr>
      <w:r>
        <w:t>language other than English or French</w:t>
      </w:r>
    </w:p>
    <w:p w14:paraId="7E99E2BC" w14:textId="77777777" w:rsidR="00EF0000" w:rsidRDefault="00EA1E5D">
      <w:pPr>
        <w:pStyle w:val="normal0"/>
        <w:ind w:firstLine="720"/>
      </w:pPr>
      <w:r>
        <w:t xml:space="preserve">full text unavailable </w:t>
      </w:r>
    </w:p>
    <w:p w14:paraId="709C3723" w14:textId="77777777" w:rsidR="00EF0000" w:rsidRDefault="00EA1E5D">
      <w:pPr>
        <w:pStyle w:val="normal0"/>
        <w:ind w:firstLine="720"/>
      </w:pPr>
      <w:r>
        <w:t xml:space="preserve">editorial position statements </w:t>
      </w:r>
    </w:p>
    <w:p w14:paraId="33FC28D6" w14:textId="69C9F1AF" w:rsidR="00EF0000" w:rsidRDefault="00EA1E5D">
      <w:pPr>
        <w:pStyle w:val="normal0"/>
        <w:ind w:firstLine="720"/>
      </w:pPr>
      <w:r>
        <w:t>commentaries/responses/errata/replies (that did not discuss “</w:t>
      </w:r>
      <w:r w:rsidR="009F24F5">
        <w:t>post-publication</w:t>
      </w:r>
      <w:r>
        <w:t>”)</w:t>
      </w:r>
    </w:p>
    <w:p w14:paraId="6BB75B9A" w14:textId="77777777" w:rsidR="00EF0000" w:rsidRDefault="00EF0000">
      <w:pPr>
        <w:pStyle w:val="normal0"/>
        <w:ind w:firstLine="720"/>
      </w:pPr>
    </w:p>
    <w:p w14:paraId="7442162F" w14:textId="77777777" w:rsidR="00EF0000" w:rsidRDefault="00EA1E5D">
      <w:pPr>
        <w:pStyle w:val="normal0"/>
      </w:pPr>
      <w:r>
        <w:t>After deduplication and exclusion 516</w:t>
      </w:r>
      <w:r>
        <w:rPr>
          <w:sz w:val="28"/>
          <w:szCs w:val="28"/>
          <w:vertAlign w:val="superscript"/>
        </w:rPr>
        <w:footnoteReference w:id="2"/>
      </w:r>
      <w:r>
        <w:t xml:space="preserve"> articles were determined to be in scope.</w:t>
      </w:r>
    </w:p>
    <w:p w14:paraId="2659F100" w14:textId="77777777" w:rsidR="00EA1E5D" w:rsidRDefault="00EA1E5D">
      <w:pPr>
        <w:pStyle w:val="normal0"/>
      </w:pPr>
    </w:p>
    <w:p w14:paraId="293D1BEB" w14:textId="68ABAF70" w:rsidR="00A46010" w:rsidRPr="00A46010" w:rsidRDefault="00EA1E5D" w:rsidP="00B03DCB">
      <w:pPr>
        <w:pStyle w:val="Heading2"/>
      </w:pPr>
      <w:bookmarkStart w:id="15" w:name="_12c645cujchg" w:colFirst="0" w:colLast="0"/>
      <w:bookmarkEnd w:id="15"/>
      <w:r>
        <w:t xml:space="preserve">Categorization and Coding </w:t>
      </w:r>
    </w:p>
    <w:p w14:paraId="2864CA2F" w14:textId="77777777" w:rsidR="00EF0000" w:rsidRDefault="00EA1E5D">
      <w:pPr>
        <w:pStyle w:val="normal0"/>
      </w:pPr>
      <w:r>
        <w:t xml:space="preserve">The 516 in-scope results were exported to a CSV file for analysis and coding. </w:t>
      </w:r>
    </w:p>
    <w:p w14:paraId="3DAD2F50" w14:textId="77777777" w:rsidR="00EF0000" w:rsidRDefault="00EF0000">
      <w:pPr>
        <w:pStyle w:val="normal0"/>
      </w:pPr>
    </w:p>
    <w:p w14:paraId="37FCD96B" w14:textId="77777777" w:rsidR="00EA1E5D" w:rsidRDefault="00EA1E5D">
      <w:pPr>
        <w:pStyle w:val="normal0"/>
      </w:pPr>
      <w:r>
        <w:t xml:space="preserve">In the professional discourse in scholarly publishing, discussions on the topic of deceptive publishing generally cover the following themes: identifying and quantifying the problem of predatory publishers; the responsibilities of authors and institutions in ensuring enough researchers (particularly early career researchers and researchers “newer” to publishing) are guided/educated on the perils of predatory publishing; the Library’s role as advisor or leader in educating researchers on how to avoid being “trapped”; Beall’s List and associated controversy; blacklists and whitelists and the limitations of these; and Western norms of publishing, the exclusion of the global south and the rise of predatory publishers to fill the gap. </w:t>
      </w:r>
    </w:p>
    <w:p w14:paraId="7A2DB10A" w14:textId="77777777" w:rsidR="00EF0000" w:rsidRDefault="00EF0000">
      <w:pPr>
        <w:pStyle w:val="normal0"/>
      </w:pPr>
    </w:p>
    <w:p w14:paraId="45EDBE4D" w14:textId="77777777" w:rsidR="00EF0000" w:rsidRDefault="00EA1E5D">
      <w:pPr>
        <w:pStyle w:val="normal0"/>
      </w:pPr>
      <w:r>
        <w:t xml:space="preserve">Based on these themes and on emerging ones from the analysis of the search results, six categories were elaborated to classify the results: </w:t>
      </w:r>
    </w:p>
    <w:p w14:paraId="4CAA5894" w14:textId="77777777" w:rsidR="00EF0000" w:rsidRDefault="00EF0000">
      <w:pPr>
        <w:pStyle w:val="normal0"/>
      </w:pPr>
    </w:p>
    <w:p w14:paraId="3E14FFFB" w14:textId="77777777" w:rsidR="00EF0000" w:rsidRDefault="00EA1E5D">
      <w:pPr>
        <w:pStyle w:val="normal0"/>
      </w:pPr>
      <w:r>
        <w:rPr>
          <w:b/>
        </w:rPr>
        <w:t>Quantifying</w:t>
      </w:r>
      <w:r>
        <w:t xml:space="preserve"> - any attempt to count, assess the size of, assign economic scale in any or all disciplines, describe characteristics of, determine scope.</w:t>
      </w:r>
    </w:p>
    <w:p w14:paraId="46AD0E55" w14:textId="77777777" w:rsidR="00EF0000" w:rsidRDefault="00EF0000">
      <w:pPr>
        <w:pStyle w:val="normal0"/>
      </w:pPr>
    </w:p>
    <w:p w14:paraId="780BBE06" w14:textId="77777777" w:rsidR="00EF0000" w:rsidRDefault="00EA1E5D">
      <w:pPr>
        <w:pStyle w:val="normal0"/>
      </w:pPr>
      <w:r>
        <w:rPr>
          <w:b/>
        </w:rPr>
        <w:t>Educating</w:t>
      </w:r>
      <w:r>
        <w:t xml:space="preserve"> - responsibilities of authors, institutions, disciplines, scholarly societies etc. to train on either proper publishing practice or avoiding malpractice, includes critical thinking eg. Think, Check, Submit. More focussed on a group responsibility to act.</w:t>
      </w:r>
    </w:p>
    <w:p w14:paraId="7585E2A3" w14:textId="77777777" w:rsidR="00EF0000" w:rsidRDefault="00EF0000">
      <w:pPr>
        <w:pStyle w:val="normal0"/>
      </w:pPr>
    </w:p>
    <w:p w14:paraId="2C548E2A" w14:textId="77777777" w:rsidR="00EF0000" w:rsidRDefault="00EA1E5D">
      <w:pPr>
        <w:pStyle w:val="normal0"/>
      </w:pPr>
      <w:r>
        <w:rPr>
          <w:b/>
        </w:rPr>
        <w:t>Informing</w:t>
      </w:r>
      <w:r>
        <w:t xml:space="preserve"> - alerting, notifying, identifying, alarming researchers in any discipline, including stings and opinions. Particularly focussed on the individual in knowing in order to avoid.</w:t>
      </w:r>
    </w:p>
    <w:p w14:paraId="42DE99FB" w14:textId="77777777" w:rsidR="00EF0000" w:rsidRDefault="00EF0000">
      <w:pPr>
        <w:pStyle w:val="normal0"/>
      </w:pPr>
    </w:p>
    <w:p w14:paraId="70C5F8EA" w14:textId="77777777" w:rsidR="00EF0000" w:rsidRDefault="00EA1E5D">
      <w:pPr>
        <w:pStyle w:val="normal0"/>
      </w:pPr>
      <w:r>
        <w:rPr>
          <w:b/>
        </w:rPr>
        <w:t>Listing</w:t>
      </w:r>
      <w:r>
        <w:t xml:space="preserve"> - blacklists, whitelists, Beall’s list and associated controversy, use of, critique and criticism of, suggestions for lists developed by others, Cabell’s list, etc.</w:t>
      </w:r>
    </w:p>
    <w:p w14:paraId="75EB14D4" w14:textId="77777777" w:rsidR="00EF0000" w:rsidRDefault="00EF0000">
      <w:pPr>
        <w:pStyle w:val="normal0"/>
      </w:pPr>
    </w:p>
    <w:p w14:paraId="568AF18A" w14:textId="77777777" w:rsidR="00EF0000" w:rsidRDefault="00EA1E5D">
      <w:pPr>
        <w:pStyle w:val="normal0"/>
      </w:pPr>
      <w:r>
        <w:rPr>
          <w:b/>
        </w:rPr>
        <w:t>Contextualizing</w:t>
      </w:r>
      <w:r>
        <w:t xml:space="preserve"> - critiques, placing in a larger context of a broken academic publishing system, neoliberalism and the institution creating conditions for, discussions of Global North/Global South, racial dimensions, etc.</w:t>
      </w:r>
    </w:p>
    <w:p w14:paraId="2B6123F6" w14:textId="77777777" w:rsidR="00EF0000" w:rsidRDefault="00EF0000">
      <w:pPr>
        <w:pStyle w:val="normal0"/>
      </w:pPr>
    </w:p>
    <w:p w14:paraId="48AD4C43" w14:textId="77777777" w:rsidR="00EF0000" w:rsidRDefault="00EA1E5D">
      <w:pPr>
        <w:pStyle w:val="normal0"/>
      </w:pPr>
      <w:r>
        <w:rPr>
          <w:b/>
        </w:rPr>
        <w:t>Post-Publication</w:t>
      </w:r>
      <w:r>
        <w:t xml:space="preserve"> - dealing with, what to do after, any discussion of career reward or consequence whether positive or negative, effects after the fact, etc.</w:t>
      </w:r>
    </w:p>
    <w:p w14:paraId="3B539383" w14:textId="77777777" w:rsidR="00EF0000" w:rsidRDefault="00EF0000">
      <w:pPr>
        <w:pStyle w:val="normal0"/>
      </w:pPr>
    </w:p>
    <w:p w14:paraId="104ED505" w14:textId="77777777" w:rsidR="00EF0000" w:rsidRDefault="00EA1E5D">
      <w:pPr>
        <w:pStyle w:val="normal0"/>
      </w:pPr>
      <w:r>
        <w:t>The search results were categorized on the primary focus of the article which was often difficult to ascertain as many categories could overlap in any one article. Generally, the determination was made on the focus and tone of about 50% of the article. While highly subjective, the categorization was done in order to get a general sense of the literature, not to have a specific codified analysis, therefore any potential ambiguity in primary categorization is an acceptable consequence given the number of articles and the purpose of the analysis.</w:t>
      </w:r>
    </w:p>
    <w:p w14:paraId="3B4EDEC8" w14:textId="77777777" w:rsidR="00EA1E5D" w:rsidRDefault="00EA1E5D">
      <w:pPr>
        <w:pStyle w:val="normal0"/>
      </w:pPr>
    </w:p>
    <w:p w14:paraId="42EB8374" w14:textId="6B8C6E5B" w:rsidR="00EA1E5D" w:rsidRDefault="00EA1E5D">
      <w:pPr>
        <w:pStyle w:val="normal0"/>
        <w:rPr>
          <w:lang w:val="en-CA"/>
        </w:rPr>
      </w:pPr>
      <w:r>
        <w:t>The CSV file with the coded results is available online:</w:t>
      </w:r>
      <w:r w:rsidR="00A46010">
        <w:t xml:space="preserve"> </w:t>
      </w:r>
      <w:r w:rsidR="006E07A8" w:rsidRPr="006E07A8">
        <w:rPr>
          <w:lang w:val="en-CA"/>
        </w:rPr>
        <w:fldChar w:fldCharType="begin"/>
      </w:r>
      <w:r w:rsidR="006E07A8" w:rsidRPr="006E07A8">
        <w:rPr>
          <w:lang w:val="en-CA"/>
        </w:rPr>
        <w:instrText xml:space="preserve"> HYPERLINK "https://doi.org/10.5683/SP2/NORSZD" \t "_blank" </w:instrText>
      </w:r>
      <w:r w:rsidR="006E07A8" w:rsidRPr="006E07A8">
        <w:rPr>
          <w:lang w:val="en-CA"/>
        </w:rPr>
        <w:fldChar w:fldCharType="separate"/>
      </w:r>
      <w:r w:rsidR="006E07A8" w:rsidRPr="006E07A8">
        <w:rPr>
          <w:rStyle w:val="Hyperlink"/>
          <w:lang w:val="en-CA"/>
        </w:rPr>
        <w:t>https://doi.org/10.5683/SP2/NORSZD</w:t>
      </w:r>
      <w:r w:rsidR="006E07A8" w:rsidRPr="006E07A8">
        <w:fldChar w:fldCharType="end"/>
      </w:r>
    </w:p>
    <w:p w14:paraId="05727839" w14:textId="77777777" w:rsidR="00B03DCB" w:rsidRPr="00B03DCB" w:rsidRDefault="00B03DCB">
      <w:pPr>
        <w:pStyle w:val="normal0"/>
        <w:rPr>
          <w:lang w:val="en-CA"/>
        </w:rPr>
      </w:pPr>
    </w:p>
    <w:p w14:paraId="601ED573" w14:textId="77777777" w:rsidR="00EF0000" w:rsidRDefault="00EA1E5D">
      <w:pPr>
        <w:pStyle w:val="Heading2"/>
      </w:pPr>
      <w:bookmarkStart w:id="16" w:name="_g4aoby1srqal" w:colFirst="0" w:colLast="0"/>
      <w:bookmarkEnd w:id="16"/>
      <w:r>
        <w:t>Results of categorization</w:t>
      </w:r>
    </w:p>
    <w:p w14:paraId="2F3BDFC1" w14:textId="052A0590" w:rsidR="00B03DCB" w:rsidRPr="00B03DCB" w:rsidRDefault="009F24F5" w:rsidP="00B03DCB">
      <w:pPr>
        <w:pStyle w:val="normal0"/>
      </w:pPr>
      <w:r>
        <w:t>The analysis demonstrated that the vast majority of the in-scope articles</w:t>
      </w:r>
      <w:r w:rsidR="00ED2C7F">
        <w:t>, that is 92%,</w:t>
      </w:r>
      <w:r>
        <w:t xml:space="preserve"> discussed the issue from a “pre-publication” standpoint</w:t>
      </w:r>
      <w:r w:rsidR="00ED2C7F">
        <w:t xml:space="preserve"> (Quantifying, Educating, Informing, Listing, and Contextualizing) </w:t>
      </w:r>
      <w:r>
        <w:t>versus a</w:t>
      </w:r>
      <w:r w:rsidR="00ED2C7F">
        <w:t xml:space="preserve"> “post-publication” standpoint at 8%.</w:t>
      </w:r>
      <w:r w:rsidR="00B03DCB">
        <w:t xml:space="preserve"> Most articles were categorized as  Informing at 48%, followed by Quantifying at 17%, Contextualizing and Educating at 11% and listing at 5%. An overview of some of the themes in the post-publication category can be found in the text of a talk delivered at the 2019 PKP International Scholarly Publishing Conference </w:t>
      </w:r>
      <w:hyperlink r:id="rId7" w:history="1">
        <w:r w:rsidR="00B03DCB">
          <w:rPr>
            <w:rStyle w:val="Hyperlink"/>
            <w:rFonts w:eastAsia="Times New Roman" w:cs="Times New Roman"/>
          </w:rPr>
          <w:t>https://conference.pkp.sfu.ca/index.php/pkp2019/pkp2019/paper/view/737</w:t>
        </w:r>
      </w:hyperlink>
      <w:r w:rsidR="00B03DCB">
        <w:rPr>
          <w:rFonts w:eastAsia="Times New Roman" w:cs="Times New Roman"/>
        </w:rPr>
        <w:t xml:space="preserve">. </w:t>
      </w:r>
    </w:p>
    <w:p w14:paraId="2703AD9B" w14:textId="77777777" w:rsidR="00B03DCB" w:rsidRDefault="00B03DCB" w:rsidP="00B03DCB">
      <w:pPr>
        <w:rPr>
          <w:rFonts w:eastAsia="Times New Roman" w:cs="Times New Roman"/>
        </w:rPr>
      </w:pPr>
    </w:p>
    <w:p w14:paraId="55F9CE6B" w14:textId="35D3AE0D" w:rsidR="00B03DCB" w:rsidRDefault="00B03DCB" w:rsidP="009F24F5">
      <w:pPr>
        <w:pStyle w:val="normal0"/>
      </w:pPr>
    </w:p>
    <w:p w14:paraId="65640305" w14:textId="1EE95205" w:rsidR="00493C22" w:rsidRDefault="00493C22" w:rsidP="00ED2C7F">
      <w:pPr>
        <w:pStyle w:val="normal0"/>
        <w:jc w:val="center"/>
      </w:pPr>
      <w:r w:rsidRPr="00493C22">
        <w:rPr>
          <w:noProof/>
          <w:lang w:val="en-US"/>
        </w:rPr>
        <w:drawing>
          <wp:inline distT="0" distB="0" distL="0" distR="0" wp14:anchorId="77FC5DA8" wp14:editId="074C3631">
            <wp:extent cx="5041900" cy="21717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7B0CC18" w14:textId="77777777" w:rsidR="00493C22" w:rsidRDefault="00493C22" w:rsidP="009F24F5">
      <w:pPr>
        <w:pStyle w:val="normal0"/>
      </w:pPr>
    </w:p>
    <w:p w14:paraId="14927CCE" w14:textId="77777777" w:rsidR="00493C22" w:rsidRDefault="00493C22" w:rsidP="009F24F5">
      <w:pPr>
        <w:pStyle w:val="normal0"/>
      </w:pPr>
    </w:p>
    <w:p w14:paraId="52CA9445" w14:textId="543852F6" w:rsidR="00493C22" w:rsidRDefault="00ED2C7F" w:rsidP="009F24F5">
      <w:pPr>
        <w:pStyle w:val="normal0"/>
        <w:rPr>
          <w:sz w:val="28"/>
          <w:szCs w:val="28"/>
        </w:rPr>
      </w:pPr>
      <w:r w:rsidRPr="00B03DCB">
        <w:rPr>
          <w:sz w:val="28"/>
          <w:szCs w:val="28"/>
        </w:rPr>
        <w:t>Complete Results Breakdown per Category by Number and Percentage</w:t>
      </w:r>
    </w:p>
    <w:p w14:paraId="0F65B708" w14:textId="77777777" w:rsidR="00B03DCB" w:rsidRPr="00B03DCB" w:rsidRDefault="00B03DCB" w:rsidP="009F24F5">
      <w:pPr>
        <w:pStyle w:val="normal0"/>
        <w:rPr>
          <w:sz w:val="28"/>
          <w:szCs w:val="28"/>
        </w:rPr>
      </w:pPr>
      <w:bookmarkStart w:id="17" w:name="_GoBack"/>
      <w:bookmarkEnd w:id="17"/>
    </w:p>
    <w:tbl>
      <w:tblPr>
        <w:tblStyle w:val="a"/>
        <w:tblW w:w="7106" w:type="dxa"/>
        <w:jc w:val="center"/>
        <w:tblInd w:w="-8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17"/>
        <w:gridCol w:w="2604"/>
        <w:gridCol w:w="2085"/>
      </w:tblGrid>
      <w:tr w:rsidR="00EF0000" w:rsidRPr="00B03DCB" w14:paraId="3FFD4DCB" w14:textId="77777777" w:rsidTr="00B03DCB">
        <w:trPr>
          <w:jc w:val="center"/>
        </w:trPr>
        <w:tc>
          <w:tcPr>
            <w:tcW w:w="2417" w:type="dxa"/>
            <w:shd w:val="clear" w:color="auto" w:fill="auto"/>
            <w:tcMar>
              <w:top w:w="100" w:type="dxa"/>
              <w:left w:w="100" w:type="dxa"/>
              <w:bottom w:w="100" w:type="dxa"/>
              <w:right w:w="100" w:type="dxa"/>
            </w:tcMar>
          </w:tcPr>
          <w:p w14:paraId="19EF9497" w14:textId="77777777" w:rsidR="00EF0000" w:rsidRPr="00B03DCB" w:rsidRDefault="00EA1E5D">
            <w:pPr>
              <w:pStyle w:val="normal0"/>
              <w:rPr>
                <w:sz w:val="24"/>
                <w:szCs w:val="24"/>
              </w:rPr>
            </w:pPr>
            <w:r w:rsidRPr="00B03DCB">
              <w:rPr>
                <w:sz w:val="24"/>
                <w:szCs w:val="24"/>
              </w:rPr>
              <w:t>Category</w:t>
            </w:r>
            <w:r w:rsidRPr="00B03DCB">
              <w:rPr>
                <w:sz w:val="24"/>
                <w:szCs w:val="24"/>
              </w:rPr>
              <w:tab/>
            </w:r>
          </w:p>
        </w:tc>
        <w:tc>
          <w:tcPr>
            <w:tcW w:w="2604" w:type="dxa"/>
            <w:shd w:val="clear" w:color="auto" w:fill="auto"/>
            <w:tcMar>
              <w:top w:w="100" w:type="dxa"/>
              <w:left w:w="100" w:type="dxa"/>
              <w:bottom w:w="100" w:type="dxa"/>
              <w:right w:w="100" w:type="dxa"/>
            </w:tcMar>
          </w:tcPr>
          <w:p w14:paraId="17242958" w14:textId="77777777" w:rsidR="00EF0000" w:rsidRPr="00B03DCB" w:rsidRDefault="00EA1E5D">
            <w:pPr>
              <w:pStyle w:val="normal0"/>
              <w:jc w:val="right"/>
              <w:rPr>
                <w:sz w:val="24"/>
                <w:szCs w:val="24"/>
              </w:rPr>
            </w:pPr>
            <w:r w:rsidRPr="00B03DCB">
              <w:rPr>
                <w:sz w:val="24"/>
                <w:szCs w:val="24"/>
              </w:rPr>
              <w:t>Number of articles</w:t>
            </w:r>
            <w:r w:rsidRPr="00B03DCB">
              <w:rPr>
                <w:sz w:val="24"/>
                <w:szCs w:val="24"/>
                <w:vertAlign w:val="superscript"/>
              </w:rPr>
              <w:footnoteReference w:id="3"/>
            </w:r>
          </w:p>
        </w:tc>
        <w:tc>
          <w:tcPr>
            <w:tcW w:w="2085" w:type="dxa"/>
            <w:shd w:val="clear" w:color="auto" w:fill="auto"/>
            <w:tcMar>
              <w:top w:w="100" w:type="dxa"/>
              <w:left w:w="100" w:type="dxa"/>
              <w:bottom w:w="100" w:type="dxa"/>
              <w:right w:w="100" w:type="dxa"/>
            </w:tcMar>
          </w:tcPr>
          <w:p w14:paraId="6152C931" w14:textId="77777777" w:rsidR="00EF0000" w:rsidRPr="00B03DCB" w:rsidRDefault="00EA1E5D">
            <w:pPr>
              <w:pStyle w:val="normal0"/>
              <w:jc w:val="right"/>
              <w:rPr>
                <w:sz w:val="24"/>
                <w:szCs w:val="24"/>
              </w:rPr>
            </w:pPr>
            <w:r w:rsidRPr="00B03DCB">
              <w:rPr>
                <w:sz w:val="24"/>
                <w:szCs w:val="24"/>
              </w:rPr>
              <w:t>Percentage</w:t>
            </w:r>
          </w:p>
        </w:tc>
      </w:tr>
      <w:tr w:rsidR="00EF0000" w14:paraId="45B39B59" w14:textId="77777777" w:rsidTr="00B03DCB">
        <w:trPr>
          <w:jc w:val="center"/>
        </w:trPr>
        <w:tc>
          <w:tcPr>
            <w:tcW w:w="2417" w:type="dxa"/>
            <w:shd w:val="clear" w:color="auto" w:fill="auto"/>
            <w:tcMar>
              <w:top w:w="100" w:type="dxa"/>
              <w:left w:w="100" w:type="dxa"/>
              <w:bottom w:w="100" w:type="dxa"/>
              <w:right w:w="100" w:type="dxa"/>
            </w:tcMar>
          </w:tcPr>
          <w:p w14:paraId="739E3B49" w14:textId="77777777" w:rsidR="00EF0000" w:rsidRDefault="00EA1E5D">
            <w:pPr>
              <w:pStyle w:val="normal0"/>
              <w:rPr>
                <w:sz w:val="20"/>
                <w:szCs w:val="20"/>
              </w:rPr>
            </w:pPr>
            <w:r>
              <w:rPr>
                <w:sz w:val="20"/>
                <w:szCs w:val="20"/>
              </w:rPr>
              <w:t>Quantifying</w:t>
            </w:r>
            <w:r>
              <w:rPr>
                <w:sz w:val="20"/>
                <w:szCs w:val="20"/>
              </w:rPr>
              <w:tab/>
            </w:r>
          </w:p>
        </w:tc>
        <w:tc>
          <w:tcPr>
            <w:tcW w:w="2604" w:type="dxa"/>
            <w:shd w:val="clear" w:color="auto" w:fill="auto"/>
            <w:tcMar>
              <w:top w:w="100" w:type="dxa"/>
              <w:left w:w="100" w:type="dxa"/>
              <w:bottom w:w="100" w:type="dxa"/>
              <w:right w:w="100" w:type="dxa"/>
            </w:tcMar>
          </w:tcPr>
          <w:p w14:paraId="185557DB" w14:textId="77777777" w:rsidR="00EF0000" w:rsidRDefault="00EA1E5D">
            <w:pPr>
              <w:pStyle w:val="normal0"/>
              <w:jc w:val="right"/>
              <w:rPr>
                <w:sz w:val="20"/>
                <w:szCs w:val="20"/>
              </w:rPr>
            </w:pPr>
            <w:r>
              <w:rPr>
                <w:sz w:val="20"/>
                <w:szCs w:val="20"/>
              </w:rPr>
              <w:t>88</w:t>
            </w:r>
          </w:p>
        </w:tc>
        <w:tc>
          <w:tcPr>
            <w:tcW w:w="2085" w:type="dxa"/>
            <w:shd w:val="clear" w:color="auto" w:fill="auto"/>
            <w:tcMar>
              <w:top w:w="100" w:type="dxa"/>
              <w:left w:w="100" w:type="dxa"/>
              <w:bottom w:w="100" w:type="dxa"/>
              <w:right w:w="100" w:type="dxa"/>
            </w:tcMar>
          </w:tcPr>
          <w:p w14:paraId="1D183B9C" w14:textId="77777777" w:rsidR="00EF0000" w:rsidRDefault="00EA1E5D">
            <w:pPr>
              <w:pStyle w:val="normal0"/>
              <w:jc w:val="right"/>
              <w:rPr>
                <w:sz w:val="20"/>
                <w:szCs w:val="20"/>
              </w:rPr>
            </w:pPr>
            <w:r>
              <w:rPr>
                <w:sz w:val="20"/>
                <w:szCs w:val="20"/>
              </w:rPr>
              <w:t>17%</w:t>
            </w:r>
          </w:p>
        </w:tc>
      </w:tr>
      <w:tr w:rsidR="00EF0000" w14:paraId="265666E9" w14:textId="77777777" w:rsidTr="00B03DCB">
        <w:trPr>
          <w:jc w:val="center"/>
        </w:trPr>
        <w:tc>
          <w:tcPr>
            <w:tcW w:w="2417" w:type="dxa"/>
            <w:shd w:val="clear" w:color="auto" w:fill="auto"/>
            <w:tcMar>
              <w:top w:w="100" w:type="dxa"/>
              <w:left w:w="100" w:type="dxa"/>
              <w:bottom w:w="100" w:type="dxa"/>
              <w:right w:w="100" w:type="dxa"/>
            </w:tcMar>
          </w:tcPr>
          <w:p w14:paraId="165B90B5" w14:textId="77777777" w:rsidR="00EF0000" w:rsidRDefault="00EA1E5D">
            <w:pPr>
              <w:pStyle w:val="normal0"/>
              <w:rPr>
                <w:sz w:val="20"/>
                <w:szCs w:val="20"/>
              </w:rPr>
            </w:pPr>
            <w:r>
              <w:rPr>
                <w:sz w:val="20"/>
                <w:szCs w:val="20"/>
              </w:rPr>
              <w:t>Educating</w:t>
            </w:r>
            <w:r>
              <w:rPr>
                <w:sz w:val="20"/>
                <w:szCs w:val="20"/>
              </w:rPr>
              <w:tab/>
            </w:r>
          </w:p>
        </w:tc>
        <w:tc>
          <w:tcPr>
            <w:tcW w:w="2604" w:type="dxa"/>
            <w:shd w:val="clear" w:color="auto" w:fill="auto"/>
            <w:tcMar>
              <w:top w:w="100" w:type="dxa"/>
              <w:left w:w="100" w:type="dxa"/>
              <w:bottom w:w="100" w:type="dxa"/>
              <w:right w:w="100" w:type="dxa"/>
            </w:tcMar>
          </w:tcPr>
          <w:p w14:paraId="51CB2E65" w14:textId="77777777" w:rsidR="00EF0000" w:rsidRDefault="00EA1E5D">
            <w:pPr>
              <w:pStyle w:val="normal0"/>
              <w:jc w:val="right"/>
              <w:rPr>
                <w:sz w:val="20"/>
                <w:szCs w:val="20"/>
              </w:rPr>
            </w:pPr>
            <w:r>
              <w:rPr>
                <w:sz w:val="20"/>
                <w:szCs w:val="20"/>
              </w:rPr>
              <w:t>55</w:t>
            </w:r>
          </w:p>
        </w:tc>
        <w:tc>
          <w:tcPr>
            <w:tcW w:w="2085" w:type="dxa"/>
            <w:shd w:val="clear" w:color="auto" w:fill="auto"/>
            <w:tcMar>
              <w:top w:w="100" w:type="dxa"/>
              <w:left w:w="100" w:type="dxa"/>
              <w:bottom w:w="100" w:type="dxa"/>
              <w:right w:w="100" w:type="dxa"/>
            </w:tcMar>
          </w:tcPr>
          <w:p w14:paraId="7ABFACD5" w14:textId="77777777" w:rsidR="00EF0000" w:rsidRDefault="00EA1E5D">
            <w:pPr>
              <w:pStyle w:val="normal0"/>
              <w:jc w:val="right"/>
              <w:rPr>
                <w:sz w:val="20"/>
                <w:szCs w:val="20"/>
              </w:rPr>
            </w:pPr>
            <w:r>
              <w:rPr>
                <w:sz w:val="20"/>
                <w:szCs w:val="20"/>
              </w:rPr>
              <w:t>11%</w:t>
            </w:r>
          </w:p>
        </w:tc>
      </w:tr>
      <w:tr w:rsidR="00EF0000" w14:paraId="309CE06E" w14:textId="77777777" w:rsidTr="00B03DCB">
        <w:trPr>
          <w:jc w:val="center"/>
        </w:trPr>
        <w:tc>
          <w:tcPr>
            <w:tcW w:w="2417" w:type="dxa"/>
            <w:shd w:val="clear" w:color="auto" w:fill="auto"/>
            <w:tcMar>
              <w:top w:w="100" w:type="dxa"/>
              <w:left w:w="100" w:type="dxa"/>
              <w:bottom w:w="100" w:type="dxa"/>
              <w:right w:w="100" w:type="dxa"/>
            </w:tcMar>
          </w:tcPr>
          <w:p w14:paraId="5BB6B21D" w14:textId="77777777" w:rsidR="00EF0000" w:rsidRDefault="00EA1E5D">
            <w:pPr>
              <w:pStyle w:val="normal0"/>
              <w:rPr>
                <w:sz w:val="20"/>
                <w:szCs w:val="20"/>
              </w:rPr>
            </w:pPr>
            <w:r>
              <w:rPr>
                <w:sz w:val="20"/>
                <w:szCs w:val="20"/>
              </w:rPr>
              <w:t>Informing</w:t>
            </w:r>
            <w:r>
              <w:rPr>
                <w:sz w:val="20"/>
                <w:szCs w:val="20"/>
              </w:rPr>
              <w:tab/>
            </w:r>
          </w:p>
        </w:tc>
        <w:tc>
          <w:tcPr>
            <w:tcW w:w="2604" w:type="dxa"/>
            <w:shd w:val="clear" w:color="auto" w:fill="auto"/>
            <w:tcMar>
              <w:top w:w="100" w:type="dxa"/>
              <w:left w:w="100" w:type="dxa"/>
              <w:bottom w:w="100" w:type="dxa"/>
              <w:right w:w="100" w:type="dxa"/>
            </w:tcMar>
          </w:tcPr>
          <w:p w14:paraId="0ADBE897" w14:textId="77777777" w:rsidR="00EF0000" w:rsidRDefault="00EA1E5D">
            <w:pPr>
              <w:pStyle w:val="normal0"/>
              <w:jc w:val="right"/>
              <w:rPr>
                <w:sz w:val="20"/>
                <w:szCs w:val="20"/>
              </w:rPr>
            </w:pPr>
            <w:r>
              <w:rPr>
                <w:sz w:val="20"/>
                <w:szCs w:val="20"/>
              </w:rPr>
              <w:t>248</w:t>
            </w:r>
          </w:p>
        </w:tc>
        <w:tc>
          <w:tcPr>
            <w:tcW w:w="2085" w:type="dxa"/>
            <w:shd w:val="clear" w:color="auto" w:fill="auto"/>
            <w:tcMar>
              <w:top w:w="100" w:type="dxa"/>
              <w:left w:w="100" w:type="dxa"/>
              <w:bottom w:w="100" w:type="dxa"/>
              <w:right w:w="100" w:type="dxa"/>
            </w:tcMar>
          </w:tcPr>
          <w:p w14:paraId="3176AB78" w14:textId="77777777" w:rsidR="00EF0000" w:rsidRDefault="00EA1E5D">
            <w:pPr>
              <w:pStyle w:val="normal0"/>
              <w:jc w:val="right"/>
              <w:rPr>
                <w:sz w:val="20"/>
                <w:szCs w:val="20"/>
              </w:rPr>
            </w:pPr>
            <w:r>
              <w:rPr>
                <w:sz w:val="20"/>
                <w:szCs w:val="20"/>
              </w:rPr>
              <w:t>48%</w:t>
            </w:r>
          </w:p>
        </w:tc>
      </w:tr>
      <w:tr w:rsidR="00EF0000" w14:paraId="3A6FE6CC" w14:textId="77777777" w:rsidTr="00B03DCB">
        <w:trPr>
          <w:jc w:val="center"/>
        </w:trPr>
        <w:tc>
          <w:tcPr>
            <w:tcW w:w="2417" w:type="dxa"/>
            <w:shd w:val="clear" w:color="auto" w:fill="auto"/>
            <w:tcMar>
              <w:top w:w="100" w:type="dxa"/>
              <w:left w:w="100" w:type="dxa"/>
              <w:bottom w:w="100" w:type="dxa"/>
              <w:right w:w="100" w:type="dxa"/>
            </w:tcMar>
          </w:tcPr>
          <w:p w14:paraId="0D5A9A88" w14:textId="77777777" w:rsidR="00EF0000" w:rsidRDefault="00EA1E5D">
            <w:pPr>
              <w:pStyle w:val="normal0"/>
              <w:rPr>
                <w:sz w:val="20"/>
                <w:szCs w:val="20"/>
              </w:rPr>
            </w:pPr>
            <w:r>
              <w:rPr>
                <w:sz w:val="20"/>
                <w:szCs w:val="20"/>
              </w:rPr>
              <w:t>Listing</w:t>
            </w:r>
            <w:r>
              <w:rPr>
                <w:sz w:val="20"/>
                <w:szCs w:val="20"/>
              </w:rPr>
              <w:tab/>
            </w:r>
          </w:p>
        </w:tc>
        <w:tc>
          <w:tcPr>
            <w:tcW w:w="2604" w:type="dxa"/>
            <w:shd w:val="clear" w:color="auto" w:fill="auto"/>
            <w:tcMar>
              <w:top w:w="100" w:type="dxa"/>
              <w:left w:w="100" w:type="dxa"/>
              <w:bottom w:w="100" w:type="dxa"/>
              <w:right w:w="100" w:type="dxa"/>
            </w:tcMar>
          </w:tcPr>
          <w:p w14:paraId="67E6FA38" w14:textId="77777777" w:rsidR="00EF0000" w:rsidRDefault="00EA1E5D">
            <w:pPr>
              <w:pStyle w:val="normal0"/>
              <w:jc w:val="right"/>
              <w:rPr>
                <w:sz w:val="20"/>
                <w:szCs w:val="20"/>
              </w:rPr>
            </w:pPr>
            <w:r>
              <w:rPr>
                <w:sz w:val="20"/>
                <w:szCs w:val="20"/>
              </w:rPr>
              <w:t>27</w:t>
            </w:r>
          </w:p>
        </w:tc>
        <w:tc>
          <w:tcPr>
            <w:tcW w:w="2085" w:type="dxa"/>
            <w:shd w:val="clear" w:color="auto" w:fill="auto"/>
            <w:tcMar>
              <w:top w:w="100" w:type="dxa"/>
              <w:left w:w="100" w:type="dxa"/>
              <w:bottom w:w="100" w:type="dxa"/>
              <w:right w:w="100" w:type="dxa"/>
            </w:tcMar>
          </w:tcPr>
          <w:p w14:paraId="231A13A2" w14:textId="77777777" w:rsidR="00EF0000" w:rsidRDefault="00EA1E5D">
            <w:pPr>
              <w:pStyle w:val="normal0"/>
              <w:jc w:val="right"/>
              <w:rPr>
                <w:sz w:val="20"/>
                <w:szCs w:val="20"/>
              </w:rPr>
            </w:pPr>
            <w:r>
              <w:rPr>
                <w:sz w:val="20"/>
                <w:szCs w:val="20"/>
              </w:rPr>
              <w:t>5%</w:t>
            </w:r>
          </w:p>
        </w:tc>
      </w:tr>
      <w:tr w:rsidR="00EF0000" w14:paraId="71B739F4" w14:textId="77777777" w:rsidTr="00B03DCB">
        <w:trPr>
          <w:jc w:val="center"/>
        </w:trPr>
        <w:tc>
          <w:tcPr>
            <w:tcW w:w="2417" w:type="dxa"/>
            <w:shd w:val="clear" w:color="auto" w:fill="auto"/>
            <w:tcMar>
              <w:top w:w="100" w:type="dxa"/>
              <w:left w:w="100" w:type="dxa"/>
              <w:bottom w:w="100" w:type="dxa"/>
              <w:right w:w="100" w:type="dxa"/>
            </w:tcMar>
          </w:tcPr>
          <w:p w14:paraId="71F5FBBE" w14:textId="77777777" w:rsidR="00EF0000" w:rsidRDefault="00EA1E5D">
            <w:pPr>
              <w:pStyle w:val="normal0"/>
              <w:rPr>
                <w:sz w:val="20"/>
                <w:szCs w:val="20"/>
              </w:rPr>
            </w:pPr>
            <w:r>
              <w:rPr>
                <w:sz w:val="20"/>
                <w:szCs w:val="20"/>
              </w:rPr>
              <w:t>Contextualizing</w:t>
            </w:r>
          </w:p>
        </w:tc>
        <w:tc>
          <w:tcPr>
            <w:tcW w:w="2604" w:type="dxa"/>
            <w:shd w:val="clear" w:color="auto" w:fill="auto"/>
            <w:tcMar>
              <w:top w:w="100" w:type="dxa"/>
              <w:left w:w="100" w:type="dxa"/>
              <w:bottom w:w="100" w:type="dxa"/>
              <w:right w:w="100" w:type="dxa"/>
            </w:tcMar>
          </w:tcPr>
          <w:p w14:paraId="04C7ADD9" w14:textId="77777777" w:rsidR="00EF0000" w:rsidRDefault="00EA1E5D">
            <w:pPr>
              <w:pStyle w:val="normal0"/>
              <w:jc w:val="right"/>
              <w:rPr>
                <w:sz w:val="20"/>
                <w:szCs w:val="20"/>
              </w:rPr>
            </w:pPr>
            <w:r>
              <w:rPr>
                <w:sz w:val="20"/>
                <w:szCs w:val="20"/>
              </w:rPr>
              <w:t>58</w:t>
            </w:r>
          </w:p>
        </w:tc>
        <w:tc>
          <w:tcPr>
            <w:tcW w:w="2085" w:type="dxa"/>
            <w:shd w:val="clear" w:color="auto" w:fill="auto"/>
            <w:tcMar>
              <w:top w:w="100" w:type="dxa"/>
              <w:left w:w="100" w:type="dxa"/>
              <w:bottom w:w="100" w:type="dxa"/>
              <w:right w:w="100" w:type="dxa"/>
            </w:tcMar>
          </w:tcPr>
          <w:p w14:paraId="7B652130" w14:textId="77777777" w:rsidR="00EF0000" w:rsidRDefault="00EA1E5D">
            <w:pPr>
              <w:pStyle w:val="normal0"/>
              <w:jc w:val="right"/>
              <w:rPr>
                <w:sz w:val="20"/>
                <w:szCs w:val="20"/>
              </w:rPr>
            </w:pPr>
            <w:r>
              <w:rPr>
                <w:sz w:val="20"/>
                <w:szCs w:val="20"/>
              </w:rPr>
              <w:t>11%</w:t>
            </w:r>
          </w:p>
        </w:tc>
      </w:tr>
      <w:tr w:rsidR="00EF0000" w14:paraId="0EE3719B" w14:textId="77777777" w:rsidTr="00B03DCB">
        <w:trPr>
          <w:jc w:val="center"/>
        </w:trPr>
        <w:tc>
          <w:tcPr>
            <w:tcW w:w="2417" w:type="dxa"/>
            <w:shd w:val="clear" w:color="auto" w:fill="auto"/>
            <w:tcMar>
              <w:top w:w="100" w:type="dxa"/>
              <w:left w:w="100" w:type="dxa"/>
              <w:bottom w:w="100" w:type="dxa"/>
              <w:right w:w="100" w:type="dxa"/>
            </w:tcMar>
          </w:tcPr>
          <w:p w14:paraId="1D3727E0" w14:textId="77777777" w:rsidR="00EF0000" w:rsidRDefault="00EA1E5D">
            <w:pPr>
              <w:pStyle w:val="normal0"/>
              <w:rPr>
                <w:sz w:val="20"/>
                <w:szCs w:val="20"/>
              </w:rPr>
            </w:pPr>
            <w:r>
              <w:rPr>
                <w:sz w:val="20"/>
                <w:szCs w:val="20"/>
              </w:rPr>
              <w:t>Post-publication</w:t>
            </w:r>
          </w:p>
        </w:tc>
        <w:tc>
          <w:tcPr>
            <w:tcW w:w="2604" w:type="dxa"/>
            <w:shd w:val="clear" w:color="auto" w:fill="auto"/>
            <w:tcMar>
              <w:top w:w="100" w:type="dxa"/>
              <w:left w:w="100" w:type="dxa"/>
              <w:bottom w:w="100" w:type="dxa"/>
              <w:right w:w="100" w:type="dxa"/>
            </w:tcMar>
          </w:tcPr>
          <w:p w14:paraId="680174F2" w14:textId="4F20CA3E" w:rsidR="00EF0000" w:rsidRDefault="00EA1E5D">
            <w:pPr>
              <w:pStyle w:val="normal0"/>
              <w:jc w:val="right"/>
              <w:rPr>
                <w:sz w:val="20"/>
                <w:szCs w:val="20"/>
              </w:rPr>
            </w:pPr>
            <w:r>
              <w:rPr>
                <w:sz w:val="20"/>
                <w:szCs w:val="20"/>
              </w:rPr>
              <w:t>4</w:t>
            </w:r>
            <w:r w:rsidR="00A5217B">
              <w:rPr>
                <w:sz w:val="20"/>
                <w:szCs w:val="20"/>
              </w:rPr>
              <w:t>0</w:t>
            </w:r>
          </w:p>
        </w:tc>
        <w:tc>
          <w:tcPr>
            <w:tcW w:w="2085" w:type="dxa"/>
            <w:shd w:val="clear" w:color="auto" w:fill="auto"/>
            <w:tcMar>
              <w:top w:w="100" w:type="dxa"/>
              <w:left w:w="100" w:type="dxa"/>
              <w:bottom w:w="100" w:type="dxa"/>
              <w:right w:w="100" w:type="dxa"/>
            </w:tcMar>
          </w:tcPr>
          <w:p w14:paraId="1AF04713" w14:textId="77777777" w:rsidR="00EF0000" w:rsidRDefault="00EA1E5D">
            <w:pPr>
              <w:pStyle w:val="normal0"/>
              <w:jc w:val="right"/>
              <w:rPr>
                <w:sz w:val="20"/>
                <w:szCs w:val="20"/>
              </w:rPr>
            </w:pPr>
            <w:r>
              <w:rPr>
                <w:sz w:val="20"/>
                <w:szCs w:val="20"/>
              </w:rPr>
              <w:t>8%</w:t>
            </w:r>
          </w:p>
        </w:tc>
      </w:tr>
      <w:tr w:rsidR="00EF0000" w14:paraId="049D1F0B" w14:textId="77777777" w:rsidTr="00B03DCB">
        <w:trPr>
          <w:jc w:val="center"/>
        </w:trPr>
        <w:tc>
          <w:tcPr>
            <w:tcW w:w="2417" w:type="dxa"/>
            <w:shd w:val="clear" w:color="auto" w:fill="auto"/>
            <w:tcMar>
              <w:top w:w="100" w:type="dxa"/>
              <w:left w:w="100" w:type="dxa"/>
              <w:bottom w:w="100" w:type="dxa"/>
              <w:right w:w="100" w:type="dxa"/>
            </w:tcMar>
          </w:tcPr>
          <w:p w14:paraId="468A08A5" w14:textId="77777777" w:rsidR="00EF0000" w:rsidRPr="00B03DCB" w:rsidRDefault="00EA1E5D">
            <w:pPr>
              <w:pStyle w:val="normal0"/>
              <w:rPr>
                <w:b/>
                <w:sz w:val="20"/>
                <w:szCs w:val="20"/>
              </w:rPr>
            </w:pPr>
            <w:r w:rsidRPr="00B03DCB">
              <w:rPr>
                <w:b/>
                <w:sz w:val="20"/>
                <w:szCs w:val="20"/>
              </w:rPr>
              <w:t>Total</w:t>
            </w:r>
          </w:p>
        </w:tc>
        <w:tc>
          <w:tcPr>
            <w:tcW w:w="2604" w:type="dxa"/>
            <w:shd w:val="clear" w:color="auto" w:fill="auto"/>
            <w:tcMar>
              <w:top w:w="100" w:type="dxa"/>
              <w:left w:w="100" w:type="dxa"/>
              <w:bottom w:w="100" w:type="dxa"/>
              <w:right w:w="100" w:type="dxa"/>
            </w:tcMar>
          </w:tcPr>
          <w:p w14:paraId="387A8AC4" w14:textId="77777777" w:rsidR="00EF0000" w:rsidRPr="00B03DCB" w:rsidRDefault="00EA1E5D">
            <w:pPr>
              <w:pStyle w:val="normal0"/>
              <w:jc w:val="right"/>
              <w:rPr>
                <w:b/>
                <w:sz w:val="20"/>
                <w:szCs w:val="20"/>
              </w:rPr>
            </w:pPr>
            <w:r w:rsidRPr="00B03DCB">
              <w:rPr>
                <w:b/>
                <w:sz w:val="20"/>
                <w:szCs w:val="20"/>
              </w:rPr>
              <w:t>516</w:t>
            </w:r>
          </w:p>
        </w:tc>
        <w:tc>
          <w:tcPr>
            <w:tcW w:w="2085" w:type="dxa"/>
            <w:shd w:val="clear" w:color="auto" w:fill="auto"/>
            <w:tcMar>
              <w:top w:w="100" w:type="dxa"/>
              <w:left w:w="100" w:type="dxa"/>
              <w:bottom w:w="100" w:type="dxa"/>
              <w:right w:w="100" w:type="dxa"/>
            </w:tcMar>
          </w:tcPr>
          <w:p w14:paraId="502A5F76" w14:textId="77777777" w:rsidR="00EF0000" w:rsidRPr="00B03DCB" w:rsidRDefault="00EA1E5D">
            <w:pPr>
              <w:pStyle w:val="normal0"/>
              <w:jc w:val="right"/>
              <w:rPr>
                <w:b/>
                <w:sz w:val="20"/>
                <w:szCs w:val="20"/>
              </w:rPr>
            </w:pPr>
            <w:r w:rsidRPr="00B03DCB">
              <w:rPr>
                <w:b/>
                <w:sz w:val="20"/>
                <w:szCs w:val="20"/>
              </w:rPr>
              <w:t>100%</w:t>
            </w:r>
          </w:p>
        </w:tc>
      </w:tr>
    </w:tbl>
    <w:p w14:paraId="1ABC8F10" w14:textId="77777777" w:rsidR="00EF0000" w:rsidRDefault="00EF0000">
      <w:pPr>
        <w:pStyle w:val="normal0"/>
      </w:pPr>
    </w:p>
    <w:p w14:paraId="4EC916C7" w14:textId="77777777" w:rsidR="00EF0000" w:rsidRDefault="00EF0000">
      <w:pPr>
        <w:pStyle w:val="normal0"/>
      </w:pPr>
    </w:p>
    <w:p w14:paraId="137BB274" w14:textId="77777777" w:rsidR="00EA1E5D" w:rsidRDefault="00EA1E5D">
      <w:pPr>
        <w:pStyle w:val="normal0"/>
      </w:pPr>
    </w:p>
    <w:p w14:paraId="0B79BDAC" w14:textId="77777777" w:rsidR="00EF0000" w:rsidRDefault="00EF0000">
      <w:pPr>
        <w:pStyle w:val="normal0"/>
      </w:pPr>
    </w:p>
    <w:p w14:paraId="586E256E" w14:textId="77777777" w:rsidR="00EF0000" w:rsidRDefault="00EF0000">
      <w:pPr>
        <w:pStyle w:val="normal0"/>
      </w:pPr>
    </w:p>
    <w:p w14:paraId="2EBB446A" w14:textId="3AD07E5C" w:rsidR="00EF0000" w:rsidRDefault="00EF0000">
      <w:pPr>
        <w:pStyle w:val="normal0"/>
      </w:pPr>
    </w:p>
    <w:sectPr w:rsidR="00EF0000">
      <w:footerReference w:type="even" r:id="rId9"/>
      <w:footerReference w:type="default" r:id="rId1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C8400D" w14:textId="77777777" w:rsidR="00A5217B" w:rsidRDefault="00A5217B">
      <w:pPr>
        <w:spacing w:line="240" w:lineRule="auto"/>
      </w:pPr>
      <w:r>
        <w:separator/>
      </w:r>
    </w:p>
  </w:endnote>
  <w:endnote w:type="continuationSeparator" w:id="0">
    <w:p w14:paraId="5F0ED27B" w14:textId="77777777" w:rsidR="00A5217B" w:rsidRDefault="00A5217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6A7E60" w14:textId="77777777" w:rsidR="00A5217B" w:rsidRDefault="00A5217B" w:rsidP="006E07A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97F04E3" w14:textId="77777777" w:rsidR="00A5217B" w:rsidRDefault="00A5217B" w:rsidP="00A46010">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11C862" w14:textId="77777777" w:rsidR="00A5217B" w:rsidRDefault="00A5217B" w:rsidP="006E07A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B4C5B">
      <w:rPr>
        <w:rStyle w:val="PageNumber"/>
        <w:noProof/>
      </w:rPr>
      <w:t>1</w:t>
    </w:r>
    <w:r>
      <w:rPr>
        <w:rStyle w:val="PageNumber"/>
      </w:rPr>
      <w:fldChar w:fldCharType="end"/>
    </w:r>
  </w:p>
  <w:p w14:paraId="00415735" w14:textId="77777777" w:rsidR="00A5217B" w:rsidRDefault="00A5217B" w:rsidP="00A46010">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3C7118" w14:textId="77777777" w:rsidR="00A5217B" w:rsidRDefault="00A5217B">
      <w:pPr>
        <w:spacing w:line="240" w:lineRule="auto"/>
      </w:pPr>
      <w:r>
        <w:separator/>
      </w:r>
    </w:p>
  </w:footnote>
  <w:footnote w:type="continuationSeparator" w:id="0">
    <w:p w14:paraId="2B619AA9" w14:textId="77777777" w:rsidR="00A5217B" w:rsidRDefault="00A5217B">
      <w:pPr>
        <w:spacing w:line="240" w:lineRule="auto"/>
      </w:pPr>
      <w:r>
        <w:continuationSeparator/>
      </w:r>
    </w:p>
  </w:footnote>
  <w:footnote w:id="1">
    <w:p w14:paraId="3EBAD947" w14:textId="77777777" w:rsidR="00A5217B" w:rsidRDefault="00A5217B">
      <w:pPr>
        <w:pStyle w:val="normal0"/>
        <w:spacing w:line="240" w:lineRule="auto"/>
        <w:rPr>
          <w:sz w:val="20"/>
          <w:szCs w:val="20"/>
        </w:rPr>
      </w:pPr>
      <w:r>
        <w:rPr>
          <w:vertAlign w:val="superscript"/>
        </w:rPr>
        <w:footnoteRef/>
      </w:r>
      <w:r>
        <w:rPr>
          <w:sz w:val="20"/>
          <w:szCs w:val="20"/>
        </w:rPr>
        <w:t xml:space="preserve"> Note on terminology: In descriptions and narrative writing, deceptive publishing and deceptive journal are the preferred terms in this document while “predatory publishing” and “predatory journals” are used when describing search terms used in databases. </w:t>
      </w:r>
    </w:p>
  </w:footnote>
  <w:footnote w:id="2">
    <w:p w14:paraId="212E5C4D" w14:textId="77777777" w:rsidR="00A5217B" w:rsidRDefault="00A5217B">
      <w:pPr>
        <w:pStyle w:val="normal0"/>
        <w:spacing w:line="240" w:lineRule="auto"/>
        <w:rPr>
          <w:sz w:val="20"/>
          <w:szCs w:val="20"/>
        </w:rPr>
      </w:pPr>
      <w:r>
        <w:rPr>
          <w:vertAlign w:val="superscript"/>
        </w:rPr>
        <w:footnoteRef/>
      </w:r>
      <w:r>
        <w:rPr>
          <w:sz w:val="20"/>
          <w:szCs w:val="20"/>
        </w:rPr>
        <w:t xml:space="preserve"> Research results of this project presented by the author at conferences in October and November 2019 mistakenly reported 514 results. (</w:t>
      </w:r>
      <w:hyperlink r:id="rId1">
        <w:r>
          <w:rPr>
            <w:color w:val="428BCA"/>
            <w:sz w:val="21"/>
            <w:szCs w:val="21"/>
            <w:highlight w:val="white"/>
          </w:rPr>
          <w:t>http://hdl.handle.net/10393/39889</w:t>
        </w:r>
      </w:hyperlink>
      <w:r>
        <w:rPr>
          <w:sz w:val="20"/>
          <w:szCs w:val="20"/>
        </w:rPr>
        <w:t>)</w:t>
      </w:r>
    </w:p>
  </w:footnote>
  <w:footnote w:id="3">
    <w:p w14:paraId="0A97B1D8" w14:textId="77777777" w:rsidR="00A5217B" w:rsidRDefault="00A5217B">
      <w:pPr>
        <w:pStyle w:val="normal0"/>
        <w:spacing w:line="240" w:lineRule="auto"/>
        <w:rPr>
          <w:sz w:val="20"/>
          <w:szCs w:val="20"/>
        </w:rPr>
      </w:pPr>
      <w:r>
        <w:rPr>
          <w:vertAlign w:val="superscript"/>
        </w:rPr>
        <w:footnoteRef/>
      </w:r>
      <w:r>
        <w:rPr>
          <w:sz w:val="20"/>
          <w:szCs w:val="20"/>
        </w:rPr>
        <w:t xml:space="preserve"> The number of articles in each category dates from March 2020. Results previously reported were missing two articles from the Quantifying category. Additionally, 1 article from the Contextualizing category was mistakenly reported as being in the Listing category.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
  <w:rsids>
    <w:rsidRoot w:val="00EF0000"/>
    <w:rsid w:val="001416CF"/>
    <w:rsid w:val="003B4C5B"/>
    <w:rsid w:val="00493C22"/>
    <w:rsid w:val="006C7260"/>
    <w:rsid w:val="006E07A8"/>
    <w:rsid w:val="008F79B0"/>
    <w:rsid w:val="009F24F5"/>
    <w:rsid w:val="00A46010"/>
    <w:rsid w:val="00A5217B"/>
    <w:rsid w:val="00B03DCB"/>
    <w:rsid w:val="00EA1E5D"/>
    <w:rsid w:val="00ED2C7F"/>
    <w:rsid w:val="00EF0000"/>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CFA86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outlineLvl w:val="0"/>
    </w:pPr>
    <w:rPr>
      <w:sz w:val="40"/>
      <w:szCs w:val="40"/>
    </w:rPr>
  </w:style>
  <w:style w:type="paragraph" w:styleId="Heading2">
    <w:name w:val="heading 2"/>
    <w:basedOn w:val="normal0"/>
    <w:next w:val="normal0"/>
    <w:pPr>
      <w:keepNext/>
      <w:keepLines/>
      <w:spacing w:before="360" w:after="120"/>
      <w:outlineLvl w:val="1"/>
    </w:pPr>
    <w:rPr>
      <w:sz w:val="28"/>
      <w:szCs w:val="28"/>
    </w:rPr>
  </w:style>
  <w:style w:type="paragraph" w:styleId="Heading3">
    <w:name w:val="heading 3"/>
    <w:basedOn w:val="normal0"/>
    <w:next w:val="normal0"/>
    <w:pPr>
      <w:keepNext/>
      <w:keepLines/>
      <w:spacing w:before="320" w:after="80"/>
      <w:outlineLvl w:val="2"/>
    </w:pPr>
    <w:rPr>
      <w:b/>
    </w:rPr>
  </w:style>
  <w:style w:type="paragraph" w:styleId="Heading4">
    <w:name w:val="heading 4"/>
    <w:basedOn w:val="normal0"/>
    <w:next w:val="normal0"/>
    <w:pPr>
      <w:keepNext/>
      <w:keepLines/>
      <w:spacing w:before="280" w:after="80"/>
      <w:outlineLvl w:val="3"/>
    </w:pPr>
    <w:rPr>
      <w:color w:val="666666"/>
      <w:sz w:val="24"/>
      <w:szCs w:val="24"/>
    </w:rPr>
  </w:style>
  <w:style w:type="paragraph" w:styleId="Heading5">
    <w:name w:val="heading 5"/>
    <w:basedOn w:val="normal0"/>
    <w:next w:val="normal0"/>
    <w:pPr>
      <w:keepNext/>
      <w:keepLines/>
      <w:spacing w:before="240" w:after="80"/>
      <w:outlineLvl w:val="4"/>
    </w:pPr>
    <w:rPr>
      <w:color w:val="666666"/>
    </w:rPr>
  </w:style>
  <w:style w:type="paragraph" w:styleId="Heading6">
    <w:name w:val="heading 6"/>
    <w:basedOn w:val="normal0"/>
    <w:next w:val="normal0"/>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pPr>
    <w:rPr>
      <w:sz w:val="30"/>
      <w:szCs w:val="30"/>
    </w:rPr>
  </w:style>
  <w:style w:type="paragraph" w:styleId="Subtitle">
    <w:name w:val="Subtitle"/>
    <w:basedOn w:val="normal0"/>
    <w:next w:val="normal0"/>
    <w:pPr>
      <w:keepNext/>
      <w:keepLines/>
      <w:spacing w:after="320"/>
    </w:pPr>
    <w:rPr>
      <w:color w:val="666666"/>
      <w:sz w:val="30"/>
      <w:szCs w:val="30"/>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EA1E5D"/>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EA1E5D"/>
    <w:rPr>
      <w:rFonts w:ascii="Lucida Grande" w:hAnsi="Lucida Grande"/>
      <w:sz w:val="18"/>
      <w:szCs w:val="18"/>
    </w:rPr>
  </w:style>
  <w:style w:type="character" w:styleId="Hyperlink">
    <w:name w:val="Hyperlink"/>
    <w:basedOn w:val="DefaultParagraphFont"/>
    <w:uiPriority w:val="99"/>
    <w:unhideWhenUsed/>
    <w:rsid w:val="00A46010"/>
    <w:rPr>
      <w:color w:val="0000FF" w:themeColor="hyperlink"/>
      <w:u w:val="single"/>
    </w:rPr>
  </w:style>
  <w:style w:type="paragraph" w:styleId="Footer">
    <w:name w:val="footer"/>
    <w:basedOn w:val="Normal"/>
    <w:link w:val="FooterChar"/>
    <w:uiPriority w:val="99"/>
    <w:unhideWhenUsed/>
    <w:rsid w:val="00A46010"/>
    <w:pPr>
      <w:tabs>
        <w:tab w:val="center" w:pos="4320"/>
        <w:tab w:val="right" w:pos="8640"/>
      </w:tabs>
      <w:spacing w:line="240" w:lineRule="auto"/>
    </w:pPr>
  </w:style>
  <w:style w:type="character" w:customStyle="1" w:styleId="FooterChar">
    <w:name w:val="Footer Char"/>
    <w:basedOn w:val="DefaultParagraphFont"/>
    <w:link w:val="Footer"/>
    <w:uiPriority w:val="99"/>
    <w:rsid w:val="00A46010"/>
  </w:style>
  <w:style w:type="character" w:styleId="PageNumber">
    <w:name w:val="page number"/>
    <w:basedOn w:val="DefaultParagraphFont"/>
    <w:uiPriority w:val="99"/>
    <w:semiHidden/>
    <w:unhideWhenUsed/>
    <w:rsid w:val="00A46010"/>
  </w:style>
  <w:style w:type="character" w:styleId="FollowedHyperlink">
    <w:name w:val="FollowedHyperlink"/>
    <w:basedOn w:val="DefaultParagraphFont"/>
    <w:uiPriority w:val="99"/>
    <w:semiHidden/>
    <w:unhideWhenUsed/>
    <w:rsid w:val="006E07A8"/>
    <w:rPr>
      <w:color w:val="800080" w:themeColor="followedHyperlink"/>
      <w:u w:val="single"/>
    </w:rPr>
  </w:style>
  <w:style w:type="paragraph" w:styleId="NormalWeb">
    <w:name w:val="Normal (Web)"/>
    <w:basedOn w:val="Normal"/>
    <w:uiPriority w:val="99"/>
    <w:semiHidden/>
    <w:unhideWhenUsed/>
    <w:rsid w:val="00493C22"/>
    <w:pPr>
      <w:spacing w:before="100" w:beforeAutospacing="1" w:after="100" w:afterAutospacing="1" w:line="240" w:lineRule="auto"/>
    </w:pPr>
    <w:rPr>
      <w:rFonts w:ascii="Times" w:eastAsiaTheme="minorEastAsia" w:hAnsi="Times" w:cs="Times New Roman"/>
      <w:sz w:val="20"/>
      <w:szCs w:val="20"/>
      <w:lang w:val="en-CA"/>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outlineLvl w:val="0"/>
    </w:pPr>
    <w:rPr>
      <w:sz w:val="40"/>
      <w:szCs w:val="40"/>
    </w:rPr>
  </w:style>
  <w:style w:type="paragraph" w:styleId="Heading2">
    <w:name w:val="heading 2"/>
    <w:basedOn w:val="normal0"/>
    <w:next w:val="normal0"/>
    <w:pPr>
      <w:keepNext/>
      <w:keepLines/>
      <w:spacing w:before="360" w:after="120"/>
      <w:outlineLvl w:val="1"/>
    </w:pPr>
    <w:rPr>
      <w:sz w:val="28"/>
      <w:szCs w:val="28"/>
    </w:rPr>
  </w:style>
  <w:style w:type="paragraph" w:styleId="Heading3">
    <w:name w:val="heading 3"/>
    <w:basedOn w:val="normal0"/>
    <w:next w:val="normal0"/>
    <w:pPr>
      <w:keepNext/>
      <w:keepLines/>
      <w:spacing w:before="320" w:after="80"/>
      <w:outlineLvl w:val="2"/>
    </w:pPr>
    <w:rPr>
      <w:b/>
    </w:rPr>
  </w:style>
  <w:style w:type="paragraph" w:styleId="Heading4">
    <w:name w:val="heading 4"/>
    <w:basedOn w:val="normal0"/>
    <w:next w:val="normal0"/>
    <w:pPr>
      <w:keepNext/>
      <w:keepLines/>
      <w:spacing w:before="280" w:after="80"/>
      <w:outlineLvl w:val="3"/>
    </w:pPr>
    <w:rPr>
      <w:color w:val="666666"/>
      <w:sz w:val="24"/>
      <w:szCs w:val="24"/>
    </w:rPr>
  </w:style>
  <w:style w:type="paragraph" w:styleId="Heading5">
    <w:name w:val="heading 5"/>
    <w:basedOn w:val="normal0"/>
    <w:next w:val="normal0"/>
    <w:pPr>
      <w:keepNext/>
      <w:keepLines/>
      <w:spacing w:before="240" w:after="80"/>
      <w:outlineLvl w:val="4"/>
    </w:pPr>
    <w:rPr>
      <w:color w:val="666666"/>
    </w:rPr>
  </w:style>
  <w:style w:type="paragraph" w:styleId="Heading6">
    <w:name w:val="heading 6"/>
    <w:basedOn w:val="normal0"/>
    <w:next w:val="normal0"/>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pPr>
    <w:rPr>
      <w:sz w:val="30"/>
      <w:szCs w:val="30"/>
    </w:rPr>
  </w:style>
  <w:style w:type="paragraph" w:styleId="Subtitle">
    <w:name w:val="Subtitle"/>
    <w:basedOn w:val="normal0"/>
    <w:next w:val="normal0"/>
    <w:pPr>
      <w:keepNext/>
      <w:keepLines/>
      <w:spacing w:after="320"/>
    </w:pPr>
    <w:rPr>
      <w:color w:val="666666"/>
      <w:sz w:val="30"/>
      <w:szCs w:val="30"/>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EA1E5D"/>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EA1E5D"/>
    <w:rPr>
      <w:rFonts w:ascii="Lucida Grande" w:hAnsi="Lucida Grande"/>
      <w:sz w:val="18"/>
      <w:szCs w:val="18"/>
    </w:rPr>
  </w:style>
  <w:style w:type="character" w:styleId="Hyperlink">
    <w:name w:val="Hyperlink"/>
    <w:basedOn w:val="DefaultParagraphFont"/>
    <w:uiPriority w:val="99"/>
    <w:unhideWhenUsed/>
    <w:rsid w:val="00A46010"/>
    <w:rPr>
      <w:color w:val="0000FF" w:themeColor="hyperlink"/>
      <w:u w:val="single"/>
    </w:rPr>
  </w:style>
  <w:style w:type="paragraph" w:styleId="Footer">
    <w:name w:val="footer"/>
    <w:basedOn w:val="Normal"/>
    <w:link w:val="FooterChar"/>
    <w:uiPriority w:val="99"/>
    <w:unhideWhenUsed/>
    <w:rsid w:val="00A46010"/>
    <w:pPr>
      <w:tabs>
        <w:tab w:val="center" w:pos="4320"/>
        <w:tab w:val="right" w:pos="8640"/>
      </w:tabs>
      <w:spacing w:line="240" w:lineRule="auto"/>
    </w:pPr>
  </w:style>
  <w:style w:type="character" w:customStyle="1" w:styleId="FooterChar">
    <w:name w:val="Footer Char"/>
    <w:basedOn w:val="DefaultParagraphFont"/>
    <w:link w:val="Footer"/>
    <w:uiPriority w:val="99"/>
    <w:rsid w:val="00A46010"/>
  </w:style>
  <w:style w:type="character" w:styleId="PageNumber">
    <w:name w:val="page number"/>
    <w:basedOn w:val="DefaultParagraphFont"/>
    <w:uiPriority w:val="99"/>
    <w:semiHidden/>
    <w:unhideWhenUsed/>
    <w:rsid w:val="00A46010"/>
  </w:style>
  <w:style w:type="character" w:styleId="FollowedHyperlink">
    <w:name w:val="FollowedHyperlink"/>
    <w:basedOn w:val="DefaultParagraphFont"/>
    <w:uiPriority w:val="99"/>
    <w:semiHidden/>
    <w:unhideWhenUsed/>
    <w:rsid w:val="006E07A8"/>
    <w:rPr>
      <w:color w:val="800080" w:themeColor="followedHyperlink"/>
      <w:u w:val="single"/>
    </w:rPr>
  </w:style>
  <w:style w:type="paragraph" w:styleId="NormalWeb">
    <w:name w:val="Normal (Web)"/>
    <w:basedOn w:val="Normal"/>
    <w:uiPriority w:val="99"/>
    <w:semiHidden/>
    <w:unhideWhenUsed/>
    <w:rsid w:val="00493C22"/>
    <w:pPr>
      <w:spacing w:before="100" w:beforeAutospacing="1" w:after="100" w:afterAutospacing="1" w:line="240" w:lineRule="auto"/>
    </w:pPr>
    <w:rPr>
      <w:rFonts w:ascii="Times" w:eastAsiaTheme="minorEastAsia" w:hAnsi="Times" w:cs="Times New Roman"/>
      <w:sz w:val="20"/>
      <w:szCs w:val="20"/>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968573">
      <w:bodyDiv w:val="1"/>
      <w:marLeft w:val="0"/>
      <w:marRight w:val="0"/>
      <w:marTop w:val="0"/>
      <w:marBottom w:val="0"/>
      <w:divBdr>
        <w:top w:val="none" w:sz="0" w:space="0" w:color="auto"/>
        <w:left w:val="none" w:sz="0" w:space="0" w:color="auto"/>
        <w:bottom w:val="none" w:sz="0" w:space="0" w:color="auto"/>
        <w:right w:val="none" w:sz="0" w:space="0" w:color="auto"/>
      </w:divBdr>
    </w:div>
    <w:div w:id="316305650">
      <w:bodyDiv w:val="1"/>
      <w:marLeft w:val="0"/>
      <w:marRight w:val="0"/>
      <w:marTop w:val="0"/>
      <w:marBottom w:val="0"/>
      <w:divBdr>
        <w:top w:val="none" w:sz="0" w:space="0" w:color="auto"/>
        <w:left w:val="none" w:sz="0" w:space="0" w:color="auto"/>
        <w:bottom w:val="none" w:sz="0" w:space="0" w:color="auto"/>
        <w:right w:val="none" w:sz="0" w:space="0" w:color="auto"/>
      </w:divBdr>
    </w:div>
    <w:div w:id="643386764">
      <w:bodyDiv w:val="1"/>
      <w:marLeft w:val="0"/>
      <w:marRight w:val="0"/>
      <w:marTop w:val="0"/>
      <w:marBottom w:val="0"/>
      <w:divBdr>
        <w:top w:val="none" w:sz="0" w:space="0" w:color="auto"/>
        <w:left w:val="none" w:sz="0" w:space="0" w:color="auto"/>
        <w:bottom w:val="none" w:sz="0" w:space="0" w:color="auto"/>
        <w:right w:val="none" w:sz="0" w:space="0" w:color="auto"/>
      </w:divBdr>
    </w:div>
    <w:div w:id="648630893">
      <w:bodyDiv w:val="1"/>
      <w:marLeft w:val="0"/>
      <w:marRight w:val="0"/>
      <w:marTop w:val="0"/>
      <w:marBottom w:val="0"/>
      <w:divBdr>
        <w:top w:val="none" w:sz="0" w:space="0" w:color="auto"/>
        <w:left w:val="none" w:sz="0" w:space="0" w:color="auto"/>
        <w:bottom w:val="none" w:sz="0" w:space="0" w:color="auto"/>
        <w:right w:val="none" w:sz="0" w:space="0" w:color="auto"/>
      </w:divBdr>
    </w:div>
    <w:div w:id="1983656370">
      <w:bodyDiv w:val="1"/>
      <w:marLeft w:val="0"/>
      <w:marRight w:val="0"/>
      <w:marTop w:val="0"/>
      <w:marBottom w:val="0"/>
      <w:divBdr>
        <w:top w:val="none" w:sz="0" w:space="0" w:color="auto"/>
        <w:left w:val="none" w:sz="0" w:space="0" w:color="auto"/>
        <w:bottom w:val="none" w:sz="0" w:space="0" w:color="auto"/>
        <w:right w:val="none" w:sz="0" w:space="0" w:color="auto"/>
      </w:divBdr>
    </w:div>
    <w:div w:id="2145921756">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s://conference.pkp.sfu.ca/index.php/pkp2019/pkp2019/paper/view/737" TargetMode="External"/><Relationship Id="rId8" Type="http://schemas.openxmlformats.org/officeDocument/2006/relationships/chart" Target="charts/chart1.xml"/><Relationship Id="rId9" Type="http://schemas.openxmlformats.org/officeDocument/2006/relationships/footer" Target="footer1.xml"/><Relationship Id="rId10"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hdl.handle.net/10393/39889"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jeanettehatherill:Documents:Work:Research%20Leave:20190913%20Analysis%20of%20coded%20articles.csv" TargetMode="External"/><Relationship Id="rId2"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1"/>
    </mc:Choice>
    <mc:Fallback>
      <c:style val="21"/>
    </mc:Fallback>
  </mc:AlternateContent>
  <c:chart>
    <c:autoTitleDeleted val="1"/>
    <c:plotArea>
      <c:layout>
        <c:manualLayout>
          <c:layoutTarget val="inner"/>
          <c:xMode val="edge"/>
          <c:yMode val="edge"/>
          <c:x val="0.0303030303030303"/>
          <c:y val="0.0526315789473684"/>
          <c:w val="0.488215488215488"/>
          <c:h val="0.847953216374269"/>
        </c:manualLayout>
      </c:layout>
      <c:pieChart>
        <c:varyColors val="1"/>
        <c:ser>
          <c:idx val="0"/>
          <c:order val="0"/>
          <c:spPr>
            <a:solidFill>
              <a:srgbClr val="AEF11A"/>
            </a:solidFill>
            <a:ln>
              <a:solidFill>
                <a:srgbClr val="678E10"/>
              </a:solidFill>
            </a:ln>
            <a:effectLst/>
          </c:spPr>
          <c:dPt>
            <c:idx val="0"/>
            <c:bubble3D val="0"/>
            <c:spPr>
              <a:solidFill>
                <a:srgbClr val="86BC15"/>
              </a:solidFill>
              <a:ln>
                <a:solidFill>
                  <a:srgbClr val="678E10"/>
                </a:solidFill>
              </a:ln>
              <a:effectLst/>
            </c:spPr>
          </c:dPt>
          <c:dLbls>
            <c:delete val="1"/>
          </c:dLbls>
          <c:cat>
            <c:strRef>
              <c:f>'[20190909 coding frame for in scope articles.csv]Sheet2'!$G$4:$G$5</c:f>
              <c:strCache>
                <c:ptCount val="2"/>
                <c:pt idx="0">
                  <c:v>Post-publication</c:v>
                </c:pt>
                <c:pt idx="1">
                  <c:v>Pre-publication</c:v>
                </c:pt>
              </c:strCache>
            </c:strRef>
          </c:cat>
          <c:val>
            <c:numRef>
              <c:f>'[20190909 coding frame for in scope articles.csv]Sheet2'!$H$4:$H$5</c:f>
              <c:numCache>
                <c:formatCode>General</c:formatCode>
                <c:ptCount val="2"/>
                <c:pt idx="0">
                  <c:v>40.0</c:v>
                </c:pt>
                <c:pt idx="1">
                  <c:v>475.0</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spPr>
    <a:ln>
      <a:noFill/>
    </a:ln>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0.54217</cdr:x>
      <cdr:y>0.47826</cdr:y>
    </cdr:from>
    <cdr:to>
      <cdr:x>0.85328</cdr:x>
      <cdr:y>0.8312</cdr:y>
    </cdr:to>
    <cdr:sp macro="" textlink="">
      <cdr:nvSpPr>
        <cdr:cNvPr id="2" name="Text Box 1"/>
        <cdr:cNvSpPr txBox="1"/>
      </cdr:nvSpPr>
      <cdr:spPr>
        <a:xfrm xmlns:a="http://schemas.openxmlformats.org/drawingml/2006/main">
          <a:off x="2857500" y="1257300"/>
          <a:ext cx="1639711" cy="92784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400">
              <a:latin typeface="Arial"/>
              <a:cs typeface="Arial"/>
            </a:rPr>
            <a:t>Pre-publication </a:t>
          </a:r>
        </a:p>
        <a:p xmlns:a="http://schemas.openxmlformats.org/drawingml/2006/main">
          <a:r>
            <a:rPr lang="en-US" sz="1400">
              <a:latin typeface="Arial"/>
              <a:cs typeface="Arial"/>
            </a:rPr>
            <a:t>92%</a:t>
          </a:r>
        </a:p>
        <a:p xmlns:a="http://schemas.openxmlformats.org/drawingml/2006/main">
          <a:r>
            <a:rPr lang="en-US" sz="1400">
              <a:latin typeface="Arial"/>
              <a:cs typeface="Arial"/>
            </a:rPr>
            <a:t>n= 475</a:t>
          </a:r>
        </a:p>
      </cdr:txBody>
    </cdr:sp>
  </cdr:relSizeAnchor>
  <cdr:relSizeAnchor xmlns:cdr="http://schemas.openxmlformats.org/drawingml/2006/chartDrawing">
    <cdr:from>
      <cdr:x>0.54217</cdr:x>
      <cdr:y>0.04348</cdr:y>
    </cdr:from>
    <cdr:to>
      <cdr:x>0.93234</cdr:x>
      <cdr:y>0.46453</cdr:y>
    </cdr:to>
    <cdr:sp macro="" textlink="">
      <cdr:nvSpPr>
        <cdr:cNvPr id="6" name="Text Box 5"/>
        <cdr:cNvSpPr txBox="1"/>
      </cdr:nvSpPr>
      <cdr:spPr>
        <a:xfrm xmlns:a="http://schemas.openxmlformats.org/drawingml/2006/main">
          <a:off x="2857500" y="114300"/>
          <a:ext cx="2056409" cy="110690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400">
              <a:latin typeface="Arial"/>
              <a:cs typeface="Arial"/>
            </a:rPr>
            <a:t>Post-publication </a:t>
          </a:r>
        </a:p>
        <a:p xmlns:a="http://schemas.openxmlformats.org/drawingml/2006/main">
          <a:r>
            <a:rPr lang="en-US" sz="1400">
              <a:latin typeface="Arial"/>
              <a:cs typeface="Arial"/>
            </a:rPr>
            <a:t>8%</a:t>
          </a:r>
        </a:p>
        <a:p xmlns:a="http://schemas.openxmlformats.org/drawingml/2006/main">
          <a:r>
            <a:rPr lang="en-US" sz="1400">
              <a:latin typeface="Arial"/>
              <a:cs typeface="Arial"/>
            </a:rPr>
            <a:t>n=40</a:t>
          </a:r>
        </a:p>
      </cdr:txBody>
    </cdr:sp>
  </cdr:relSizeAnchor>
  <cdr:relSizeAnchor xmlns:cdr="http://schemas.openxmlformats.org/drawingml/2006/chartDrawing">
    <cdr:from>
      <cdr:x>0.31792</cdr:x>
      <cdr:y>0.15789</cdr:y>
    </cdr:from>
    <cdr:to>
      <cdr:x>0.52601</cdr:x>
      <cdr:y>0.15789</cdr:y>
    </cdr:to>
    <cdr:cxnSp macro="">
      <cdr:nvCxnSpPr>
        <cdr:cNvPr id="8" name="Straight Arrow Connector 7"/>
        <cdr:cNvCxnSpPr/>
      </cdr:nvCxnSpPr>
      <cdr:spPr>
        <a:xfrm xmlns:a="http://schemas.openxmlformats.org/drawingml/2006/main" flipH="1">
          <a:off x="1397000" y="342900"/>
          <a:ext cx="914401" cy="0"/>
        </a:xfrm>
        <a:prstGeom xmlns:a="http://schemas.openxmlformats.org/drawingml/2006/main" prst="straightConnector1">
          <a:avLst/>
        </a:prstGeom>
        <a:ln xmlns:a="http://schemas.openxmlformats.org/drawingml/2006/main">
          <a:solidFill>
            <a:schemeClr val="tx1">
              <a:lumMod val="75000"/>
              <a:lumOff val="25000"/>
            </a:schemeClr>
          </a:solidFill>
          <a:tailEnd type="arrow"/>
        </a:ln>
        <a:effectLst xmlns:a="http://schemas.openxmlformats.org/drawingml/2006/main">
          <a:outerShdw blurRad="40000" dist="20000" dir="5400000" rotWithShape="0">
            <a:schemeClr val="tx1">
              <a:lumMod val="65000"/>
              <a:lumOff val="35000"/>
              <a:alpha val="38000"/>
            </a:schemeClr>
          </a:outerShdw>
        </a:effectLst>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0.35556</cdr:x>
      <cdr:y>0.57895</cdr:y>
    </cdr:from>
    <cdr:to>
      <cdr:x>0.52601</cdr:x>
      <cdr:y>0.57895</cdr:y>
    </cdr:to>
    <cdr:cxnSp macro="">
      <cdr:nvCxnSpPr>
        <cdr:cNvPr id="17" name="Straight Arrow Connector 16"/>
        <cdr:cNvCxnSpPr/>
      </cdr:nvCxnSpPr>
      <cdr:spPr>
        <a:xfrm xmlns:a="http://schemas.openxmlformats.org/drawingml/2006/main" flipH="1">
          <a:off x="1562383" y="1257300"/>
          <a:ext cx="749017" cy="0"/>
        </a:xfrm>
        <a:prstGeom xmlns:a="http://schemas.openxmlformats.org/drawingml/2006/main" prst="straightConnector1">
          <a:avLst/>
        </a:prstGeom>
        <a:ln xmlns:a="http://schemas.openxmlformats.org/drawingml/2006/main">
          <a:solidFill>
            <a:schemeClr val="tx1">
              <a:lumMod val="65000"/>
              <a:lumOff val="35000"/>
            </a:schemeClr>
          </a:solidFill>
          <a:tailEnd type="arrow"/>
        </a:ln>
        <a:effectLst xmlns:a="http://schemas.openxmlformats.org/drawingml/2006/main">
          <a:outerShdw blurRad="40000" dist="20000" dir="5400000" rotWithShape="0">
            <a:schemeClr val="tx1">
              <a:lumMod val="65000"/>
              <a:lumOff val="35000"/>
              <a:alpha val="38000"/>
            </a:schemeClr>
          </a:outerShdw>
        </a:effectLst>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71</TotalTime>
  <Pages>6</Pages>
  <Words>1582</Words>
  <Characters>9021</Characters>
  <Application>Microsoft Macintosh Word</Application>
  <DocSecurity>0</DocSecurity>
  <Lines>75</Lines>
  <Paragraphs>21</Paragraphs>
  <ScaleCrop>false</ScaleCrop>
  <Company/>
  <LinksUpToDate>false</LinksUpToDate>
  <CharactersWithSpaces>10582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Jeanette Hatherill</dc:creator>
  <cp:keywords/>
  <dc:description/>
  <cp:lastModifiedBy>Jeanette Hatherill</cp:lastModifiedBy>
  <cp:revision>3</cp:revision>
  <dcterms:created xsi:type="dcterms:W3CDTF">2020-03-20T20:10:00Z</dcterms:created>
  <dcterms:modified xsi:type="dcterms:W3CDTF">2020-03-24T18:03:00Z</dcterms:modified>
</cp:coreProperties>
</file>